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95EF" w14:textId="77777777" w:rsidR="00BB30FB" w:rsidRDefault="00BB30FB" w:rsidP="00F608EE">
      <w:pPr>
        <w:pStyle w:val="Title"/>
        <w:spacing w:before="240"/>
        <w:ind w:left="-567"/>
        <w:rPr>
          <w:rFonts w:ascii="Calibri" w:hAnsi="Calibri" w:cs="Calibri"/>
        </w:rPr>
      </w:pPr>
      <w:bookmarkStart w:id="0" w:name="_Toc53573191"/>
      <w:bookmarkStart w:id="1" w:name="_Toc53573619"/>
    </w:p>
    <w:p w14:paraId="3C76177E" w14:textId="77777777" w:rsidR="00497AAF" w:rsidRDefault="00D052B3" w:rsidP="00F608EE">
      <w:pPr>
        <w:pStyle w:val="Title"/>
        <w:spacing w:before="240"/>
        <w:ind w:left="-567"/>
        <w:rPr>
          <w:rFonts w:ascii="Calibri" w:hAnsi="Calibri" w:cs="Calibri"/>
        </w:rPr>
      </w:pPr>
      <w:r w:rsidRPr="000D7CF2">
        <w:rPr>
          <w:rFonts w:ascii="Calibri" w:hAnsi="Calibri" w:cs="Calibri"/>
        </w:rPr>
        <w:t>Charging R</w:t>
      </w:r>
      <w:r w:rsidR="00D620AC" w:rsidRPr="000D7CF2">
        <w:rPr>
          <w:rFonts w:ascii="Calibri" w:hAnsi="Calibri" w:cs="Calibri"/>
        </w:rPr>
        <w:t>isk Assessment (CRA)</w:t>
      </w:r>
      <w:r w:rsidR="00EE79B0">
        <w:rPr>
          <w:rFonts w:ascii="Calibri" w:hAnsi="Calibri" w:cs="Calibri"/>
        </w:rPr>
        <w:t xml:space="preserve"> </w:t>
      </w:r>
    </w:p>
    <w:p w14:paraId="5E7D4C04" w14:textId="67FEFE7E" w:rsidR="00B770C4" w:rsidRPr="000D7CF2" w:rsidRDefault="00EE79B0" w:rsidP="00F608EE">
      <w:pPr>
        <w:pStyle w:val="Title"/>
        <w:spacing w:before="240"/>
        <w:ind w:left="-567"/>
        <w:rPr>
          <w:rFonts w:ascii="Calibri" w:hAnsi="Calibri" w:cs="Calibri"/>
        </w:rPr>
      </w:pPr>
      <w:r>
        <w:rPr>
          <w:rFonts w:ascii="Calibri" w:hAnsi="Calibri" w:cs="Calibri"/>
        </w:rPr>
        <w:t>Information Sheet</w:t>
      </w:r>
    </w:p>
    <w:p w14:paraId="07DA11FE" w14:textId="114468E4" w:rsidR="00D052B3" w:rsidRPr="000D7CF2" w:rsidRDefault="00D620AC" w:rsidP="000D7CF2">
      <w:pPr>
        <w:pStyle w:val="Subtitle"/>
        <w:spacing w:after="0"/>
        <w:ind w:left="-567"/>
        <w:rPr>
          <w:rFonts w:ascii="Calibri" w:hAnsi="Calibri" w:cs="Calibri"/>
        </w:rPr>
      </w:pPr>
      <w:bookmarkStart w:id="2" w:name="_Toc53573620"/>
      <w:bookmarkEnd w:id="0"/>
      <w:bookmarkEnd w:id="1"/>
      <w:r w:rsidRPr="000D7CF2">
        <w:rPr>
          <w:rFonts w:ascii="Calibri" w:hAnsi="Calibri" w:cs="Calibri"/>
        </w:rPr>
        <w:t>Assess</w:t>
      </w:r>
      <w:r w:rsidR="00497AAF">
        <w:rPr>
          <w:rFonts w:ascii="Calibri" w:hAnsi="Calibri" w:cs="Calibri"/>
        </w:rPr>
        <w:t>ing</w:t>
      </w:r>
      <w:r w:rsidRPr="000D7CF2">
        <w:rPr>
          <w:rFonts w:ascii="Calibri" w:hAnsi="Calibri" w:cs="Calibri"/>
        </w:rPr>
        <w:t xml:space="preserve"> the </w:t>
      </w:r>
      <w:r w:rsidR="00497AAF">
        <w:rPr>
          <w:rFonts w:ascii="Calibri" w:hAnsi="Calibri" w:cs="Calibri"/>
        </w:rPr>
        <w:t xml:space="preserve">impact of </w:t>
      </w:r>
      <w:r w:rsidRPr="000D7CF2">
        <w:rPr>
          <w:rFonts w:ascii="Calibri" w:hAnsi="Calibri" w:cs="Calibri"/>
        </w:rPr>
        <w:t xml:space="preserve">complexity, materiality and sensitivity of </w:t>
      </w:r>
      <w:r w:rsidR="00A67F9F">
        <w:rPr>
          <w:rFonts w:ascii="Calibri" w:hAnsi="Calibri" w:cs="Calibri"/>
        </w:rPr>
        <w:t xml:space="preserve">regulatory </w:t>
      </w:r>
      <w:r w:rsidRPr="000D7CF2">
        <w:rPr>
          <w:rFonts w:ascii="Calibri" w:hAnsi="Calibri" w:cs="Calibri"/>
        </w:rPr>
        <w:t xml:space="preserve">charging </w:t>
      </w:r>
    </w:p>
    <w:p w14:paraId="0377CDBB" w14:textId="701C59CA" w:rsidR="00F608EE" w:rsidRDefault="009B1E3B" w:rsidP="00E46D3D">
      <w:pPr>
        <w:spacing w:before="120" w:line="200" w:lineRule="atLeast"/>
        <w:ind w:left="-567"/>
        <w:rPr>
          <w:rFonts w:ascii="Calibri" w:hAnsi="Calibri" w:cs="Calibri"/>
        </w:rPr>
      </w:pPr>
      <w:r w:rsidRPr="000D7CF2">
        <w:rPr>
          <w:rFonts w:ascii="Calibri" w:hAnsi="Calibri" w:cs="Calibri"/>
          <w:spacing w:val="-6"/>
          <w:sz w:val="16"/>
          <w:szCs w:val="16"/>
          <w:lang w:val="en-US"/>
        </w:rPr>
        <w:t>T</w:t>
      </w:r>
      <w:r w:rsidRPr="000D7CF2">
        <w:rPr>
          <w:rFonts w:ascii="Calibri" w:hAnsi="Calibri" w:cs="Calibri"/>
          <w:sz w:val="16"/>
          <w:szCs w:val="16"/>
        </w:rPr>
        <w:t xml:space="preserve">his </w:t>
      </w:r>
      <w:r w:rsidR="00E17C29">
        <w:rPr>
          <w:rFonts w:ascii="Calibri" w:hAnsi="Calibri" w:cs="Calibri"/>
          <w:sz w:val="16"/>
          <w:szCs w:val="16"/>
        </w:rPr>
        <w:t xml:space="preserve">information should be read in conjunction with </w:t>
      </w:r>
      <w:r w:rsidRPr="000D7CF2">
        <w:rPr>
          <w:rFonts w:ascii="Calibri" w:hAnsi="Calibri" w:cs="Calibri"/>
          <w:sz w:val="16"/>
          <w:szCs w:val="16"/>
        </w:rPr>
        <w:t xml:space="preserve">Resource Management Guide 302 </w:t>
      </w:r>
      <w:r w:rsidR="003F2A68">
        <w:rPr>
          <w:rFonts w:ascii="Calibri" w:hAnsi="Calibri" w:cs="Calibri"/>
          <w:sz w:val="16"/>
          <w:szCs w:val="16"/>
        </w:rPr>
        <w:t>Implement</w:t>
      </w:r>
      <w:r w:rsidR="00271FA8">
        <w:rPr>
          <w:rFonts w:ascii="Calibri" w:hAnsi="Calibri" w:cs="Calibri"/>
          <w:sz w:val="16"/>
          <w:szCs w:val="16"/>
        </w:rPr>
        <w:t>ing the</w:t>
      </w:r>
      <w:r w:rsidRPr="000D7CF2">
        <w:rPr>
          <w:rFonts w:ascii="Calibri" w:hAnsi="Calibri" w:cs="Calibri"/>
          <w:sz w:val="16"/>
          <w:szCs w:val="16"/>
        </w:rPr>
        <w:t xml:space="preserve"> </w:t>
      </w:r>
      <w:r w:rsidR="00101123">
        <w:rPr>
          <w:rFonts w:ascii="Calibri" w:hAnsi="Calibri" w:cs="Calibri"/>
          <w:sz w:val="16"/>
          <w:szCs w:val="16"/>
        </w:rPr>
        <w:t xml:space="preserve">Australian Government </w:t>
      </w:r>
      <w:r w:rsidR="006F5767">
        <w:rPr>
          <w:rFonts w:ascii="Calibri" w:hAnsi="Calibri" w:cs="Calibri"/>
          <w:sz w:val="16"/>
          <w:szCs w:val="16"/>
        </w:rPr>
        <w:t xml:space="preserve">Charging </w:t>
      </w:r>
      <w:r w:rsidR="00101123">
        <w:rPr>
          <w:rFonts w:ascii="Calibri" w:hAnsi="Calibri" w:cs="Calibri"/>
          <w:sz w:val="16"/>
          <w:szCs w:val="16"/>
        </w:rPr>
        <w:t>Policy</w:t>
      </w:r>
      <w:r w:rsidR="00E46D3D">
        <w:rPr>
          <w:rFonts w:ascii="Calibri" w:hAnsi="Calibri" w:cs="Calibri"/>
          <w:sz w:val="16"/>
          <w:szCs w:val="16"/>
        </w:rPr>
        <w:t xml:space="preserve"> 2026</w:t>
      </w:r>
      <w:r w:rsidRPr="000D7CF2">
        <w:rPr>
          <w:rFonts w:ascii="Calibri" w:hAnsi="Calibri" w:cs="Calibri"/>
          <w:sz w:val="16"/>
          <w:szCs w:val="16"/>
        </w:rPr>
        <w:t>.</w:t>
      </w:r>
      <w:bookmarkEnd w:id="2"/>
    </w:p>
    <w:p w14:paraId="70B11725" w14:textId="77777777" w:rsidR="00F608EE" w:rsidRDefault="00F608EE" w:rsidP="00F608EE">
      <w:pPr>
        <w:pStyle w:val="BodyText1"/>
        <w:ind w:left="-567"/>
        <w:rPr>
          <w:rFonts w:ascii="Calibri" w:hAnsi="Calibri" w:cs="Calibri"/>
          <w:szCs w:val="22"/>
        </w:rPr>
        <w:sectPr w:rsidR="00F608EE" w:rsidSect="00101123">
          <w:headerReference w:type="default" r:id="rId13"/>
          <w:footerReference w:type="default" r:id="rId14"/>
          <w:pgSz w:w="11906" w:h="16838" w:code="9"/>
          <w:pgMar w:top="993" w:right="2975" w:bottom="284" w:left="1418" w:header="567" w:footer="624" w:gutter="0"/>
          <w:cols w:space="708"/>
          <w:docGrid w:linePitch="360"/>
        </w:sectPr>
      </w:pPr>
    </w:p>
    <w:p w14:paraId="338E267F" w14:textId="14CBED2D" w:rsidR="002E3FA0" w:rsidRPr="001848A3" w:rsidRDefault="18BDF172" w:rsidP="6F0A518B">
      <w:pPr>
        <w:pStyle w:val="BodyText1"/>
        <w:rPr>
          <w:rFonts w:ascii="Calibri" w:hAnsi="Calibri" w:cs="Calibri"/>
          <w:sz w:val="20"/>
          <w:szCs w:val="20"/>
        </w:rPr>
      </w:pPr>
      <w:r w:rsidRPr="6F0A518B">
        <w:rPr>
          <w:rFonts w:ascii="Calibri" w:hAnsi="Calibri" w:cs="Calibri"/>
          <w:sz w:val="20"/>
          <w:szCs w:val="20"/>
        </w:rPr>
        <w:t xml:space="preserve">The Accountable Authority </w:t>
      </w:r>
      <w:r w:rsidR="4FA67BCB" w:rsidRPr="6F0A518B">
        <w:rPr>
          <w:rFonts w:ascii="Calibri" w:hAnsi="Calibri" w:cs="Calibri"/>
          <w:sz w:val="20"/>
          <w:szCs w:val="20"/>
        </w:rPr>
        <w:t xml:space="preserve">is </w:t>
      </w:r>
      <w:r w:rsidRPr="6F0A518B">
        <w:rPr>
          <w:rFonts w:ascii="Calibri" w:hAnsi="Calibri" w:cs="Calibri"/>
          <w:sz w:val="20"/>
          <w:szCs w:val="20"/>
        </w:rPr>
        <w:t xml:space="preserve">responsible for the </w:t>
      </w:r>
      <w:r w:rsidR="1D0237DB" w:rsidRPr="6F0A518B">
        <w:rPr>
          <w:rFonts w:ascii="Calibri" w:hAnsi="Calibri" w:cs="Calibri"/>
          <w:sz w:val="20"/>
          <w:szCs w:val="20"/>
        </w:rPr>
        <w:t xml:space="preserve">regulatory </w:t>
      </w:r>
      <w:r w:rsidRPr="6F0A518B">
        <w:rPr>
          <w:rFonts w:ascii="Calibri" w:hAnsi="Calibri" w:cs="Calibri"/>
          <w:sz w:val="20"/>
          <w:szCs w:val="20"/>
        </w:rPr>
        <w:t>activity that is charged for</w:t>
      </w:r>
      <w:r w:rsidR="727BFBA6" w:rsidRPr="6F0A518B">
        <w:rPr>
          <w:rFonts w:ascii="Calibri" w:hAnsi="Calibri" w:cs="Calibri"/>
          <w:sz w:val="20"/>
          <w:szCs w:val="20"/>
        </w:rPr>
        <w:t>,</w:t>
      </w:r>
      <w:r w:rsidRPr="6F0A518B">
        <w:rPr>
          <w:rFonts w:ascii="Calibri" w:hAnsi="Calibri" w:cs="Calibri"/>
          <w:sz w:val="20"/>
          <w:szCs w:val="20"/>
        </w:rPr>
        <w:t xml:space="preserve"> must ensure that the risks associated with materiality, complexity and sensitivity for any new or existing charging </w:t>
      </w:r>
      <w:r w:rsidR="46907D18" w:rsidRPr="6F0A518B">
        <w:rPr>
          <w:rFonts w:ascii="Calibri" w:hAnsi="Calibri" w:cs="Calibri"/>
          <w:sz w:val="20"/>
          <w:szCs w:val="20"/>
        </w:rPr>
        <w:t xml:space="preserve">are </w:t>
      </w:r>
      <w:r w:rsidRPr="6F0A518B">
        <w:rPr>
          <w:rFonts w:ascii="Calibri" w:hAnsi="Calibri" w:cs="Calibri"/>
          <w:sz w:val="20"/>
          <w:szCs w:val="20"/>
        </w:rPr>
        <w:t>assessed. This assessment must be informed using the Charging Risk Assessment (CRA).</w:t>
      </w:r>
    </w:p>
    <w:p w14:paraId="6A9C2BC3" w14:textId="53058D9D" w:rsidR="00E87C02" w:rsidRDefault="68A11C95" w:rsidP="6F0A518B">
      <w:pPr>
        <w:pStyle w:val="BodyText1"/>
        <w:rPr>
          <w:rFonts w:ascii="Calibri" w:hAnsi="Calibri" w:cs="Calibri"/>
          <w:sz w:val="20"/>
          <w:szCs w:val="20"/>
        </w:rPr>
      </w:pPr>
      <w:r w:rsidRPr="173AD298">
        <w:rPr>
          <w:rFonts w:ascii="Calibri" w:hAnsi="Calibri" w:cs="Calibri"/>
          <w:sz w:val="20"/>
          <w:szCs w:val="20"/>
        </w:rPr>
        <w:t xml:space="preserve">A </w:t>
      </w:r>
      <w:r w:rsidR="2EDA311B" w:rsidRPr="173AD298">
        <w:rPr>
          <w:rFonts w:ascii="Calibri" w:hAnsi="Calibri" w:cs="Calibri"/>
          <w:sz w:val="20"/>
          <w:szCs w:val="20"/>
        </w:rPr>
        <w:t xml:space="preserve">Charging </w:t>
      </w:r>
      <w:r w:rsidR="40255775" w:rsidRPr="173AD298">
        <w:rPr>
          <w:rFonts w:ascii="Calibri" w:hAnsi="Calibri" w:cs="Calibri"/>
          <w:sz w:val="20"/>
          <w:szCs w:val="20"/>
        </w:rPr>
        <w:t>R</w:t>
      </w:r>
      <w:r w:rsidR="2EDA311B" w:rsidRPr="173AD298">
        <w:rPr>
          <w:rFonts w:ascii="Calibri" w:hAnsi="Calibri" w:cs="Calibri"/>
          <w:sz w:val="20"/>
          <w:szCs w:val="20"/>
        </w:rPr>
        <w:t xml:space="preserve">isk </w:t>
      </w:r>
      <w:r w:rsidR="40255775" w:rsidRPr="173AD298">
        <w:rPr>
          <w:rFonts w:ascii="Calibri" w:hAnsi="Calibri" w:cs="Calibri"/>
          <w:sz w:val="20"/>
          <w:szCs w:val="20"/>
        </w:rPr>
        <w:t>A</w:t>
      </w:r>
      <w:r w:rsidR="2EDA311B" w:rsidRPr="173AD298">
        <w:rPr>
          <w:rFonts w:ascii="Calibri" w:hAnsi="Calibri" w:cs="Calibri"/>
          <w:sz w:val="20"/>
          <w:szCs w:val="20"/>
        </w:rPr>
        <w:t xml:space="preserve">ssessment </w:t>
      </w:r>
      <w:r w:rsidR="40255775" w:rsidRPr="173AD298">
        <w:rPr>
          <w:rFonts w:ascii="Calibri" w:hAnsi="Calibri" w:cs="Calibri"/>
          <w:sz w:val="20"/>
          <w:szCs w:val="20"/>
        </w:rPr>
        <w:t xml:space="preserve">(CRA) </w:t>
      </w:r>
      <w:r w:rsidR="2EDA311B" w:rsidRPr="173AD298">
        <w:rPr>
          <w:rFonts w:ascii="Calibri" w:hAnsi="Calibri" w:cs="Calibri"/>
          <w:sz w:val="20"/>
          <w:szCs w:val="20"/>
        </w:rPr>
        <w:t xml:space="preserve">involves </w:t>
      </w:r>
      <w:r w:rsidR="40255775" w:rsidRPr="173AD298">
        <w:rPr>
          <w:rFonts w:ascii="Calibri" w:hAnsi="Calibri" w:cs="Calibri"/>
          <w:sz w:val="20"/>
          <w:szCs w:val="20"/>
        </w:rPr>
        <w:t>a</w:t>
      </w:r>
      <w:r w:rsidRPr="173AD298">
        <w:rPr>
          <w:rFonts w:ascii="Calibri" w:hAnsi="Calibri" w:cs="Calibri"/>
          <w:sz w:val="20"/>
          <w:szCs w:val="20"/>
        </w:rPr>
        <w:t>n</w:t>
      </w:r>
      <w:r w:rsidR="2EDA311B" w:rsidRPr="173AD298">
        <w:rPr>
          <w:rFonts w:ascii="Calibri" w:hAnsi="Calibri" w:cs="Calibri"/>
          <w:sz w:val="20"/>
          <w:szCs w:val="20"/>
        </w:rPr>
        <w:t xml:space="preserve"> </w:t>
      </w:r>
      <w:r w:rsidR="3DA31C1B" w:rsidRPr="173AD298">
        <w:rPr>
          <w:rFonts w:ascii="Calibri" w:hAnsi="Calibri" w:cs="Calibri"/>
          <w:sz w:val="20"/>
          <w:szCs w:val="20"/>
        </w:rPr>
        <w:t>assessment</w:t>
      </w:r>
      <w:r w:rsidR="2EDA311B" w:rsidRPr="173AD298">
        <w:rPr>
          <w:rFonts w:ascii="Calibri" w:hAnsi="Calibri" w:cs="Calibri"/>
          <w:sz w:val="20"/>
          <w:szCs w:val="20"/>
        </w:rPr>
        <w:t xml:space="preserve"> of risk </w:t>
      </w:r>
      <w:r w:rsidR="34D2FF43" w:rsidRPr="173AD298">
        <w:rPr>
          <w:rFonts w:ascii="Calibri" w:hAnsi="Calibri" w:cs="Calibri"/>
          <w:sz w:val="20"/>
          <w:szCs w:val="20"/>
        </w:rPr>
        <w:t>for new</w:t>
      </w:r>
      <w:r w:rsidR="335CB5CB" w:rsidRPr="173AD298">
        <w:rPr>
          <w:rFonts w:ascii="Calibri" w:hAnsi="Calibri" w:cs="Calibri"/>
          <w:sz w:val="20"/>
          <w:szCs w:val="20"/>
        </w:rPr>
        <w:t xml:space="preserve"> proposed or revised </w:t>
      </w:r>
      <w:r w:rsidR="3DA31C1B" w:rsidRPr="173AD298">
        <w:rPr>
          <w:rFonts w:ascii="Calibri" w:hAnsi="Calibri" w:cs="Calibri"/>
          <w:sz w:val="20"/>
          <w:szCs w:val="20"/>
        </w:rPr>
        <w:t xml:space="preserve">charging. </w:t>
      </w:r>
      <w:r w:rsidR="00D44083">
        <w:rPr>
          <w:rFonts w:ascii="Calibri" w:hAnsi="Calibri" w:cs="Calibri"/>
          <w:sz w:val="20"/>
          <w:szCs w:val="20"/>
        </w:rPr>
        <w:t xml:space="preserve">It </w:t>
      </w:r>
      <w:r w:rsidR="000C5C49">
        <w:rPr>
          <w:rFonts w:ascii="Calibri" w:hAnsi="Calibri" w:cs="Calibri"/>
          <w:sz w:val="20"/>
          <w:szCs w:val="20"/>
        </w:rPr>
        <w:t xml:space="preserve">is a process control document, </w:t>
      </w:r>
      <w:r w:rsidR="00D44083">
        <w:rPr>
          <w:rFonts w:ascii="Calibri" w:hAnsi="Calibri" w:cs="Calibri"/>
          <w:sz w:val="20"/>
          <w:szCs w:val="20"/>
        </w:rPr>
        <w:t>not a public document.</w:t>
      </w:r>
    </w:p>
    <w:p w14:paraId="70EF18FF" w14:textId="3F041D03" w:rsidR="001A7500" w:rsidRDefault="7D26D34F" w:rsidP="001A7500">
      <w:pPr>
        <w:pStyle w:val="BodyText1"/>
        <w:rPr>
          <w:rFonts w:ascii="Calibri" w:hAnsi="Calibri" w:cs="Calibri"/>
          <w:sz w:val="20"/>
          <w:szCs w:val="20"/>
        </w:rPr>
      </w:pPr>
      <w:r w:rsidRPr="1A378332">
        <w:rPr>
          <w:rFonts w:ascii="Calibri" w:hAnsi="Calibri" w:cs="Calibri"/>
          <w:sz w:val="20"/>
          <w:szCs w:val="20"/>
        </w:rPr>
        <w:t>A CRA uses high-level marker</w:t>
      </w:r>
      <w:r w:rsidR="40DADDA2" w:rsidRPr="1A378332">
        <w:rPr>
          <w:rFonts w:ascii="Calibri" w:hAnsi="Calibri" w:cs="Calibri"/>
          <w:sz w:val="20"/>
          <w:szCs w:val="20"/>
        </w:rPr>
        <w:t xml:space="preserve"> questions</w:t>
      </w:r>
      <w:r w:rsidRPr="1A378332">
        <w:rPr>
          <w:rFonts w:ascii="Calibri" w:hAnsi="Calibri" w:cs="Calibri"/>
          <w:sz w:val="20"/>
          <w:szCs w:val="20"/>
        </w:rPr>
        <w:t xml:space="preserve"> to prompt engagement.  The rating of each </w:t>
      </w:r>
      <w:r w:rsidR="63068784" w:rsidRPr="1A378332">
        <w:rPr>
          <w:rFonts w:ascii="Calibri" w:hAnsi="Calibri" w:cs="Calibri"/>
          <w:sz w:val="20"/>
          <w:szCs w:val="20"/>
        </w:rPr>
        <w:t>questions</w:t>
      </w:r>
      <w:r w:rsidRPr="1A378332">
        <w:rPr>
          <w:rFonts w:ascii="Calibri" w:hAnsi="Calibri" w:cs="Calibri"/>
          <w:sz w:val="20"/>
          <w:szCs w:val="20"/>
        </w:rPr>
        <w:t xml:space="preserve"> </w:t>
      </w:r>
      <w:r w:rsidR="490F96B2" w:rsidRPr="1A378332">
        <w:rPr>
          <w:rFonts w:ascii="Calibri" w:hAnsi="Calibri" w:cs="Calibri"/>
          <w:sz w:val="20"/>
          <w:szCs w:val="20"/>
        </w:rPr>
        <w:t xml:space="preserve">indicates the </w:t>
      </w:r>
      <w:r w:rsidRPr="1A378332">
        <w:rPr>
          <w:rFonts w:ascii="Calibri" w:hAnsi="Calibri" w:cs="Calibri"/>
          <w:sz w:val="20"/>
          <w:szCs w:val="20"/>
        </w:rPr>
        <w:t>impact</w:t>
      </w:r>
      <w:r w:rsidR="3D05A79F" w:rsidRPr="1A378332">
        <w:rPr>
          <w:rFonts w:ascii="Calibri" w:hAnsi="Calibri" w:cs="Calibri"/>
          <w:sz w:val="20"/>
          <w:szCs w:val="20"/>
        </w:rPr>
        <w:t xml:space="preserve"> on</w:t>
      </w:r>
      <w:r w:rsidRPr="1A378332">
        <w:rPr>
          <w:rFonts w:ascii="Calibri" w:hAnsi="Calibri" w:cs="Calibri"/>
          <w:sz w:val="20"/>
          <w:szCs w:val="20"/>
        </w:rPr>
        <w:t xml:space="preserve"> different parties in different ways.</w:t>
      </w:r>
    </w:p>
    <w:p w14:paraId="21E15293" w14:textId="28205B47" w:rsidR="004644FC" w:rsidRDefault="4D72BED5" w:rsidP="1A378332">
      <w:pPr>
        <w:pStyle w:val="BodyText1"/>
        <w:rPr>
          <w:rFonts w:ascii="Calibri" w:hAnsi="Calibri" w:cs="Calibri"/>
          <w:sz w:val="20"/>
          <w:szCs w:val="20"/>
        </w:rPr>
      </w:pPr>
      <w:r w:rsidRPr="73978CD3">
        <w:rPr>
          <w:rFonts w:ascii="Calibri" w:hAnsi="Calibri" w:cs="Calibri"/>
          <w:sz w:val="20"/>
          <w:szCs w:val="20"/>
        </w:rPr>
        <w:t>The</w:t>
      </w:r>
      <w:r w:rsidR="0E2A8833" w:rsidRPr="73978CD3">
        <w:rPr>
          <w:rFonts w:ascii="Calibri" w:hAnsi="Calibri" w:cs="Calibri"/>
          <w:sz w:val="20"/>
          <w:szCs w:val="20"/>
        </w:rPr>
        <w:t xml:space="preserve"> CRA will </w:t>
      </w:r>
      <w:r w:rsidR="35AD5C88" w:rsidRPr="73978CD3">
        <w:rPr>
          <w:rFonts w:ascii="Calibri" w:hAnsi="Calibri" w:cs="Calibri"/>
          <w:sz w:val="20"/>
          <w:szCs w:val="20"/>
        </w:rPr>
        <w:t>create an aggregate</w:t>
      </w:r>
      <w:r w:rsidR="0E2A8833" w:rsidRPr="73978CD3">
        <w:rPr>
          <w:rFonts w:ascii="Calibri" w:hAnsi="Calibri" w:cs="Calibri"/>
          <w:sz w:val="20"/>
          <w:szCs w:val="20"/>
        </w:rPr>
        <w:t xml:space="preserve"> risk</w:t>
      </w:r>
      <w:r w:rsidR="08E917A6" w:rsidRPr="73978CD3">
        <w:rPr>
          <w:rFonts w:ascii="Calibri" w:hAnsi="Calibri" w:cs="Calibri"/>
          <w:sz w:val="20"/>
          <w:szCs w:val="20"/>
        </w:rPr>
        <w:t xml:space="preserve"> impact</w:t>
      </w:r>
      <w:r w:rsidR="0E2A8833" w:rsidRPr="73978CD3">
        <w:rPr>
          <w:rFonts w:ascii="Calibri" w:hAnsi="Calibri" w:cs="Calibri"/>
          <w:sz w:val="20"/>
          <w:szCs w:val="20"/>
        </w:rPr>
        <w:t xml:space="preserve"> </w:t>
      </w:r>
      <w:r w:rsidR="35AD5C88" w:rsidRPr="73978CD3">
        <w:rPr>
          <w:rFonts w:ascii="Calibri" w:hAnsi="Calibri" w:cs="Calibri"/>
          <w:sz w:val="20"/>
          <w:szCs w:val="20"/>
        </w:rPr>
        <w:t>from</w:t>
      </w:r>
      <w:r w:rsidR="77773B8C" w:rsidRPr="73978CD3">
        <w:rPr>
          <w:rFonts w:ascii="Calibri" w:hAnsi="Calibri" w:cs="Calibri"/>
          <w:sz w:val="20"/>
          <w:szCs w:val="20"/>
        </w:rPr>
        <w:t xml:space="preserve"> the</w:t>
      </w:r>
      <w:r w:rsidR="05B50E3C" w:rsidRPr="73978CD3">
        <w:rPr>
          <w:rFonts w:ascii="Calibri" w:hAnsi="Calibri" w:cs="Calibri"/>
          <w:sz w:val="20"/>
          <w:szCs w:val="20"/>
        </w:rPr>
        <w:t xml:space="preserve"> </w:t>
      </w:r>
      <w:r w:rsidR="63068784" w:rsidRPr="73978CD3">
        <w:rPr>
          <w:rFonts w:ascii="Calibri" w:hAnsi="Calibri" w:cs="Calibri"/>
          <w:sz w:val="20"/>
          <w:szCs w:val="20"/>
        </w:rPr>
        <w:t>answers to the questions</w:t>
      </w:r>
      <w:r w:rsidR="05B50E3C" w:rsidRPr="73978CD3">
        <w:rPr>
          <w:rFonts w:ascii="Calibri" w:hAnsi="Calibri" w:cs="Calibri"/>
          <w:sz w:val="20"/>
          <w:szCs w:val="20"/>
        </w:rPr>
        <w:t xml:space="preserve"> </w:t>
      </w:r>
      <w:r w:rsidR="0E2A8833" w:rsidRPr="73978CD3">
        <w:rPr>
          <w:rFonts w:ascii="Calibri" w:hAnsi="Calibri" w:cs="Calibri"/>
          <w:sz w:val="20"/>
          <w:szCs w:val="20"/>
        </w:rPr>
        <w:t xml:space="preserve">and provide </w:t>
      </w:r>
      <w:r w:rsidR="3B5CFB4D" w:rsidRPr="73978CD3">
        <w:rPr>
          <w:rFonts w:ascii="Calibri" w:hAnsi="Calibri" w:cs="Calibri"/>
          <w:sz w:val="20"/>
          <w:szCs w:val="20"/>
        </w:rPr>
        <w:t>direction for</w:t>
      </w:r>
      <w:r w:rsidR="0E2A8833" w:rsidRPr="73978CD3">
        <w:rPr>
          <w:rFonts w:ascii="Calibri" w:hAnsi="Calibri" w:cs="Calibri"/>
          <w:sz w:val="20"/>
          <w:szCs w:val="20"/>
        </w:rPr>
        <w:t xml:space="preserve"> the mitigation action</w:t>
      </w:r>
      <w:r w:rsidR="210E4345" w:rsidRPr="73978CD3">
        <w:rPr>
          <w:rFonts w:ascii="Calibri" w:hAnsi="Calibri" w:cs="Calibri"/>
          <w:sz w:val="20"/>
          <w:szCs w:val="20"/>
        </w:rPr>
        <w:t xml:space="preserve">s taken </w:t>
      </w:r>
      <w:r w:rsidR="75F140D2" w:rsidRPr="73978CD3">
        <w:rPr>
          <w:rFonts w:ascii="Calibri" w:hAnsi="Calibri" w:cs="Calibri"/>
          <w:sz w:val="20"/>
          <w:szCs w:val="20"/>
        </w:rPr>
        <w:t>or</w:t>
      </w:r>
      <w:r w:rsidR="210E4345" w:rsidRPr="73978CD3">
        <w:rPr>
          <w:rFonts w:ascii="Calibri" w:hAnsi="Calibri" w:cs="Calibri"/>
          <w:sz w:val="20"/>
          <w:szCs w:val="20"/>
        </w:rPr>
        <w:t xml:space="preserve"> proposed </w:t>
      </w:r>
      <w:r w:rsidR="63068784" w:rsidRPr="73978CD3">
        <w:rPr>
          <w:rFonts w:ascii="Calibri" w:hAnsi="Calibri" w:cs="Calibri"/>
          <w:sz w:val="20"/>
          <w:szCs w:val="20"/>
        </w:rPr>
        <w:t>f</w:t>
      </w:r>
      <w:r w:rsidR="77773B8C" w:rsidRPr="73978CD3">
        <w:rPr>
          <w:rFonts w:ascii="Calibri" w:hAnsi="Calibri" w:cs="Calibri"/>
          <w:sz w:val="20"/>
          <w:szCs w:val="20"/>
        </w:rPr>
        <w:t xml:space="preserve">or each </w:t>
      </w:r>
      <w:r w:rsidR="34E5D902" w:rsidRPr="73978CD3">
        <w:rPr>
          <w:rFonts w:ascii="Calibri" w:hAnsi="Calibri" w:cs="Calibri"/>
          <w:sz w:val="20"/>
          <w:szCs w:val="20"/>
        </w:rPr>
        <w:t>issue</w:t>
      </w:r>
      <w:r w:rsidR="210E4345" w:rsidRPr="73978CD3">
        <w:rPr>
          <w:rFonts w:ascii="Calibri" w:hAnsi="Calibri" w:cs="Calibri"/>
          <w:sz w:val="20"/>
          <w:szCs w:val="20"/>
        </w:rPr>
        <w:t>.</w:t>
      </w:r>
    </w:p>
    <w:p w14:paraId="25520C3A" w14:textId="77777777" w:rsidR="00434B40" w:rsidRPr="00434B40" w:rsidRDefault="00434B40" w:rsidP="00434B40">
      <w:pPr>
        <w:shd w:val="clear" w:color="auto" w:fill="FFFFFF"/>
        <w:suppressAutoHyphens w:val="0"/>
        <w:spacing w:before="120" w:after="0" w:line="240" w:lineRule="auto"/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</w:pPr>
      <w:r w:rsidRPr="00434B40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Charging Impact</w:t>
      </w:r>
    </w:p>
    <w:p w14:paraId="6A4FAA09" w14:textId="4E98A984" w:rsidR="00083179" w:rsidRDefault="682C56E1" w:rsidP="209BEF6B">
      <w:pPr>
        <w:pStyle w:val="BodyText1"/>
        <w:rPr>
          <w:rFonts w:ascii="Calibri" w:hAnsi="Calibri" w:cs="Calibri"/>
          <w:sz w:val="20"/>
          <w:szCs w:val="20"/>
        </w:rPr>
      </w:pPr>
      <w:r w:rsidRPr="209BEF6B">
        <w:rPr>
          <w:rFonts w:ascii="Calibri" w:hAnsi="Calibri" w:cs="Calibri"/>
          <w:sz w:val="20"/>
          <w:szCs w:val="20"/>
        </w:rPr>
        <w:t>Charging i</w:t>
      </w:r>
      <w:r w:rsidR="6FDF6435" w:rsidRPr="209BEF6B">
        <w:rPr>
          <w:rFonts w:ascii="Calibri" w:hAnsi="Calibri" w:cs="Calibri"/>
          <w:sz w:val="20"/>
          <w:szCs w:val="20"/>
        </w:rPr>
        <w:t xml:space="preserve">mpact comes from the </w:t>
      </w:r>
      <w:r w:rsidR="6FDF6435" w:rsidRPr="209BEF6B">
        <w:rPr>
          <w:rFonts w:ascii="Calibri" w:hAnsi="Calibri" w:cs="Calibri"/>
          <w:b/>
          <w:bCs/>
          <w:sz w:val="20"/>
          <w:szCs w:val="20"/>
        </w:rPr>
        <w:t>change</w:t>
      </w:r>
      <w:r w:rsidR="6FDF6435" w:rsidRPr="209BEF6B">
        <w:rPr>
          <w:rFonts w:ascii="Calibri" w:hAnsi="Calibri" w:cs="Calibri"/>
          <w:sz w:val="20"/>
          <w:szCs w:val="20"/>
        </w:rPr>
        <w:t xml:space="preserve"> in </w:t>
      </w:r>
      <w:r w:rsidR="6DBF1884" w:rsidRPr="209BEF6B">
        <w:rPr>
          <w:rFonts w:ascii="Calibri" w:hAnsi="Calibri" w:cs="Calibri"/>
          <w:sz w:val="20"/>
          <w:szCs w:val="20"/>
        </w:rPr>
        <w:t>the amount paid</w:t>
      </w:r>
      <w:r w:rsidR="6FDF6435" w:rsidRPr="209BEF6B">
        <w:rPr>
          <w:rFonts w:ascii="Calibri" w:hAnsi="Calibri" w:cs="Calibri"/>
          <w:sz w:val="20"/>
          <w:szCs w:val="20"/>
        </w:rPr>
        <w:t xml:space="preserve"> - from nothing to some or </w:t>
      </w:r>
      <w:r w:rsidR="4E04B2B1" w:rsidRPr="209BEF6B">
        <w:rPr>
          <w:rFonts w:ascii="Calibri" w:hAnsi="Calibri" w:cs="Calibri"/>
          <w:sz w:val="20"/>
          <w:szCs w:val="20"/>
        </w:rPr>
        <w:t>due to the</w:t>
      </w:r>
      <w:r w:rsidRPr="209BEF6B">
        <w:rPr>
          <w:rFonts w:ascii="Calibri" w:hAnsi="Calibri" w:cs="Calibri"/>
          <w:sz w:val="20"/>
          <w:szCs w:val="20"/>
        </w:rPr>
        <w:t xml:space="preserve"> </w:t>
      </w:r>
      <w:r w:rsidR="6FDF6435" w:rsidRPr="209BEF6B">
        <w:rPr>
          <w:rFonts w:ascii="Calibri" w:hAnsi="Calibri" w:cs="Calibri"/>
          <w:sz w:val="20"/>
          <w:szCs w:val="20"/>
        </w:rPr>
        <w:t xml:space="preserve">variation in the </w:t>
      </w:r>
      <w:r w:rsidR="23C113D1" w:rsidRPr="209BEF6B">
        <w:rPr>
          <w:rFonts w:ascii="Calibri" w:hAnsi="Calibri" w:cs="Calibri"/>
          <w:sz w:val="20"/>
          <w:szCs w:val="20"/>
        </w:rPr>
        <w:t xml:space="preserve">current </w:t>
      </w:r>
      <w:r w:rsidR="6FDF6435" w:rsidRPr="209BEF6B">
        <w:rPr>
          <w:rFonts w:ascii="Calibri" w:hAnsi="Calibri" w:cs="Calibri"/>
          <w:sz w:val="20"/>
          <w:szCs w:val="20"/>
        </w:rPr>
        <w:t>price</w:t>
      </w:r>
      <w:r w:rsidR="3EAA9D51" w:rsidRPr="209BEF6B">
        <w:rPr>
          <w:rFonts w:ascii="Calibri" w:hAnsi="Calibri" w:cs="Calibri"/>
          <w:sz w:val="20"/>
          <w:szCs w:val="20"/>
        </w:rPr>
        <w:t>,</w:t>
      </w:r>
      <w:r w:rsidR="1D38F99B" w:rsidRPr="209BEF6B">
        <w:rPr>
          <w:rFonts w:ascii="Calibri" w:hAnsi="Calibri" w:cs="Calibri"/>
          <w:sz w:val="20"/>
          <w:szCs w:val="20"/>
        </w:rPr>
        <w:t xml:space="preserve"> at a point in time</w:t>
      </w:r>
      <w:r w:rsidR="6FDF6435" w:rsidRPr="209BEF6B">
        <w:rPr>
          <w:rFonts w:ascii="Calibri" w:hAnsi="Calibri" w:cs="Calibri"/>
          <w:sz w:val="20"/>
          <w:szCs w:val="20"/>
        </w:rPr>
        <w:t>.  The</w:t>
      </w:r>
      <w:r w:rsidRPr="209BEF6B">
        <w:rPr>
          <w:rFonts w:ascii="Calibri" w:hAnsi="Calibri" w:cs="Calibri"/>
          <w:sz w:val="20"/>
          <w:szCs w:val="20"/>
        </w:rPr>
        <w:t xml:space="preserve">re two </w:t>
      </w:r>
      <w:r w:rsidR="6FDF6435" w:rsidRPr="209BEF6B">
        <w:rPr>
          <w:rFonts w:ascii="Calibri" w:hAnsi="Calibri" w:cs="Calibri"/>
          <w:sz w:val="20"/>
          <w:szCs w:val="20"/>
        </w:rPr>
        <w:t>CRA</w:t>
      </w:r>
      <w:r w:rsidR="2140CB5D" w:rsidRPr="209BEF6B">
        <w:rPr>
          <w:rFonts w:ascii="Calibri" w:hAnsi="Calibri" w:cs="Calibri"/>
          <w:sz w:val="20"/>
          <w:szCs w:val="20"/>
        </w:rPr>
        <w:t>s,</w:t>
      </w:r>
      <w:r w:rsidR="6FDF6435" w:rsidRPr="209BEF6B">
        <w:rPr>
          <w:rFonts w:ascii="Calibri" w:hAnsi="Calibri" w:cs="Calibri"/>
          <w:sz w:val="20"/>
          <w:szCs w:val="20"/>
        </w:rPr>
        <w:t xml:space="preserve"> </w:t>
      </w:r>
      <w:r w:rsidR="2140CB5D" w:rsidRPr="209BEF6B">
        <w:rPr>
          <w:rFonts w:ascii="Calibri" w:hAnsi="Calibri" w:cs="Calibri"/>
          <w:sz w:val="20"/>
          <w:szCs w:val="20"/>
        </w:rPr>
        <w:t>one</w:t>
      </w:r>
      <w:r w:rsidR="6FDF6435" w:rsidRPr="209BEF6B">
        <w:rPr>
          <w:rFonts w:ascii="Calibri" w:hAnsi="Calibri" w:cs="Calibri"/>
          <w:sz w:val="20"/>
          <w:szCs w:val="20"/>
        </w:rPr>
        <w:t xml:space="preserve"> for a new charging and an</w:t>
      </w:r>
      <w:r w:rsidR="2140CB5D" w:rsidRPr="209BEF6B">
        <w:rPr>
          <w:rFonts w:ascii="Calibri" w:hAnsi="Calibri" w:cs="Calibri"/>
          <w:sz w:val="20"/>
          <w:szCs w:val="20"/>
        </w:rPr>
        <w:t>other for</w:t>
      </w:r>
      <w:r w:rsidR="6FDF6435" w:rsidRPr="209BEF6B">
        <w:rPr>
          <w:rFonts w:ascii="Calibri" w:hAnsi="Calibri" w:cs="Calibri"/>
          <w:sz w:val="20"/>
          <w:szCs w:val="20"/>
        </w:rPr>
        <w:t xml:space="preserve"> existing charging arrangement</w:t>
      </w:r>
      <w:r w:rsidR="6DB00501" w:rsidRPr="209BEF6B">
        <w:rPr>
          <w:rFonts w:ascii="Calibri" w:hAnsi="Calibri" w:cs="Calibri"/>
          <w:sz w:val="20"/>
          <w:szCs w:val="20"/>
        </w:rPr>
        <w:t>s</w:t>
      </w:r>
      <w:r w:rsidR="6FDF6435" w:rsidRPr="209BEF6B">
        <w:rPr>
          <w:rFonts w:ascii="Calibri" w:hAnsi="Calibri" w:cs="Calibri"/>
          <w:sz w:val="20"/>
          <w:szCs w:val="20"/>
        </w:rPr>
        <w:t>, but parties and process do not change.</w:t>
      </w:r>
    </w:p>
    <w:p w14:paraId="6BAD0924" w14:textId="3643CCCA" w:rsidR="00835367" w:rsidRPr="00835367" w:rsidRDefault="00835367" w:rsidP="00835367">
      <w:pPr>
        <w:shd w:val="clear" w:color="auto" w:fill="FFFFFF"/>
        <w:suppressAutoHyphens w:val="0"/>
        <w:spacing w:before="120" w:after="0" w:line="240" w:lineRule="auto"/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</w:pPr>
      <w:r w:rsidRPr="00835367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Parties impacted by charging</w:t>
      </w:r>
    </w:p>
    <w:p w14:paraId="6F77625F" w14:textId="475A806E" w:rsidR="00A13472" w:rsidRDefault="239CADC0" w:rsidP="0DD6F750">
      <w:pPr>
        <w:pStyle w:val="BodyText1"/>
        <w:rPr>
          <w:rFonts w:ascii="Calibri" w:hAnsi="Calibri" w:cs="Calibri"/>
          <w:sz w:val="20"/>
          <w:szCs w:val="20"/>
        </w:rPr>
      </w:pPr>
      <w:r w:rsidRPr="0DD6F750">
        <w:rPr>
          <w:rFonts w:ascii="Calibri" w:hAnsi="Calibri" w:cs="Calibri"/>
          <w:sz w:val="20"/>
          <w:szCs w:val="20"/>
        </w:rPr>
        <w:t xml:space="preserve">Charging </w:t>
      </w:r>
      <w:r w:rsidR="44484DF1" w:rsidRPr="0DD6F750">
        <w:rPr>
          <w:rFonts w:ascii="Calibri" w:hAnsi="Calibri" w:cs="Calibri"/>
          <w:sz w:val="20"/>
          <w:szCs w:val="20"/>
        </w:rPr>
        <w:t>change</w:t>
      </w:r>
      <w:r w:rsidRPr="0DD6F750">
        <w:rPr>
          <w:rFonts w:ascii="Calibri" w:hAnsi="Calibri" w:cs="Calibri"/>
          <w:sz w:val="20"/>
          <w:szCs w:val="20"/>
        </w:rPr>
        <w:t xml:space="preserve"> impacts on the individuals who are charged, the Government </w:t>
      </w:r>
      <w:r w:rsidR="3687F654" w:rsidRPr="0DD6F750">
        <w:rPr>
          <w:rFonts w:ascii="Calibri" w:hAnsi="Calibri" w:cs="Calibri"/>
          <w:sz w:val="20"/>
          <w:szCs w:val="20"/>
        </w:rPr>
        <w:t>because of this and the total revenues</w:t>
      </w:r>
      <w:r w:rsidR="5BDFB764" w:rsidRPr="0DD6F750">
        <w:rPr>
          <w:rFonts w:ascii="Calibri" w:hAnsi="Calibri" w:cs="Calibri"/>
          <w:sz w:val="20"/>
          <w:szCs w:val="20"/>
        </w:rPr>
        <w:t>,</w:t>
      </w:r>
      <w:r w:rsidR="3687F654" w:rsidRPr="0DD6F750">
        <w:rPr>
          <w:rFonts w:ascii="Calibri" w:hAnsi="Calibri" w:cs="Calibri"/>
          <w:sz w:val="20"/>
          <w:szCs w:val="20"/>
        </w:rPr>
        <w:t xml:space="preserve"> and the </w:t>
      </w:r>
      <w:r w:rsidR="551BA3F9" w:rsidRPr="0DD6F750">
        <w:rPr>
          <w:rFonts w:ascii="Calibri" w:hAnsi="Calibri" w:cs="Calibri"/>
          <w:sz w:val="20"/>
          <w:szCs w:val="20"/>
        </w:rPr>
        <w:t xml:space="preserve">entity because of the operating </w:t>
      </w:r>
      <w:r w:rsidR="3687F654" w:rsidRPr="0DD6F750">
        <w:rPr>
          <w:rFonts w:ascii="Calibri" w:hAnsi="Calibri" w:cs="Calibri"/>
          <w:sz w:val="20"/>
          <w:szCs w:val="20"/>
        </w:rPr>
        <w:t xml:space="preserve">systems required and </w:t>
      </w:r>
      <w:proofErr w:type="spellStart"/>
      <w:r w:rsidR="168A2CA1" w:rsidRPr="0DD6F750">
        <w:rPr>
          <w:rFonts w:ascii="Calibri" w:hAnsi="Calibri" w:cs="Calibri"/>
          <w:sz w:val="20"/>
          <w:szCs w:val="20"/>
        </w:rPr>
        <w:t>and</w:t>
      </w:r>
      <w:proofErr w:type="spellEnd"/>
      <w:r w:rsidR="168A2CA1" w:rsidRPr="0DD6F750">
        <w:rPr>
          <w:rFonts w:ascii="Calibri" w:hAnsi="Calibri" w:cs="Calibri"/>
          <w:sz w:val="20"/>
          <w:szCs w:val="20"/>
        </w:rPr>
        <w:t xml:space="preserve"> potentially its budget</w:t>
      </w:r>
      <w:r w:rsidR="75D438D1" w:rsidRPr="0DD6F750">
        <w:rPr>
          <w:rFonts w:ascii="Calibri" w:hAnsi="Calibri" w:cs="Calibri"/>
          <w:sz w:val="20"/>
          <w:szCs w:val="20"/>
        </w:rPr>
        <w:t xml:space="preserve">. </w:t>
      </w:r>
    </w:p>
    <w:p w14:paraId="4053BAB2" w14:textId="7532218E" w:rsidR="00D57D30" w:rsidRDefault="00A01E7B" w:rsidP="3B19E339">
      <w:pPr>
        <w:pStyle w:val="BodyText1"/>
        <w:rPr>
          <w:rFonts w:ascii="Calibri" w:hAnsi="Calibri" w:cs="Calibri"/>
          <w:sz w:val="20"/>
          <w:szCs w:val="20"/>
        </w:rPr>
      </w:pPr>
      <w:r w:rsidRPr="3B19E339">
        <w:rPr>
          <w:rFonts w:ascii="Calibri" w:hAnsi="Calibri" w:cs="Calibri"/>
          <w:sz w:val="20"/>
          <w:szCs w:val="20"/>
        </w:rPr>
        <w:t xml:space="preserve">The CRA </w:t>
      </w:r>
      <w:r w:rsidR="002478CA" w:rsidRPr="3B19E339">
        <w:rPr>
          <w:rFonts w:ascii="Calibri" w:hAnsi="Calibri" w:cs="Calibri"/>
          <w:sz w:val="20"/>
          <w:szCs w:val="20"/>
        </w:rPr>
        <w:t xml:space="preserve">classifies the </w:t>
      </w:r>
      <w:r w:rsidR="0016383F" w:rsidRPr="3B19E339">
        <w:rPr>
          <w:rFonts w:ascii="Calibri" w:hAnsi="Calibri" w:cs="Calibri"/>
          <w:sz w:val="20"/>
          <w:szCs w:val="20"/>
        </w:rPr>
        <w:t xml:space="preserve">impact of each question and </w:t>
      </w:r>
      <w:r w:rsidR="00ED56D2" w:rsidRPr="3B19E339">
        <w:rPr>
          <w:rFonts w:ascii="Calibri" w:hAnsi="Calibri" w:cs="Calibri"/>
          <w:sz w:val="20"/>
          <w:szCs w:val="20"/>
        </w:rPr>
        <w:t xml:space="preserve">where required by the rating of each question, </w:t>
      </w:r>
      <w:r w:rsidR="529BA432" w:rsidRPr="3B19E339">
        <w:rPr>
          <w:rFonts w:ascii="Calibri" w:hAnsi="Calibri" w:cs="Calibri"/>
          <w:sz w:val="20"/>
          <w:szCs w:val="20"/>
        </w:rPr>
        <w:t>suggests</w:t>
      </w:r>
      <w:r w:rsidR="00D57D30" w:rsidRPr="3B19E339">
        <w:rPr>
          <w:rFonts w:ascii="Calibri" w:hAnsi="Calibri" w:cs="Calibri"/>
          <w:sz w:val="20"/>
          <w:szCs w:val="20"/>
        </w:rPr>
        <w:t xml:space="preserve"> mitigation strategies.</w:t>
      </w:r>
    </w:p>
    <w:p w14:paraId="3F110AF5" w14:textId="03F069D5" w:rsidR="00A91948" w:rsidRPr="00DC5643" w:rsidRDefault="00A91948" w:rsidP="00DC5643">
      <w:pPr>
        <w:pStyle w:val="BodyText1"/>
        <w:rPr>
          <w:rFonts w:ascii="Arial" w:hAnsi="Arial" w:cs="Arial"/>
          <w:sz w:val="20"/>
          <w:szCs w:val="20"/>
        </w:rPr>
      </w:pPr>
      <w:r w:rsidRPr="00DC5643">
        <w:rPr>
          <w:rFonts w:ascii="Calibri" w:hAnsi="Calibri" w:cs="Calibri"/>
          <w:sz w:val="20"/>
          <w:szCs w:val="20"/>
        </w:rPr>
        <w:t xml:space="preserve">The </w:t>
      </w:r>
      <w:r w:rsidR="006C16A5">
        <w:rPr>
          <w:rFonts w:ascii="Calibri" w:hAnsi="Calibri" w:cs="Calibri"/>
          <w:sz w:val="20"/>
          <w:szCs w:val="20"/>
        </w:rPr>
        <w:t xml:space="preserve">impact of charging </w:t>
      </w:r>
      <w:r w:rsidR="004C7753">
        <w:rPr>
          <w:rFonts w:ascii="Calibri" w:hAnsi="Calibri" w:cs="Calibri"/>
          <w:sz w:val="20"/>
          <w:szCs w:val="20"/>
        </w:rPr>
        <w:t>consider</w:t>
      </w:r>
      <w:r w:rsidR="00A868DB">
        <w:rPr>
          <w:rFonts w:ascii="Calibri" w:hAnsi="Calibri" w:cs="Calibri"/>
          <w:sz w:val="20"/>
          <w:szCs w:val="20"/>
        </w:rPr>
        <w:t>s</w:t>
      </w:r>
      <w:r w:rsidR="00262936">
        <w:rPr>
          <w:rFonts w:ascii="Calibri" w:hAnsi="Calibri" w:cs="Calibri"/>
          <w:sz w:val="20"/>
          <w:szCs w:val="20"/>
        </w:rPr>
        <w:t xml:space="preserve"> the</w:t>
      </w:r>
      <w:r w:rsidR="007C29BD">
        <w:rPr>
          <w:rFonts w:ascii="Calibri" w:hAnsi="Calibri" w:cs="Calibri"/>
          <w:sz w:val="20"/>
          <w:szCs w:val="20"/>
        </w:rPr>
        <w:t xml:space="preserve"> </w:t>
      </w:r>
      <w:r w:rsidR="00F75143">
        <w:rPr>
          <w:rFonts w:ascii="Calibri" w:hAnsi="Calibri" w:cs="Calibri"/>
          <w:sz w:val="20"/>
          <w:szCs w:val="20"/>
        </w:rPr>
        <w:t>perspectives</w:t>
      </w:r>
      <w:r w:rsidR="005D00BE">
        <w:rPr>
          <w:rFonts w:ascii="Calibri" w:hAnsi="Calibri" w:cs="Calibri"/>
          <w:sz w:val="20"/>
          <w:szCs w:val="20"/>
        </w:rPr>
        <w:t xml:space="preserve"> </w:t>
      </w:r>
      <w:r w:rsidR="002277AF">
        <w:rPr>
          <w:rFonts w:ascii="Calibri" w:hAnsi="Calibri" w:cs="Calibri"/>
          <w:sz w:val="20"/>
          <w:szCs w:val="20"/>
        </w:rPr>
        <w:t xml:space="preserve">of </w:t>
      </w:r>
      <w:r w:rsidR="005D00BE">
        <w:rPr>
          <w:rFonts w:ascii="Calibri" w:hAnsi="Calibri" w:cs="Calibri"/>
          <w:sz w:val="20"/>
          <w:szCs w:val="20"/>
        </w:rPr>
        <w:t>the individuals who are charged, the Government and the entity</w:t>
      </w:r>
      <w:r w:rsidR="00262936">
        <w:rPr>
          <w:rFonts w:ascii="Calibri" w:hAnsi="Calibri" w:cs="Calibri"/>
          <w:sz w:val="20"/>
          <w:szCs w:val="20"/>
        </w:rPr>
        <w:t xml:space="preserve"> through three len</w:t>
      </w:r>
      <w:r w:rsidR="00CC0BC0">
        <w:rPr>
          <w:rFonts w:ascii="Calibri" w:hAnsi="Calibri" w:cs="Calibri"/>
          <w:sz w:val="20"/>
          <w:szCs w:val="20"/>
        </w:rPr>
        <w:t>s</w:t>
      </w:r>
      <w:r w:rsidR="00262936">
        <w:rPr>
          <w:rFonts w:ascii="Calibri" w:hAnsi="Calibri" w:cs="Calibri"/>
          <w:sz w:val="20"/>
          <w:szCs w:val="20"/>
        </w:rPr>
        <w:t>es</w:t>
      </w:r>
      <w:r w:rsidR="00CC0BC0">
        <w:rPr>
          <w:rFonts w:ascii="Calibri" w:hAnsi="Calibri" w:cs="Calibri"/>
          <w:sz w:val="20"/>
          <w:szCs w:val="20"/>
        </w:rPr>
        <w:t>.</w:t>
      </w:r>
    </w:p>
    <w:p w14:paraId="72952B1F" w14:textId="1E3ADA93" w:rsidR="00FF6ED1" w:rsidRDefault="004E234E" w:rsidP="004E234E">
      <w:pPr>
        <w:shd w:val="clear" w:color="auto" w:fill="FFFFFF"/>
        <w:suppressAutoHyphens w:val="0"/>
        <w:spacing w:before="120" w:after="0" w:line="240" w:lineRule="auto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C</w:t>
      </w:r>
      <w:r w:rsidR="00E17C29" w:rsidRPr="00E17C29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omplexity</w:t>
      </w:r>
    </w:p>
    <w:p w14:paraId="478B260F" w14:textId="5365849C" w:rsidR="00293E75" w:rsidRDefault="00C06FEB" w:rsidP="00D12B74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 w:rsidRPr="00C01733">
        <w:rPr>
          <w:rFonts w:ascii="Calibri" w:hAnsi="Calibri" w:cs="Calibri"/>
          <w:noProof/>
          <w:sz w:val="20"/>
          <w:szCs w:val="20"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D39CDA8" wp14:editId="63E7926D">
                <wp:simplePos x="0" y="0"/>
                <wp:positionH relativeFrom="page">
                  <wp:posOffset>3962400</wp:posOffset>
                </wp:positionH>
                <wp:positionV relativeFrom="margin">
                  <wp:posOffset>7703820</wp:posOffset>
                </wp:positionV>
                <wp:extent cx="3187700" cy="942975"/>
                <wp:effectExtent l="0" t="0" r="12700" b="2857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70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1A4AC" w14:textId="046A61CB" w:rsidR="000C5832" w:rsidRDefault="000C5832" w:rsidP="000C5832">
                            <w:pPr>
                              <w:pStyle w:val="BodyText1"/>
                            </w:pPr>
                            <w:r w:rsidRPr="00C0173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Should you have any questions or require support or assistance in completing </w:t>
                            </w:r>
                            <w:r w:rsidR="003A6A9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the</w:t>
                            </w:r>
                            <w:r w:rsidRPr="00C0173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Charging Risk Assessment, </w:t>
                            </w:r>
                            <w:r w:rsidR="003A6A9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for a particular </w:t>
                            </w:r>
                            <w:r w:rsidR="00A53E8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regulatory </w:t>
                            </w:r>
                            <w:r w:rsidR="003A6A9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charg</w:t>
                            </w:r>
                            <w:r w:rsidR="00A53E8E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ing arrangement, </w:t>
                            </w:r>
                            <w:r w:rsidRPr="00C0173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please c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ontact the Charging Policy Team – chargingpolicy@finance.gov.au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9CDA8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312pt;margin-top:606.6pt;width:251pt;height:74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">
                <v:textbox>
                  <w:txbxContent>
                    <w:p w14:paraId="15F1A4AC" w14:textId="046A61CB" w:rsidR="000C5832" w:rsidRDefault="000C5832" w:rsidP="000C5832">
                      <w:pPr>
                        <w:pStyle w:val="BodyText1"/>
                      </w:pPr>
                      <w:r w:rsidRPr="00C01733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Should you have any questions or require support or assistance in completing </w:t>
                      </w:r>
                      <w:r w:rsidR="003A6A98">
                        <w:rPr>
                          <w:rFonts w:ascii="Calibri" w:hAnsi="Calibri" w:cs="Calibri"/>
                          <w:sz w:val="20"/>
                          <w:szCs w:val="20"/>
                        </w:rPr>
                        <w:t>the</w:t>
                      </w:r>
                      <w:r w:rsidRPr="00C01733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Charging Risk Assessment, </w:t>
                      </w:r>
                      <w:r w:rsidR="003A6A98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for a particular </w:t>
                      </w:r>
                      <w:r w:rsidR="00A53E8E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regulatory </w:t>
                      </w:r>
                      <w:r w:rsidR="003A6A98">
                        <w:rPr>
                          <w:rFonts w:ascii="Calibri" w:hAnsi="Calibri" w:cs="Calibri"/>
                          <w:sz w:val="20"/>
                          <w:szCs w:val="20"/>
                        </w:rPr>
                        <w:t>charg</w:t>
                      </w:r>
                      <w:r w:rsidR="00A53E8E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ing arrangement, </w:t>
                      </w:r>
                      <w:r w:rsidRPr="00C01733">
                        <w:rPr>
                          <w:rFonts w:ascii="Calibri" w:hAnsi="Calibri" w:cs="Calibri"/>
                          <w:sz w:val="20"/>
                          <w:szCs w:val="20"/>
                        </w:rPr>
                        <w:t>please c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ontact the Charging Policy Team – chargingpolicy@finance.gov.au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FF6ED1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 xml:space="preserve">Entity - 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relates to the structures, processes, and implementation </w:t>
      </w:r>
      <w:r w:rsidR="00C2358D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effort for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  <w:r w:rsidR="00B350D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charging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. </w:t>
      </w:r>
      <w:r w:rsidR="008115F3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It </w:t>
      </w:r>
      <w:r w:rsidR="00A669F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relates to </w:t>
      </w:r>
      <w:r w:rsidR="008115F3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the involvement of a state or territory government or contracted non-government organisation</w:t>
      </w:r>
      <w:r w:rsidR="00A669F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s</w:t>
      </w:r>
      <w:r w:rsidR="008115F3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; multiple items of relevant legislation; multiple cost drivers; difficulties in forecasting demand; or the type and number of stakeholders involved (e.g. the number of government entities and/or industry sectors)</w:t>
      </w:r>
    </w:p>
    <w:p w14:paraId="164B5718" w14:textId="77777777" w:rsidR="007C2C9D" w:rsidRDefault="007C2C9D" w:rsidP="007C2C9D">
      <w:pPr>
        <w:shd w:val="clear" w:color="auto" w:fill="FFFFFF"/>
        <w:suppressAutoHyphens w:val="0"/>
        <w:spacing w:before="0" w:after="120" w:line="240" w:lineRule="auto"/>
        <w:ind w:left="425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</w:p>
    <w:p w14:paraId="013F3BB6" w14:textId="791DC768" w:rsidR="008115F3" w:rsidRDefault="00293E75" w:rsidP="00D12B74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Payee -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C</w:t>
      </w:r>
      <w:r w:rsidR="00B350D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harging c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omplexity </w:t>
      </w:r>
      <w:r w:rsidR="008C6C77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here is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influenced by the number of outputs </w:t>
      </w:r>
      <w:r w:rsidR="006510D3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to be paid for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; the design of charges</w:t>
      </w:r>
      <w:r w:rsidR="006510D3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(transparency and simplicity)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; the involvement of third parties in the </w:t>
      </w:r>
      <w:r w:rsidR="002233E2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payment process</w:t>
      </w:r>
      <w:r w:rsidR="001F205A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.</w:t>
      </w:r>
    </w:p>
    <w:p w14:paraId="2747D041" w14:textId="1DB6314D" w:rsidR="00E17C29" w:rsidRPr="00E17C29" w:rsidRDefault="009C705F" w:rsidP="00D12B74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 w:rsidRPr="001F205A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Government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– the </w:t>
      </w:r>
      <w:r w:rsidR="0072466A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nature</w:t>
      </w:r>
      <w:r w:rsidR="00F83526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of </w:t>
      </w:r>
      <w:r w:rsidR="0072466A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the </w:t>
      </w:r>
      <w:r w:rsidR="00F83526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influence the price charged has on the activity objectives</w:t>
      </w:r>
      <w:r w:rsidR="004F5FF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, risk </w:t>
      </w:r>
      <w:r w:rsidR="0072466A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that</w:t>
      </w:r>
      <w:r w:rsidR="004F5FF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  <w:r w:rsidR="004E234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charges </w:t>
      </w:r>
      <w:r w:rsidR="0072466A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may </w:t>
      </w:r>
      <w:r w:rsidR="004E234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amount to taxation,</w:t>
      </w:r>
      <w:r w:rsidR="00F83526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and the </w:t>
      </w:r>
      <w:r w:rsidR="00194777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frequency </w:t>
      </w:r>
      <w:r w:rsidR="003F4DF5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of </w:t>
      </w:r>
      <w:r w:rsidR="00194777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an</w:t>
      </w:r>
      <w:r w:rsidR="00621C22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d variation in</w:t>
      </w:r>
      <w:r w:rsidR="004F5FF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budget outcomes</w:t>
      </w:r>
    </w:p>
    <w:p w14:paraId="66A4A0C6" w14:textId="6AF91F1C" w:rsidR="00D12B74" w:rsidRPr="00D12B74" w:rsidRDefault="00D12B74" w:rsidP="00D12B74">
      <w:pPr>
        <w:shd w:val="clear" w:color="auto" w:fill="FFFFFF"/>
        <w:suppressAutoHyphens w:val="0"/>
        <w:spacing w:before="120" w:after="0" w:line="240" w:lineRule="auto"/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M</w:t>
      </w:r>
      <w:r w:rsidR="00E17C29" w:rsidRPr="00E17C29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ateriality</w:t>
      </w:r>
    </w:p>
    <w:p w14:paraId="24B4508D" w14:textId="25B1CE0E" w:rsidR="005C7EEC" w:rsidRDefault="005C7EEC" w:rsidP="005C7EEC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 xml:space="preserve">Entity - </w:t>
      </w:r>
      <w:r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which relates to </w:t>
      </w:r>
      <w:r w:rsidR="007E1342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the </w:t>
      </w:r>
      <w:r w:rsidR="00C578F5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revenue</w:t>
      </w:r>
      <w:r w:rsidR="002417EB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  <w:r w:rsidR="00C732B5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importance</w:t>
      </w:r>
      <w:r w:rsidR="007E1342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for</w:t>
      </w:r>
      <w:r w:rsidR="002417EB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the activity</w:t>
      </w:r>
      <w:r w:rsidR="000C683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and totals </w:t>
      </w:r>
      <w:r w:rsidR="00DC6D13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amount at risk,</w:t>
      </w:r>
      <w:r w:rsidR="000647A0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  <w:r w:rsidR="00DC6D13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including relative impact of variation in the totals, </w:t>
      </w:r>
      <w:r w:rsidR="000647A0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and how it </w:t>
      </w:r>
      <w:r w:rsidR="00C373B5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may</w:t>
      </w:r>
      <w:r w:rsidR="000647A0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manage </w:t>
      </w:r>
      <w:r w:rsidR="000C683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variations between outcomes and forecasts.</w:t>
      </w:r>
      <w:r w:rsidR="002417EB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</w:p>
    <w:p w14:paraId="3482E8E5" w14:textId="0083043B" w:rsidR="005C7EEC" w:rsidRDefault="005C7EEC" w:rsidP="005C7EEC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 xml:space="preserve">Payee </w:t>
      </w:r>
      <w:r w:rsidR="0098331A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–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  <w:r w:rsidR="0098331A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The impact of the charge as a proportion of income and </w:t>
      </w:r>
      <w:r w:rsidR="008534B0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available </w:t>
      </w:r>
      <w:r w:rsidR="0098331A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profit</w:t>
      </w:r>
      <w:r w:rsidR="0032491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.</w:t>
      </w:r>
    </w:p>
    <w:p w14:paraId="1D2D7176" w14:textId="492E5579" w:rsidR="005C7EEC" w:rsidRPr="00E17C29" w:rsidRDefault="005C7EEC" w:rsidP="005C7EEC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 w:rsidRPr="001F205A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Government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– the </w:t>
      </w:r>
      <w:r w:rsidR="00C14E22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scale of </w:t>
      </w:r>
      <w:r w:rsidR="00194777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potential budget variations in dollars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</w:t>
      </w:r>
    </w:p>
    <w:p w14:paraId="62A198B6" w14:textId="7C33DD3A" w:rsidR="00621C22" w:rsidRDefault="00CC0BC0" w:rsidP="00CC0BC0">
      <w:pPr>
        <w:shd w:val="clear" w:color="auto" w:fill="FFFFFF"/>
        <w:suppressAutoHyphens w:val="0"/>
        <w:spacing w:before="120" w:after="0" w:line="240" w:lineRule="auto"/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S</w:t>
      </w:r>
      <w:r w:rsidR="00E17C29" w:rsidRPr="00E17C29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ensitivity</w:t>
      </w:r>
    </w:p>
    <w:p w14:paraId="41593FE6" w14:textId="04288995" w:rsidR="0029104B" w:rsidRDefault="0029104B" w:rsidP="0029104B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 xml:space="preserve">Entity - </w:t>
      </w:r>
      <w:r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relates to the level of interest in the 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charging </w:t>
      </w:r>
      <w:r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from </w:t>
      </w:r>
      <w:r w:rsidR="00717EC6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those paying, the </w:t>
      </w:r>
      <w:r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government, non-government stakeholders, the media, and the Parliament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. </w:t>
      </w:r>
    </w:p>
    <w:p w14:paraId="17F53333" w14:textId="7CD85BF8" w:rsidR="0029104B" w:rsidRDefault="0029104B" w:rsidP="0029104B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Payee –</w:t>
      </w:r>
      <w:r w:rsidR="00717EC6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relates to the level </w:t>
      </w:r>
      <w:r w:rsidR="00416B67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how the </w:t>
      </w:r>
      <w:r w:rsidR="008B3C80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complexity and materiality is viewed and may be managed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.</w:t>
      </w:r>
    </w:p>
    <w:p w14:paraId="34B9DA6F" w14:textId="411C14D5" w:rsidR="0029104B" w:rsidRPr="00E17C29" w:rsidRDefault="0029104B" w:rsidP="0029104B">
      <w:pPr>
        <w:numPr>
          <w:ilvl w:val="1"/>
          <w:numId w:val="29"/>
        </w:numPr>
        <w:shd w:val="clear" w:color="auto" w:fill="FFFFFF"/>
        <w:suppressAutoHyphens w:val="0"/>
        <w:spacing w:before="0" w:after="120" w:line="240" w:lineRule="auto"/>
        <w:ind w:left="425" w:hanging="357"/>
        <w:rPr>
          <w:rFonts w:ascii="Calibri" w:eastAsia="Times New Roman" w:hAnsi="Calibri" w:cs="Calibri"/>
          <w:color w:val="212529"/>
          <w:sz w:val="20"/>
          <w:szCs w:val="20"/>
          <w:lang w:eastAsia="en-AU"/>
        </w:rPr>
      </w:pPr>
      <w:r w:rsidRPr="001F205A">
        <w:rPr>
          <w:rFonts w:ascii="Calibri" w:eastAsia="Times New Roman" w:hAnsi="Calibri" w:cs="Calibri"/>
          <w:b/>
          <w:bCs/>
          <w:color w:val="212529"/>
          <w:sz w:val="20"/>
          <w:szCs w:val="20"/>
          <w:lang w:eastAsia="en-AU"/>
        </w:rPr>
        <w:t>Government</w:t>
      </w: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 – </w:t>
      </w:r>
      <w:r w:rsidR="00C52712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which relates to the level of interest in the </w:t>
      </w:r>
      <w:r w:rsidR="00C52712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charging </w:t>
      </w:r>
      <w:r w:rsidR="00C52712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from non-government stakeholders, the media, and the Parliament</w:t>
      </w:r>
      <w:r w:rsidR="00C52712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.</w:t>
      </w:r>
    </w:p>
    <w:p w14:paraId="2CD183C4" w14:textId="1ED3D165" w:rsidR="00E17C29" w:rsidRPr="00E17C29" w:rsidRDefault="00C52712" w:rsidP="00C75E0E">
      <w:pPr>
        <w:shd w:val="clear" w:color="auto" w:fill="FFFFFF"/>
        <w:suppressAutoHyphens w:val="0"/>
        <w:spacing w:before="0" w:after="120" w:line="240" w:lineRule="auto"/>
        <w:rPr>
          <w:rFonts w:ascii="Calibri" w:hAnsi="Calibri" w:cs="Calibri"/>
          <w:b/>
        </w:rPr>
      </w:pPr>
      <w:r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For each party</w:t>
      </w:r>
      <w:r w:rsidR="00C75E0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, the k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ey considerations include whether, when and why any sensitivities exist. The reasons for sensitivities may include the nature of the charges; the nature of the industry; existing </w:t>
      </w:r>
      <w:r w:rsidR="00C75E0E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 xml:space="preserve">or broader </w:t>
      </w:r>
      <w:r w:rsidR="00E17C29" w:rsidRPr="00E17C29">
        <w:rPr>
          <w:rFonts w:ascii="Calibri" w:eastAsia="Times New Roman" w:hAnsi="Calibri" w:cs="Calibri"/>
          <w:color w:val="212529"/>
          <w:sz w:val="20"/>
          <w:szCs w:val="20"/>
          <w:lang w:eastAsia="en-AU"/>
        </w:rPr>
        <w:t>government charges faced by industry and limited consultation.</w:t>
      </w:r>
    </w:p>
    <w:p w14:paraId="31E24878" w14:textId="77777777" w:rsidR="00C75E0E" w:rsidRDefault="00C75E0E" w:rsidP="000B1DA8">
      <w:pPr>
        <w:pStyle w:val="BodyText1"/>
        <w:rPr>
          <w:rFonts w:ascii="Calibri" w:hAnsi="Calibri" w:cs="Calibri"/>
          <w:b/>
          <w:szCs w:val="22"/>
        </w:rPr>
        <w:sectPr w:rsidR="00C75E0E" w:rsidSect="00225A75">
          <w:type w:val="continuous"/>
          <w:pgSz w:w="11906" w:h="16838" w:code="9"/>
          <w:pgMar w:top="993" w:right="707" w:bottom="284" w:left="851" w:header="567" w:footer="74" w:gutter="0"/>
          <w:cols w:num="2" w:space="708"/>
          <w:docGrid w:linePitch="360"/>
        </w:sectPr>
      </w:pPr>
    </w:p>
    <w:p w14:paraId="189D5D71" w14:textId="77777777" w:rsidR="00A53E8E" w:rsidRDefault="00A53E8E" w:rsidP="000B1DA8">
      <w:pPr>
        <w:pStyle w:val="BodyText1"/>
        <w:rPr>
          <w:rFonts w:ascii="Calibri" w:hAnsi="Calibri" w:cs="Calibri"/>
          <w:b/>
          <w:szCs w:val="22"/>
        </w:rPr>
      </w:pPr>
    </w:p>
    <w:p w14:paraId="3FAF05A3" w14:textId="77777777" w:rsidR="00A53E8E" w:rsidRDefault="00A53E8E" w:rsidP="000B1DA8">
      <w:pPr>
        <w:pStyle w:val="BodyText1"/>
        <w:rPr>
          <w:rFonts w:ascii="Calibri" w:hAnsi="Calibri" w:cs="Calibri"/>
          <w:b/>
          <w:szCs w:val="22"/>
        </w:rPr>
      </w:pPr>
    </w:p>
    <w:p w14:paraId="71E686C4" w14:textId="77777777" w:rsidR="00A53E8E" w:rsidRDefault="00A53E8E" w:rsidP="000B1DA8">
      <w:pPr>
        <w:pStyle w:val="BodyText1"/>
        <w:rPr>
          <w:rFonts w:ascii="Calibri" w:hAnsi="Calibri" w:cs="Calibri"/>
          <w:b/>
          <w:szCs w:val="22"/>
        </w:rPr>
      </w:pPr>
    </w:p>
    <w:p w14:paraId="589CEDBD" w14:textId="77777777" w:rsidR="00A53E8E" w:rsidRDefault="00A53E8E" w:rsidP="000B1DA8">
      <w:pPr>
        <w:pStyle w:val="BodyText1"/>
        <w:rPr>
          <w:rFonts w:ascii="Calibri" w:hAnsi="Calibri" w:cs="Calibri"/>
          <w:b/>
          <w:szCs w:val="22"/>
        </w:rPr>
      </w:pPr>
    </w:p>
    <w:p w14:paraId="7A8B9DDB" w14:textId="784575DE" w:rsidR="000B1DA8" w:rsidRPr="00083370" w:rsidRDefault="00E17C29" w:rsidP="000B1DA8">
      <w:pPr>
        <w:pStyle w:val="BodyText1"/>
        <w:rPr>
          <w:rFonts w:ascii="Calibri" w:hAnsi="Calibri" w:cs="Calibri"/>
          <w:b/>
          <w:sz w:val="20"/>
          <w:szCs w:val="20"/>
        </w:rPr>
      </w:pPr>
      <w:r w:rsidRPr="00083370">
        <w:rPr>
          <w:rFonts w:ascii="Calibri" w:hAnsi="Calibri" w:cs="Calibri"/>
          <w:b/>
          <w:sz w:val="20"/>
          <w:szCs w:val="20"/>
        </w:rPr>
        <w:t xml:space="preserve">Determining </w:t>
      </w:r>
      <w:r w:rsidR="00560B41">
        <w:rPr>
          <w:rFonts w:ascii="Calibri" w:hAnsi="Calibri" w:cs="Calibri"/>
          <w:b/>
          <w:sz w:val="20"/>
          <w:szCs w:val="20"/>
        </w:rPr>
        <w:t xml:space="preserve">the </w:t>
      </w:r>
      <w:r w:rsidRPr="00083370">
        <w:rPr>
          <w:rFonts w:ascii="Calibri" w:hAnsi="Calibri" w:cs="Calibri"/>
          <w:b/>
          <w:sz w:val="20"/>
          <w:szCs w:val="20"/>
        </w:rPr>
        <w:t>CRA rating</w:t>
      </w:r>
    </w:p>
    <w:p w14:paraId="5933C209" w14:textId="559B10EB" w:rsidR="000B1DA8" w:rsidRPr="00083370" w:rsidRDefault="004F63B4" w:rsidP="000B1DA8">
      <w:pPr>
        <w:pStyle w:val="BodyText1"/>
        <w:rPr>
          <w:rFonts w:ascii="Calibri" w:hAnsi="Calibri" w:cs="Calibri"/>
          <w:b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The </w:t>
      </w:r>
      <w:r w:rsidR="00931530" w:rsidRPr="00083370">
        <w:rPr>
          <w:rFonts w:ascii="Calibri" w:hAnsi="Calibri" w:cs="Calibri"/>
          <w:sz w:val="20"/>
          <w:szCs w:val="20"/>
        </w:rPr>
        <w:t xml:space="preserve">table below outlines how </w:t>
      </w:r>
      <w:r w:rsidRPr="00083370">
        <w:rPr>
          <w:rFonts w:ascii="Calibri" w:hAnsi="Calibri" w:cs="Calibri"/>
          <w:sz w:val="20"/>
          <w:szCs w:val="20"/>
        </w:rPr>
        <w:t xml:space="preserve">a </w:t>
      </w:r>
      <w:r w:rsidR="00931530" w:rsidRPr="00083370">
        <w:rPr>
          <w:rFonts w:ascii="Calibri" w:hAnsi="Calibri" w:cs="Calibri"/>
          <w:sz w:val="20"/>
          <w:szCs w:val="20"/>
        </w:rPr>
        <w:t>CRA rating.</w:t>
      </w:r>
      <w:r w:rsidR="008B1C55" w:rsidRPr="00083370">
        <w:rPr>
          <w:rFonts w:ascii="Calibri" w:hAnsi="Calibri" w:cs="Calibri"/>
          <w:sz w:val="20"/>
          <w:szCs w:val="20"/>
        </w:rPr>
        <w:t xml:space="preserve"> Is set, based on the answers to the high-level marker questions</w:t>
      </w:r>
    </w:p>
    <w:tbl>
      <w:tblPr>
        <w:tblStyle w:val="TableGrid"/>
        <w:tblW w:w="4962" w:type="dxa"/>
        <w:tblInd w:w="-5" w:type="dxa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943"/>
        <w:gridCol w:w="2019"/>
      </w:tblGrid>
      <w:tr w:rsidR="000B1DA8" w:rsidRPr="00083370" w14:paraId="37B8E063" w14:textId="77777777" w:rsidTr="00C63BC9">
        <w:trPr>
          <w:trHeight w:val="321"/>
        </w:trPr>
        <w:tc>
          <w:tcPr>
            <w:tcW w:w="2943" w:type="dxa"/>
            <w:vAlign w:val="center"/>
          </w:tcPr>
          <w:p w14:paraId="31A7A744" w14:textId="6A8D59A4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083370">
              <w:rPr>
                <w:rFonts w:ascii="Calibri" w:hAnsi="Calibri" w:cs="Calibri"/>
                <w:b/>
                <w:sz w:val="20"/>
                <w:szCs w:val="20"/>
              </w:rPr>
              <w:t xml:space="preserve">Number of responses </w:t>
            </w:r>
            <w:r w:rsidR="0041437E" w:rsidRPr="00083370">
              <w:rPr>
                <w:rFonts w:ascii="Calibri" w:hAnsi="Calibri" w:cs="Calibri"/>
                <w:b/>
                <w:sz w:val="20"/>
                <w:szCs w:val="20"/>
              </w:rPr>
              <w:t>that are ‘high’</w:t>
            </w:r>
          </w:p>
        </w:tc>
        <w:tc>
          <w:tcPr>
            <w:tcW w:w="2019" w:type="dxa"/>
            <w:vAlign w:val="center"/>
          </w:tcPr>
          <w:p w14:paraId="07C8A6EF" w14:textId="01243983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083370">
              <w:rPr>
                <w:rFonts w:ascii="Calibri" w:hAnsi="Calibri" w:cs="Calibri"/>
                <w:b/>
                <w:sz w:val="20"/>
                <w:szCs w:val="20"/>
              </w:rPr>
              <w:t>Risk rating as a</w:t>
            </w:r>
            <w:r w:rsidR="004E7613" w:rsidRPr="00083370">
              <w:rPr>
                <w:rFonts w:ascii="Calibri" w:hAnsi="Calibri" w:cs="Calibri"/>
                <w:b/>
                <w:sz w:val="20"/>
                <w:szCs w:val="20"/>
              </w:rPr>
              <w:t>n</w:t>
            </w:r>
            <w:r w:rsidRPr="0008337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D61759" w:rsidRPr="00083370">
              <w:rPr>
                <w:rFonts w:ascii="Calibri" w:hAnsi="Calibri" w:cs="Calibri"/>
                <w:b/>
                <w:sz w:val="20"/>
                <w:szCs w:val="20"/>
              </w:rPr>
              <w:t>impact</w:t>
            </w:r>
          </w:p>
        </w:tc>
      </w:tr>
      <w:tr w:rsidR="000B1DA8" w:rsidRPr="00083370" w14:paraId="2E97653A" w14:textId="77777777" w:rsidTr="00C63BC9">
        <w:trPr>
          <w:trHeight w:val="285"/>
        </w:trPr>
        <w:tc>
          <w:tcPr>
            <w:tcW w:w="2943" w:type="dxa"/>
            <w:vAlign w:val="center"/>
          </w:tcPr>
          <w:p w14:paraId="4A850D55" w14:textId="77777777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83370">
              <w:rPr>
                <w:rFonts w:ascii="Calibri" w:hAnsi="Calibri" w:cs="Calibri"/>
                <w:sz w:val="20"/>
                <w:szCs w:val="20"/>
              </w:rPr>
              <w:t>At least three ‘high’</w:t>
            </w:r>
          </w:p>
        </w:tc>
        <w:tc>
          <w:tcPr>
            <w:tcW w:w="2019" w:type="dxa"/>
          </w:tcPr>
          <w:p w14:paraId="6D5D47C6" w14:textId="77777777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83370">
              <w:rPr>
                <w:rFonts w:ascii="Calibri" w:hAnsi="Calibri" w:cs="Calibri"/>
                <w:sz w:val="20"/>
                <w:szCs w:val="20"/>
              </w:rPr>
              <w:t>High</w:t>
            </w:r>
          </w:p>
        </w:tc>
      </w:tr>
      <w:tr w:rsidR="000B1DA8" w:rsidRPr="00083370" w14:paraId="48FC3ECE" w14:textId="77777777" w:rsidTr="00C63BC9">
        <w:trPr>
          <w:trHeight w:val="236"/>
        </w:trPr>
        <w:tc>
          <w:tcPr>
            <w:tcW w:w="2943" w:type="dxa"/>
            <w:vAlign w:val="center"/>
          </w:tcPr>
          <w:p w14:paraId="011323F0" w14:textId="77777777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83370">
              <w:rPr>
                <w:rFonts w:ascii="Calibri" w:hAnsi="Calibri" w:cs="Calibri"/>
                <w:sz w:val="20"/>
                <w:szCs w:val="20"/>
              </w:rPr>
              <w:t>At least one ‘medium’ or ‘high’</w:t>
            </w:r>
          </w:p>
        </w:tc>
        <w:tc>
          <w:tcPr>
            <w:tcW w:w="2019" w:type="dxa"/>
          </w:tcPr>
          <w:p w14:paraId="565654B3" w14:textId="77777777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83370">
              <w:rPr>
                <w:rFonts w:ascii="Calibri" w:hAnsi="Calibri" w:cs="Calibri"/>
                <w:sz w:val="20"/>
                <w:szCs w:val="20"/>
              </w:rPr>
              <w:t>Medium</w:t>
            </w:r>
          </w:p>
        </w:tc>
      </w:tr>
      <w:tr w:rsidR="000B1DA8" w:rsidRPr="00083370" w14:paraId="45C92EEC" w14:textId="77777777" w:rsidTr="00C63BC9">
        <w:trPr>
          <w:trHeight w:val="214"/>
        </w:trPr>
        <w:tc>
          <w:tcPr>
            <w:tcW w:w="2943" w:type="dxa"/>
            <w:vAlign w:val="center"/>
          </w:tcPr>
          <w:p w14:paraId="100239BC" w14:textId="77777777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83370">
              <w:rPr>
                <w:rFonts w:ascii="Calibri" w:hAnsi="Calibri" w:cs="Calibri"/>
                <w:sz w:val="20"/>
                <w:szCs w:val="20"/>
              </w:rPr>
              <w:t>All ‘low’</w:t>
            </w:r>
          </w:p>
        </w:tc>
        <w:tc>
          <w:tcPr>
            <w:tcW w:w="2019" w:type="dxa"/>
          </w:tcPr>
          <w:p w14:paraId="406D8D0E" w14:textId="77777777" w:rsidR="000B1DA8" w:rsidRPr="00083370" w:rsidRDefault="000B1DA8">
            <w:pPr>
              <w:spacing w:before="0"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83370">
              <w:rPr>
                <w:rFonts w:ascii="Calibri" w:hAnsi="Calibri" w:cs="Calibri"/>
                <w:sz w:val="20"/>
                <w:szCs w:val="20"/>
              </w:rPr>
              <w:t>Low</w:t>
            </w:r>
          </w:p>
        </w:tc>
      </w:tr>
    </w:tbl>
    <w:p w14:paraId="59439C7F" w14:textId="36AA5F8F" w:rsidR="000B1DA8" w:rsidRPr="00083370" w:rsidRDefault="000B1DA8" w:rsidP="00DC5643">
      <w:pPr>
        <w:pStyle w:val="BodyText1"/>
        <w:spacing w:after="0"/>
        <w:rPr>
          <w:rFonts w:ascii="Calibri" w:hAnsi="Calibri" w:cs="Calibri"/>
          <w:b/>
          <w:sz w:val="20"/>
          <w:szCs w:val="20"/>
        </w:rPr>
      </w:pPr>
    </w:p>
    <w:p w14:paraId="35A770CA" w14:textId="3E96514A" w:rsidR="0089781D" w:rsidRPr="00083370" w:rsidRDefault="00D620AC" w:rsidP="00225A75">
      <w:pPr>
        <w:pStyle w:val="BodyText1"/>
        <w:spacing w:after="0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The </w:t>
      </w:r>
      <w:r w:rsidR="00F21E0E" w:rsidRPr="00083370">
        <w:rPr>
          <w:rFonts w:ascii="Calibri" w:hAnsi="Calibri" w:cs="Calibri"/>
          <w:sz w:val="20"/>
          <w:szCs w:val="20"/>
        </w:rPr>
        <w:t>assessed</w:t>
      </w:r>
      <w:r w:rsidRPr="00083370">
        <w:rPr>
          <w:rFonts w:ascii="Calibri" w:hAnsi="Calibri" w:cs="Calibri"/>
          <w:sz w:val="20"/>
          <w:szCs w:val="20"/>
        </w:rPr>
        <w:t xml:space="preserve"> risk rating and supporting analysis</w:t>
      </w:r>
      <w:r w:rsidR="00346DA7" w:rsidRPr="00083370">
        <w:rPr>
          <w:rFonts w:ascii="Calibri" w:hAnsi="Calibri" w:cs="Calibri"/>
          <w:sz w:val="20"/>
          <w:szCs w:val="20"/>
        </w:rPr>
        <w:t xml:space="preserve"> in a CRA</w:t>
      </w:r>
      <w:r w:rsidRPr="00083370">
        <w:rPr>
          <w:rFonts w:ascii="Calibri" w:hAnsi="Calibri" w:cs="Calibri"/>
          <w:sz w:val="20"/>
          <w:szCs w:val="20"/>
        </w:rPr>
        <w:t>, including the justification of the rating and mitigation strategies</w:t>
      </w:r>
      <w:r w:rsidR="00B1314D" w:rsidRPr="00083370">
        <w:rPr>
          <w:rFonts w:ascii="Calibri" w:hAnsi="Calibri" w:cs="Calibri"/>
          <w:sz w:val="20"/>
          <w:szCs w:val="20"/>
        </w:rPr>
        <w:t xml:space="preserve"> needs to be agreed by</w:t>
      </w:r>
      <w:r w:rsidR="0089781D" w:rsidRPr="00083370">
        <w:rPr>
          <w:rFonts w:ascii="Calibri" w:hAnsi="Calibri" w:cs="Calibri"/>
          <w:sz w:val="20"/>
          <w:szCs w:val="20"/>
        </w:rPr>
        <w:t>:</w:t>
      </w:r>
    </w:p>
    <w:p w14:paraId="49A8DBAE" w14:textId="7CACD1DF" w:rsidR="00C82A8B" w:rsidRPr="00083370" w:rsidRDefault="00B1314D" w:rsidP="00760AFC">
      <w:pPr>
        <w:pStyle w:val="ListParagraph"/>
        <w:numPr>
          <w:ilvl w:val="0"/>
          <w:numId w:val="34"/>
        </w:numPr>
        <w:suppressAutoHyphens w:val="0"/>
        <w:spacing w:before="120" w:after="120" w:line="300" w:lineRule="exact"/>
        <w:ind w:left="567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083370">
        <w:rPr>
          <w:rFonts w:ascii="Calibri" w:hAnsi="Calibri" w:cs="Calibri"/>
          <w:b/>
          <w:bCs/>
          <w:sz w:val="20"/>
          <w:szCs w:val="20"/>
        </w:rPr>
        <w:t>Finance</w:t>
      </w:r>
      <w:r w:rsidR="0078273F" w:rsidRPr="00083370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78273F" w:rsidRPr="00083370">
        <w:rPr>
          <w:rFonts w:ascii="Calibri" w:hAnsi="Calibri" w:cs="Calibri"/>
          <w:sz w:val="20"/>
          <w:szCs w:val="20"/>
        </w:rPr>
        <w:t>and the</w:t>
      </w:r>
      <w:r w:rsidR="0078273F" w:rsidRPr="00083370">
        <w:rPr>
          <w:rFonts w:ascii="Calibri" w:hAnsi="Calibri" w:cs="Calibri"/>
          <w:b/>
          <w:bCs/>
          <w:sz w:val="20"/>
          <w:szCs w:val="20"/>
        </w:rPr>
        <w:t xml:space="preserve"> Accountable Authority </w:t>
      </w:r>
      <w:r w:rsidR="0078273F" w:rsidRPr="00083370">
        <w:rPr>
          <w:rFonts w:ascii="Calibri" w:hAnsi="Calibri" w:cs="Calibri"/>
          <w:sz w:val="20"/>
          <w:szCs w:val="20"/>
        </w:rPr>
        <w:t>of the entity</w:t>
      </w:r>
      <w:r w:rsidR="00194E95" w:rsidRPr="00083370">
        <w:rPr>
          <w:rFonts w:ascii="Calibri" w:hAnsi="Calibri" w:cs="Calibri"/>
          <w:sz w:val="20"/>
          <w:szCs w:val="20"/>
        </w:rPr>
        <w:t xml:space="preserve">, </w:t>
      </w:r>
      <w:r w:rsidR="00C82A8B" w:rsidRPr="00083370">
        <w:rPr>
          <w:rFonts w:ascii="Calibri" w:hAnsi="Calibri" w:cs="Calibri"/>
          <w:sz w:val="20"/>
          <w:szCs w:val="20"/>
        </w:rPr>
        <w:t xml:space="preserve">where </w:t>
      </w:r>
      <w:r w:rsidR="00C82A8B" w:rsidRPr="00083370">
        <w:rPr>
          <w:rFonts w:ascii="Calibri" w:hAnsi="Calibri" w:cs="Calibri"/>
          <w:color w:val="000000" w:themeColor="text1"/>
          <w:sz w:val="20"/>
          <w:szCs w:val="20"/>
        </w:rPr>
        <w:t xml:space="preserve">the activity has not been charged for before and where the changes to existing charging arrangements result in a proposed or expected CRA rating of </w:t>
      </w:r>
      <w:r w:rsidR="00C82A8B" w:rsidRPr="00083370">
        <w:rPr>
          <w:rFonts w:ascii="Calibri" w:hAnsi="Calibri" w:cs="Calibri"/>
          <w:b/>
          <w:bCs/>
          <w:color w:val="000000" w:themeColor="text1"/>
          <w:sz w:val="20"/>
          <w:szCs w:val="20"/>
        </w:rPr>
        <w:t>medium</w:t>
      </w:r>
      <w:r w:rsidR="00C82A8B" w:rsidRPr="00083370">
        <w:rPr>
          <w:rFonts w:ascii="Calibri" w:hAnsi="Calibri" w:cs="Calibri"/>
          <w:color w:val="000000" w:themeColor="text1"/>
          <w:sz w:val="20"/>
          <w:szCs w:val="20"/>
        </w:rPr>
        <w:t xml:space="preserve"> or </w:t>
      </w:r>
      <w:r w:rsidR="00C82A8B" w:rsidRPr="00083370">
        <w:rPr>
          <w:rFonts w:ascii="Calibri" w:hAnsi="Calibri" w:cs="Calibri"/>
          <w:b/>
          <w:bCs/>
          <w:color w:val="000000" w:themeColor="text1"/>
          <w:sz w:val="20"/>
          <w:szCs w:val="20"/>
        </w:rPr>
        <w:t>high</w:t>
      </w:r>
      <w:r w:rsidR="00C82A8B" w:rsidRPr="00083370">
        <w:rPr>
          <w:rFonts w:ascii="Calibri" w:hAnsi="Calibri" w:cs="Calibri"/>
          <w:color w:val="000000" w:themeColor="text1"/>
          <w:sz w:val="20"/>
          <w:szCs w:val="20"/>
        </w:rPr>
        <w:t>. </w:t>
      </w:r>
    </w:p>
    <w:p w14:paraId="3AD377BC" w14:textId="68F874EB" w:rsidR="00EA5A0F" w:rsidRPr="00083370" w:rsidRDefault="00EA5A0F" w:rsidP="00760AFC">
      <w:pPr>
        <w:pStyle w:val="ListParagraph"/>
        <w:numPr>
          <w:ilvl w:val="0"/>
          <w:numId w:val="34"/>
        </w:numPr>
        <w:suppressAutoHyphens w:val="0"/>
        <w:spacing w:before="120" w:after="120" w:line="300" w:lineRule="exact"/>
        <w:ind w:left="567"/>
        <w:contextualSpacing w:val="0"/>
        <w:rPr>
          <w:rFonts w:ascii="Calibri" w:hAnsi="Calibri" w:cs="Calibri"/>
          <w:color w:val="000000" w:themeColor="text1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The </w:t>
      </w:r>
      <w:r w:rsidR="00760AFC" w:rsidRPr="00083370">
        <w:rPr>
          <w:rFonts w:ascii="Calibri" w:hAnsi="Calibri" w:cs="Calibri"/>
          <w:b/>
          <w:bCs/>
          <w:sz w:val="20"/>
          <w:szCs w:val="20"/>
        </w:rPr>
        <w:t>A</w:t>
      </w:r>
      <w:r w:rsidRPr="00083370">
        <w:rPr>
          <w:rFonts w:ascii="Calibri" w:hAnsi="Calibri" w:cs="Calibri"/>
          <w:b/>
          <w:bCs/>
          <w:sz w:val="20"/>
          <w:szCs w:val="20"/>
        </w:rPr>
        <w:t>ccountable</w:t>
      </w:r>
      <w:r w:rsidR="00760AFC" w:rsidRPr="00083370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083370">
        <w:rPr>
          <w:rFonts w:ascii="Calibri" w:hAnsi="Calibri" w:cs="Calibri"/>
          <w:b/>
          <w:bCs/>
          <w:sz w:val="20"/>
          <w:szCs w:val="20"/>
        </w:rPr>
        <w:t>Authority</w:t>
      </w:r>
      <w:r w:rsidRPr="00083370">
        <w:rPr>
          <w:rFonts w:ascii="Calibri" w:hAnsi="Calibri" w:cs="Calibri"/>
          <w:sz w:val="20"/>
          <w:szCs w:val="20"/>
        </w:rPr>
        <w:t xml:space="preserve"> of the entity, where</w:t>
      </w:r>
      <w:r w:rsidR="00455774" w:rsidRPr="00083370">
        <w:rPr>
          <w:rFonts w:ascii="Calibri" w:hAnsi="Calibri" w:cs="Calibri"/>
          <w:sz w:val="20"/>
          <w:szCs w:val="20"/>
        </w:rPr>
        <w:t xml:space="preserve"> </w:t>
      </w:r>
      <w:r w:rsidR="00455774" w:rsidRPr="00083370">
        <w:rPr>
          <w:rFonts w:ascii="Calibri" w:hAnsi="Calibri" w:cs="Calibri"/>
          <w:color w:val="000000" w:themeColor="text1"/>
          <w:sz w:val="20"/>
          <w:szCs w:val="20"/>
        </w:rPr>
        <w:t xml:space="preserve">a revised existing charging arrangement </w:t>
      </w:r>
      <w:r w:rsidR="00760AFC" w:rsidRPr="00083370">
        <w:rPr>
          <w:rFonts w:ascii="Calibri" w:hAnsi="Calibri" w:cs="Calibri"/>
          <w:color w:val="000000" w:themeColor="text1"/>
          <w:sz w:val="20"/>
          <w:szCs w:val="20"/>
        </w:rPr>
        <w:t>appears</w:t>
      </w:r>
      <w:r w:rsidR="00455774" w:rsidRPr="00083370">
        <w:rPr>
          <w:rFonts w:ascii="Calibri" w:hAnsi="Calibri" w:cs="Calibri"/>
          <w:color w:val="000000" w:themeColor="text1"/>
          <w:sz w:val="20"/>
          <w:szCs w:val="20"/>
        </w:rPr>
        <w:t xml:space="preserve"> to </w:t>
      </w:r>
      <w:r w:rsidR="00760AFC" w:rsidRPr="00083370">
        <w:rPr>
          <w:rFonts w:ascii="Calibri" w:hAnsi="Calibri" w:cs="Calibri"/>
          <w:color w:val="000000" w:themeColor="text1"/>
          <w:sz w:val="20"/>
          <w:szCs w:val="20"/>
        </w:rPr>
        <w:t>result in a</w:t>
      </w:r>
      <w:r w:rsidR="00455774" w:rsidRPr="00083370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455774" w:rsidRPr="00083370">
        <w:rPr>
          <w:rFonts w:ascii="Calibri" w:hAnsi="Calibri" w:cs="Calibri"/>
          <w:b/>
          <w:bCs/>
          <w:color w:val="000000" w:themeColor="text1"/>
          <w:sz w:val="20"/>
          <w:szCs w:val="20"/>
        </w:rPr>
        <w:t>low</w:t>
      </w:r>
      <w:r w:rsidR="00760AFC" w:rsidRPr="00083370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760AFC" w:rsidRPr="00083370">
        <w:rPr>
          <w:rFonts w:ascii="Calibri" w:hAnsi="Calibri" w:cs="Calibri"/>
          <w:color w:val="000000" w:themeColor="text1"/>
          <w:sz w:val="20"/>
          <w:szCs w:val="20"/>
        </w:rPr>
        <w:t>proposed or expected CRA</w:t>
      </w:r>
      <w:r w:rsidR="00847462" w:rsidRPr="00083370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19696681" w14:textId="2907016E" w:rsidR="003C0363" w:rsidRPr="00083370" w:rsidRDefault="003C0363" w:rsidP="009F2822">
      <w:pPr>
        <w:pStyle w:val="BodyText1"/>
        <w:ind w:left="567"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(Records of the </w:t>
      </w:r>
      <w:r w:rsidR="00083370" w:rsidRPr="00083370">
        <w:rPr>
          <w:rFonts w:ascii="Calibri" w:hAnsi="Calibri" w:cs="Calibri"/>
          <w:sz w:val="20"/>
          <w:szCs w:val="20"/>
        </w:rPr>
        <w:t>CRA</w:t>
      </w:r>
      <w:r w:rsidR="00C332F8">
        <w:rPr>
          <w:rFonts w:ascii="Calibri" w:hAnsi="Calibri" w:cs="Calibri"/>
          <w:sz w:val="20"/>
          <w:szCs w:val="20"/>
        </w:rPr>
        <w:t xml:space="preserve">, the Accountable Authority </w:t>
      </w:r>
      <w:r w:rsidR="007B7AD6">
        <w:rPr>
          <w:rFonts w:ascii="Calibri" w:hAnsi="Calibri" w:cs="Calibri"/>
          <w:sz w:val="20"/>
          <w:szCs w:val="20"/>
        </w:rPr>
        <w:t>agreement</w:t>
      </w:r>
      <w:r w:rsidR="00083370" w:rsidRPr="00083370">
        <w:rPr>
          <w:rFonts w:ascii="Calibri" w:hAnsi="Calibri" w:cs="Calibri"/>
          <w:sz w:val="20"/>
          <w:szCs w:val="20"/>
        </w:rPr>
        <w:t xml:space="preserve"> and the information used to </w:t>
      </w:r>
      <w:r w:rsidR="00EE044A">
        <w:rPr>
          <w:rFonts w:ascii="Calibri" w:hAnsi="Calibri" w:cs="Calibri"/>
          <w:sz w:val="20"/>
          <w:szCs w:val="20"/>
        </w:rPr>
        <w:t>support</w:t>
      </w:r>
      <w:r w:rsidR="00083370" w:rsidRPr="00083370">
        <w:rPr>
          <w:rFonts w:ascii="Calibri" w:hAnsi="Calibri" w:cs="Calibri"/>
          <w:sz w:val="20"/>
          <w:szCs w:val="20"/>
        </w:rPr>
        <w:t xml:space="preserve"> a low rating must be kept)</w:t>
      </w:r>
    </w:p>
    <w:p w14:paraId="6C5A241A" w14:textId="6E2E291C" w:rsidR="00373BEF" w:rsidRPr="00083370" w:rsidRDefault="00373BEF" w:rsidP="00C83192">
      <w:pPr>
        <w:pStyle w:val="BodyText1"/>
        <w:ind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The outcome of the CRA determines whether the </w:t>
      </w:r>
      <w:r w:rsidR="00906674" w:rsidRPr="00083370">
        <w:rPr>
          <w:rFonts w:ascii="Calibri" w:hAnsi="Calibri" w:cs="Calibri"/>
          <w:sz w:val="20"/>
          <w:szCs w:val="20"/>
        </w:rPr>
        <w:t xml:space="preserve">final </w:t>
      </w:r>
      <w:r w:rsidRPr="00083370">
        <w:rPr>
          <w:rFonts w:ascii="Calibri" w:hAnsi="Calibri" w:cs="Calibri"/>
          <w:sz w:val="20"/>
          <w:szCs w:val="20"/>
        </w:rPr>
        <w:t xml:space="preserve">RCS needs to be agreed for release by the Minister for Finance in addition to the responsible Minister. </w:t>
      </w:r>
    </w:p>
    <w:p w14:paraId="62897220" w14:textId="556268AC" w:rsidR="007645FF" w:rsidRPr="00083370" w:rsidRDefault="00906674" w:rsidP="00C83192">
      <w:pPr>
        <w:pStyle w:val="BodyText1"/>
        <w:ind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This means the </w:t>
      </w:r>
      <w:r w:rsidR="00F669E4" w:rsidRPr="00083370">
        <w:rPr>
          <w:rFonts w:ascii="Calibri" w:hAnsi="Calibri" w:cs="Calibri"/>
          <w:sz w:val="20"/>
          <w:szCs w:val="20"/>
        </w:rPr>
        <w:t xml:space="preserve">relevant </w:t>
      </w:r>
      <w:r w:rsidRPr="00083370">
        <w:rPr>
          <w:rFonts w:ascii="Calibri" w:hAnsi="Calibri" w:cs="Calibri"/>
          <w:sz w:val="20"/>
          <w:szCs w:val="20"/>
        </w:rPr>
        <w:t>CRA</w:t>
      </w:r>
      <w:r w:rsidR="00F669E4" w:rsidRPr="00083370">
        <w:rPr>
          <w:rFonts w:ascii="Calibri" w:hAnsi="Calibri" w:cs="Calibri"/>
          <w:sz w:val="20"/>
          <w:szCs w:val="20"/>
        </w:rPr>
        <w:t xml:space="preserve"> for a </w:t>
      </w:r>
      <w:r w:rsidR="00F669E4" w:rsidRPr="00083370">
        <w:rPr>
          <w:rFonts w:ascii="Calibri" w:hAnsi="Calibri" w:cs="Calibri"/>
          <w:b/>
          <w:bCs/>
          <w:sz w:val="20"/>
          <w:szCs w:val="20"/>
        </w:rPr>
        <w:t>final</w:t>
      </w:r>
      <w:r w:rsidR="00F669E4" w:rsidRPr="00083370">
        <w:rPr>
          <w:rFonts w:ascii="Calibri" w:hAnsi="Calibri" w:cs="Calibri"/>
          <w:sz w:val="20"/>
          <w:szCs w:val="20"/>
        </w:rPr>
        <w:t xml:space="preserve"> RCS is the </w:t>
      </w:r>
      <w:r w:rsidR="00C83192" w:rsidRPr="00083370">
        <w:rPr>
          <w:rFonts w:ascii="Calibri" w:hAnsi="Calibri" w:cs="Calibri"/>
          <w:sz w:val="20"/>
          <w:szCs w:val="20"/>
        </w:rPr>
        <w:t>CRA</w:t>
      </w:r>
      <w:r w:rsidR="00F669E4" w:rsidRPr="00083370">
        <w:rPr>
          <w:rFonts w:ascii="Calibri" w:hAnsi="Calibri" w:cs="Calibri"/>
          <w:sz w:val="20"/>
          <w:szCs w:val="20"/>
        </w:rPr>
        <w:t xml:space="preserve"> developed </w:t>
      </w:r>
      <w:r w:rsidR="00F669E4" w:rsidRPr="00083370">
        <w:rPr>
          <w:rFonts w:ascii="Calibri" w:hAnsi="Calibri" w:cs="Calibri"/>
          <w:sz w:val="20"/>
          <w:szCs w:val="20"/>
          <w:u w:val="single"/>
        </w:rPr>
        <w:t xml:space="preserve">at the time the </w:t>
      </w:r>
      <w:r w:rsidR="00F669E4" w:rsidRPr="00083370">
        <w:rPr>
          <w:rFonts w:ascii="Calibri" w:hAnsi="Calibri" w:cs="Calibri"/>
          <w:b/>
          <w:bCs/>
          <w:sz w:val="20"/>
          <w:szCs w:val="20"/>
          <w:u w:val="single"/>
        </w:rPr>
        <w:t>final</w:t>
      </w:r>
      <w:r w:rsidR="00F669E4" w:rsidRPr="00083370">
        <w:rPr>
          <w:rFonts w:ascii="Calibri" w:hAnsi="Calibri" w:cs="Calibri"/>
          <w:sz w:val="20"/>
          <w:szCs w:val="20"/>
          <w:u w:val="single"/>
        </w:rPr>
        <w:t xml:space="preserve"> RCS is </w:t>
      </w:r>
      <w:r w:rsidR="00065E7B" w:rsidRPr="00083370">
        <w:rPr>
          <w:rFonts w:ascii="Calibri" w:hAnsi="Calibri" w:cs="Calibri"/>
          <w:sz w:val="20"/>
          <w:szCs w:val="20"/>
          <w:u w:val="single"/>
        </w:rPr>
        <w:t>produced</w:t>
      </w:r>
      <w:r w:rsidR="00C83192" w:rsidRPr="00083370">
        <w:rPr>
          <w:rFonts w:ascii="Calibri" w:hAnsi="Calibri" w:cs="Calibri"/>
          <w:sz w:val="20"/>
          <w:szCs w:val="20"/>
        </w:rPr>
        <w:t>.</w:t>
      </w:r>
      <w:r w:rsidR="007645FF" w:rsidRPr="00083370">
        <w:rPr>
          <w:rFonts w:ascii="Calibri" w:hAnsi="Calibri" w:cs="Calibri"/>
          <w:sz w:val="20"/>
          <w:szCs w:val="20"/>
        </w:rPr>
        <w:t xml:space="preserve"> </w:t>
      </w:r>
    </w:p>
    <w:p w14:paraId="6CFCE6E7" w14:textId="05171B92" w:rsidR="00906674" w:rsidRPr="00083370" w:rsidRDefault="007645FF" w:rsidP="00C83192">
      <w:pPr>
        <w:pStyle w:val="BodyText1"/>
        <w:ind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>Any other use of a CRA or a draft CRA is at the discretion of the Accountable Authority.</w:t>
      </w:r>
    </w:p>
    <w:p w14:paraId="3194C000" w14:textId="77777777" w:rsidR="007703C0" w:rsidRPr="00083370" w:rsidRDefault="00511E81" w:rsidP="00B3165C">
      <w:pPr>
        <w:pStyle w:val="BodyText1"/>
        <w:ind w:right="-142"/>
        <w:rPr>
          <w:rFonts w:ascii="Calibri" w:hAnsi="Calibri" w:cs="Calibri"/>
          <w:b/>
          <w:sz w:val="20"/>
          <w:szCs w:val="20"/>
        </w:rPr>
      </w:pPr>
      <w:r w:rsidRPr="00083370">
        <w:rPr>
          <w:rFonts w:ascii="Calibri" w:hAnsi="Calibri" w:cs="Calibri"/>
          <w:b/>
          <w:sz w:val="20"/>
          <w:szCs w:val="20"/>
        </w:rPr>
        <w:t xml:space="preserve">New Regulatory </w:t>
      </w:r>
      <w:r w:rsidR="007703C0" w:rsidRPr="00083370">
        <w:rPr>
          <w:rFonts w:ascii="Calibri" w:hAnsi="Calibri" w:cs="Calibri"/>
          <w:b/>
          <w:sz w:val="20"/>
          <w:szCs w:val="20"/>
        </w:rPr>
        <w:t>Charging and Existing Regulatory Activity</w:t>
      </w:r>
    </w:p>
    <w:p w14:paraId="4B947FD4" w14:textId="4EF8FB12" w:rsidR="00906B99" w:rsidRPr="00083370" w:rsidRDefault="00AD2B32" w:rsidP="00B3165C">
      <w:pPr>
        <w:pStyle w:val="BodyText1"/>
        <w:ind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>The questions are different, the three point scoring scale the same.</w:t>
      </w:r>
    </w:p>
    <w:p w14:paraId="596326BB" w14:textId="00C9FC3B" w:rsidR="00AD2B32" w:rsidRPr="00083370" w:rsidRDefault="00AD2B32" w:rsidP="00B3165C">
      <w:pPr>
        <w:pStyle w:val="BodyText1"/>
        <w:ind w:right="-142"/>
        <w:rPr>
          <w:rFonts w:ascii="Calibri" w:hAnsi="Calibri" w:cs="Calibri"/>
          <w:color w:val="212529"/>
          <w:sz w:val="20"/>
          <w:szCs w:val="20"/>
          <w:lang w:eastAsia="en-AU"/>
        </w:rPr>
      </w:pPr>
      <w:r w:rsidRPr="00083370">
        <w:rPr>
          <w:rFonts w:ascii="Calibri" w:hAnsi="Calibri" w:cs="Calibri"/>
          <w:sz w:val="20"/>
          <w:szCs w:val="20"/>
        </w:rPr>
        <w:t xml:space="preserve">The difference is the </w:t>
      </w:r>
      <w:r w:rsidR="00D81BE2" w:rsidRPr="00083370">
        <w:rPr>
          <w:rFonts w:ascii="Calibri" w:hAnsi="Calibri" w:cs="Calibri"/>
          <w:sz w:val="20"/>
          <w:szCs w:val="20"/>
        </w:rPr>
        <w:t>degree of change those paying, the Government and the entity experience</w:t>
      </w:r>
      <w:r w:rsidR="003C154E" w:rsidRPr="00083370">
        <w:rPr>
          <w:rFonts w:ascii="Calibri" w:hAnsi="Calibri" w:cs="Calibri"/>
          <w:sz w:val="20"/>
          <w:szCs w:val="20"/>
        </w:rPr>
        <w:t>.</w:t>
      </w:r>
      <w:r w:rsidR="00D81BE2" w:rsidRPr="00083370">
        <w:rPr>
          <w:rFonts w:ascii="Calibri" w:hAnsi="Calibri" w:cs="Calibri"/>
          <w:sz w:val="20"/>
          <w:szCs w:val="20"/>
        </w:rPr>
        <w:t xml:space="preserve"> </w:t>
      </w:r>
      <w:r w:rsidR="003C154E" w:rsidRPr="00083370">
        <w:rPr>
          <w:rFonts w:ascii="Calibri" w:hAnsi="Calibri" w:cs="Calibri"/>
          <w:sz w:val="20"/>
          <w:szCs w:val="20"/>
        </w:rPr>
        <w:t>S</w:t>
      </w:r>
      <w:r w:rsidR="00D81BE2" w:rsidRPr="00083370">
        <w:rPr>
          <w:rFonts w:ascii="Calibri" w:hAnsi="Calibri" w:cs="Calibri"/>
          <w:sz w:val="20"/>
          <w:szCs w:val="20"/>
        </w:rPr>
        <w:t xml:space="preserve">tarting to charge verses adjusting existing charging </w:t>
      </w:r>
      <w:r w:rsidR="009A2EA8" w:rsidRPr="00083370">
        <w:rPr>
          <w:rFonts w:ascii="Calibri" w:hAnsi="Calibri" w:cs="Calibri"/>
          <w:sz w:val="20"/>
          <w:szCs w:val="20"/>
        </w:rPr>
        <w:t xml:space="preserve">impacts differently the </w:t>
      </w:r>
      <w:r w:rsidR="009A2EA8" w:rsidRPr="00083370">
        <w:rPr>
          <w:rFonts w:ascii="Calibri" w:hAnsi="Calibri" w:cs="Calibri"/>
          <w:color w:val="212529"/>
          <w:sz w:val="20"/>
          <w:szCs w:val="20"/>
          <w:lang w:eastAsia="en-AU"/>
        </w:rPr>
        <w:t xml:space="preserve">key considerations for complexity, materiality and sensitivity </w:t>
      </w:r>
      <w:r w:rsidR="00F029AB" w:rsidRPr="00083370">
        <w:rPr>
          <w:rFonts w:ascii="Calibri" w:hAnsi="Calibri" w:cs="Calibri"/>
          <w:color w:val="212529"/>
          <w:sz w:val="20"/>
          <w:szCs w:val="20"/>
          <w:lang w:eastAsia="en-AU"/>
        </w:rPr>
        <w:t xml:space="preserve">and </w:t>
      </w:r>
      <w:r w:rsidR="009A2EA8" w:rsidRPr="00083370">
        <w:rPr>
          <w:rFonts w:ascii="Calibri" w:hAnsi="Calibri" w:cs="Calibri"/>
          <w:color w:val="212529"/>
          <w:sz w:val="20"/>
          <w:szCs w:val="20"/>
          <w:lang w:eastAsia="en-AU"/>
        </w:rPr>
        <w:t xml:space="preserve">include whether, when and why </w:t>
      </w:r>
      <w:r w:rsidR="00F029AB" w:rsidRPr="00083370">
        <w:rPr>
          <w:rFonts w:ascii="Calibri" w:hAnsi="Calibri" w:cs="Calibri"/>
          <w:color w:val="212529"/>
          <w:sz w:val="20"/>
          <w:szCs w:val="20"/>
          <w:lang w:eastAsia="en-AU"/>
        </w:rPr>
        <w:t xml:space="preserve">any change </w:t>
      </w:r>
      <w:r w:rsidR="00E477CB" w:rsidRPr="00083370">
        <w:rPr>
          <w:rFonts w:ascii="Calibri" w:hAnsi="Calibri" w:cs="Calibri"/>
          <w:color w:val="212529"/>
          <w:sz w:val="20"/>
          <w:szCs w:val="20"/>
          <w:lang w:eastAsia="en-AU"/>
        </w:rPr>
        <w:t>causes interest or critique.</w:t>
      </w:r>
    </w:p>
    <w:p w14:paraId="42EE72BD" w14:textId="642CC725" w:rsidR="001B73EC" w:rsidRPr="00083370" w:rsidRDefault="001B73EC" w:rsidP="00B3165C">
      <w:pPr>
        <w:pStyle w:val="BodyText1"/>
        <w:ind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color w:val="212529"/>
          <w:sz w:val="20"/>
          <w:szCs w:val="20"/>
          <w:lang w:eastAsia="en-AU"/>
        </w:rPr>
        <w:t xml:space="preserve">Complete each CRA type </w:t>
      </w:r>
      <w:r w:rsidR="00671A99" w:rsidRPr="00083370">
        <w:rPr>
          <w:rFonts w:ascii="Calibri" w:hAnsi="Calibri" w:cs="Calibri"/>
          <w:color w:val="212529"/>
          <w:sz w:val="20"/>
          <w:szCs w:val="20"/>
          <w:lang w:eastAsia="en-AU"/>
        </w:rPr>
        <w:t xml:space="preserve">noting it is the nature and scale of </w:t>
      </w:r>
      <w:r w:rsidR="00671A99" w:rsidRPr="00083370">
        <w:rPr>
          <w:rFonts w:ascii="Calibri" w:hAnsi="Calibri" w:cs="Calibri"/>
          <w:color w:val="212529"/>
          <w:sz w:val="20"/>
          <w:szCs w:val="20"/>
          <w:u w:val="single"/>
          <w:lang w:eastAsia="en-AU"/>
        </w:rPr>
        <w:t>change in the charging</w:t>
      </w:r>
      <w:r w:rsidR="00671A99" w:rsidRPr="00083370">
        <w:rPr>
          <w:rFonts w:ascii="Calibri" w:hAnsi="Calibri" w:cs="Calibri"/>
          <w:color w:val="212529"/>
          <w:sz w:val="20"/>
          <w:szCs w:val="20"/>
          <w:lang w:eastAsia="en-AU"/>
        </w:rPr>
        <w:t xml:space="preserve"> that causes the risks.</w:t>
      </w:r>
    </w:p>
    <w:p w14:paraId="27621B62" w14:textId="125AF873" w:rsidR="007F3D9B" w:rsidRPr="00083370" w:rsidRDefault="00E477CB" w:rsidP="00B3165C">
      <w:pPr>
        <w:pStyle w:val="BodyText1"/>
        <w:ind w:right="-142"/>
        <w:rPr>
          <w:rFonts w:ascii="Calibri" w:hAnsi="Calibri" w:cs="Calibri"/>
          <w:b/>
          <w:sz w:val="20"/>
          <w:szCs w:val="20"/>
        </w:rPr>
      </w:pPr>
      <w:r w:rsidRPr="00083370">
        <w:rPr>
          <w:rFonts w:ascii="Calibri" w:hAnsi="Calibri" w:cs="Calibri"/>
          <w:b/>
          <w:sz w:val="20"/>
          <w:szCs w:val="20"/>
        </w:rPr>
        <w:t>Regulatory Charging</w:t>
      </w:r>
      <w:r w:rsidR="00D620AC" w:rsidRPr="00083370">
        <w:rPr>
          <w:rFonts w:ascii="Calibri" w:hAnsi="Calibri" w:cs="Calibri"/>
          <w:b/>
          <w:sz w:val="20"/>
          <w:szCs w:val="20"/>
        </w:rPr>
        <w:t xml:space="preserve"> Statements</w:t>
      </w:r>
    </w:p>
    <w:p w14:paraId="2C0FD81B" w14:textId="3CDA7488" w:rsidR="00E17B87" w:rsidRPr="00083370" w:rsidRDefault="00E17B87" w:rsidP="00B3165C">
      <w:pPr>
        <w:spacing w:before="0" w:after="120" w:line="180" w:lineRule="atLeast"/>
        <w:ind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The CRA rating determines </w:t>
      </w:r>
      <w:r w:rsidR="00AE2A8E" w:rsidRPr="00083370">
        <w:rPr>
          <w:rFonts w:ascii="Calibri" w:hAnsi="Calibri" w:cs="Calibri"/>
          <w:sz w:val="20"/>
          <w:szCs w:val="20"/>
        </w:rPr>
        <w:t>the approval process for</w:t>
      </w:r>
      <w:r w:rsidRPr="00083370">
        <w:rPr>
          <w:rFonts w:ascii="Calibri" w:hAnsi="Calibri" w:cs="Calibri"/>
          <w:sz w:val="20"/>
          <w:szCs w:val="20"/>
        </w:rPr>
        <w:t xml:space="preserve"> the </w:t>
      </w:r>
      <w:r w:rsidR="00E826F8" w:rsidRPr="00083370">
        <w:rPr>
          <w:rFonts w:ascii="Calibri" w:hAnsi="Calibri" w:cs="Calibri"/>
          <w:sz w:val="20"/>
          <w:szCs w:val="20"/>
        </w:rPr>
        <w:t>Regulatory Charging Statement (RCS)</w:t>
      </w:r>
      <w:r w:rsidRPr="00083370">
        <w:rPr>
          <w:rFonts w:ascii="Calibri" w:hAnsi="Calibri" w:cs="Calibri"/>
          <w:sz w:val="20"/>
          <w:szCs w:val="20"/>
        </w:rPr>
        <w:t xml:space="preserve">. </w:t>
      </w:r>
    </w:p>
    <w:p w14:paraId="3C880E35" w14:textId="77777777" w:rsidR="00575B8D" w:rsidRPr="00083370" w:rsidRDefault="00575B8D" w:rsidP="00B3165C">
      <w:pPr>
        <w:spacing w:before="0" w:after="120" w:line="180" w:lineRule="atLeast"/>
        <w:ind w:right="-142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>A CRA rating of ‘high’, ‘medium’ or ‘low’ leads to one of three outcomes: </w:t>
      </w:r>
    </w:p>
    <w:p w14:paraId="4A95D734" w14:textId="77777777" w:rsidR="00575B8D" w:rsidRPr="00083370" w:rsidRDefault="00575B8D" w:rsidP="00102894">
      <w:pPr>
        <w:pStyle w:val="ListParagraph"/>
        <w:numPr>
          <w:ilvl w:val="0"/>
          <w:numId w:val="34"/>
        </w:numPr>
        <w:suppressAutoHyphens w:val="0"/>
        <w:spacing w:before="0" w:after="120" w:line="300" w:lineRule="exact"/>
        <w:ind w:left="567" w:hanging="357"/>
        <w:contextualSpacing w:val="0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b/>
          <w:bCs/>
          <w:sz w:val="20"/>
          <w:szCs w:val="20"/>
        </w:rPr>
        <w:t>High</w:t>
      </w:r>
      <w:r w:rsidRPr="00083370">
        <w:rPr>
          <w:rFonts w:ascii="Calibri" w:hAnsi="Calibri" w:cs="Calibri"/>
          <w:sz w:val="20"/>
          <w:szCs w:val="20"/>
        </w:rPr>
        <w:t xml:space="preserve">: the responsible Minister must seek the Minister for Finance agreement to relevant </w:t>
      </w:r>
      <w:r w:rsidRPr="00083370">
        <w:rPr>
          <w:rFonts w:ascii="Calibri" w:hAnsi="Calibri" w:cs="Calibri"/>
          <w:sz w:val="20"/>
          <w:szCs w:val="20"/>
        </w:rPr>
        <w:t>charging risk mitigation strategies prior to the release of the RCS and before charging begins or continues. </w:t>
      </w:r>
    </w:p>
    <w:p w14:paraId="716DB875" w14:textId="77777777" w:rsidR="00575B8D" w:rsidRPr="00083370" w:rsidRDefault="00575B8D" w:rsidP="00102894">
      <w:pPr>
        <w:pStyle w:val="ListParagraph"/>
        <w:numPr>
          <w:ilvl w:val="0"/>
          <w:numId w:val="34"/>
        </w:numPr>
        <w:suppressAutoHyphens w:val="0"/>
        <w:spacing w:before="0" w:after="120" w:line="300" w:lineRule="exact"/>
        <w:ind w:left="567" w:hanging="357"/>
        <w:contextualSpacing w:val="0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b/>
          <w:bCs/>
          <w:sz w:val="20"/>
          <w:szCs w:val="20"/>
        </w:rPr>
        <w:t>Medium</w:t>
      </w:r>
      <w:r w:rsidRPr="00083370">
        <w:rPr>
          <w:rFonts w:ascii="Calibri" w:hAnsi="Calibri" w:cs="Calibri"/>
          <w:sz w:val="20"/>
          <w:szCs w:val="20"/>
        </w:rPr>
        <w:t>: the responsible Minister may release the RCS and does not also require the Minister for Finance agreement for release before charging begins. </w:t>
      </w:r>
    </w:p>
    <w:p w14:paraId="194A6727" w14:textId="77777777" w:rsidR="00575B8D" w:rsidRPr="00083370" w:rsidRDefault="00575B8D" w:rsidP="00102894">
      <w:pPr>
        <w:pStyle w:val="ListParagraph"/>
        <w:numPr>
          <w:ilvl w:val="0"/>
          <w:numId w:val="34"/>
        </w:numPr>
        <w:suppressAutoHyphens w:val="0"/>
        <w:spacing w:before="0" w:after="120" w:line="300" w:lineRule="exact"/>
        <w:ind w:left="567" w:hanging="357"/>
        <w:contextualSpacing w:val="0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b/>
          <w:bCs/>
          <w:sz w:val="20"/>
          <w:szCs w:val="20"/>
        </w:rPr>
        <w:t>Low:</w:t>
      </w:r>
      <w:r w:rsidRPr="00083370">
        <w:rPr>
          <w:rFonts w:ascii="Calibri" w:hAnsi="Calibri" w:cs="Calibri"/>
          <w:sz w:val="20"/>
          <w:szCs w:val="20"/>
        </w:rPr>
        <w:t xml:space="preserve"> the responsible Minister may release the RCS without further consultation with Finance. </w:t>
      </w:r>
      <w:bookmarkStart w:id="3" w:name="_Toc211336665"/>
      <w:bookmarkStart w:id="4" w:name="_Toc211336803"/>
    </w:p>
    <w:bookmarkEnd w:id="3"/>
    <w:bookmarkEnd w:id="4"/>
    <w:p w14:paraId="06ED0E3C" w14:textId="6CC974CB" w:rsidR="000C5832" w:rsidRPr="00083370" w:rsidRDefault="00350784" w:rsidP="00350784">
      <w:pPr>
        <w:pStyle w:val="BodyText1"/>
        <w:ind w:right="-142"/>
        <w:rPr>
          <w:rFonts w:ascii="Calibri" w:hAnsi="Calibri" w:cs="Calibri"/>
          <w:b/>
          <w:sz w:val="20"/>
          <w:szCs w:val="20"/>
        </w:rPr>
      </w:pPr>
      <w:r w:rsidRPr="00083370">
        <w:rPr>
          <w:rFonts w:ascii="Calibri" w:hAnsi="Calibri" w:cs="Calibri"/>
          <w:b/>
          <w:sz w:val="20"/>
          <w:szCs w:val="20"/>
        </w:rPr>
        <w:t>Other uses of a CRA</w:t>
      </w:r>
    </w:p>
    <w:p w14:paraId="0DC63059" w14:textId="03E19A4B" w:rsidR="000C5832" w:rsidRPr="00083370" w:rsidRDefault="0007659E" w:rsidP="00856BD3">
      <w:pPr>
        <w:pStyle w:val="BodyText1"/>
        <w:ind w:right="-425"/>
        <w:rPr>
          <w:rFonts w:ascii="Calibri" w:hAnsi="Calibri" w:cs="Calibri"/>
          <w:sz w:val="20"/>
          <w:szCs w:val="20"/>
        </w:rPr>
      </w:pPr>
      <w:r w:rsidRPr="00083370">
        <w:rPr>
          <w:rFonts w:ascii="Calibri" w:hAnsi="Calibri" w:cs="Calibri"/>
          <w:sz w:val="20"/>
          <w:szCs w:val="20"/>
        </w:rPr>
        <w:t xml:space="preserve">As the CRA provides </w:t>
      </w:r>
      <w:r w:rsidR="004418D1" w:rsidRPr="00083370">
        <w:rPr>
          <w:rFonts w:ascii="Calibri" w:hAnsi="Calibri" w:cs="Calibri"/>
          <w:sz w:val="20"/>
          <w:szCs w:val="20"/>
        </w:rPr>
        <w:t xml:space="preserve">a summary of the </w:t>
      </w:r>
      <w:r w:rsidRPr="00083370">
        <w:rPr>
          <w:rFonts w:ascii="Calibri" w:hAnsi="Calibri" w:cs="Calibri"/>
          <w:sz w:val="20"/>
          <w:szCs w:val="20"/>
        </w:rPr>
        <w:t xml:space="preserve">key </w:t>
      </w:r>
      <w:r w:rsidR="003A501B">
        <w:rPr>
          <w:rFonts w:ascii="Calibri" w:hAnsi="Calibri" w:cs="Calibri"/>
          <w:sz w:val="20"/>
          <w:szCs w:val="20"/>
        </w:rPr>
        <w:t>issues</w:t>
      </w:r>
      <w:r w:rsidRPr="00083370">
        <w:rPr>
          <w:rFonts w:ascii="Calibri" w:hAnsi="Calibri" w:cs="Calibri"/>
          <w:sz w:val="20"/>
          <w:szCs w:val="20"/>
        </w:rPr>
        <w:t xml:space="preserve"> </w:t>
      </w:r>
      <w:r w:rsidR="004418D1" w:rsidRPr="00083370">
        <w:rPr>
          <w:rFonts w:ascii="Calibri" w:hAnsi="Calibri" w:cs="Calibri"/>
          <w:sz w:val="20"/>
          <w:szCs w:val="20"/>
        </w:rPr>
        <w:t>impact</w:t>
      </w:r>
      <w:r w:rsidR="003A501B">
        <w:rPr>
          <w:rFonts w:ascii="Calibri" w:hAnsi="Calibri" w:cs="Calibri"/>
          <w:sz w:val="20"/>
          <w:szCs w:val="20"/>
        </w:rPr>
        <w:t>ing</w:t>
      </w:r>
      <w:r w:rsidR="004418D1" w:rsidRPr="00083370">
        <w:rPr>
          <w:rFonts w:ascii="Calibri" w:hAnsi="Calibri" w:cs="Calibri"/>
          <w:sz w:val="20"/>
          <w:szCs w:val="20"/>
        </w:rPr>
        <w:t xml:space="preserve"> </w:t>
      </w:r>
      <w:r w:rsidR="003A501B">
        <w:rPr>
          <w:rFonts w:ascii="Calibri" w:hAnsi="Calibri" w:cs="Calibri"/>
          <w:sz w:val="20"/>
          <w:szCs w:val="20"/>
        </w:rPr>
        <w:t>the</w:t>
      </w:r>
      <w:r w:rsidR="004418D1" w:rsidRPr="00083370">
        <w:rPr>
          <w:rFonts w:ascii="Calibri" w:hAnsi="Calibri" w:cs="Calibri"/>
          <w:sz w:val="20"/>
          <w:szCs w:val="20"/>
        </w:rPr>
        <w:t xml:space="preserve"> </w:t>
      </w:r>
      <w:r w:rsidRPr="00083370">
        <w:rPr>
          <w:rFonts w:ascii="Calibri" w:hAnsi="Calibri" w:cs="Calibri"/>
          <w:sz w:val="20"/>
          <w:szCs w:val="20"/>
        </w:rPr>
        <w:t xml:space="preserve">charging change </w:t>
      </w:r>
      <w:r w:rsidR="003D3B14" w:rsidRPr="00083370">
        <w:rPr>
          <w:rFonts w:ascii="Calibri" w:hAnsi="Calibri" w:cs="Calibri"/>
          <w:sz w:val="20"/>
          <w:szCs w:val="20"/>
        </w:rPr>
        <w:t xml:space="preserve">at a that moment in time, </w:t>
      </w:r>
      <w:r w:rsidR="004418D1" w:rsidRPr="00083370">
        <w:rPr>
          <w:rFonts w:ascii="Calibri" w:hAnsi="Calibri" w:cs="Calibri"/>
          <w:sz w:val="20"/>
          <w:szCs w:val="20"/>
        </w:rPr>
        <w:t xml:space="preserve">a DRAFT CRA </w:t>
      </w:r>
      <w:r w:rsidR="00F07F0A" w:rsidRPr="00083370">
        <w:rPr>
          <w:rFonts w:ascii="Calibri" w:hAnsi="Calibri" w:cs="Calibri"/>
          <w:sz w:val="20"/>
          <w:szCs w:val="20"/>
        </w:rPr>
        <w:t>may indicate</w:t>
      </w:r>
      <w:r w:rsidR="00ED4F69" w:rsidRPr="00083370">
        <w:rPr>
          <w:rFonts w:ascii="Calibri" w:hAnsi="Calibri" w:cs="Calibri"/>
          <w:sz w:val="20"/>
          <w:szCs w:val="20"/>
        </w:rPr>
        <w:t>:</w:t>
      </w:r>
    </w:p>
    <w:p w14:paraId="67584292" w14:textId="0FC66A83" w:rsidR="00F07F0A" w:rsidRPr="00102894" w:rsidRDefault="00F07F0A" w:rsidP="00102894">
      <w:pPr>
        <w:pStyle w:val="ListParagraph"/>
        <w:numPr>
          <w:ilvl w:val="0"/>
          <w:numId w:val="34"/>
        </w:numPr>
        <w:suppressAutoHyphens w:val="0"/>
        <w:spacing w:before="0" w:after="120" w:line="300" w:lineRule="exact"/>
        <w:ind w:left="567" w:hanging="357"/>
        <w:contextualSpacing w:val="0"/>
        <w:rPr>
          <w:rFonts w:ascii="Calibri" w:hAnsi="Calibri" w:cs="Calibri"/>
          <w:sz w:val="20"/>
          <w:szCs w:val="20"/>
        </w:rPr>
      </w:pPr>
      <w:r w:rsidRPr="00102894">
        <w:rPr>
          <w:rFonts w:ascii="Calibri" w:hAnsi="Calibri" w:cs="Calibri"/>
          <w:sz w:val="20"/>
          <w:szCs w:val="20"/>
        </w:rPr>
        <w:t xml:space="preserve">What the risk rating could be in the future if nothing is changed </w:t>
      </w:r>
    </w:p>
    <w:p w14:paraId="6AF8FDE6" w14:textId="0CF39649" w:rsidR="001513A2" w:rsidRPr="00102894" w:rsidRDefault="00F07F0A" w:rsidP="00102894">
      <w:pPr>
        <w:pStyle w:val="ListParagraph"/>
        <w:numPr>
          <w:ilvl w:val="0"/>
          <w:numId w:val="34"/>
        </w:numPr>
        <w:suppressAutoHyphens w:val="0"/>
        <w:spacing w:before="0" w:after="120" w:line="300" w:lineRule="exact"/>
        <w:ind w:left="567" w:hanging="357"/>
        <w:contextualSpacing w:val="0"/>
        <w:rPr>
          <w:rFonts w:ascii="Calibri" w:hAnsi="Calibri" w:cs="Calibri"/>
          <w:sz w:val="20"/>
          <w:szCs w:val="20"/>
        </w:rPr>
      </w:pPr>
      <w:r w:rsidRPr="00102894">
        <w:rPr>
          <w:rFonts w:ascii="Calibri" w:hAnsi="Calibri" w:cs="Calibri"/>
          <w:sz w:val="20"/>
          <w:szCs w:val="20"/>
        </w:rPr>
        <w:t xml:space="preserve">What risk mitigation may occur in the time available before the </w:t>
      </w:r>
      <w:r w:rsidR="008F59F2" w:rsidRPr="00102894">
        <w:rPr>
          <w:rFonts w:ascii="Calibri" w:hAnsi="Calibri" w:cs="Calibri"/>
          <w:sz w:val="20"/>
          <w:szCs w:val="20"/>
        </w:rPr>
        <w:t>final RCS is produced, to reduce the CRA rating and so mi</w:t>
      </w:r>
      <w:r w:rsidR="004D3430" w:rsidRPr="00102894">
        <w:rPr>
          <w:rFonts w:ascii="Calibri" w:hAnsi="Calibri" w:cs="Calibri"/>
          <w:sz w:val="20"/>
          <w:szCs w:val="20"/>
        </w:rPr>
        <w:t>nimi</w:t>
      </w:r>
      <w:r w:rsidR="008F59F2" w:rsidRPr="00102894">
        <w:rPr>
          <w:rFonts w:ascii="Calibri" w:hAnsi="Calibri" w:cs="Calibri"/>
          <w:sz w:val="20"/>
          <w:szCs w:val="20"/>
        </w:rPr>
        <w:t xml:space="preserve">se the complexity of publishing </w:t>
      </w:r>
      <w:proofErr w:type="gramStart"/>
      <w:r w:rsidR="008F59F2" w:rsidRPr="00102894">
        <w:rPr>
          <w:rFonts w:ascii="Calibri" w:hAnsi="Calibri" w:cs="Calibri"/>
          <w:sz w:val="20"/>
          <w:szCs w:val="20"/>
        </w:rPr>
        <w:t>a</w:t>
      </w:r>
      <w:proofErr w:type="gramEnd"/>
      <w:r w:rsidR="008F59F2" w:rsidRPr="00102894">
        <w:rPr>
          <w:rFonts w:ascii="Calibri" w:hAnsi="Calibri" w:cs="Calibri"/>
          <w:sz w:val="20"/>
          <w:szCs w:val="20"/>
        </w:rPr>
        <w:t xml:space="preserve"> RCS.</w:t>
      </w:r>
    </w:p>
    <w:p w14:paraId="4275F61C" w14:textId="6BE4F963" w:rsidR="00ED4F69" w:rsidRPr="00102894" w:rsidRDefault="001513A2" w:rsidP="00102894">
      <w:pPr>
        <w:pStyle w:val="ListParagraph"/>
        <w:numPr>
          <w:ilvl w:val="0"/>
          <w:numId w:val="34"/>
        </w:numPr>
        <w:suppressAutoHyphens w:val="0"/>
        <w:spacing w:before="0" w:after="120" w:line="300" w:lineRule="exact"/>
        <w:ind w:left="567" w:hanging="357"/>
        <w:contextualSpacing w:val="0"/>
        <w:rPr>
          <w:rFonts w:ascii="Calibri" w:hAnsi="Calibri" w:cs="Calibri"/>
          <w:sz w:val="20"/>
          <w:szCs w:val="20"/>
        </w:rPr>
      </w:pPr>
      <w:r w:rsidRPr="00102894">
        <w:rPr>
          <w:rFonts w:ascii="Calibri" w:hAnsi="Calibri" w:cs="Calibri"/>
          <w:sz w:val="20"/>
          <w:szCs w:val="20"/>
        </w:rPr>
        <w:t xml:space="preserve">Support a broader perspective on risk than may </w:t>
      </w:r>
      <w:r w:rsidR="009B2582" w:rsidRPr="00102894">
        <w:rPr>
          <w:rFonts w:ascii="Calibri" w:hAnsi="Calibri" w:cs="Calibri"/>
          <w:sz w:val="20"/>
          <w:szCs w:val="20"/>
        </w:rPr>
        <w:t xml:space="preserve">not </w:t>
      </w:r>
      <w:r w:rsidRPr="00102894">
        <w:rPr>
          <w:rFonts w:ascii="Calibri" w:hAnsi="Calibri" w:cs="Calibri"/>
          <w:sz w:val="20"/>
          <w:szCs w:val="20"/>
        </w:rPr>
        <w:t xml:space="preserve">otherwise </w:t>
      </w:r>
      <w:r w:rsidR="007B7AD6" w:rsidRPr="00102894">
        <w:rPr>
          <w:rFonts w:ascii="Calibri" w:hAnsi="Calibri" w:cs="Calibri"/>
          <w:sz w:val="20"/>
          <w:szCs w:val="20"/>
        </w:rPr>
        <w:t>be considered</w:t>
      </w:r>
    </w:p>
    <w:p w14:paraId="0C05E4E8" w14:textId="77777777" w:rsidR="000C5832" w:rsidRPr="00083370" w:rsidRDefault="000C5832" w:rsidP="004D3430">
      <w:pPr>
        <w:pStyle w:val="BodyText1"/>
        <w:ind w:right="-425"/>
        <w:rPr>
          <w:rFonts w:ascii="Calibri" w:hAnsi="Calibri" w:cs="Calibri"/>
          <w:sz w:val="20"/>
          <w:szCs w:val="20"/>
        </w:rPr>
      </w:pPr>
    </w:p>
    <w:sectPr w:rsidR="000C5832" w:rsidRPr="00083370" w:rsidSect="005562C8">
      <w:type w:val="continuous"/>
      <w:pgSz w:w="11906" w:h="16838" w:code="9"/>
      <w:pgMar w:top="993" w:right="707" w:bottom="284" w:left="851" w:header="567" w:footer="7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136C" w14:textId="77777777" w:rsidR="00B07536" w:rsidRDefault="00B07536" w:rsidP="00EF4574">
      <w:pPr>
        <w:spacing w:before="0" w:after="0" w:line="240" w:lineRule="auto"/>
      </w:pPr>
      <w:r>
        <w:separator/>
      </w:r>
    </w:p>
    <w:p w14:paraId="187803B5" w14:textId="77777777" w:rsidR="00B07536" w:rsidRDefault="00B07536"/>
  </w:endnote>
  <w:endnote w:type="continuationSeparator" w:id="0">
    <w:p w14:paraId="717E5203" w14:textId="77777777" w:rsidR="00B07536" w:rsidRDefault="00B07536" w:rsidP="00EF4574">
      <w:pPr>
        <w:spacing w:before="0" w:after="0" w:line="240" w:lineRule="auto"/>
      </w:pPr>
      <w:r>
        <w:continuationSeparator/>
      </w:r>
    </w:p>
    <w:p w14:paraId="161D42FD" w14:textId="77777777" w:rsidR="00B07536" w:rsidRDefault="00B07536"/>
  </w:endnote>
  <w:endnote w:type="continuationNotice" w:id="1">
    <w:p w14:paraId="37E95B53" w14:textId="77777777" w:rsidR="00B07536" w:rsidRDefault="00B0753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Sans-500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6C3F5" w14:textId="77777777" w:rsidR="00F608EE" w:rsidRDefault="00F608EE" w:rsidP="005D3E0C">
    <w:pPr>
      <w:pStyle w:val="Footer"/>
      <w:jc w:val="right"/>
      <w:rPr>
        <w:noProof/>
      </w:rPr>
    </w:pPr>
  </w:p>
  <w:p w14:paraId="6975240A" w14:textId="761C7C69" w:rsidR="005D3E0C" w:rsidRDefault="005D3E0C" w:rsidP="005D3E0C">
    <w:pPr>
      <w:pStyle w:val="Footer"/>
      <w:jc w:val="right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64A7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50A2" w14:textId="77777777" w:rsidR="00B07536" w:rsidRDefault="00B07536" w:rsidP="0020122A">
      <w:pPr>
        <w:pStyle w:val="FootnoteSeparator"/>
      </w:pPr>
    </w:p>
  </w:footnote>
  <w:footnote w:type="continuationSeparator" w:id="0">
    <w:p w14:paraId="43D41A02" w14:textId="77777777" w:rsidR="00B07536" w:rsidRDefault="00B07536" w:rsidP="00EF4574">
      <w:pPr>
        <w:spacing w:before="0" w:after="0" w:line="240" w:lineRule="auto"/>
      </w:pPr>
      <w:r>
        <w:continuationSeparator/>
      </w:r>
    </w:p>
    <w:p w14:paraId="3AF695CB" w14:textId="77777777" w:rsidR="00B07536" w:rsidRDefault="00B07536"/>
  </w:footnote>
  <w:footnote w:type="continuationNotice" w:id="1">
    <w:p w14:paraId="691715C4" w14:textId="77777777" w:rsidR="00B07536" w:rsidRDefault="00B0753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74C10" w14:textId="6FD54B9D" w:rsidR="00F608EE" w:rsidRDefault="00BB30FB" w:rsidP="00BB30FB">
    <w:pPr>
      <w:pStyle w:val="Header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C2C111" wp14:editId="723FB480">
          <wp:simplePos x="0" y="0"/>
          <wp:positionH relativeFrom="page">
            <wp:posOffset>-2540</wp:posOffset>
          </wp:positionH>
          <wp:positionV relativeFrom="paragraph">
            <wp:posOffset>-352425</wp:posOffset>
          </wp:positionV>
          <wp:extent cx="7558587" cy="2346819"/>
          <wp:effectExtent l="0" t="0" r="4445" b="0"/>
          <wp:wrapNone/>
          <wp:docPr id="207620999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439854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587" cy="2346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E645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30B8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8A8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B289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20DC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2C46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5CE0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A2FB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9EA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DEA2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6601B"/>
    <w:multiLevelType w:val="hybridMultilevel"/>
    <w:tmpl w:val="8A5A3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F6B80"/>
    <w:multiLevelType w:val="multilevel"/>
    <w:tmpl w:val="437081D8"/>
    <w:styleLink w:val="Numberedlist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C670BC3"/>
    <w:multiLevelType w:val="hybridMultilevel"/>
    <w:tmpl w:val="348404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9E452F"/>
    <w:multiLevelType w:val="hybridMultilevel"/>
    <w:tmpl w:val="E2D83602"/>
    <w:lvl w:ilvl="0" w:tplc="03B0ED42">
      <w:start w:val="40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0E71D0"/>
    <w:multiLevelType w:val="hybridMultilevel"/>
    <w:tmpl w:val="A1FE013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  <w:color w:val="auto"/>
      </w:rPr>
    </w:lvl>
    <w:lvl w:ilvl="1" w:tplc="FFFFFFFF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0E1B58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B8575A2"/>
    <w:multiLevelType w:val="hybridMultilevel"/>
    <w:tmpl w:val="1D720CDA"/>
    <w:lvl w:ilvl="0" w:tplc="0C09000F">
      <w:start w:val="1"/>
      <w:numFmt w:val="decimal"/>
      <w:lvlText w:val="%1."/>
      <w:lvlJc w:val="left"/>
      <w:pPr>
        <w:ind w:left="816" w:hanging="360"/>
      </w:pPr>
    </w:lvl>
    <w:lvl w:ilvl="1" w:tplc="0C0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256" w:hanging="180"/>
      </w:pPr>
    </w:lvl>
    <w:lvl w:ilvl="3" w:tplc="0C09000F" w:tentative="1">
      <w:start w:val="1"/>
      <w:numFmt w:val="decimal"/>
      <w:lvlText w:val="%4."/>
      <w:lvlJc w:val="left"/>
      <w:pPr>
        <w:ind w:left="2976" w:hanging="360"/>
      </w:pPr>
    </w:lvl>
    <w:lvl w:ilvl="4" w:tplc="0C090019" w:tentative="1">
      <w:start w:val="1"/>
      <w:numFmt w:val="lowerLetter"/>
      <w:lvlText w:val="%5."/>
      <w:lvlJc w:val="left"/>
      <w:pPr>
        <w:ind w:left="3696" w:hanging="360"/>
      </w:pPr>
    </w:lvl>
    <w:lvl w:ilvl="5" w:tplc="0C09001B" w:tentative="1">
      <w:start w:val="1"/>
      <w:numFmt w:val="lowerRoman"/>
      <w:lvlText w:val="%6."/>
      <w:lvlJc w:val="right"/>
      <w:pPr>
        <w:ind w:left="4416" w:hanging="180"/>
      </w:pPr>
    </w:lvl>
    <w:lvl w:ilvl="6" w:tplc="0C09000F" w:tentative="1">
      <w:start w:val="1"/>
      <w:numFmt w:val="decimal"/>
      <w:lvlText w:val="%7."/>
      <w:lvlJc w:val="left"/>
      <w:pPr>
        <w:ind w:left="5136" w:hanging="360"/>
      </w:pPr>
    </w:lvl>
    <w:lvl w:ilvl="7" w:tplc="0C090019" w:tentative="1">
      <w:start w:val="1"/>
      <w:numFmt w:val="lowerLetter"/>
      <w:lvlText w:val="%8."/>
      <w:lvlJc w:val="left"/>
      <w:pPr>
        <w:ind w:left="5856" w:hanging="360"/>
      </w:pPr>
    </w:lvl>
    <w:lvl w:ilvl="8" w:tplc="0C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17" w15:restartNumberingAfterBreak="0">
    <w:nsid w:val="265C4BEF"/>
    <w:multiLevelType w:val="hybridMultilevel"/>
    <w:tmpl w:val="EF38FEAC"/>
    <w:lvl w:ilvl="0" w:tplc="0C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4214C9"/>
    <w:multiLevelType w:val="multilevel"/>
    <w:tmpl w:val="CB4E17A4"/>
    <w:styleLink w:val="Bullets"/>
    <w:lvl w:ilvl="0">
      <w:start w:val="1"/>
      <w:numFmt w:val="bullet"/>
      <w:pStyle w:val="Bullets1stindent"/>
      <w:lvlText w:val=""/>
      <w:lvlJc w:val="left"/>
      <w:pPr>
        <w:ind w:left="360" w:hanging="360"/>
      </w:pPr>
      <w:rPr>
        <w:rFonts w:ascii="Symbol" w:hAnsi="Symbol" w:hint="default"/>
        <w:color w:val="14708E"/>
      </w:rPr>
    </w:lvl>
    <w:lvl w:ilvl="1">
      <w:start w:val="1"/>
      <w:numFmt w:val="bullet"/>
      <w:pStyle w:val="Bullets2ndinden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14708E"/>
      </w:rPr>
    </w:lvl>
    <w:lvl w:ilvl="2">
      <w:start w:val="1"/>
      <w:numFmt w:val="bullet"/>
      <w:pStyle w:val="Bulletslast1stindent"/>
      <w:lvlText w:val="•"/>
      <w:lvlJc w:val="left"/>
      <w:pPr>
        <w:tabs>
          <w:tab w:val="num" w:pos="284"/>
        </w:tabs>
        <w:ind w:left="284" w:hanging="284"/>
      </w:pPr>
      <w:rPr>
        <w:rFonts w:ascii="Cambria" w:hAnsi="Cambria" w:hint="default"/>
        <w:color w:val="5BC6E8"/>
      </w:rPr>
    </w:lvl>
    <w:lvl w:ilvl="3">
      <w:start w:val="1"/>
      <w:numFmt w:val="bullet"/>
      <w:pStyle w:val="Bulletslast2ndindent"/>
      <w:lvlText w:val="•"/>
      <w:lvlJc w:val="left"/>
      <w:pPr>
        <w:tabs>
          <w:tab w:val="num" w:pos="567"/>
        </w:tabs>
        <w:ind w:left="567" w:hanging="283"/>
      </w:pPr>
      <w:rPr>
        <w:rFonts w:ascii="Cambria" w:hAnsi="Cambria" w:hint="default"/>
        <w:color w:val="5BC6E8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bullet"/>
      <w:pStyle w:val="Tablebullets1stindent"/>
      <w:lvlText w:val=""/>
      <w:lvlJc w:val="left"/>
      <w:pPr>
        <w:tabs>
          <w:tab w:val="num" w:pos="266"/>
        </w:tabs>
        <w:ind w:left="266" w:hanging="170"/>
      </w:pPr>
      <w:rPr>
        <w:rFonts w:ascii="Symbol" w:hAnsi="Symbol" w:hint="default"/>
        <w:color w:val="14708E"/>
        <w:sz w:val="16"/>
      </w:rPr>
    </w:lvl>
    <w:lvl w:ilvl="6">
      <w:start w:val="1"/>
      <w:numFmt w:val="bullet"/>
      <w:pStyle w:val="Tablebullets2ndindent"/>
      <w:lvlText w:val=""/>
      <w:lvlJc w:val="left"/>
      <w:pPr>
        <w:tabs>
          <w:tab w:val="num" w:pos="437"/>
        </w:tabs>
        <w:ind w:left="437" w:hanging="171"/>
      </w:pPr>
      <w:rPr>
        <w:rFonts w:ascii="Symbol" w:hAnsi="Symbol" w:hint="default"/>
        <w:color w:val="14708E"/>
        <w:sz w:val="16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4274F6"/>
    <w:multiLevelType w:val="hybridMultilevel"/>
    <w:tmpl w:val="BF361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9B159F"/>
    <w:multiLevelType w:val="multilevel"/>
    <w:tmpl w:val="1F963B46"/>
    <w:styleLink w:val="HeadingsList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21" w15:restartNumberingAfterBreak="0">
    <w:nsid w:val="2DEF70DC"/>
    <w:multiLevelType w:val="hybridMultilevel"/>
    <w:tmpl w:val="6D40BCBA"/>
    <w:lvl w:ilvl="0" w:tplc="0C09000F">
      <w:start w:val="1"/>
      <w:numFmt w:val="decimal"/>
      <w:lvlText w:val="%1."/>
      <w:lvlJc w:val="left"/>
      <w:pPr>
        <w:ind w:left="816" w:hanging="360"/>
      </w:pPr>
    </w:lvl>
    <w:lvl w:ilvl="1" w:tplc="0C090019">
      <w:start w:val="1"/>
      <w:numFmt w:val="lowerLetter"/>
      <w:lvlText w:val="%2."/>
      <w:lvlJc w:val="left"/>
      <w:pPr>
        <w:ind w:left="1536" w:hanging="360"/>
      </w:pPr>
    </w:lvl>
    <w:lvl w:ilvl="2" w:tplc="0C09001B" w:tentative="1">
      <w:start w:val="1"/>
      <w:numFmt w:val="lowerRoman"/>
      <w:lvlText w:val="%3."/>
      <w:lvlJc w:val="right"/>
      <w:pPr>
        <w:ind w:left="2256" w:hanging="180"/>
      </w:pPr>
    </w:lvl>
    <w:lvl w:ilvl="3" w:tplc="0C09000F" w:tentative="1">
      <w:start w:val="1"/>
      <w:numFmt w:val="decimal"/>
      <w:lvlText w:val="%4."/>
      <w:lvlJc w:val="left"/>
      <w:pPr>
        <w:ind w:left="2976" w:hanging="360"/>
      </w:pPr>
    </w:lvl>
    <w:lvl w:ilvl="4" w:tplc="0C090019" w:tentative="1">
      <w:start w:val="1"/>
      <w:numFmt w:val="lowerLetter"/>
      <w:lvlText w:val="%5."/>
      <w:lvlJc w:val="left"/>
      <w:pPr>
        <w:ind w:left="3696" w:hanging="360"/>
      </w:pPr>
    </w:lvl>
    <w:lvl w:ilvl="5" w:tplc="0C09001B" w:tentative="1">
      <w:start w:val="1"/>
      <w:numFmt w:val="lowerRoman"/>
      <w:lvlText w:val="%6."/>
      <w:lvlJc w:val="right"/>
      <w:pPr>
        <w:ind w:left="4416" w:hanging="180"/>
      </w:pPr>
    </w:lvl>
    <w:lvl w:ilvl="6" w:tplc="0C09000F" w:tentative="1">
      <w:start w:val="1"/>
      <w:numFmt w:val="decimal"/>
      <w:lvlText w:val="%7."/>
      <w:lvlJc w:val="left"/>
      <w:pPr>
        <w:ind w:left="5136" w:hanging="360"/>
      </w:pPr>
    </w:lvl>
    <w:lvl w:ilvl="7" w:tplc="0C090019" w:tentative="1">
      <w:start w:val="1"/>
      <w:numFmt w:val="lowerLetter"/>
      <w:lvlText w:val="%8."/>
      <w:lvlJc w:val="left"/>
      <w:pPr>
        <w:ind w:left="5856" w:hanging="360"/>
      </w:pPr>
    </w:lvl>
    <w:lvl w:ilvl="8" w:tplc="0C09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22" w15:restartNumberingAfterBreak="0">
    <w:nsid w:val="48D257FC"/>
    <w:multiLevelType w:val="hybridMultilevel"/>
    <w:tmpl w:val="64569A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06A17"/>
    <w:multiLevelType w:val="multilevel"/>
    <w:tmpl w:val="8BEAF466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5D7E15"/>
    <w:multiLevelType w:val="multilevel"/>
    <w:tmpl w:val="5860EE72"/>
    <w:styleLink w:val="TableHeadingNumbers"/>
    <w:lvl w:ilvl="0">
      <w:start w:val="1"/>
      <w:numFmt w:val="decimal"/>
      <w:lvlText w:val="Table %1."/>
      <w:lvlJc w:val="left"/>
      <w:pPr>
        <w:ind w:left="907" w:hanging="90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14" w:hanging="90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721" w:hanging="90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628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535" w:hanging="90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4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4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56" w:hanging="90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163" w:hanging="907"/>
      </w:pPr>
      <w:rPr>
        <w:rFonts w:hint="default"/>
      </w:rPr>
    </w:lvl>
  </w:abstractNum>
  <w:abstractNum w:abstractNumId="25" w15:restartNumberingAfterBreak="0">
    <w:nsid w:val="59EE57ED"/>
    <w:multiLevelType w:val="hybridMultilevel"/>
    <w:tmpl w:val="E590458E"/>
    <w:lvl w:ilvl="0" w:tplc="9568627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944B6B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D6073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847DE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5AA7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D5AA03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8A3F0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F6C5B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C2888A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EF649F"/>
    <w:multiLevelType w:val="multilevel"/>
    <w:tmpl w:val="3BD00EE2"/>
    <w:styleLink w:val="FigureTitles"/>
    <w:lvl w:ilvl="0">
      <w:start w:val="1"/>
      <w:numFmt w:val="decimal"/>
      <w:lvlText w:val="Figure %1."/>
      <w:lvlJc w:val="left"/>
      <w:pPr>
        <w:ind w:left="907" w:hanging="90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14" w:hanging="90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721" w:hanging="90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628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535" w:hanging="90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4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4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56" w:hanging="90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163" w:hanging="907"/>
      </w:pPr>
      <w:rPr>
        <w:rFonts w:hint="default"/>
      </w:rPr>
    </w:lvl>
  </w:abstractNum>
  <w:abstractNum w:abstractNumId="27" w15:restartNumberingAfterBreak="0">
    <w:nsid w:val="659B2AD9"/>
    <w:multiLevelType w:val="hybridMultilevel"/>
    <w:tmpl w:val="1200CFE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07305"/>
    <w:multiLevelType w:val="multilevel"/>
    <w:tmpl w:val="79262C7A"/>
    <w:styleLink w:val="BulletsList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9" w15:restartNumberingAfterBreak="0">
    <w:nsid w:val="7C7D10CB"/>
    <w:multiLevelType w:val="hybridMultilevel"/>
    <w:tmpl w:val="C30C239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64AEE064">
      <w:start w:val="1"/>
      <w:numFmt w:val="lowerLetter"/>
      <w:lvlText w:val="%2."/>
      <w:lvlJc w:val="left"/>
      <w:pPr>
        <w:ind w:left="1800" w:hanging="360"/>
      </w:pPr>
      <w:rPr>
        <w:b/>
      </w:r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0090077">
    <w:abstractNumId w:val="28"/>
  </w:num>
  <w:num w:numId="2" w16cid:durableId="1869906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2947469">
    <w:abstractNumId w:val="11"/>
  </w:num>
  <w:num w:numId="4" w16cid:durableId="2320845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1397082">
    <w:abstractNumId w:val="20"/>
  </w:num>
  <w:num w:numId="6" w16cid:durableId="2584143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76652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4127922">
    <w:abstractNumId w:val="15"/>
  </w:num>
  <w:num w:numId="9" w16cid:durableId="1810898306">
    <w:abstractNumId w:val="24"/>
  </w:num>
  <w:num w:numId="10" w16cid:durableId="1313218470">
    <w:abstractNumId w:val="26"/>
  </w:num>
  <w:num w:numId="11" w16cid:durableId="1942375182">
    <w:abstractNumId w:val="9"/>
  </w:num>
  <w:num w:numId="12" w16cid:durableId="1820809236">
    <w:abstractNumId w:val="7"/>
  </w:num>
  <w:num w:numId="13" w16cid:durableId="341132081">
    <w:abstractNumId w:val="6"/>
  </w:num>
  <w:num w:numId="14" w16cid:durableId="701590199">
    <w:abstractNumId w:val="5"/>
  </w:num>
  <w:num w:numId="15" w16cid:durableId="1276410">
    <w:abstractNumId w:val="4"/>
  </w:num>
  <w:num w:numId="16" w16cid:durableId="117837824">
    <w:abstractNumId w:val="8"/>
  </w:num>
  <w:num w:numId="17" w16cid:durableId="1752891864">
    <w:abstractNumId w:val="3"/>
  </w:num>
  <w:num w:numId="18" w16cid:durableId="145710018">
    <w:abstractNumId w:val="2"/>
  </w:num>
  <w:num w:numId="19" w16cid:durableId="1146775856">
    <w:abstractNumId w:val="1"/>
  </w:num>
  <w:num w:numId="20" w16cid:durableId="433982344">
    <w:abstractNumId w:val="0"/>
  </w:num>
  <w:num w:numId="21" w16cid:durableId="1617327153">
    <w:abstractNumId w:val="22"/>
  </w:num>
  <w:num w:numId="22" w16cid:durableId="1874536278">
    <w:abstractNumId w:val="17"/>
  </w:num>
  <w:num w:numId="23" w16cid:durableId="496849712">
    <w:abstractNumId w:val="10"/>
  </w:num>
  <w:num w:numId="24" w16cid:durableId="1104765958">
    <w:abstractNumId w:val="27"/>
  </w:num>
  <w:num w:numId="25" w16cid:durableId="321736526">
    <w:abstractNumId w:val="20"/>
  </w:num>
  <w:num w:numId="26" w16cid:durableId="316689965">
    <w:abstractNumId w:val="29"/>
  </w:num>
  <w:num w:numId="27" w16cid:durableId="816609064">
    <w:abstractNumId w:val="12"/>
  </w:num>
  <w:num w:numId="28" w16cid:durableId="1398431957">
    <w:abstractNumId w:val="19"/>
  </w:num>
  <w:num w:numId="29" w16cid:durableId="1601638570">
    <w:abstractNumId w:val="23"/>
  </w:num>
  <w:num w:numId="30" w16cid:durableId="1506047597">
    <w:abstractNumId w:val="18"/>
  </w:num>
  <w:num w:numId="31" w16cid:durableId="315185119">
    <w:abstractNumId w:val="21"/>
  </w:num>
  <w:num w:numId="32" w16cid:durableId="1237277377">
    <w:abstractNumId w:val="16"/>
  </w:num>
  <w:num w:numId="33" w16cid:durableId="335497712">
    <w:abstractNumId w:val="14"/>
  </w:num>
  <w:num w:numId="34" w16cid:durableId="1043166454">
    <w:abstractNumId w:val="25"/>
  </w:num>
  <w:num w:numId="35" w16cid:durableId="14940264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96C"/>
    <w:rsid w:val="00002258"/>
    <w:rsid w:val="0002782F"/>
    <w:rsid w:val="000362FC"/>
    <w:rsid w:val="00036B85"/>
    <w:rsid w:val="00050B4A"/>
    <w:rsid w:val="00051B1B"/>
    <w:rsid w:val="00054E4D"/>
    <w:rsid w:val="00060073"/>
    <w:rsid w:val="000603C7"/>
    <w:rsid w:val="000647A0"/>
    <w:rsid w:val="00065E7B"/>
    <w:rsid w:val="00071583"/>
    <w:rsid w:val="0007659E"/>
    <w:rsid w:val="000829F4"/>
    <w:rsid w:val="00083179"/>
    <w:rsid w:val="00083370"/>
    <w:rsid w:val="0008447C"/>
    <w:rsid w:val="000A257E"/>
    <w:rsid w:val="000A4B30"/>
    <w:rsid w:val="000A564E"/>
    <w:rsid w:val="000A6A8B"/>
    <w:rsid w:val="000B0FD7"/>
    <w:rsid w:val="000B1DA8"/>
    <w:rsid w:val="000C2A48"/>
    <w:rsid w:val="000C5832"/>
    <w:rsid w:val="000C5C49"/>
    <w:rsid w:val="000C5F75"/>
    <w:rsid w:val="000C683E"/>
    <w:rsid w:val="000D28D8"/>
    <w:rsid w:val="000D57F0"/>
    <w:rsid w:val="000D60B1"/>
    <w:rsid w:val="000D7CF2"/>
    <w:rsid w:val="000E3643"/>
    <w:rsid w:val="000E6DBD"/>
    <w:rsid w:val="00101123"/>
    <w:rsid w:val="00102894"/>
    <w:rsid w:val="001250EC"/>
    <w:rsid w:val="00133433"/>
    <w:rsid w:val="00136474"/>
    <w:rsid w:val="00136530"/>
    <w:rsid w:val="001513A2"/>
    <w:rsid w:val="001541EA"/>
    <w:rsid w:val="00154D7C"/>
    <w:rsid w:val="001612A4"/>
    <w:rsid w:val="0016383F"/>
    <w:rsid w:val="00170F04"/>
    <w:rsid w:val="001848A3"/>
    <w:rsid w:val="00194777"/>
    <w:rsid w:val="00194E95"/>
    <w:rsid w:val="001A7500"/>
    <w:rsid w:val="001B73EC"/>
    <w:rsid w:val="001D5117"/>
    <w:rsid w:val="001D7EB4"/>
    <w:rsid w:val="001E1DC0"/>
    <w:rsid w:val="001F1CE5"/>
    <w:rsid w:val="001F205A"/>
    <w:rsid w:val="0020122A"/>
    <w:rsid w:val="00215C03"/>
    <w:rsid w:val="00217FF9"/>
    <w:rsid w:val="00222ABC"/>
    <w:rsid w:val="002233E2"/>
    <w:rsid w:val="00225A75"/>
    <w:rsid w:val="002277AF"/>
    <w:rsid w:val="0023631B"/>
    <w:rsid w:val="002417EB"/>
    <w:rsid w:val="002478CA"/>
    <w:rsid w:val="00252F29"/>
    <w:rsid w:val="00262936"/>
    <w:rsid w:val="0026548B"/>
    <w:rsid w:val="00271FA8"/>
    <w:rsid w:val="0028602A"/>
    <w:rsid w:val="002870CB"/>
    <w:rsid w:val="002872A0"/>
    <w:rsid w:val="0029104B"/>
    <w:rsid w:val="00293E75"/>
    <w:rsid w:val="002A02E5"/>
    <w:rsid w:val="002A2B11"/>
    <w:rsid w:val="002B7879"/>
    <w:rsid w:val="002C34DF"/>
    <w:rsid w:val="002C46AE"/>
    <w:rsid w:val="002E1DAB"/>
    <w:rsid w:val="002E3FA0"/>
    <w:rsid w:val="002E5CDA"/>
    <w:rsid w:val="002F5017"/>
    <w:rsid w:val="00301144"/>
    <w:rsid w:val="003148B7"/>
    <w:rsid w:val="00314F51"/>
    <w:rsid w:val="003158C3"/>
    <w:rsid w:val="0031595E"/>
    <w:rsid w:val="0032491E"/>
    <w:rsid w:val="003274CD"/>
    <w:rsid w:val="00331815"/>
    <w:rsid w:val="00336674"/>
    <w:rsid w:val="00346DA7"/>
    <w:rsid w:val="00350784"/>
    <w:rsid w:val="0035119D"/>
    <w:rsid w:val="003602AF"/>
    <w:rsid w:val="00370FAC"/>
    <w:rsid w:val="00371C28"/>
    <w:rsid w:val="00373BEF"/>
    <w:rsid w:val="00374BBB"/>
    <w:rsid w:val="00375E67"/>
    <w:rsid w:val="00383E90"/>
    <w:rsid w:val="003A1788"/>
    <w:rsid w:val="003A501B"/>
    <w:rsid w:val="003A6A98"/>
    <w:rsid w:val="003A71C5"/>
    <w:rsid w:val="003B3DBA"/>
    <w:rsid w:val="003B4F12"/>
    <w:rsid w:val="003B5F54"/>
    <w:rsid w:val="003C0363"/>
    <w:rsid w:val="003C0E5E"/>
    <w:rsid w:val="003C154E"/>
    <w:rsid w:val="003C1994"/>
    <w:rsid w:val="003C78A7"/>
    <w:rsid w:val="003D0EFE"/>
    <w:rsid w:val="003D3B14"/>
    <w:rsid w:val="003E3664"/>
    <w:rsid w:val="003E703B"/>
    <w:rsid w:val="003F2A68"/>
    <w:rsid w:val="003F4DF5"/>
    <w:rsid w:val="003F558A"/>
    <w:rsid w:val="00410A40"/>
    <w:rsid w:val="0041437E"/>
    <w:rsid w:val="00416B67"/>
    <w:rsid w:val="00423F31"/>
    <w:rsid w:val="00431899"/>
    <w:rsid w:val="00434B40"/>
    <w:rsid w:val="00436E71"/>
    <w:rsid w:val="00437E87"/>
    <w:rsid w:val="00441297"/>
    <w:rsid w:val="004418D1"/>
    <w:rsid w:val="00455774"/>
    <w:rsid w:val="004565CF"/>
    <w:rsid w:val="00461407"/>
    <w:rsid w:val="004644FC"/>
    <w:rsid w:val="00464A7C"/>
    <w:rsid w:val="00486804"/>
    <w:rsid w:val="00493603"/>
    <w:rsid w:val="00497AAF"/>
    <w:rsid w:val="004A753F"/>
    <w:rsid w:val="004B3775"/>
    <w:rsid w:val="004B46E3"/>
    <w:rsid w:val="004C2A06"/>
    <w:rsid w:val="004C7753"/>
    <w:rsid w:val="004D3430"/>
    <w:rsid w:val="004E058F"/>
    <w:rsid w:val="004E1996"/>
    <w:rsid w:val="004E234E"/>
    <w:rsid w:val="004E3544"/>
    <w:rsid w:val="004E3B87"/>
    <w:rsid w:val="004E7613"/>
    <w:rsid w:val="004F296B"/>
    <w:rsid w:val="004F296E"/>
    <w:rsid w:val="004F5FFE"/>
    <w:rsid w:val="004F63B4"/>
    <w:rsid w:val="00510921"/>
    <w:rsid w:val="00510AD3"/>
    <w:rsid w:val="00511E81"/>
    <w:rsid w:val="00513348"/>
    <w:rsid w:val="005279BD"/>
    <w:rsid w:val="00533B5D"/>
    <w:rsid w:val="00534678"/>
    <w:rsid w:val="00553E4F"/>
    <w:rsid w:val="005562C8"/>
    <w:rsid w:val="00556C2A"/>
    <w:rsid w:val="005570E8"/>
    <w:rsid w:val="00560B41"/>
    <w:rsid w:val="00575B8D"/>
    <w:rsid w:val="00576566"/>
    <w:rsid w:val="005804F5"/>
    <w:rsid w:val="0058557C"/>
    <w:rsid w:val="005970EA"/>
    <w:rsid w:val="005A7A6E"/>
    <w:rsid w:val="005C37F0"/>
    <w:rsid w:val="005C7EEC"/>
    <w:rsid w:val="005D00BE"/>
    <w:rsid w:val="005D2D36"/>
    <w:rsid w:val="005D3E0C"/>
    <w:rsid w:val="005E37D8"/>
    <w:rsid w:val="005E58DE"/>
    <w:rsid w:val="00600121"/>
    <w:rsid w:val="00621C22"/>
    <w:rsid w:val="00623BA1"/>
    <w:rsid w:val="006346BC"/>
    <w:rsid w:val="006351E7"/>
    <w:rsid w:val="00645300"/>
    <w:rsid w:val="00650E73"/>
    <w:rsid w:val="006510D3"/>
    <w:rsid w:val="0065359E"/>
    <w:rsid w:val="00660A63"/>
    <w:rsid w:val="00666291"/>
    <w:rsid w:val="0066652A"/>
    <w:rsid w:val="00671A99"/>
    <w:rsid w:val="006762DD"/>
    <w:rsid w:val="00682167"/>
    <w:rsid w:val="00690CAD"/>
    <w:rsid w:val="006C16A5"/>
    <w:rsid w:val="006C42AF"/>
    <w:rsid w:val="006C4DD1"/>
    <w:rsid w:val="006D6980"/>
    <w:rsid w:val="006F5767"/>
    <w:rsid w:val="00711D8E"/>
    <w:rsid w:val="00712672"/>
    <w:rsid w:val="00717EC6"/>
    <w:rsid w:val="0072466A"/>
    <w:rsid w:val="0072656D"/>
    <w:rsid w:val="00734E3F"/>
    <w:rsid w:val="0073568D"/>
    <w:rsid w:val="00736985"/>
    <w:rsid w:val="00737A13"/>
    <w:rsid w:val="00746A71"/>
    <w:rsid w:val="00752EFA"/>
    <w:rsid w:val="00755521"/>
    <w:rsid w:val="00757E5F"/>
    <w:rsid w:val="00760AFC"/>
    <w:rsid w:val="007645FF"/>
    <w:rsid w:val="007703C0"/>
    <w:rsid w:val="0078273F"/>
    <w:rsid w:val="0078589F"/>
    <w:rsid w:val="007B5195"/>
    <w:rsid w:val="007B6200"/>
    <w:rsid w:val="007B7AD6"/>
    <w:rsid w:val="007C29BD"/>
    <w:rsid w:val="007C2C9D"/>
    <w:rsid w:val="007D29D9"/>
    <w:rsid w:val="007E1342"/>
    <w:rsid w:val="007E2E63"/>
    <w:rsid w:val="007F3D9B"/>
    <w:rsid w:val="00801B9F"/>
    <w:rsid w:val="008115F3"/>
    <w:rsid w:val="00817E57"/>
    <w:rsid w:val="00823CB4"/>
    <w:rsid w:val="0082589D"/>
    <w:rsid w:val="0082775D"/>
    <w:rsid w:val="0083037E"/>
    <w:rsid w:val="00835367"/>
    <w:rsid w:val="00847462"/>
    <w:rsid w:val="00852892"/>
    <w:rsid w:val="008534B0"/>
    <w:rsid w:val="008567BA"/>
    <w:rsid w:val="00856BD3"/>
    <w:rsid w:val="008571AF"/>
    <w:rsid w:val="008757CA"/>
    <w:rsid w:val="00880B3F"/>
    <w:rsid w:val="0088678B"/>
    <w:rsid w:val="00891E83"/>
    <w:rsid w:val="008942FF"/>
    <w:rsid w:val="0089781D"/>
    <w:rsid w:val="008A057D"/>
    <w:rsid w:val="008A0BB3"/>
    <w:rsid w:val="008A3A44"/>
    <w:rsid w:val="008A4625"/>
    <w:rsid w:val="008B1C55"/>
    <w:rsid w:val="008B3C80"/>
    <w:rsid w:val="008B62C7"/>
    <w:rsid w:val="008B7101"/>
    <w:rsid w:val="008C2EB9"/>
    <w:rsid w:val="008C680C"/>
    <w:rsid w:val="008C6C77"/>
    <w:rsid w:val="008D4A99"/>
    <w:rsid w:val="008F2A94"/>
    <w:rsid w:val="008F59F2"/>
    <w:rsid w:val="009022B3"/>
    <w:rsid w:val="0090309A"/>
    <w:rsid w:val="00906674"/>
    <w:rsid w:val="00906B99"/>
    <w:rsid w:val="00906CD5"/>
    <w:rsid w:val="00910823"/>
    <w:rsid w:val="00931530"/>
    <w:rsid w:val="00934A5B"/>
    <w:rsid w:val="009428A3"/>
    <w:rsid w:val="009549D2"/>
    <w:rsid w:val="0096193A"/>
    <w:rsid w:val="00965DB9"/>
    <w:rsid w:val="009774A8"/>
    <w:rsid w:val="0098331A"/>
    <w:rsid w:val="009A2DA7"/>
    <w:rsid w:val="009A2EA8"/>
    <w:rsid w:val="009B1E3B"/>
    <w:rsid w:val="009B2582"/>
    <w:rsid w:val="009B4D3B"/>
    <w:rsid w:val="009C705F"/>
    <w:rsid w:val="009D19E8"/>
    <w:rsid w:val="009D7407"/>
    <w:rsid w:val="009E0866"/>
    <w:rsid w:val="009F2822"/>
    <w:rsid w:val="00A01E7B"/>
    <w:rsid w:val="00A05A7C"/>
    <w:rsid w:val="00A05ACC"/>
    <w:rsid w:val="00A13472"/>
    <w:rsid w:val="00A20E8E"/>
    <w:rsid w:val="00A24A62"/>
    <w:rsid w:val="00A31C9F"/>
    <w:rsid w:val="00A43C7E"/>
    <w:rsid w:val="00A43DD3"/>
    <w:rsid w:val="00A53E8E"/>
    <w:rsid w:val="00A5585C"/>
    <w:rsid w:val="00A57A97"/>
    <w:rsid w:val="00A60A3C"/>
    <w:rsid w:val="00A63F87"/>
    <w:rsid w:val="00A669FE"/>
    <w:rsid w:val="00A67F9F"/>
    <w:rsid w:val="00A868DB"/>
    <w:rsid w:val="00A91948"/>
    <w:rsid w:val="00AB19CF"/>
    <w:rsid w:val="00AC164A"/>
    <w:rsid w:val="00AC3C46"/>
    <w:rsid w:val="00AD0BF9"/>
    <w:rsid w:val="00AD2B32"/>
    <w:rsid w:val="00AD3097"/>
    <w:rsid w:val="00AD6698"/>
    <w:rsid w:val="00AE2A8E"/>
    <w:rsid w:val="00AF2050"/>
    <w:rsid w:val="00AF2AF3"/>
    <w:rsid w:val="00AF3543"/>
    <w:rsid w:val="00AF64C7"/>
    <w:rsid w:val="00B0009A"/>
    <w:rsid w:val="00B042AC"/>
    <w:rsid w:val="00B07536"/>
    <w:rsid w:val="00B1314D"/>
    <w:rsid w:val="00B14937"/>
    <w:rsid w:val="00B20C8E"/>
    <w:rsid w:val="00B3165C"/>
    <w:rsid w:val="00B34525"/>
    <w:rsid w:val="00B350D9"/>
    <w:rsid w:val="00B408E8"/>
    <w:rsid w:val="00B46B37"/>
    <w:rsid w:val="00B51227"/>
    <w:rsid w:val="00B60352"/>
    <w:rsid w:val="00B6450D"/>
    <w:rsid w:val="00B770C4"/>
    <w:rsid w:val="00B91795"/>
    <w:rsid w:val="00B97DBD"/>
    <w:rsid w:val="00BA5AE9"/>
    <w:rsid w:val="00BB26C5"/>
    <w:rsid w:val="00BB30FB"/>
    <w:rsid w:val="00BB7F2E"/>
    <w:rsid w:val="00BD76AD"/>
    <w:rsid w:val="00BE0684"/>
    <w:rsid w:val="00BF4DE6"/>
    <w:rsid w:val="00C01733"/>
    <w:rsid w:val="00C0271B"/>
    <w:rsid w:val="00C06FEB"/>
    <w:rsid w:val="00C1171B"/>
    <w:rsid w:val="00C13570"/>
    <w:rsid w:val="00C14E22"/>
    <w:rsid w:val="00C15775"/>
    <w:rsid w:val="00C2358D"/>
    <w:rsid w:val="00C27965"/>
    <w:rsid w:val="00C332F8"/>
    <w:rsid w:val="00C373B5"/>
    <w:rsid w:val="00C42108"/>
    <w:rsid w:val="00C42CDE"/>
    <w:rsid w:val="00C52712"/>
    <w:rsid w:val="00C578F5"/>
    <w:rsid w:val="00C6277F"/>
    <w:rsid w:val="00C63BC9"/>
    <w:rsid w:val="00C732B5"/>
    <w:rsid w:val="00C75E0E"/>
    <w:rsid w:val="00C826C3"/>
    <w:rsid w:val="00C82A8B"/>
    <w:rsid w:val="00C83192"/>
    <w:rsid w:val="00C93FCE"/>
    <w:rsid w:val="00CA37B1"/>
    <w:rsid w:val="00CB1959"/>
    <w:rsid w:val="00CB1BE6"/>
    <w:rsid w:val="00CB61D4"/>
    <w:rsid w:val="00CC01F7"/>
    <w:rsid w:val="00CC0BC0"/>
    <w:rsid w:val="00CC4249"/>
    <w:rsid w:val="00CD4638"/>
    <w:rsid w:val="00CD4656"/>
    <w:rsid w:val="00CD5FAA"/>
    <w:rsid w:val="00CE06E0"/>
    <w:rsid w:val="00CE6F46"/>
    <w:rsid w:val="00D0188D"/>
    <w:rsid w:val="00D0296C"/>
    <w:rsid w:val="00D052B3"/>
    <w:rsid w:val="00D10969"/>
    <w:rsid w:val="00D12B74"/>
    <w:rsid w:val="00D17802"/>
    <w:rsid w:val="00D2253C"/>
    <w:rsid w:val="00D22869"/>
    <w:rsid w:val="00D44083"/>
    <w:rsid w:val="00D46D82"/>
    <w:rsid w:val="00D57D30"/>
    <w:rsid w:val="00D60BEC"/>
    <w:rsid w:val="00D61759"/>
    <w:rsid w:val="00D620AC"/>
    <w:rsid w:val="00D81BE2"/>
    <w:rsid w:val="00D82B50"/>
    <w:rsid w:val="00DA133A"/>
    <w:rsid w:val="00DA3D57"/>
    <w:rsid w:val="00DA4F16"/>
    <w:rsid w:val="00DB4D55"/>
    <w:rsid w:val="00DB6D69"/>
    <w:rsid w:val="00DC430B"/>
    <w:rsid w:val="00DC5643"/>
    <w:rsid w:val="00DC5644"/>
    <w:rsid w:val="00DC6D13"/>
    <w:rsid w:val="00DD2BB6"/>
    <w:rsid w:val="00DE522B"/>
    <w:rsid w:val="00DE7CB4"/>
    <w:rsid w:val="00DF1535"/>
    <w:rsid w:val="00DF25F7"/>
    <w:rsid w:val="00E00039"/>
    <w:rsid w:val="00E17B87"/>
    <w:rsid w:val="00E17C29"/>
    <w:rsid w:val="00E33443"/>
    <w:rsid w:val="00E3572C"/>
    <w:rsid w:val="00E357B7"/>
    <w:rsid w:val="00E3796E"/>
    <w:rsid w:val="00E44D53"/>
    <w:rsid w:val="00E46D3D"/>
    <w:rsid w:val="00E477CB"/>
    <w:rsid w:val="00E53800"/>
    <w:rsid w:val="00E600DE"/>
    <w:rsid w:val="00E6081F"/>
    <w:rsid w:val="00E826F8"/>
    <w:rsid w:val="00E87C02"/>
    <w:rsid w:val="00EA04B2"/>
    <w:rsid w:val="00EA20F3"/>
    <w:rsid w:val="00EA5A0F"/>
    <w:rsid w:val="00EC6CEC"/>
    <w:rsid w:val="00ED132E"/>
    <w:rsid w:val="00ED43D1"/>
    <w:rsid w:val="00ED4F69"/>
    <w:rsid w:val="00ED56D2"/>
    <w:rsid w:val="00EE044A"/>
    <w:rsid w:val="00EE4EE1"/>
    <w:rsid w:val="00EE79B0"/>
    <w:rsid w:val="00EF4574"/>
    <w:rsid w:val="00F00C3C"/>
    <w:rsid w:val="00F029AB"/>
    <w:rsid w:val="00F07F0A"/>
    <w:rsid w:val="00F21E0E"/>
    <w:rsid w:val="00F2684E"/>
    <w:rsid w:val="00F42DA2"/>
    <w:rsid w:val="00F53A74"/>
    <w:rsid w:val="00F608EE"/>
    <w:rsid w:val="00F6664C"/>
    <w:rsid w:val="00F669E4"/>
    <w:rsid w:val="00F729EF"/>
    <w:rsid w:val="00F75143"/>
    <w:rsid w:val="00F77CAE"/>
    <w:rsid w:val="00F83526"/>
    <w:rsid w:val="00F96BB9"/>
    <w:rsid w:val="00FA58E6"/>
    <w:rsid w:val="00FB44AA"/>
    <w:rsid w:val="00FE6D51"/>
    <w:rsid w:val="00FF6302"/>
    <w:rsid w:val="00FF6ED1"/>
    <w:rsid w:val="05B50E3C"/>
    <w:rsid w:val="05C83D41"/>
    <w:rsid w:val="0702A99E"/>
    <w:rsid w:val="08E917A6"/>
    <w:rsid w:val="0DD6F750"/>
    <w:rsid w:val="0E2A8833"/>
    <w:rsid w:val="1657F4B7"/>
    <w:rsid w:val="168A2CA1"/>
    <w:rsid w:val="173AD298"/>
    <w:rsid w:val="18BDF172"/>
    <w:rsid w:val="1A378332"/>
    <w:rsid w:val="1D0237DB"/>
    <w:rsid w:val="1D38F99B"/>
    <w:rsid w:val="209BEF6B"/>
    <w:rsid w:val="210E4345"/>
    <w:rsid w:val="2140CB5D"/>
    <w:rsid w:val="239CADC0"/>
    <w:rsid w:val="23C113D1"/>
    <w:rsid w:val="2919F9C3"/>
    <w:rsid w:val="2B58A5FC"/>
    <w:rsid w:val="2EDA311B"/>
    <w:rsid w:val="30AE2C7F"/>
    <w:rsid w:val="335CB5CB"/>
    <w:rsid w:val="34D2FF43"/>
    <w:rsid w:val="34E5D902"/>
    <w:rsid w:val="35AD5C88"/>
    <w:rsid w:val="3687F654"/>
    <w:rsid w:val="37F1A8D3"/>
    <w:rsid w:val="3B19E339"/>
    <w:rsid w:val="3B5CFB4D"/>
    <w:rsid w:val="3D05A79F"/>
    <w:rsid w:val="3DA31C1B"/>
    <w:rsid w:val="3EAA9D51"/>
    <w:rsid w:val="40255775"/>
    <w:rsid w:val="40DADDA2"/>
    <w:rsid w:val="433EF2A5"/>
    <w:rsid w:val="44484DF1"/>
    <w:rsid w:val="46907D18"/>
    <w:rsid w:val="490F96B2"/>
    <w:rsid w:val="4D72BED5"/>
    <w:rsid w:val="4E04B2B1"/>
    <w:rsid w:val="4FA67BCB"/>
    <w:rsid w:val="529BA432"/>
    <w:rsid w:val="551BA3F9"/>
    <w:rsid w:val="55273014"/>
    <w:rsid w:val="5BDFB764"/>
    <w:rsid w:val="61B468A8"/>
    <w:rsid w:val="63068784"/>
    <w:rsid w:val="682C56E1"/>
    <w:rsid w:val="68A11C95"/>
    <w:rsid w:val="6DB00501"/>
    <w:rsid w:val="6DBF1884"/>
    <w:rsid w:val="6F0A518B"/>
    <w:rsid w:val="6FDF6435"/>
    <w:rsid w:val="727BFBA6"/>
    <w:rsid w:val="73978CD3"/>
    <w:rsid w:val="73CCD9BE"/>
    <w:rsid w:val="75D438D1"/>
    <w:rsid w:val="75F140D2"/>
    <w:rsid w:val="77773B8C"/>
    <w:rsid w:val="7B6D0B9C"/>
    <w:rsid w:val="7D26D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41390"/>
  <w15:docId w15:val="{E03716D0-90FB-4D6E-B542-A307F6275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20" w:line="4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4AA"/>
    <w:pPr>
      <w:suppressAutoHyphens/>
      <w:spacing w:before="180" w:after="60" w:line="28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1612A4"/>
    <w:pPr>
      <w:keepNext/>
      <w:keepLines/>
      <w:spacing w:before="360" w:after="120" w:line="460" w:lineRule="atLeast"/>
      <w:contextualSpacing/>
      <w:outlineLvl w:val="0"/>
    </w:pPr>
    <w:rPr>
      <w:rFonts w:asciiTheme="majorHAnsi" w:eastAsiaTheme="majorEastAsia" w:hAnsiTheme="majorHAnsi" w:cstheme="majorBidi"/>
      <w:bCs/>
      <w:color w:val="1C1C1C" w:themeColor="text2"/>
      <w:sz w:val="40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612A4"/>
    <w:pPr>
      <w:spacing w:line="400" w:lineRule="atLeast"/>
      <w:outlineLvl w:val="1"/>
    </w:pPr>
    <w:rPr>
      <w:bCs w:val="0"/>
      <w:sz w:val="3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46D82"/>
    <w:pPr>
      <w:spacing w:line="340" w:lineRule="atLeast"/>
      <w:outlineLvl w:val="2"/>
    </w:pPr>
    <w:rPr>
      <w:bCs/>
      <w:sz w:val="30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46D82"/>
    <w:pPr>
      <w:spacing w:before="240" w:line="300" w:lineRule="atLeast"/>
      <w:outlineLvl w:val="3"/>
    </w:pPr>
    <w:rPr>
      <w:iCs/>
      <w:sz w:val="26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23BA1"/>
    <w:pPr>
      <w:outlineLvl w:val="4"/>
    </w:pPr>
    <w:rPr>
      <w:i/>
      <w:color w:val="56C2BE" w:themeColor="accent1" w:themeShade="BF"/>
      <w:sz w:val="22"/>
    </w:rPr>
  </w:style>
  <w:style w:type="paragraph" w:styleId="Heading6">
    <w:name w:val="heading 6"/>
    <w:basedOn w:val="Heading5"/>
    <w:next w:val="Normal"/>
    <w:link w:val="Heading6Char"/>
    <w:uiPriority w:val="9"/>
    <w:semiHidden/>
    <w:unhideWhenUsed/>
    <w:qFormat/>
    <w:rsid w:val="00486804"/>
    <w:pPr>
      <w:spacing w:before="40"/>
      <w:outlineLvl w:val="5"/>
    </w:pPr>
    <w:rPr>
      <w:color w:val="318885" w:themeColor="accent1" w:themeShade="7F"/>
    </w:rPr>
  </w:style>
  <w:style w:type="paragraph" w:styleId="Heading7">
    <w:name w:val="heading 7"/>
    <w:basedOn w:val="Heading6"/>
    <w:next w:val="Normal"/>
    <w:link w:val="Heading7Char"/>
    <w:uiPriority w:val="9"/>
    <w:semiHidden/>
    <w:unhideWhenUsed/>
    <w:qFormat/>
    <w:rsid w:val="00486804"/>
    <w:pPr>
      <w:outlineLvl w:val="6"/>
    </w:pPr>
    <w:rPr>
      <w:i w:val="0"/>
      <w:iCs w:val="0"/>
    </w:rPr>
  </w:style>
  <w:style w:type="paragraph" w:styleId="Heading8">
    <w:name w:val="heading 8"/>
    <w:basedOn w:val="Heading7"/>
    <w:next w:val="Normal"/>
    <w:link w:val="Heading8Char"/>
    <w:uiPriority w:val="9"/>
    <w:semiHidden/>
    <w:unhideWhenUsed/>
    <w:qFormat/>
    <w:rsid w:val="00486804"/>
    <w:pPr>
      <w:outlineLvl w:val="7"/>
    </w:pPr>
    <w:rPr>
      <w:color w:val="272727" w:themeColor="text1" w:themeTint="D8"/>
      <w:sz w:val="21"/>
      <w:szCs w:val="21"/>
    </w:rPr>
  </w:style>
  <w:style w:type="paragraph" w:styleId="Heading9">
    <w:name w:val="heading 9"/>
    <w:basedOn w:val="Heading8"/>
    <w:next w:val="Normal"/>
    <w:link w:val="Heading9Char"/>
    <w:uiPriority w:val="9"/>
    <w:semiHidden/>
    <w:unhideWhenUsed/>
    <w:qFormat/>
    <w:rsid w:val="00486804"/>
    <w:pPr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2A4"/>
    <w:rPr>
      <w:rFonts w:asciiTheme="majorHAnsi" w:eastAsiaTheme="majorEastAsia" w:hAnsiTheme="majorHAnsi" w:cstheme="majorBidi"/>
      <w:bCs/>
      <w:color w:val="1C1C1C" w:themeColor="text2"/>
      <w:sz w:val="4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612A4"/>
    <w:rPr>
      <w:rFonts w:asciiTheme="majorHAnsi" w:eastAsiaTheme="majorEastAsia" w:hAnsiTheme="majorHAnsi" w:cstheme="majorBidi"/>
      <w:color w:val="1C1C1C" w:themeColor="text2"/>
      <w:sz w:val="3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46D82"/>
    <w:rPr>
      <w:rFonts w:asciiTheme="majorHAnsi" w:eastAsiaTheme="majorEastAsia" w:hAnsiTheme="majorHAnsi" w:cstheme="majorBidi"/>
      <w:bCs/>
      <w:color w:val="1C1C1C" w:themeColor="text2"/>
      <w:sz w:val="30"/>
      <w:szCs w:val="26"/>
    </w:rPr>
  </w:style>
  <w:style w:type="paragraph" w:customStyle="1" w:styleId="NormalIndented">
    <w:name w:val="Normal Indented"/>
    <w:basedOn w:val="Normal"/>
    <w:qFormat/>
    <w:rsid w:val="00D0296C"/>
    <w:pPr>
      <w:ind w:left="284"/>
    </w:pPr>
  </w:style>
  <w:style w:type="paragraph" w:styleId="Title">
    <w:name w:val="Title"/>
    <w:basedOn w:val="Heading1"/>
    <w:next w:val="Normal"/>
    <w:link w:val="TitleChar"/>
    <w:uiPriority w:val="10"/>
    <w:qFormat/>
    <w:rsid w:val="00645300"/>
    <w:pPr>
      <w:spacing w:before="720"/>
    </w:pPr>
  </w:style>
  <w:style w:type="character" w:customStyle="1" w:styleId="TitleChar">
    <w:name w:val="Title Char"/>
    <w:basedOn w:val="DefaultParagraphFont"/>
    <w:link w:val="Title"/>
    <w:uiPriority w:val="10"/>
    <w:rsid w:val="00645300"/>
    <w:rPr>
      <w:rFonts w:asciiTheme="majorHAnsi" w:eastAsiaTheme="majorEastAsia" w:hAnsiTheme="majorHAnsi" w:cstheme="majorBidi"/>
      <w:bCs/>
      <w:color w:val="1C1C1C" w:themeColor="text2"/>
      <w:sz w:val="40"/>
      <w:szCs w:val="28"/>
    </w:rPr>
  </w:style>
  <w:style w:type="paragraph" w:styleId="Subtitle">
    <w:name w:val="Subtitle"/>
    <w:basedOn w:val="Title"/>
    <w:next w:val="Normal"/>
    <w:link w:val="SubtitleChar"/>
    <w:uiPriority w:val="11"/>
    <w:qFormat/>
    <w:rsid w:val="00645300"/>
    <w:pPr>
      <w:numPr>
        <w:ilvl w:val="1"/>
      </w:numPr>
      <w:spacing w:before="0" w:after="480" w:line="260" w:lineRule="atLeast"/>
    </w:pPr>
    <w:rPr>
      <w:b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45300"/>
    <w:rPr>
      <w:rFonts w:asciiTheme="majorHAnsi" w:eastAsiaTheme="majorEastAsia" w:hAnsiTheme="majorHAnsi" w:cstheme="majorBidi"/>
      <w:b/>
      <w:bCs/>
      <w:iCs/>
      <w:color w:val="1C1C1C" w:themeColor="text2"/>
      <w:sz w:val="24"/>
      <w:szCs w:val="24"/>
    </w:rPr>
  </w:style>
  <w:style w:type="paragraph" w:customStyle="1" w:styleId="Bullet1">
    <w:name w:val="Bullet 1"/>
    <w:basedOn w:val="Normal"/>
    <w:qFormat/>
    <w:rsid w:val="00FB44AA"/>
    <w:pPr>
      <w:numPr>
        <w:numId w:val="1"/>
      </w:numPr>
      <w:spacing w:before="120"/>
    </w:pPr>
  </w:style>
  <w:style w:type="paragraph" w:customStyle="1" w:styleId="Bullet2">
    <w:name w:val="Bullet 2"/>
    <w:basedOn w:val="Bullet1"/>
    <w:qFormat/>
    <w:rsid w:val="00F2684E"/>
    <w:pPr>
      <w:numPr>
        <w:ilvl w:val="1"/>
      </w:numPr>
    </w:pPr>
  </w:style>
  <w:style w:type="paragraph" w:customStyle="1" w:styleId="Bullet3">
    <w:name w:val="Bullet 3"/>
    <w:basedOn w:val="Bullet2"/>
    <w:qFormat/>
    <w:rsid w:val="00F2684E"/>
    <w:pPr>
      <w:numPr>
        <w:ilvl w:val="2"/>
      </w:numPr>
    </w:pPr>
  </w:style>
  <w:style w:type="paragraph" w:customStyle="1" w:styleId="NumberedList1">
    <w:name w:val="Numbered List 1"/>
    <w:basedOn w:val="Normal"/>
    <w:qFormat/>
    <w:rsid w:val="00576566"/>
    <w:pPr>
      <w:numPr>
        <w:numId w:val="3"/>
      </w:numPr>
    </w:pPr>
  </w:style>
  <w:style w:type="paragraph" w:customStyle="1" w:styleId="NumberedList2">
    <w:name w:val="Numbered List 2"/>
    <w:basedOn w:val="NumberedList1"/>
    <w:qFormat/>
    <w:rsid w:val="00576566"/>
    <w:pPr>
      <w:numPr>
        <w:ilvl w:val="1"/>
      </w:numPr>
      <w:spacing w:before="120"/>
    </w:pPr>
  </w:style>
  <w:style w:type="paragraph" w:customStyle="1" w:styleId="NumberedList3">
    <w:name w:val="Numbered List 3"/>
    <w:basedOn w:val="NumberedList2"/>
    <w:qFormat/>
    <w:rsid w:val="00576566"/>
    <w:pPr>
      <w:numPr>
        <w:ilvl w:val="2"/>
      </w:numPr>
    </w:pPr>
  </w:style>
  <w:style w:type="paragraph" w:customStyle="1" w:styleId="Heading1Numbered">
    <w:name w:val="Heading 1 Numbered"/>
    <w:basedOn w:val="Heading1"/>
    <w:next w:val="Normal"/>
    <w:qFormat/>
    <w:rsid w:val="001E1DC0"/>
    <w:pPr>
      <w:numPr>
        <w:numId w:val="5"/>
      </w:numPr>
    </w:pPr>
  </w:style>
  <w:style w:type="paragraph" w:customStyle="1" w:styleId="Heading2Numbered">
    <w:name w:val="Heading 2 Numbered"/>
    <w:basedOn w:val="Heading2"/>
    <w:next w:val="Normal"/>
    <w:qFormat/>
    <w:rsid w:val="0082589D"/>
    <w:pPr>
      <w:numPr>
        <w:ilvl w:val="1"/>
        <w:numId w:val="5"/>
      </w:numPr>
    </w:pPr>
    <w:rPr>
      <w:bCs/>
    </w:rPr>
  </w:style>
  <w:style w:type="paragraph" w:customStyle="1" w:styleId="Heading3Numbered">
    <w:name w:val="Heading 3 Numbered"/>
    <w:basedOn w:val="Heading3"/>
    <w:next w:val="Normal"/>
    <w:qFormat/>
    <w:rsid w:val="001D7EB4"/>
    <w:pPr>
      <w:numPr>
        <w:ilvl w:val="2"/>
        <w:numId w:val="5"/>
      </w:numPr>
    </w:pPr>
    <w:rPr>
      <w:szCs w:val="22"/>
    </w:rPr>
  </w:style>
  <w:style w:type="numbering" w:customStyle="1" w:styleId="BulletsList">
    <w:name w:val="Bullets List"/>
    <w:uiPriority w:val="99"/>
    <w:rsid w:val="00F2684E"/>
    <w:pPr>
      <w:numPr>
        <w:numId w:val="1"/>
      </w:numPr>
    </w:pPr>
  </w:style>
  <w:style w:type="numbering" w:customStyle="1" w:styleId="Numberedlist">
    <w:name w:val="Numbered list"/>
    <w:uiPriority w:val="99"/>
    <w:rsid w:val="00F2684E"/>
    <w:pPr>
      <w:numPr>
        <w:numId w:val="3"/>
      </w:numPr>
    </w:pPr>
  </w:style>
  <w:style w:type="numbering" w:customStyle="1" w:styleId="HeadingsList">
    <w:name w:val="Headings List"/>
    <w:uiPriority w:val="99"/>
    <w:rsid w:val="001E1DC0"/>
    <w:pPr>
      <w:numPr>
        <w:numId w:val="5"/>
      </w:numPr>
    </w:pPr>
  </w:style>
  <w:style w:type="table" w:styleId="PlainTable2">
    <w:name w:val="Plain Table 2"/>
    <w:basedOn w:val="TableNormal"/>
    <w:uiPriority w:val="42"/>
    <w:rsid w:val="003148B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 w:val="0"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20122A"/>
    <w:pPr>
      <w:suppressAutoHyphens w:val="0"/>
      <w:contextualSpacing w:val="0"/>
      <w:outlineLvl w:val="9"/>
    </w:pPr>
    <w:rPr>
      <w:bCs w:val="0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46D82"/>
    <w:rPr>
      <w:rFonts w:asciiTheme="majorHAnsi" w:eastAsiaTheme="majorEastAsia" w:hAnsiTheme="majorHAnsi" w:cstheme="majorBidi"/>
      <w:bCs/>
      <w:iCs/>
      <w:color w:val="1C1C1C" w:themeColor="text2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C27965"/>
    <w:pPr>
      <w:tabs>
        <w:tab w:val="left" w:pos="454"/>
        <w:tab w:val="right" w:pos="9072"/>
      </w:tabs>
      <w:spacing w:after="180" w:line="230" w:lineRule="atLeast"/>
    </w:pPr>
    <w:rPr>
      <w:b/>
      <w:sz w:val="23"/>
    </w:rPr>
  </w:style>
  <w:style w:type="paragraph" w:styleId="TOC2">
    <w:name w:val="toc 2"/>
    <w:basedOn w:val="Normal"/>
    <w:next w:val="Normal"/>
    <w:autoRedefine/>
    <w:uiPriority w:val="39"/>
    <w:unhideWhenUsed/>
    <w:rsid w:val="00C27965"/>
    <w:pPr>
      <w:tabs>
        <w:tab w:val="left" w:pos="454"/>
        <w:tab w:val="right" w:pos="9072"/>
      </w:tabs>
      <w:spacing w:after="180" w:line="230" w:lineRule="atLeast"/>
      <w:ind w:left="738" w:hanging="454"/>
    </w:pPr>
  </w:style>
  <w:style w:type="paragraph" w:styleId="TOC3">
    <w:name w:val="toc 3"/>
    <w:basedOn w:val="Normal"/>
    <w:next w:val="Normal"/>
    <w:autoRedefine/>
    <w:uiPriority w:val="39"/>
    <w:unhideWhenUsed/>
    <w:rsid w:val="00880B3F"/>
    <w:pPr>
      <w:tabs>
        <w:tab w:val="left" w:pos="1134"/>
        <w:tab w:val="right" w:pos="9072"/>
      </w:tabs>
      <w:spacing w:before="60"/>
      <w:ind w:left="1134" w:hanging="680"/>
    </w:pPr>
  </w:style>
  <w:style w:type="paragraph" w:styleId="Header">
    <w:name w:val="header"/>
    <w:basedOn w:val="Normal"/>
    <w:link w:val="HeaderChar"/>
    <w:uiPriority w:val="99"/>
    <w:unhideWhenUsed/>
    <w:rsid w:val="00DB6D69"/>
    <w:pPr>
      <w:tabs>
        <w:tab w:val="center" w:pos="4513"/>
        <w:tab w:val="right" w:pos="9026"/>
      </w:tabs>
      <w:spacing w:before="0" w:after="0" w:line="180" w:lineRule="atLeast"/>
      <w:jc w:val="right"/>
    </w:pPr>
    <w:rPr>
      <w:sz w:val="14"/>
    </w:rPr>
  </w:style>
  <w:style w:type="paragraph" w:styleId="TOC4">
    <w:name w:val="toc 4"/>
    <w:basedOn w:val="Normal"/>
    <w:next w:val="Normal"/>
    <w:autoRedefine/>
    <w:uiPriority w:val="39"/>
    <w:unhideWhenUsed/>
    <w:rsid w:val="0035119D"/>
    <w:pPr>
      <w:suppressAutoHyphens w:val="0"/>
      <w:spacing w:before="0" w:after="100" w:line="259" w:lineRule="auto"/>
      <w:ind w:left="660"/>
    </w:pPr>
    <w:rPr>
      <w:rFonts w:eastAsiaTheme="minorEastAsia"/>
      <w:lang w:eastAsia="en-AU"/>
    </w:rPr>
  </w:style>
  <w:style w:type="paragraph" w:styleId="TOC5">
    <w:name w:val="toc 5"/>
    <w:basedOn w:val="Normal"/>
    <w:next w:val="Normal"/>
    <w:autoRedefine/>
    <w:uiPriority w:val="39"/>
    <w:unhideWhenUsed/>
    <w:rsid w:val="0035119D"/>
    <w:pPr>
      <w:suppressAutoHyphens w:val="0"/>
      <w:spacing w:before="0" w:after="100" w:line="259" w:lineRule="auto"/>
      <w:ind w:left="880"/>
    </w:pPr>
    <w:rPr>
      <w:rFonts w:eastAsiaTheme="minorEastAsia"/>
      <w:lang w:eastAsia="en-AU"/>
    </w:rPr>
  </w:style>
  <w:style w:type="paragraph" w:styleId="TOC6">
    <w:name w:val="toc 6"/>
    <w:basedOn w:val="Normal"/>
    <w:next w:val="Normal"/>
    <w:autoRedefine/>
    <w:uiPriority w:val="39"/>
    <w:unhideWhenUsed/>
    <w:rsid w:val="0035119D"/>
    <w:pPr>
      <w:suppressAutoHyphens w:val="0"/>
      <w:spacing w:before="0" w:after="100" w:line="259" w:lineRule="auto"/>
      <w:ind w:left="1100"/>
    </w:pPr>
    <w:rPr>
      <w:rFonts w:eastAsiaTheme="minorEastAsia"/>
      <w:lang w:eastAsia="en-AU"/>
    </w:rPr>
  </w:style>
  <w:style w:type="paragraph" w:styleId="TOC7">
    <w:name w:val="toc 7"/>
    <w:basedOn w:val="Normal"/>
    <w:next w:val="Normal"/>
    <w:autoRedefine/>
    <w:uiPriority w:val="39"/>
    <w:unhideWhenUsed/>
    <w:rsid w:val="0035119D"/>
    <w:pPr>
      <w:suppressAutoHyphens w:val="0"/>
      <w:spacing w:before="0" w:after="100" w:line="259" w:lineRule="auto"/>
      <w:ind w:left="1320"/>
    </w:pPr>
    <w:rPr>
      <w:rFonts w:eastAsiaTheme="minorEastAsia"/>
      <w:lang w:eastAsia="en-AU"/>
    </w:rPr>
  </w:style>
  <w:style w:type="numbering" w:customStyle="1" w:styleId="TableHeadingNumbers">
    <w:name w:val="Table Heading Numbers"/>
    <w:uiPriority w:val="99"/>
    <w:rsid w:val="00FE6D51"/>
    <w:pPr>
      <w:numPr>
        <w:numId w:val="9"/>
      </w:numPr>
    </w:pPr>
  </w:style>
  <w:style w:type="paragraph" w:styleId="TOC8">
    <w:name w:val="toc 8"/>
    <w:basedOn w:val="Normal"/>
    <w:next w:val="Normal"/>
    <w:autoRedefine/>
    <w:uiPriority w:val="39"/>
    <w:unhideWhenUsed/>
    <w:rsid w:val="0035119D"/>
    <w:pPr>
      <w:suppressAutoHyphens w:val="0"/>
      <w:spacing w:before="0" w:after="100" w:line="259" w:lineRule="auto"/>
      <w:ind w:left="1540"/>
    </w:pPr>
    <w:rPr>
      <w:rFonts w:eastAsiaTheme="minorEastAsia"/>
      <w:lang w:eastAsia="en-AU"/>
    </w:rPr>
  </w:style>
  <w:style w:type="paragraph" w:styleId="TOC9">
    <w:name w:val="toc 9"/>
    <w:basedOn w:val="Normal"/>
    <w:next w:val="Normal"/>
    <w:autoRedefine/>
    <w:uiPriority w:val="39"/>
    <w:unhideWhenUsed/>
    <w:rsid w:val="0035119D"/>
    <w:pPr>
      <w:suppressAutoHyphens w:val="0"/>
      <w:spacing w:before="0" w:after="100" w:line="259" w:lineRule="auto"/>
      <w:ind w:left="1760"/>
    </w:pPr>
    <w:rPr>
      <w:rFonts w:eastAsiaTheme="minorEastAsia"/>
      <w:lang w:eastAsia="en-AU"/>
    </w:rPr>
  </w:style>
  <w:style w:type="paragraph" w:styleId="TableofFigures">
    <w:name w:val="table of figures"/>
    <w:basedOn w:val="Normal"/>
    <w:next w:val="Normal"/>
    <w:uiPriority w:val="99"/>
    <w:unhideWhenUsed/>
    <w:rsid w:val="0035119D"/>
    <w:pPr>
      <w:spacing w:after="0"/>
      <w:ind w:left="907" w:hanging="907"/>
    </w:pPr>
  </w:style>
  <w:style w:type="paragraph" w:customStyle="1" w:styleId="IntroPara">
    <w:name w:val="Intro Para"/>
    <w:basedOn w:val="Normal"/>
    <w:qFormat/>
    <w:rsid w:val="001612A4"/>
    <w:pPr>
      <w:pBdr>
        <w:bottom w:val="single" w:sz="4" w:space="6" w:color="9CDBD9" w:themeColor="accent1"/>
      </w:pBdr>
    </w:pPr>
    <w:rPr>
      <w:sz w:val="24"/>
    </w:rPr>
  </w:style>
  <w:style w:type="table" w:styleId="TableGrid">
    <w:name w:val="Table Grid"/>
    <w:basedOn w:val="TableNormal"/>
    <w:rsid w:val="00314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DB6D69"/>
    <w:rPr>
      <w:sz w:val="14"/>
    </w:rPr>
  </w:style>
  <w:style w:type="numbering" w:customStyle="1" w:styleId="FigureTitles">
    <w:name w:val="Figure Titles"/>
    <w:uiPriority w:val="99"/>
    <w:rsid w:val="006346BC"/>
    <w:pPr>
      <w:numPr>
        <w:numId w:val="10"/>
      </w:numPr>
    </w:pPr>
  </w:style>
  <w:style w:type="character" w:styleId="Hyperlink">
    <w:name w:val="Hyperlink"/>
    <w:basedOn w:val="DefaultParagraphFont"/>
    <w:uiPriority w:val="99"/>
    <w:rsid w:val="00F729EF"/>
    <w:rPr>
      <w:rFonts w:asciiTheme="minorHAnsi" w:hAnsiTheme="minorHAnsi" w:cs="MuseoSans-500"/>
      <w:color w:val="auto"/>
      <w:u w:val="single" w:color="0070C0"/>
    </w:rPr>
  </w:style>
  <w:style w:type="character" w:styleId="IntenseEmphasis">
    <w:name w:val="Intense Emphasis"/>
    <w:basedOn w:val="DefaultParagraphFont"/>
    <w:uiPriority w:val="21"/>
    <w:qFormat/>
    <w:rsid w:val="00FE6D51"/>
    <w:rPr>
      <w:b/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FE6D51"/>
    <w:rPr>
      <w:b/>
      <w:bCs/>
    </w:rPr>
  </w:style>
  <w:style w:type="character" w:styleId="Emphasis">
    <w:name w:val="Emphasis"/>
    <w:basedOn w:val="DefaultParagraphFont"/>
    <w:uiPriority w:val="20"/>
    <w:qFormat/>
    <w:rsid w:val="009D7407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86804"/>
    <w:rPr>
      <w:rFonts w:asciiTheme="majorHAnsi" w:eastAsiaTheme="majorEastAsia" w:hAnsiTheme="majorHAnsi" w:cstheme="majorBidi"/>
      <w:bCs/>
      <w:iCs/>
      <w:color w:val="56C2BE" w:themeColor="accent1" w:themeShade="BF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FB44AA"/>
    <w:pPr>
      <w:spacing w:before="200" w:after="120"/>
    </w:pPr>
    <w:rPr>
      <w:b/>
      <w:iCs/>
      <w:color w:val="000000" w:themeColor="text1"/>
      <w:szCs w:val="18"/>
    </w:rPr>
  </w:style>
  <w:style w:type="paragraph" w:styleId="Footer">
    <w:name w:val="footer"/>
    <w:basedOn w:val="Normal"/>
    <w:link w:val="FooterChar"/>
    <w:uiPriority w:val="99"/>
    <w:unhideWhenUsed/>
    <w:rsid w:val="00FB44AA"/>
    <w:pPr>
      <w:tabs>
        <w:tab w:val="center" w:pos="4513"/>
        <w:tab w:val="center" w:pos="8819"/>
        <w:tab w:val="right" w:pos="9026"/>
      </w:tabs>
      <w:spacing w:before="120" w:after="0" w:line="18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B44AA"/>
    <w:rPr>
      <w:sz w:val="1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804"/>
    <w:rPr>
      <w:rFonts w:asciiTheme="majorHAnsi" w:eastAsiaTheme="majorEastAsia" w:hAnsiTheme="majorHAnsi" w:cstheme="majorBidi"/>
      <w:bCs/>
      <w:iCs/>
      <w:color w:val="318885" w:themeColor="accent1" w:themeShade="7F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804"/>
    <w:rPr>
      <w:rFonts w:asciiTheme="majorHAnsi" w:eastAsiaTheme="majorEastAsia" w:hAnsiTheme="majorHAnsi" w:cstheme="majorBidi"/>
      <w:bCs/>
      <w:i/>
      <w:color w:val="318885" w:themeColor="accent1" w:themeShade="7F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804"/>
    <w:rPr>
      <w:rFonts w:asciiTheme="majorHAnsi" w:eastAsiaTheme="majorEastAsia" w:hAnsiTheme="majorHAnsi" w:cstheme="majorBidi"/>
      <w:bCs/>
      <w:i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804"/>
    <w:rPr>
      <w:rFonts w:asciiTheme="majorHAnsi" w:eastAsiaTheme="majorEastAsia" w:hAnsiTheme="majorHAnsi" w:cstheme="majorBidi"/>
      <w:bCs/>
      <w:iCs/>
      <w:color w:val="272727" w:themeColor="text1" w:themeTint="D8"/>
      <w:sz w:val="21"/>
      <w:szCs w:val="21"/>
    </w:rPr>
  </w:style>
  <w:style w:type="paragraph" w:customStyle="1" w:styleId="Boxed1Text">
    <w:name w:val="Boxed 1 Text"/>
    <w:basedOn w:val="Normal"/>
    <w:qFormat/>
    <w:rsid w:val="00486804"/>
    <w:pPr>
      <w:pBdr>
        <w:top w:val="single" w:sz="4" w:space="14" w:color="EBF7F7" w:themeColor="accent1" w:themeTint="33"/>
        <w:left w:val="single" w:sz="4" w:space="14" w:color="EBF7F7" w:themeColor="accent1" w:themeTint="33"/>
        <w:bottom w:val="single" w:sz="4" w:space="14" w:color="EBF7F7" w:themeColor="accent1" w:themeTint="33"/>
        <w:right w:val="single" w:sz="4" w:space="14" w:color="EBF7F7" w:themeColor="accent1" w:themeTint="33"/>
      </w:pBdr>
      <w:shd w:val="clear" w:color="auto" w:fill="EBF7F7" w:themeFill="accent1" w:themeFillTint="33"/>
      <w:ind w:left="284" w:right="284"/>
    </w:pPr>
  </w:style>
  <w:style w:type="paragraph" w:customStyle="1" w:styleId="Boxed1Heading">
    <w:name w:val="Boxed 1 Heading"/>
    <w:basedOn w:val="Boxed1Text"/>
    <w:qFormat/>
    <w:rsid w:val="00486804"/>
    <w:rPr>
      <w:b/>
      <w:sz w:val="24"/>
    </w:rPr>
  </w:style>
  <w:style w:type="paragraph" w:customStyle="1" w:styleId="Boxed2Text">
    <w:name w:val="Boxed 2 Text"/>
    <w:basedOn w:val="Boxed1Text"/>
    <w:qFormat/>
    <w:rsid w:val="000C2A48"/>
    <w:pPr>
      <w:pBdr>
        <w:top w:val="single" w:sz="4" w:space="14" w:color="9CDBD9" w:themeColor="accent1"/>
        <w:left w:val="single" w:sz="4" w:space="14" w:color="9CDBD9" w:themeColor="accent1"/>
        <w:bottom w:val="single" w:sz="4" w:space="14" w:color="9CDBD9" w:themeColor="accent1"/>
        <w:right w:val="single" w:sz="4" w:space="14" w:color="9CDBD9" w:themeColor="accent1"/>
      </w:pBdr>
      <w:shd w:val="clear" w:color="auto" w:fill="9CDBD9" w:themeFill="accent1"/>
    </w:pPr>
  </w:style>
  <w:style w:type="paragraph" w:customStyle="1" w:styleId="Boxed2Heading">
    <w:name w:val="Boxed 2 Heading"/>
    <w:basedOn w:val="Boxed2Text"/>
    <w:qFormat/>
    <w:rsid w:val="000C2A48"/>
    <w:rPr>
      <w:b/>
      <w:sz w:val="24"/>
    </w:rPr>
  </w:style>
  <w:style w:type="character" w:styleId="PageNumber">
    <w:name w:val="page number"/>
    <w:basedOn w:val="DefaultParagraphFont"/>
    <w:uiPriority w:val="99"/>
    <w:unhideWhenUsed/>
    <w:rsid w:val="00DB6D69"/>
  </w:style>
  <w:style w:type="table" w:styleId="TableGridLight">
    <w:name w:val="Grid Table Light"/>
    <w:basedOn w:val="TableNormal"/>
    <w:uiPriority w:val="40"/>
    <w:rsid w:val="000D60B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inance1">
    <w:name w:val="Finance 1"/>
    <w:basedOn w:val="TableNormal"/>
    <w:uiPriority w:val="99"/>
    <w:rsid w:val="005C37F0"/>
    <w:pPr>
      <w:spacing w:before="60" w:after="60" w:line="200" w:lineRule="atLeast"/>
    </w:pPr>
    <w:rPr>
      <w:sz w:val="16"/>
    </w:rPr>
    <w:tblPr>
      <w:tblStyleRowBandSize w:val="1"/>
      <w:tblStyleColBandSize w:val="1"/>
      <w:tblBorders>
        <w:top w:val="single" w:sz="4" w:space="0" w:color="1C1C1C" w:themeColor="text2"/>
        <w:bottom w:val="single" w:sz="4" w:space="0" w:color="1C1C1C" w:themeColor="text2"/>
        <w:insideH w:val="single" w:sz="4" w:space="0" w:color="1C1C1C" w:themeColor="text2"/>
      </w:tblBorders>
      <w:tblCellMar>
        <w:left w:w="85" w:type="dxa"/>
        <w:right w:w="85" w:type="dxa"/>
      </w:tblCellMar>
    </w:tblPr>
    <w:trPr>
      <w:cantSplit/>
    </w:trPr>
    <w:tblStylePr w:type="firstRow">
      <w:rPr>
        <w:b/>
      </w:rPr>
      <w:tblPr/>
      <w:trPr>
        <w:tblHeader/>
      </w:trPr>
      <w:tcPr>
        <w:shd w:val="clear" w:color="auto" w:fill="1C1C1C" w:themeFill="text2"/>
      </w:tcPr>
    </w:tblStylePr>
    <w:tblStylePr w:type="lastRow">
      <w:tblPr/>
      <w:tcPr>
        <w:shd w:val="clear" w:color="auto" w:fill="1C1C1C" w:themeFill="text2"/>
      </w:tcPr>
    </w:tblStylePr>
    <w:tblStylePr w:type="firstCol">
      <w:tblPr/>
      <w:tcPr>
        <w:tcBorders>
          <w:insideH w:val="single" w:sz="4" w:space="0" w:color="FFFFFF" w:themeColor="background1"/>
        </w:tcBorders>
        <w:shd w:val="clear" w:color="auto" w:fill="1C1C1C" w:themeFill="text2"/>
      </w:tcPr>
    </w:tblStylePr>
    <w:tblStylePr w:type="lastCol">
      <w:tblPr/>
      <w:tcPr>
        <w:shd w:val="clear" w:color="auto" w:fill="BFBFBF" w:themeFill="background1" w:themeFillShade="BF"/>
      </w:tcPr>
    </w:tblStylePr>
    <w:tblStylePr w:type="band1Vert">
      <w:tblPr/>
      <w:tcPr>
        <w:shd w:val="clear" w:color="auto" w:fill="E2E3E2" w:themeFill="background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E2E3E2" w:themeFill="background2"/>
      </w:tcPr>
    </w:tblStylePr>
    <w:tblStylePr w:type="band2Horz">
      <w:rPr>
        <w:color w:val="auto"/>
      </w:rPr>
      <w:tblPr/>
      <w:tcPr>
        <w:shd w:val="clear" w:color="auto" w:fill="FFFFFF" w:themeFill="background1"/>
      </w:tcPr>
    </w:tblStylePr>
  </w:style>
  <w:style w:type="paragraph" w:customStyle="1" w:styleId="TableText">
    <w:name w:val="Table Text"/>
    <w:basedOn w:val="Normal"/>
    <w:qFormat/>
    <w:rsid w:val="00FB44AA"/>
    <w:pPr>
      <w:spacing w:before="60"/>
    </w:pPr>
    <w:rPr>
      <w:sz w:val="18"/>
    </w:rPr>
  </w:style>
  <w:style w:type="paragraph" w:customStyle="1" w:styleId="TableSourceNotes">
    <w:name w:val="Table Source Notes"/>
    <w:basedOn w:val="TableText"/>
    <w:qFormat/>
    <w:rsid w:val="00FB44AA"/>
    <w:pPr>
      <w:spacing w:before="120" w:line="240" w:lineRule="atLeast"/>
      <w:ind w:left="284" w:hanging="284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B19CF"/>
    <w:pPr>
      <w:spacing w:before="0" w:after="0" w:line="200" w:lineRule="atLeast"/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9CF"/>
    <w:rPr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122A"/>
    <w:rPr>
      <w:vertAlign w:val="superscript"/>
    </w:rPr>
  </w:style>
  <w:style w:type="paragraph" w:customStyle="1" w:styleId="FootnoteSeparator">
    <w:name w:val="Footnote Separator"/>
    <w:basedOn w:val="Normal"/>
    <w:qFormat/>
    <w:rsid w:val="0020122A"/>
    <w:pPr>
      <w:pBdr>
        <w:top w:val="single" w:sz="2" w:space="1" w:color="auto"/>
      </w:pBdr>
      <w:spacing w:before="0"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A6A8B"/>
    <w:rPr>
      <w:color w:val="808080"/>
    </w:rPr>
  </w:style>
  <w:style w:type="character" w:customStyle="1" w:styleId="Classification">
    <w:name w:val="Classification"/>
    <w:basedOn w:val="DefaultParagraphFont"/>
    <w:uiPriority w:val="1"/>
    <w:qFormat/>
    <w:rsid w:val="006C4DD1"/>
    <w:rPr>
      <w:b/>
      <w:caps/>
      <w:smallCaps w:val="0"/>
      <w:sz w:val="24"/>
    </w:rPr>
  </w:style>
  <w:style w:type="paragraph" w:styleId="ListParagraph">
    <w:name w:val="List Paragraph"/>
    <w:aliases w:val="NFP GP Bulleted List,List Paragraph1,Recommendation,RecommendationCxSpLast,RecommendationCxSpLastCxSpLast"/>
    <w:basedOn w:val="Normal"/>
    <w:uiPriority w:val="34"/>
    <w:qFormat/>
    <w:rsid w:val="0082589D"/>
    <w:pPr>
      <w:ind w:left="720"/>
      <w:contextualSpacing/>
    </w:pPr>
  </w:style>
  <w:style w:type="paragraph" w:styleId="NoSpacing">
    <w:name w:val="No Spacing"/>
    <w:uiPriority w:val="1"/>
    <w:qFormat/>
    <w:rsid w:val="009022B3"/>
    <w:pPr>
      <w:spacing w:after="0" w:line="240" w:lineRule="auto"/>
    </w:pPr>
    <w:rPr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C93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B5F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F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F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F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F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F5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F54"/>
    <w:rPr>
      <w:rFonts w:ascii="Segoe UI" w:hAnsi="Segoe UI" w:cs="Segoe UI"/>
      <w:sz w:val="18"/>
      <w:szCs w:val="18"/>
    </w:rPr>
  </w:style>
  <w:style w:type="paragraph" w:customStyle="1" w:styleId="BodyText1">
    <w:name w:val="Body Text1"/>
    <w:basedOn w:val="Normal"/>
    <w:qFormat/>
    <w:rsid w:val="00D620AC"/>
    <w:pPr>
      <w:suppressAutoHyphens w:val="0"/>
      <w:spacing w:before="0" w:after="120" w:line="240" w:lineRule="auto"/>
    </w:pPr>
    <w:rPr>
      <w:rFonts w:ascii="Cambria" w:eastAsia="Times New Roman" w:hAnsi="Cambria" w:cs="Times New Roman"/>
      <w:szCs w:val="24"/>
    </w:rPr>
  </w:style>
  <w:style w:type="paragraph" w:styleId="NormalWeb">
    <w:name w:val="Normal (Web)"/>
    <w:basedOn w:val="Normal"/>
    <w:uiPriority w:val="99"/>
    <w:semiHidden/>
    <w:unhideWhenUsed/>
    <w:rsid w:val="006762DD"/>
    <w:pPr>
      <w:suppressAutoHyphens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E33443"/>
    <w:pPr>
      <w:spacing w:after="0" w:line="240" w:lineRule="auto"/>
    </w:pPr>
  </w:style>
  <w:style w:type="paragraph" w:customStyle="1" w:styleId="Bullets1stindent">
    <w:name w:val="Bullets (1st indent)"/>
    <w:basedOn w:val="Normal"/>
    <w:rsid w:val="00CD4638"/>
    <w:pPr>
      <w:numPr>
        <w:numId w:val="30"/>
      </w:numPr>
      <w:suppressAutoHyphens w:val="0"/>
      <w:spacing w:before="0" w:after="120" w:line="240" w:lineRule="auto"/>
    </w:pPr>
    <w:rPr>
      <w:rFonts w:ascii="Cambria" w:eastAsia="Times New Roman" w:hAnsi="Cambria" w:cs="Times New Roman"/>
      <w:szCs w:val="24"/>
    </w:rPr>
  </w:style>
  <w:style w:type="paragraph" w:customStyle="1" w:styleId="Bullets2ndindent">
    <w:name w:val="Bullets (2nd indent)"/>
    <w:basedOn w:val="Normal"/>
    <w:rsid w:val="00CD4638"/>
    <w:pPr>
      <w:numPr>
        <w:ilvl w:val="1"/>
        <w:numId w:val="30"/>
      </w:numPr>
      <w:suppressAutoHyphens w:val="0"/>
      <w:spacing w:before="0" w:after="120" w:line="240" w:lineRule="auto"/>
    </w:pPr>
    <w:rPr>
      <w:rFonts w:ascii="Cambria" w:eastAsia="Times New Roman" w:hAnsi="Cambria" w:cs="Times New Roman"/>
      <w:szCs w:val="24"/>
    </w:rPr>
  </w:style>
  <w:style w:type="numbering" w:customStyle="1" w:styleId="Bullets">
    <w:name w:val="Bullets"/>
    <w:basedOn w:val="NoList"/>
    <w:uiPriority w:val="99"/>
    <w:rsid w:val="00CD4638"/>
    <w:pPr>
      <w:numPr>
        <w:numId w:val="30"/>
      </w:numPr>
    </w:pPr>
  </w:style>
  <w:style w:type="paragraph" w:customStyle="1" w:styleId="Bulletslast1stindent">
    <w:name w:val="Bullets last (1st indent)"/>
    <w:basedOn w:val="Normal"/>
    <w:rsid w:val="00CD4638"/>
    <w:pPr>
      <w:numPr>
        <w:ilvl w:val="2"/>
        <w:numId w:val="30"/>
      </w:numPr>
      <w:suppressAutoHyphens w:val="0"/>
      <w:spacing w:before="0" w:after="120" w:line="240" w:lineRule="auto"/>
    </w:pPr>
    <w:rPr>
      <w:rFonts w:ascii="Cambria" w:eastAsia="Times New Roman" w:hAnsi="Cambria" w:cs="Times New Roman"/>
      <w:szCs w:val="24"/>
    </w:rPr>
  </w:style>
  <w:style w:type="paragraph" w:customStyle="1" w:styleId="Bulletslast2ndindent">
    <w:name w:val="Bullets last (2nd indent)"/>
    <w:basedOn w:val="Normal"/>
    <w:rsid w:val="00CD4638"/>
    <w:pPr>
      <w:numPr>
        <w:ilvl w:val="3"/>
        <w:numId w:val="30"/>
      </w:numPr>
      <w:suppressAutoHyphens w:val="0"/>
      <w:spacing w:before="0" w:after="57" w:line="240" w:lineRule="auto"/>
    </w:pPr>
    <w:rPr>
      <w:rFonts w:ascii="Cambria" w:eastAsia="Times New Roman" w:hAnsi="Cambria" w:cs="Times New Roman"/>
      <w:szCs w:val="24"/>
    </w:rPr>
  </w:style>
  <w:style w:type="paragraph" w:customStyle="1" w:styleId="Tablebodytext">
    <w:name w:val="Table body text"/>
    <w:qFormat/>
    <w:rsid w:val="00CD4638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paragraph" w:customStyle="1" w:styleId="Tablebullets2ndindent">
    <w:name w:val="Table bullets (2nd indent)"/>
    <w:basedOn w:val="Tablebodytext"/>
    <w:qFormat/>
    <w:rsid w:val="00CD4638"/>
    <w:pPr>
      <w:numPr>
        <w:ilvl w:val="6"/>
        <w:numId w:val="30"/>
      </w:numPr>
    </w:pPr>
  </w:style>
  <w:style w:type="paragraph" w:customStyle="1" w:styleId="Tablebullets1stindent">
    <w:name w:val="Table bullets (1st indent)"/>
    <w:basedOn w:val="Tablebodytext"/>
    <w:qFormat/>
    <w:rsid w:val="00CD4638"/>
    <w:pPr>
      <w:numPr>
        <w:ilvl w:val="5"/>
        <w:numId w:val="30"/>
      </w:numPr>
    </w:pPr>
  </w:style>
  <w:style w:type="table" w:customStyle="1" w:styleId="DOFDwithheader">
    <w:name w:val="DOFD with header"/>
    <w:basedOn w:val="TableNormal"/>
    <w:uiPriority w:val="99"/>
    <w:qFormat/>
    <w:rsid w:val="00CD4638"/>
    <w:pPr>
      <w:spacing w:before="57" w:after="0" w:line="220" w:lineRule="atLeast"/>
      <w:ind w:left="96" w:right="96"/>
    </w:pPr>
    <w:rPr>
      <w:rFonts w:ascii="Arial" w:eastAsia="Times New Roman" w:hAnsi="Arial" w:cs="Times New Roman"/>
      <w:sz w:val="20"/>
      <w:szCs w:val="20"/>
      <w:lang w:eastAsia="en-AU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pPr>
        <w:keepNext/>
        <w:wordWrap/>
      </w:pPr>
      <w:rPr>
        <w:b w:val="0"/>
      </w:rPr>
      <w:tblPr/>
      <w:tcPr>
        <w:shd w:val="clear" w:color="auto" w:fill="DDF3FA"/>
      </w:tcPr>
    </w:tblStylePr>
  </w:style>
  <w:style w:type="table" w:customStyle="1" w:styleId="DOFDplain">
    <w:name w:val="DOFD plain"/>
    <w:basedOn w:val="TableNormal"/>
    <w:uiPriority w:val="99"/>
    <w:qFormat/>
    <w:rsid w:val="00CD4638"/>
    <w:pPr>
      <w:spacing w:before="57" w:after="0" w:line="220" w:lineRule="atLeast"/>
      <w:ind w:left="96" w:right="96"/>
    </w:pPr>
    <w:rPr>
      <w:rFonts w:ascii="Arial" w:eastAsia="Times New Roman" w:hAnsi="Arial" w:cs="Times New Roman"/>
      <w:sz w:val="17"/>
      <w:szCs w:val="20"/>
      <w:lang w:eastAsia="en-AU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pPr>
        <w:keepNext/>
        <w:wordWrap/>
      </w:pPr>
      <w:rPr>
        <w:rFonts w:ascii="Arial" w:hAnsi="Arial"/>
        <w:b w:val="0"/>
      </w:rPr>
      <w:tblPr/>
      <w:trPr>
        <w:tblHeader/>
      </w:t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0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inance 1 Blue">
  <a:themeElements>
    <a:clrScheme name="Custom 4">
      <a:dk1>
        <a:sysClr val="windowText" lastClr="000000"/>
      </a:dk1>
      <a:lt1>
        <a:sysClr val="window" lastClr="FFFFFF"/>
      </a:lt1>
      <a:dk2>
        <a:srgbClr val="1C1C1C"/>
      </a:dk2>
      <a:lt2>
        <a:srgbClr val="E2E3E2"/>
      </a:lt2>
      <a:accent1>
        <a:srgbClr val="9CDBD9"/>
      </a:accent1>
      <a:accent2>
        <a:srgbClr val="B4B5DF"/>
      </a:accent2>
      <a:accent3>
        <a:srgbClr val="ECBAA8"/>
      </a:accent3>
      <a:accent4>
        <a:srgbClr val="F6EB61"/>
      </a:accent4>
      <a:accent5>
        <a:srgbClr val="64CCC9"/>
      </a:accent5>
      <a:accent6>
        <a:srgbClr val="9595D2"/>
      </a:accent6>
      <a:hlink>
        <a:srgbClr val="E8927C"/>
      </a:hlink>
      <a:folHlink>
        <a:srgbClr val="FFD1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inance 1 Blue" id="{F0E8012F-52C4-4285-8588-15EF98A0938A}" vid="{1F551BCA-87CD-4010-B1B7-2E689DDB7D1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c4b2c377-c74f-46b8-b62e-9cefa93d8fc8" ContentTypeId="0x010100B7B479F47583304BA8B631462CC772D7" PreviousValue="tru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34ba3b-e131-42d3-95f3-2728f5a41884">
      <Value>25</Value>
      <Value>2</Value>
      <Value>1</Value>
    </TaxCatchAll>
    <TaxKeywordTaxHTFiel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07351cc0-de73-4913-be2f-56f124cbf8bb</TermId>
        </TermInfo>
      </Terms>
    </TaxKeywordTaxHTField>
    <Original_x0020_Date_x0020_Created xmlns="a334ba3b-e131-42d3-95f3-2728f5a41884" xsi:nil="true"/>
    <_dlc_DocId xmlns="6a7e9632-768a-49bf-85ac-c69233ab2a52">FIN33521-1552707537-17518</_dlc_DocId>
    <_dlc_DocIdUrl xmlns="6a7e9632-768a-49bf-85ac-c69233ab2a52">
      <Url>https://financegovau.sharepoint.com/sites/M365_DoF_50033521/_layouts/15/DocIdRedir.aspx?ID=FIN33521-1552707537-17518</Url>
      <Description>FIN33521-1552707537-17518</Description>
    </_dlc_DocIdUrl>
    <of934ccb37d6451ba60cdb89c1817167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of934ccb37d6451ba60cdb89c1817167>
    <Security_x0020_Classification xmlns="a334ba3b-e131-42d3-95f3-2728f5a41884">OFFICIAL</Security_x0020_Classification>
    <e0fcb3f570964638902a63147cd98219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Charging Policy</TermName>
          <TermId xmlns="http://schemas.microsoft.com/office/infopath/2007/PartnerControls">cbcf5b89-4aab-4c5d-ba02-041c19cdb5b1</TermId>
        </TermInfo>
      </Terms>
    </e0fcb3f570964638902a63147cd98219>
    <lf395e0388bc45bfb8642f07b9d090f4 xmlns="a334ba3b-e131-42d3-95f3-2728f5a41884">
      <Terms xmlns="http://schemas.microsoft.com/office/infopath/2007/PartnerControls"/>
    </lf395e0388bc45bfb8642f07b9d090f4>
    <f0888ba7078d4a1bac90b097c1ed0fad xmlns="a334ba3b-e131-42d3-95f3-2728f5a418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Finance</TermName>
          <TermId xmlns="http://schemas.microsoft.com/office/infopath/2007/PartnerControls">fd660e8f-8f31-49bd-92a3-d31d4da31afe</TermId>
        </TermInfo>
      </Terms>
    </f0888ba7078d4a1bac90b097c1ed0fad>
    <lcf76f155ced4ddcb4097134ff3c332f xmlns="f9afac67-ad4e-477e-a6b2-e834d240f12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Finance Document" ma:contentTypeID="0x010100B7B479F47583304BA8B631462CC772D70005B38B9AD9C0B1408AB99B2B827F7B2E" ma:contentTypeVersion="33" ma:contentTypeDescription="Create a new document." ma:contentTypeScope="" ma:versionID="2983504b3b2d52223813c3bdad520493">
  <xsd:schema xmlns:xsd="http://www.w3.org/2001/XMLSchema" xmlns:xs="http://www.w3.org/2001/XMLSchema" xmlns:p="http://schemas.microsoft.com/office/2006/metadata/properties" xmlns:ns1="http://schemas.microsoft.com/sharepoint/v3" xmlns:ns2="a334ba3b-e131-42d3-95f3-2728f5a41884" xmlns:ns3="6a7e9632-768a-49bf-85ac-c69233ab2a52" xmlns:ns4="f9afac67-ad4e-477e-a6b2-e834d240f12a" targetNamespace="http://schemas.microsoft.com/office/2006/metadata/properties" ma:root="true" ma:fieldsID="2c7f4d1a9fbe800a960bb82cfd6c6552" ns1:_="" ns2:_="" ns3:_="" ns4:_="">
    <xsd:import namespace="http://schemas.microsoft.com/sharepoint/v3"/>
    <xsd:import namespace="a334ba3b-e131-42d3-95f3-2728f5a41884"/>
    <xsd:import namespace="6a7e9632-768a-49bf-85ac-c69233ab2a52"/>
    <xsd:import namespace="f9afac67-ad4e-477e-a6b2-e834d240f12a"/>
    <xsd:element name="properties">
      <xsd:complexType>
        <xsd:sequence>
          <xsd:element name="documentManagement">
            <xsd:complexType>
              <xsd:all>
                <xsd:element ref="ns2:Security_x0020_Classification" minOccurs="0"/>
                <xsd:element ref="ns2:Original_x0020_Date_x0020_Created" minOccurs="0"/>
                <xsd:element ref="ns2:TaxCatchAllLabel" minOccurs="0"/>
                <xsd:element ref="ns2:e0fcb3f570964638902a63147cd98219" minOccurs="0"/>
                <xsd:element ref="ns2:f0888ba7078d4a1bac90b097c1ed0fad" minOccurs="0"/>
                <xsd:element ref="ns2:of934ccb37d6451ba60cdb89c1817167" minOccurs="0"/>
                <xsd:element ref="ns2:TaxKeywordTaxHTField" minOccurs="0"/>
                <xsd:element ref="ns2:lf395e0388bc45bfb8642f07b9d090f4" minOccurs="0"/>
                <xsd:element ref="ns2:TaxCatchAll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3:SharedWithUsers" minOccurs="0"/>
                <xsd:element ref="ns3:_dlc_DocId" minOccurs="0"/>
                <xsd:element ref="ns3:_dlc_DocIdUrl" minOccurs="0"/>
                <xsd:element ref="ns3:_dlc_DocIdPersistId" minOccurs="0"/>
                <xsd:element ref="ns4:MediaServiceObjectDetectorVersions" minOccurs="0"/>
                <xsd:element ref="ns1:_ip_UnifiedCompliancePolicyProperties" minOccurs="0"/>
                <xsd:element ref="ns1:_ip_UnifiedCompliancePolicyUIAction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4ba3b-e131-42d3-95f3-2728f5a41884" elementFormDefault="qualified">
    <xsd:import namespace="http://schemas.microsoft.com/office/2006/documentManagement/types"/>
    <xsd:import namespace="http://schemas.microsoft.com/office/infopath/2007/PartnerControls"/>
    <xsd:element name="Security_x0020_Classification" ma:index="3" nillable="true" ma:displayName="Security Classification" ma:default="OFFICIAL" ma:format="Dropdown" ma:hidden="true" ma:internalName="Security_x0020_Classification" ma:readOnly="false">
      <xsd:simpleType>
        <xsd:union memberTypes="dms:Text">
          <xsd:simpleType>
            <xsd:restriction base="dms:Choice">
              <xsd:enumeration value="UNOFFICIAL"/>
              <xsd:enumeration value="OFFICIAL"/>
              <xsd:enumeration value="OFFICIAL:Sensitive"/>
              <xsd:enumeration value="OFFICIAL:Sensitive, Personal-Privacy"/>
              <xsd:enumeration value="OFFICIAL:Sensitive, Legal-Privilege"/>
              <xsd:enumeration value="OFFICIAL:Sensitive, Legislative-Secrecy"/>
              <xsd:enumeration value="OFFICIAL:Sensitive, SH:National-Cabinet"/>
              <xsd:enumeration value="OFFICIAL:Sensitive, SH:National-Cabinet, Personal-Privacy"/>
              <xsd:enumeration value="OFFICIAL:Sensitive, SH:National-Cabinet, Legislative-Secrecy"/>
              <xsd:enumeration value="OFFICIAL:Sensitive, SH:National-Cabinet, Legal-Privilege"/>
              <xsd:enumeration value="PROTECTED"/>
              <xsd:enumeration value="PROTECTED, Legal-Privilege"/>
              <xsd:enumeration value="PROTECTED, Personal-Privacy"/>
              <xsd:enumeration value="PROTECTED, Legislative-Secrecy"/>
              <xsd:enumeration value="PROTECTED SH:CABINET"/>
              <xsd:enumeration value="PROTECTED SH:CABINET, Personal-Privacy"/>
              <xsd:enumeration value="PROTECTED SH:CABINET, Legal-Privilege"/>
              <xsd:enumeration value="PROTECTED SH:CABINET, Legislative-Secrecy"/>
              <xsd:enumeration value="PROTECTED SH:National-Cabinet"/>
              <xsd:enumeration value="PROTECTED SH:National-Cabinet, Personal-Privacy"/>
              <xsd:enumeration value="PROTECTED SH:National-Cabinet, Legal-Privilege"/>
              <xsd:enumeration value="PROTECTED SH:National-Cabinet, Legislative-Secrecy"/>
              <xsd:enumeration value="UNCLASSIFIED"/>
              <xsd:enumeration value="UNCLASSIFIED - Sensitive: Personal"/>
              <xsd:enumeration value="UNCLASSIFIED - Sensitive: Legal"/>
              <xsd:enumeration value="UNCLASSIFIED - Sensitive"/>
              <xsd:enumeration value="For Official Use Only"/>
              <xsd:enumeration value="PROTECTED - Sensitive"/>
              <xsd:enumeration value="PROTECTED - Sensitive: Personal"/>
              <xsd:enumeration value="PROTECTED - Sensitive: Cabinet"/>
              <xsd:enumeration value="PROTECTED - Sensitive: Legal"/>
              <xsd:enumeration value="PROTECTED:CABINET"/>
            </xsd:restriction>
          </xsd:simpleType>
        </xsd:union>
      </xsd:simpleType>
    </xsd:element>
    <xsd:element name="Original_x0020_Date_x0020_Created" ma:index="8" nillable="true" ma:displayName="Original Date Created" ma:default="" ma:format="DateOnly" ma:internalName="Original_x0020_Date_x0020_Created">
      <xsd:simpleType>
        <xsd:restriction base="dms:DateTime"/>
      </xsd:simpleType>
    </xsd:element>
    <xsd:element name="TaxCatchAllLabel" ma:index="9" nillable="true" ma:displayName="Taxonomy Catch All Column1" ma:hidden="true" ma:list="{9eea89ee-b1b2-4a6f-a5d3-0d5d3da7d5fb}" ma:internalName="TaxCatchAllLabel" ma:readOnly="true" ma:showField="CatchAllDataLabel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fcb3f570964638902a63147cd98219" ma:index="11" nillable="true" ma:taxonomy="true" ma:internalName="e0fcb3f570964638902a63147cd98219" ma:taxonomyFieldName="Organisation_x0020_Unit" ma:displayName="Organisation Unit" ma:default="2;#Charging Policy|cbcf5b89-4aab-4c5d-ba02-041c19cdb5b1" ma:fieldId="{e0fcb3f5-7096-4638-902a-63147cd98219}" ma:sspId="c4b2c377-c74f-46b8-b62e-9cefa93d8fc8" ma:termSetId="642ac736-c0d1-48cf-939c-a81b0e8934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0888ba7078d4a1bac90b097c1ed0fad" ma:index="13" nillable="true" ma:taxonomy="true" ma:internalName="f0888ba7078d4a1bac90b097c1ed0fad" ma:taxonomyFieldName="Initiating_x0020_Entity" ma:displayName="Initiating Entity" ma:default="1;#Department of Finance|fd660e8f-8f31-49bd-92a3-d31d4da31afe" ma:fieldId="{f0888ba7-078d-4a1b-ac90-b097c1ed0fad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934ccb37d6451ba60cdb89c1817167" ma:index="15" nillable="true" ma:taxonomy="true" ma:internalName="of934ccb37d6451ba60cdb89c1817167" ma:taxonomyFieldName="About_x0020_Entity" ma:displayName="About Entity" ma:default="1;#Department of Finance|fd660e8f-8f31-49bd-92a3-d31d4da31afe" ma:fieldId="{8f934ccb-37d6-451b-a60c-db89c1817167}" ma:sspId="c4b2c377-c74f-46b8-b62e-9cefa93d8fc8" ma:termSetId="1dd44c57-eb90-49d3-b71d-825941fd7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Enterprise Keywords" ma:fieldId="{23f27201-bee3-471e-b2e7-b64fd8b7ca38}" ma:taxonomyMulti="true" ma:sspId="c4b2c377-c74f-46b8-b62e-9cefa93d8fc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lf395e0388bc45bfb8642f07b9d090f4" ma:index="20" nillable="true" ma:taxonomy="true" ma:internalName="lf395e0388bc45bfb8642f07b9d090f4" ma:taxonomyFieldName="Function_x0020_and_x0020_Activity" ma:displayName="Function and Activity" ma:default="" ma:fieldId="{5f395e03-88bc-45bf-b864-2f07b9d090f4}" ma:sspId="c4b2c377-c74f-46b8-b62e-9cefa93d8fc8" ma:termSetId="d6a09c5b-e950-47cc-8e6b-7e27719f9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9eea89ee-b1b2-4a6f-a5d3-0d5d3da7d5fb}" ma:internalName="TaxCatchAll" ma:showField="CatchAllData" ma:web="6a7e9632-768a-49bf-85ac-c69233ab2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7e9632-768a-49bf-85ac-c69233ab2a52" elementFormDefault="qualified">
    <xsd:import namespace="http://schemas.microsoft.com/office/2006/documentManagement/types"/>
    <xsd:import namespace="http://schemas.microsoft.com/office/infopath/2007/PartnerControls"/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3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afac67-ad4e-477e-a6b2-e834d240f1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c4b2c377-c74f-46b8-b62e-9cefa93d8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8CE0AA-A947-4BF7-A732-4E85B0E375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7FE6F0-7F11-4843-A1E3-5ED22D321BE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A4311F9-3241-4F46-B7B4-3F4B2A3DD76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959AF68-5D5B-45A3-B61F-1886F4D6217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79C70F-EBE9-4C83-AC4D-8C8EAC89E313}">
  <ds:schemaRefs>
    <ds:schemaRef ds:uri="http://schemas.microsoft.com/office/2006/metadata/properties"/>
    <ds:schemaRef ds:uri="http://schemas.microsoft.com/office/infopath/2007/PartnerControls"/>
    <ds:schemaRef ds:uri="a334ba3b-e131-42d3-95f3-2728f5a41884"/>
    <ds:schemaRef ds:uri="6a7e9632-768a-49bf-85ac-c69233ab2a52"/>
    <ds:schemaRef ds:uri="f9afac67-ad4e-477e-a6b2-e834d240f12a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EF96FCEB-6FE3-4914-9095-66D01F3BE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34ba3b-e131-42d3-95f3-2728f5a41884"/>
    <ds:schemaRef ds:uri="6a7e9632-768a-49bf-85ac-c69233ab2a52"/>
    <ds:schemaRef ds:uri="f9afac67-ad4e-477e-a6b2-e834d240f1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1052</Words>
  <Characters>5545</Characters>
  <Application>Microsoft Office Word</Application>
  <DocSecurity>0</DocSecurity>
  <Lines>135</Lines>
  <Paragraphs>70</Paragraphs>
  <ScaleCrop>false</ScaleCrop>
  <Company/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>[SEC=OFFICIAL]</cp:keywords>
  <dc:description/>
  <cp:lastModifiedBy>Jorna, Natalie</cp:lastModifiedBy>
  <cp:revision>192</cp:revision>
  <cp:lastPrinted>2023-02-23T21:24:00Z</cp:lastPrinted>
  <dcterms:created xsi:type="dcterms:W3CDTF">2026-07-21T01:27:00Z</dcterms:created>
  <dcterms:modified xsi:type="dcterms:W3CDTF">2026-09-27T01:58:00Z</dcterms:modified>
  <cp:category/>
  <cp:contentStatus>Classification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0x010100B7B479F47583304BA8B631462CC772D70005B38B9AD9C0B1408AB99B2B827F7B2E</vt:lpwstr>
  </property>
  <property fmtid="{D5CDD505-2E9C-101B-9397-08002B2CF9AE}" pid="3" name="TaxKeyword">
    <vt:lpwstr>25;#[SEC=OFFICIAL]|07351cc0-de73-4913-be2f-56f124cbf8bb</vt:lpwstr>
  </property>
  <property fmtid="{D5CDD505-2E9C-101B-9397-08002B2CF9AE}" pid="4" name="AbtEntity">
    <vt:lpwstr>1;#Department of Finance|fd660e8f-8f31-49bd-92a3-d31d4da31afe</vt:lpwstr>
  </property>
  <property fmtid="{D5CDD505-2E9C-101B-9397-08002B2CF9AE}" pid="5" name="OrgUnit">
    <vt:lpwstr>2;#Charging Policy|cbcf5b89-4aab-4c5d-ba02-041c19cdb5b1</vt:lpwstr>
  </property>
  <property fmtid="{D5CDD505-2E9C-101B-9397-08002B2CF9AE}" pid="6" name="InitiatingEntity">
    <vt:lpwstr>1;#Department of Finance|fd660e8f-8f31-49bd-92a3-d31d4da31afe</vt:lpwstr>
  </property>
  <property fmtid="{D5CDD505-2E9C-101B-9397-08002B2CF9AE}" pid="7" name="Function and Activity">
    <vt:lpwstr/>
  </property>
  <property fmtid="{D5CDD505-2E9C-101B-9397-08002B2CF9AE}" pid="8" name="EmReceivedByName">
    <vt:lpwstr/>
  </property>
  <property fmtid="{D5CDD505-2E9C-101B-9397-08002B2CF9AE}" pid="9" name="EmSubject">
    <vt:lpwstr/>
  </property>
  <property fmtid="{D5CDD505-2E9C-101B-9397-08002B2CF9AE}" pid="10" name="EmToAddress">
    <vt:lpwstr/>
  </property>
  <property fmtid="{D5CDD505-2E9C-101B-9397-08002B2CF9AE}" pid="11" name="EmCategory">
    <vt:lpwstr/>
  </property>
  <property fmtid="{D5CDD505-2E9C-101B-9397-08002B2CF9AE}" pid="12" name="EmConversationIndex">
    <vt:lpwstr/>
  </property>
  <property fmtid="{D5CDD505-2E9C-101B-9397-08002B2CF9AE}" pid="13" name="EmReplyRecipients">
    <vt:lpwstr/>
  </property>
  <property fmtid="{D5CDD505-2E9C-101B-9397-08002B2CF9AE}" pid="14" name="EmBody">
    <vt:lpwstr/>
  </property>
  <property fmtid="{D5CDD505-2E9C-101B-9397-08002B2CF9AE}" pid="15" name="EmHasAttachments">
    <vt:bool>false</vt:bool>
  </property>
  <property fmtid="{D5CDD505-2E9C-101B-9397-08002B2CF9AE}" pid="16" name="EmRetentionPolicyName">
    <vt:lpwstr/>
  </property>
  <property fmtid="{D5CDD505-2E9C-101B-9397-08002B2CF9AE}" pid="17" name="EmReplyRecipientNames">
    <vt:lpwstr/>
  </property>
  <property fmtid="{D5CDD505-2E9C-101B-9397-08002B2CF9AE}" pid="18" name="EmCC">
    <vt:lpwstr/>
  </property>
  <property fmtid="{D5CDD505-2E9C-101B-9397-08002B2CF9AE}" pid="19" name="EmBCCSMTPAddress">
    <vt:lpwstr/>
  </property>
  <property fmtid="{D5CDD505-2E9C-101B-9397-08002B2CF9AE}" pid="20" name="EmFromName">
    <vt:lpwstr/>
  </property>
  <property fmtid="{D5CDD505-2E9C-101B-9397-08002B2CF9AE}" pid="21" name="About Entity">
    <vt:lpwstr>1;#Department of Finance|fd660e8f-8f31-49bd-92a3-d31d4da31afe</vt:lpwstr>
  </property>
  <property fmtid="{D5CDD505-2E9C-101B-9397-08002B2CF9AE}" pid="22" name="EmFrom">
    <vt:lpwstr/>
  </property>
  <property fmtid="{D5CDD505-2E9C-101B-9397-08002B2CF9AE}" pid="23" name="EmAttachmentNames">
    <vt:lpwstr/>
  </property>
  <property fmtid="{D5CDD505-2E9C-101B-9397-08002B2CF9AE}" pid="24" name="EmSentOnBehalfOfName">
    <vt:lpwstr/>
  </property>
  <property fmtid="{D5CDD505-2E9C-101B-9397-08002B2CF9AE}" pid="25" name="EmTo">
    <vt:lpwstr/>
  </property>
  <property fmtid="{D5CDD505-2E9C-101B-9397-08002B2CF9AE}" pid="26" name="EmToSMTPAddress">
    <vt:lpwstr/>
  </property>
  <property fmtid="{D5CDD505-2E9C-101B-9397-08002B2CF9AE}" pid="27" name="Initiating Entity">
    <vt:lpwstr>1;#Department of Finance|fd660e8f-8f31-49bd-92a3-d31d4da31afe</vt:lpwstr>
  </property>
  <property fmtid="{D5CDD505-2E9C-101B-9397-08002B2CF9AE}" pid="28" name="Organisation Unit">
    <vt:lpwstr>2;#Charging Policy|cbcf5b89-4aab-4c5d-ba02-041c19cdb5b1</vt:lpwstr>
  </property>
  <property fmtid="{D5CDD505-2E9C-101B-9397-08002B2CF9AE}" pid="29" name="EmCCSMTPAddress">
    <vt:lpwstr/>
  </property>
  <property fmtid="{D5CDD505-2E9C-101B-9397-08002B2CF9AE}" pid="30" name="EmConversationID">
    <vt:lpwstr/>
  </property>
  <property fmtid="{D5CDD505-2E9C-101B-9397-08002B2CF9AE}" pid="31" name="EmBCC">
    <vt:lpwstr/>
  </property>
  <property fmtid="{D5CDD505-2E9C-101B-9397-08002B2CF9AE}" pid="32" name="EmID">
    <vt:lpwstr/>
  </property>
  <property fmtid="{D5CDD505-2E9C-101B-9397-08002B2CF9AE}" pid="33" name="EmCon">
    <vt:lpwstr/>
  </property>
  <property fmtid="{D5CDD505-2E9C-101B-9397-08002B2CF9AE}" pid="34" name="EmCompanies">
    <vt:lpwstr/>
  </property>
  <property fmtid="{D5CDD505-2E9C-101B-9397-08002B2CF9AE}" pid="35" name="EmFromSMTPAddress">
    <vt:lpwstr/>
  </property>
  <property fmtid="{D5CDD505-2E9C-101B-9397-08002B2CF9AE}" pid="36" name="EmAttachCount">
    <vt:lpwstr/>
  </property>
  <property fmtid="{D5CDD505-2E9C-101B-9397-08002B2CF9AE}" pid="37" name="EmReceivedOnBehalfOfName">
    <vt:lpwstr/>
  </property>
  <property fmtid="{D5CDD505-2E9C-101B-9397-08002B2CF9AE}" pid="38" name="PM_ProtectiveMarkingImage_Header">
    <vt:lpwstr>C:\Program Files\Common Files\janusNET Shared\janusSEAL\Images\DocumentSlashBlue.png</vt:lpwstr>
  </property>
  <property fmtid="{D5CDD505-2E9C-101B-9397-08002B2CF9AE}" pid="39" name="PM_Caveats_Count">
    <vt:lpwstr>0</vt:lpwstr>
  </property>
  <property fmtid="{D5CDD505-2E9C-101B-9397-08002B2CF9AE}" pid="40" name="PM_DisplayValueSecClassificationWithQualifier">
    <vt:lpwstr>OFFICIAL</vt:lpwstr>
  </property>
  <property fmtid="{D5CDD505-2E9C-101B-9397-08002B2CF9AE}" pid="41" name="PM_Qualifier">
    <vt:lpwstr/>
  </property>
  <property fmtid="{D5CDD505-2E9C-101B-9397-08002B2CF9AE}" pid="42" name="PM_SecurityClassification">
    <vt:lpwstr>OFFICIAL</vt:lpwstr>
  </property>
  <property fmtid="{D5CDD505-2E9C-101B-9397-08002B2CF9AE}" pid="43" name="PM_InsertionValue">
    <vt:lpwstr>OFFICIAL</vt:lpwstr>
  </property>
  <property fmtid="{D5CDD505-2E9C-101B-9397-08002B2CF9AE}" pid="44" name="PM_Originating_FileId">
    <vt:lpwstr>3AE04155E4F64325A60BBA4D0158700A</vt:lpwstr>
  </property>
  <property fmtid="{D5CDD505-2E9C-101B-9397-08002B2CF9AE}" pid="45" name="PM_ProtectiveMarkingValue_Footer">
    <vt:lpwstr>OFFICIAL</vt:lpwstr>
  </property>
  <property fmtid="{D5CDD505-2E9C-101B-9397-08002B2CF9AE}" pid="46" name="PM_Originator_Hash_SHA1">
    <vt:lpwstr>2A0C81B6CA320C7166B4B190F3F85A0BB222FF98</vt:lpwstr>
  </property>
  <property fmtid="{D5CDD505-2E9C-101B-9397-08002B2CF9AE}" pid="47" name="PM_OriginationTimeStamp">
    <vt:lpwstr>2023-02-23T04:37:07Z</vt:lpwstr>
  </property>
  <property fmtid="{D5CDD505-2E9C-101B-9397-08002B2CF9AE}" pid="48" name="PM_ProtectiveMarkingValue_Header">
    <vt:lpwstr>OFFICIAL</vt:lpwstr>
  </property>
  <property fmtid="{D5CDD505-2E9C-101B-9397-08002B2CF9AE}" pid="49" name="PM_ProtectiveMarkingImage_Footer">
    <vt:lpwstr>C:\Program Files\Common Files\janusNET Shared\janusSEAL\Images\DocumentSlashBlue.png</vt:lpwstr>
  </property>
  <property fmtid="{D5CDD505-2E9C-101B-9397-08002B2CF9AE}" pid="50" name="PM_Namespace">
    <vt:lpwstr>gov.au</vt:lpwstr>
  </property>
  <property fmtid="{D5CDD505-2E9C-101B-9397-08002B2CF9AE}" pid="51" name="PM_Version">
    <vt:lpwstr>2018.4</vt:lpwstr>
  </property>
  <property fmtid="{D5CDD505-2E9C-101B-9397-08002B2CF9AE}" pid="52" name="PM_Note">
    <vt:lpwstr/>
  </property>
  <property fmtid="{D5CDD505-2E9C-101B-9397-08002B2CF9AE}" pid="53" name="PM_Markers">
    <vt:lpwstr/>
  </property>
  <property fmtid="{D5CDD505-2E9C-101B-9397-08002B2CF9AE}" pid="54" name="PM_Display">
    <vt:lpwstr>OFFICIAL</vt:lpwstr>
  </property>
  <property fmtid="{D5CDD505-2E9C-101B-9397-08002B2CF9AE}" pid="55" name="PMUuid">
    <vt:lpwstr>v=2022.2;d=gov.au;g=46DD6D7C-8107-577B-BC6E-F348953B2E44</vt:lpwstr>
  </property>
  <property fmtid="{D5CDD505-2E9C-101B-9397-08002B2CF9AE}" pid="56" name="PM_Hash_Version">
    <vt:lpwstr>2022.1</vt:lpwstr>
  </property>
  <property fmtid="{D5CDD505-2E9C-101B-9397-08002B2CF9AE}" pid="57" name="PM_Hash_Salt_Prev">
    <vt:lpwstr>8025CF4B5737FC91DD779E713C950B65</vt:lpwstr>
  </property>
  <property fmtid="{D5CDD505-2E9C-101B-9397-08002B2CF9AE}" pid="58" name="PM_Hash_Salt">
    <vt:lpwstr>708521D94DBEBB5560B8D0F611B30436</vt:lpwstr>
  </property>
  <property fmtid="{D5CDD505-2E9C-101B-9397-08002B2CF9AE}" pid="59" name="PM_Hash_SHA1">
    <vt:lpwstr>9B10114A90B3101232F870439B31C4A0B1275AB2</vt:lpwstr>
  </property>
  <property fmtid="{D5CDD505-2E9C-101B-9397-08002B2CF9AE}" pid="60" name="MSIP_Label_87d6481e-ccdd-4ab6-8b26-05a0df5699e7_SetDate">
    <vt:lpwstr>2023-02-23T04:37:07Z</vt:lpwstr>
  </property>
  <property fmtid="{D5CDD505-2E9C-101B-9397-08002B2CF9AE}" pid="61" name="PM_OriginatorUserAccountName_SHA256">
    <vt:lpwstr>9C0D0B09893BE2EAB6117FA692AAD5A3EB0EA40417C488F466CB44683ABC8F58</vt:lpwstr>
  </property>
  <property fmtid="{D5CDD505-2E9C-101B-9397-08002B2CF9AE}" pid="62" name="PM_OriginatorDomainName_SHA256">
    <vt:lpwstr>325440F6CA31C4C3BCE4433552DC42928CAAD3E2731ABE35FDE729ECEB763AF0</vt:lpwstr>
  </property>
  <property fmtid="{D5CDD505-2E9C-101B-9397-08002B2CF9AE}" pid="63" name="MSIP_Label_87d6481e-ccdd-4ab6-8b26-05a0df5699e7_Name">
    <vt:lpwstr>OFFICIAL</vt:lpwstr>
  </property>
  <property fmtid="{D5CDD505-2E9C-101B-9397-08002B2CF9AE}" pid="64" name="MSIP_Label_87d6481e-ccdd-4ab6-8b26-05a0df5699e7_SiteId">
    <vt:lpwstr>08954cee-4782-4ff6-9ad5-1997dccef4b0</vt:lpwstr>
  </property>
  <property fmtid="{D5CDD505-2E9C-101B-9397-08002B2CF9AE}" pid="65" name="MSIP_Label_87d6481e-ccdd-4ab6-8b26-05a0df5699e7_Enabled">
    <vt:lpwstr>true</vt:lpwstr>
  </property>
  <property fmtid="{D5CDD505-2E9C-101B-9397-08002B2CF9AE}" pid="66" name="MediaServiceImageTags">
    <vt:lpwstr/>
  </property>
  <property fmtid="{D5CDD505-2E9C-101B-9397-08002B2CF9AE}" pid="67" name="PM_SecurityClassification_Prev">
    <vt:lpwstr>OFFICIAL</vt:lpwstr>
  </property>
  <property fmtid="{D5CDD505-2E9C-101B-9397-08002B2CF9AE}" pid="68" name="PM_Qualifier_Prev">
    <vt:lpwstr/>
  </property>
  <property fmtid="{D5CDD505-2E9C-101B-9397-08002B2CF9AE}" pid="69" name="PMHMAC">
    <vt:lpwstr>v=2022.1;a=SHA256;h=A052AC1F8270A0121732239B99EC891564BEB60A0FF66A1B105E1896A2252463</vt:lpwstr>
  </property>
  <property fmtid="{D5CDD505-2E9C-101B-9397-08002B2CF9AE}" pid="70" name="MSIP_Label_87d6481e-ccdd-4ab6-8b26-05a0df5699e7_Method">
    <vt:lpwstr>Privileged</vt:lpwstr>
  </property>
  <property fmtid="{D5CDD505-2E9C-101B-9397-08002B2CF9AE}" pid="71" name="MSIP_Label_87d6481e-ccdd-4ab6-8b26-05a0df5699e7_ContentBits">
    <vt:lpwstr>3</vt:lpwstr>
  </property>
  <property fmtid="{D5CDD505-2E9C-101B-9397-08002B2CF9AE}" pid="72" name="MSIP_Label_87d6481e-ccdd-4ab6-8b26-05a0df5699e7_ActionId">
    <vt:lpwstr>aabeee5d025d4c319c84f3b8e46d6533</vt:lpwstr>
  </property>
  <property fmtid="{D5CDD505-2E9C-101B-9397-08002B2CF9AE}" pid="73" name="Function_x0020_and_x0020_Activity">
    <vt:lpwstr/>
  </property>
  <property fmtid="{D5CDD505-2E9C-101B-9397-08002B2CF9AE}" pid="74" name="docLang">
    <vt:lpwstr>en</vt:lpwstr>
  </property>
  <property fmtid="{D5CDD505-2E9C-101B-9397-08002B2CF9AE}" pid="75" name="Initiating_x0020_Entity">
    <vt:lpwstr>1;#Department of Finance|fd660e8f-8f31-49bd-92a3-d31d4da31afe</vt:lpwstr>
  </property>
  <property fmtid="{D5CDD505-2E9C-101B-9397-08002B2CF9AE}" pid="76" name="Organisation_x0020_Unit">
    <vt:lpwstr>2;#Charging Policy|cbcf5b89-4aab-4c5d-ba02-041c19cdb5b1</vt:lpwstr>
  </property>
  <property fmtid="{D5CDD505-2E9C-101B-9397-08002B2CF9AE}" pid="77" name="About_x0020_Entity">
    <vt:lpwstr>1;#Department of Finance|fd660e8f-8f31-49bd-92a3-d31d4da31afe</vt:lpwstr>
  </property>
  <property fmtid="{D5CDD505-2E9C-101B-9397-08002B2CF9AE}" pid="78" name="PM_Expires">
    <vt:lpwstr/>
  </property>
  <property fmtid="{D5CDD505-2E9C-101B-9397-08002B2CF9AE}" pid="79" name="PM_DownTo">
    <vt:lpwstr/>
  </property>
  <property fmtid="{D5CDD505-2E9C-101B-9397-08002B2CF9AE}" pid="80" name="_dlc_DocIdItemGuid">
    <vt:lpwstr>cfcbf6e2-10be-4f27-9c99-d4a38a5e29a4</vt:lpwstr>
  </property>
</Properties>
</file>