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5504" w14:textId="2EE373F1" w:rsidR="00B770C4" w:rsidRDefault="00665EBF" w:rsidP="00645300">
      <w:pPr>
        <w:pStyle w:val="Title"/>
      </w:pPr>
      <w:bookmarkStart w:id="0" w:name="_Toc53573191"/>
      <w:bookmarkStart w:id="1" w:name="_Toc53573619"/>
      <w:r>
        <w:rPr>
          <w:noProof/>
        </w:rPr>
        <w:drawing>
          <wp:anchor distT="0" distB="0" distL="114300" distR="114300" simplePos="0" relativeHeight="251658240" behindDoc="1" locked="0" layoutInCell="1" allowOverlap="1" wp14:anchorId="4F56D948" wp14:editId="7A02506D">
            <wp:simplePos x="0" y="0"/>
            <wp:positionH relativeFrom="page">
              <wp:align>left</wp:align>
            </wp:positionH>
            <wp:positionV relativeFrom="paragraph">
              <wp:posOffset>-900431</wp:posOffset>
            </wp:positionV>
            <wp:extent cx="7558587" cy="2346820"/>
            <wp:effectExtent l="0" t="0" r="4445" b="0"/>
            <wp:wrapNone/>
            <wp:docPr id="14964398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398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587" cy="23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E31">
        <w:t>Standard Parameters for use in 2025</w:t>
      </w:r>
      <w:r w:rsidR="00A52D7D">
        <w:t>–</w:t>
      </w:r>
      <w:r w:rsidR="005A5E31">
        <w:t>26 financial statements</w:t>
      </w:r>
    </w:p>
    <w:p w14:paraId="0576971E" w14:textId="4F0E1F65" w:rsidR="00B770C4" w:rsidRPr="00A52D7D" w:rsidRDefault="00A52D7D" w:rsidP="00A52D7D">
      <w:pPr>
        <w:pStyle w:val="Title"/>
        <w:rPr>
          <w:sz w:val="32"/>
          <w:szCs w:val="32"/>
        </w:rPr>
      </w:pPr>
      <w:r w:rsidRPr="00A52D7D">
        <w:rPr>
          <w:sz w:val="32"/>
          <w:szCs w:val="32"/>
        </w:rPr>
        <w:t>30 June 2026</w:t>
      </w:r>
    </w:p>
    <w:bookmarkEnd w:id="0"/>
    <w:bookmarkEnd w:id="1"/>
    <w:p w14:paraId="18447EED" w14:textId="78D49E03" w:rsidR="007A7992" w:rsidRPr="007A7992" w:rsidRDefault="0046321A" w:rsidP="0046321A">
      <w:pPr>
        <w:pStyle w:val="Heading1"/>
      </w:pPr>
      <w:r>
        <w:t>Standard Parameters</w:t>
      </w:r>
    </w:p>
    <w:p w14:paraId="16C61627" w14:textId="7E51DA5F" w:rsidR="007A7992" w:rsidRDefault="007A7992" w:rsidP="007A7992">
      <w:pPr>
        <w:rPr>
          <w:rFonts w:cs="MuseoSans-500"/>
          <w:u w:color="0070C0"/>
        </w:rPr>
      </w:pPr>
      <w:r w:rsidRPr="007A7992">
        <w:rPr>
          <w:rFonts w:cs="MuseoSans-500"/>
          <w:u w:color="0070C0"/>
        </w:rPr>
        <w:t>The following standard parameters should be used by Commonwealth entities</w:t>
      </w:r>
      <w:r w:rsidRPr="007A7992">
        <w:rPr>
          <w:rFonts w:cs="MuseoSans-500"/>
          <w:u w:color="0070C0"/>
          <w:vertAlign w:val="superscript"/>
        </w:rPr>
        <w:footnoteReference w:id="1"/>
      </w:r>
      <w:r w:rsidRPr="007A7992">
        <w:rPr>
          <w:rFonts w:cs="MuseoSans-500"/>
          <w:u w:color="0070C0"/>
        </w:rPr>
        <w:t xml:space="preserve"> in the preparation of their 202</w:t>
      </w:r>
      <w:r w:rsidR="00046221">
        <w:rPr>
          <w:rFonts w:cs="MuseoSans-500"/>
          <w:u w:color="0070C0"/>
        </w:rPr>
        <w:t>5</w:t>
      </w:r>
      <w:r w:rsidRPr="007A7992">
        <w:rPr>
          <w:rFonts w:cs="MuseoSans-500"/>
          <w:u w:color="0070C0"/>
        </w:rPr>
        <w:t>–2</w:t>
      </w:r>
      <w:r w:rsidR="00A16418">
        <w:rPr>
          <w:rFonts w:cs="MuseoSans-500"/>
          <w:u w:color="0070C0"/>
        </w:rPr>
        <w:t>6</w:t>
      </w:r>
      <w:r w:rsidRPr="007A7992">
        <w:rPr>
          <w:rFonts w:cs="MuseoSans-500"/>
          <w:u w:color="0070C0"/>
        </w:rPr>
        <w:t xml:space="preserve"> financial statements. Entities should carefully consider the nature and type of an accounting calculation before selecting a discount rate to be used. </w:t>
      </w:r>
    </w:p>
    <w:p w14:paraId="57F12183" w14:textId="77777777" w:rsidR="00656EFA" w:rsidRPr="007A7992" w:rsidRDefault="00656EFA" w:rsidP="007A7992">
      <w:pPr>
        <w:rPr>
          <w:rFonts w:cs="MuseoSans-500"/>
          <w:u w:color="0070C0"/>
        </w:rPr>
      </w:pPr>
    </w:p>
    <w:tbl>
      <w:tblPr>
        <w:tblStyle w:val="Finance1"/>
        <w:tblW w:w="992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4679"/>
      </w:tblGrid>
      <w:tr w:rsidR="007A7992" w:rsidRPr="007A7992" w14:paraId="22F269BE" w14:textId="77777777" w:rsidTr="00CB3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84C97A8" w14:textId="77777777" w:rsidR="007A7992" w:rsidRPr="007A7992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Parameter </w:t>
            </w:r>
          </w:p>
        </w:tc>
        <w:tc>
          <w:tcPr>
            <w:tcW w:w="1134" w:type="dxa"/>
          </w:tcPr>
          <w:p w14:paraId="3D62D86E" w14:textId="77777777" w:rsidR="007A7992" w:rsidRPr="007A7992" w:rsidRDefault="007A7992" w:rsidP="00A63653">
            <w:pPr>
              <w:spacing w:before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Value </w:t>
            </w:r>
          </w:p>
        </w:tc>
        <w:tc>
          <w:tcPr>
            <w:tcW w:w="4679" w:type="dxa"/>
          </w:tcPr>
          <w:p w14:paraId="1415C9FB" w14:textId="77777777" w:rsidR="007A7992" w:rsidRPr="007A7992" w:rsidRDefault="007A7992" w:rsidP="00A63653">
            <w:pPr>
              <w:spacing w:before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Website </w:t>
            </w:r>
          </w:p>
        </w:tc>
      </w:tr>
      <w:tr w:rsidR="007A7992" w:rsidRPr="007A7992" w14:paraId="1DAA6DCF" w14:textId="77777777" w:rsidTr="00CB3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8CF6368" w14:textId="77777777" w:rsidR="007A7992" w:rsidRPr="007A7992" w:rsidRDefault="007A7992" w:rsidP="00A63653">
            <w:pPr>
              <w:spacing w:before="60" w:line="240" w:lineRule="auto"/>
              <w:rPr>
                <w:rFonts w:cstheme="minorHAnsi"/>
                <w:b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>Consumer Price Index</w:t>
            </w:r>
          </w:p>
          <w:p w14:paraId="57256E43" w14:textId="76106E66" w:rsidR="007A7992" w:rsidRPr="007A7992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val="single" w:color="0070C0"/>
              </w:rPr>
              <w:t xml:space="preserve">Forecasts </w:t>
            </w:r>
            <w:proofErr w:type="gramStart"/>
            <w:r w:rsidRPr="007A7992">
              <w:rPr>
                <w:rFonts w:cstheme="minorHAnsi"/>
                <w:sz w:val="22"/>
                <w:u w:val="single" w:color="0070C0"/>
              </w:rPr>
              <w:t>at</w:t>
            </w:r>
            <w:proofErr w:type="gramEnd"/>
            <w:r w:rsidRPr="007A7992">
              <w:rPr>
                <w:rFonts w:cstheme="minorHAnsi"/>
                <w:sz w:val="22"/>
                <w:u w:val="single" w:color="0070C0"/>
              </w:rPr>
              <w:t xml:space="preserve"> 30 June 202</w:t>
            </w:r>
            <w:r w:rsidR="00A63653">
              <w:rPr>
                <w:rFonts w:cstheme="minorHAnsi"/>
                <w:sz w:val="22"/>
                <w:u w:val="single" w:color="0070C0"/>
              </w:rPr>
              <w:t>6</w:t>
            </w:r>
            <w:r w:rsidRPr="007A7992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3440DAAC" w14:textId="097B64E7" w:rsidR="00667394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(per 202</w:t>
            </w:r>
            <w:r w:rsidR="00A63653">
              <w:rPr>
                <w:rFonts w:cstheme="minorHAnsi"/>
                <w:sz w:val="22"/>
                <w:u w:color="0070C0"/>
              </w:rPr>
              <w:t>6</w:t>
            </w:r>
            <w:r w:rsidRPr="007A7992">
              <w:rPr>
                <w:rFonts w:cstheme="minorHAnsi"/>
                <w:sz w:val="22"/>
                <w:u w:color="0070C0"/>
              </w:rPr>
              <w:t>–2</w:t>
            </w:r>
            <w:r w:rsidR="00A63653">
              <w:rPr>
                <w:rFonts w:cstheme="minorHAnsi"/>
                <w:sz w:val="22"/>
                <w:u w:color="0070C0"/>
              </w:rPr>
              <w:t>7</w:t>
            </w:r>
            <w:r w:rsidRPr="007A7992">
              <w:rPr>
                <w:rFonts w:cstheme="minorHAnsi"/>
                <w:sz w:val="22"/>
                <w:u w:color="0070C0"/>
              </w:rPr>
              <w:t xml:space="preserve"> Budget) </w:t>
            </w:r>
          </w:p>
          <w:p w14:paraId="24F612DE" w14:textId="77777777" w:rsidR="000E5980" w:rsidRPr="007A7992" w:rsidRDefault="000E5980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</w:p>
          <w:p w14:paraId="019CDF4C" w14:textId="77777777" w:rsidR="007A7992" w:rsidRPr="00A63653" w:rsidRDefault="007A7992" w:rsidP="00A63653">
            <w:pPr>
              <w:spacing w:before="60" w:line="240" w:lineRule="auto"/>
              <w:rPr>
                <w:rFonts w:ascii="Arial" w:hAnsi="Arial" w:cs="Arial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2025–26</w:t>
            </w:r>
          </w:p>
          <w:p w14:paraId="7A2F2266" w14:textId="77777777" w:rsidR="007A7992" w:rsidRPr="007A7992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2026–27</w:t>
            </w:r>
          </w:p>
          <w:p w14:paraId="7D47A14E" w14:textId="77777777" w:rsidR="007A7992" w:rsidRPr="007A7992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2027–28</w:t>
            </w:r>
          </w:p>
          <w:p w14:paraId="049D01AE" w14:textId="77777777" w:rsidR="007A7992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2028–29</w:t>
            </w:r>
          </w:p>
          <w:p w14:paraId="40043BA0" w14:textId="7D576A42" w:rsidR="00154CD6" w:rsidRPr="007A7992" w:rsidRDefault="00154CD6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2029–30</w:t>
            </w:r>
          </w:p>
        </w:tc>
        <w:tc>
          <w:tcPr>
            <w:tcW w:w="1134" w:type="dxa"/>
          </w:tcPr>
          <w:p w14:paraId="7D704090" w14:textId="77777777" w:rsidR="007A7992" w:rsidRPr="007A7992" w:rsidRDefault="007A7992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 xml:space="preserve"> </w:t>
            </w:r>
            <w:r w:rsidRPr="007A7992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5669D38A" w14:textId="77777777" w:rsidR="007A7992" w:rsidRPr="007A7992" w:rsidRDefault="007A7992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59C03BAD" w14:textId="77777777" w:rsidR="007A7992" w:rsidRPr="007A7992" w:rsidRDefault="007A7992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5DF6D7E8" w14:textId="77777777" w:rsidR="00BB433D" w:rsidRDefault="00BB433D" w:rsidP="00DF7001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3EBE4353" w14:textId="7085DCF3" w:rsidR="007A7992" w:rsidRPr="007A7992" w:rsidRDefault="00055387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5.00</w:t>
            </w:r>
            <w:r w:rsidR="007A7992" w:rsidRPr="007A7992">
              <w:rPr>
                <w:rFonts w:cstheme="minorHAnsi"/>
                <w:sz w:val="22"/>
                <w:u w:color="0070C0"/>
              </w:rPr>
              <w:t>%</w:t>
            </w:r>
          </w:p>
          <w:p w14:paraId="24299B13" w14:textId="5A7A3E34" w:rsidR="007A7992" w:rsidRPr="007A7992" w:rsidRDefault="00055387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2.50</w:t>
            </w:r>
            <w:r w:rsidR="007A7992" w:rsidRPr="007A7992">
              <w:rPr>
                <w:rFonts w:cstheme="minorHAnsi"/>
                <w:sz w:val="22"/>
                <w:u w:color="0070C0"/>
              </w:rPr>
              <w:t>%</w:t>
            </w:r>
          </w:p>
          <w:p w14:paraId="6B2EEC29" w14:textId="77777777" w:rsidR="007A7992" w:rsidRPr="007A7992" w:rsidRDefault="007A7992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2.50%</w:t>
            </w:r>
          </w:p>
          <w:p w14:paraId="0226CCF2" w14:textId="77777777" w:rsidR="007A7992" w:rsidRPr="007A7992" w:rsidRDefault="007A7992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2.50%</w:t>
            </w:r>
          </w:p>
          <w:p w14:paraId="259110B2" w14:textId="77777777" w:rsidR="007A7992" w:rsidRPr="007A7992" w:rsidRDefault="007A7992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2.50%</w:t>
            </w:r>
          </w:p>
        </w:tc>
        <w:tc>
          <w:tcPr>
            <w:tcW w:w="4679" w:type="dxa"/>
          </w:tcPr>
          <w:p w14:paraId="493A39A8" w14:textId="77777777" w:rsidR="007A7992" w:rsidRPr="007A7992" w:rsidRDefault="007A7992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59C2CD54" w14:textId="77777777" w:rsidR="007A7992" w:rsidRPr="007A7992" w:rsidRDefault="007A7992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1A738327" w14:textId="77777777" w:rsidR="00CB3A7D" w:rsidRPr="00486254" w:rsidRDefault="00CB3A7D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18988CE8" w14:textId="77777777" w:rsidR="00BB433D" w:rsidRDefault="00BB433D" w:rsidP="00DF7001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214BED8E" w14:textId="59F7F5AB" w:rsidR="007A7992" w:rsidRPr="007A7992" w:rsidRDefault="007A7992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Available on </w:t>
            </w:r>
            <w:hyperlink r:id="rId14" w:history="1">
              <w:r w:rsidRPr="007A7992">
                <w:rPr>
                  <w:rStyle w:val="Hyperlink"/>
                  <w:rFonts w:cstheme="minorHAnsi"/>
                  <w:sz w:val="22"/>
                </w:rPr>
                <w:t>budget.gov.au</w:t>
              </w:r>
            </w:hyperlink>
            <w:r w:rsidRPr="007A7992">
              <w:rPr>
                <w:rFonts w:cstheme="minorHAnsi"/>
                <w:sz w:val="22"/>
                <w:u w:color="0070C0"/>
              </w:rPr>
              <w:t xml:space="preserve"> in: </w:t>
            </w:r>
          </w:p>
          <w:p w14:paraId="78E5127C" w14:textId="77777777" w:rsidR="007A7992" w:rsidRPr="007A7992" w:rsidRDefault="007A7992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Budget Paper No. 1 - Budget Strategy and Outlook</w:t>
            </w:r>
          </w:p>
          <w:p w14:paraId="07031E34" w14:textId="6B9C22C3" w:rsidR="007A7992" w:rsidRPr="007A7992" w:rsidRDefault="007A7992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Statement 1, Table 1.1: Major </w:t>
            </w:r>
            <w:r w:rsidR="00ED6FBB">
              <w:rPr>
                <w:rFonts w:cstheme="minorHAnsi"/>
                <w:sz w:val="22"/>
                <w:u w:color="0070C0"/>
              </w:rPr>
              <w:t>E</w:t>
            </w:r>
            <w:r w:rsidRPr="007A7992">
              <w:rPr>
                <w:rFonts w:cstheme="minorHAnsi"/>
                <w:sz w:val="22"/>
                <w:u w:color="0070C0"/>
              </w:rPr>
              <w:t xml:space="preserve">conomic </w:t>
            </w:r>
            <w:r w:rsidR="00ED6FBB">
              <w:rPr>
                <w:rFonts w:cstheme="minorHAnsi"/>
                <w:sz w:val="22"/>
                <w:u w:color="0070C0"/>
              </w:rPr>
              <w:t>P</w:t>
            </w:r>
            <w:r w:rsidRPr="007A7992">
              <w:rPr>
                <w:rFonts w:cstheme="minorHAnsi"/>
                <w:sz w:val="22"/>
                <w:u w:color="0070C0"/>
              </w:rPr>
              <w:t>arameters</w:t>
            </w:r>
            <w:r w:rsidR="00CA2B1A">
              <w:rPr>
                <w:rFonts w:cstheme="minorHAnsi"/>
                <w:sz w:val="22"/>
                <w:u w:color="0070C0"/>
              </w:rPr>
              <w:t xml:space="preserve"> </w:t>
            </w:r>
            <w:r w:rsidRPr="007A7992">
              <w:rPr>
                <w:rFonts w:cstheme="minorHAnsi"/>
                <w:sz w:val="22"/>
                <w:u w:color="0070C0"/>
              </w:rPr>
              <w:t xml:space="preserve">(page </w:t>
            </w:r>
            <w:r w:rsidR="00ED6FBB">
              <w:rPr>
                <w:rFonts w:cstheme="minorHAnsi"/>
                <w:sz w:val="22"/>
                <w:u w:color="0070C0"/>
              </w:rPr>
              <w:t>7</w:t>
            </w:r>
            <w:r w:rsidRPr="007A7992">
              <w:rPr>
                <w:rFonts w:cstheme="minorHAnsi"/>
                <w:sz w:val="22"/>
                <w:u w:color="0070C0"/>
              </w:rPr>
              <w:t>)</w:t>
            </w:r>
            <w:bookmarkStart w:id="2" w:name="_Ref234226758"/>
            <w:r w:rsidRPr="007A7992">
              <w:rPr>
                <w:rFonts w:cstheme="minorHAnsi"/>
                <w:sz w:val="22"/>
                <w:u w:color="0070C0"/>
                <w:vertAlign w:val="superscript"/>
              </w:rPr>
              <w:footnoteReference w:id="2"/>
            </w:r>
            <w:bookmarkEnd w:id="2"/>
          </w:p>
        </w:tc>
      </w:tr>
      <w:tr w:rsidR="007A7992" w:rsidRPr="007A7992" w14:paraId="09515280" w14:textId="77777777" w:rsidTr="00CB3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E436B87" w14:textId="77777777" w:rsidR="007A7992" w:rsidRPr="007A7992" w:rsidRDefault="007A7992" w:rsidP="00A63653">
            <w:pPr>
              <w:spacing w:before="60" w:line="240" w:lineRule="auto"/>
              <w:rPr>
                <w:rFonts w:cstheme="minorHAnsi"/>
                <w:b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>Wage Price Index</w:t>
            </w:r>
            <w:r w:rsidRPr="007A7992">
              <w:rPr>
                <w:rFonts w:cstheme="minorHAnsi"/>
                <w:b/>
                <w:sz w:val="22"/>
                <w:u w:color="0070C0"/>
                <w:vertAlign w:val="superscript"/>
              </w:rPr>
              <w:footnoteReference w:id="3"/>
            </w:r>
          </w:p>
          <w:p w14:paraId="6B80DEE6" w14:textId="5FEE828E" w:rsidR="007A7992" w:rsidRPr="007A7992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val="single" w:color="0070C0"/>
              </w:rPr>
              <w:t xml:space="preserve">Forecasts </w:t>
            </w:r>
            <w:proofErr w:type="gramStart"/>
            <w:r w:rsidRPr="007A7992">
              <w:rPr>
                <w:rFonts w:cstheme="minorHAnsi"/>
                <w:sz w:val="22"/>
                <w:u w:val="single" w:color="0070C0"/>
              </w:rPr>
              <w:t>at</w:t>
            </w:r>
            <w:proofErr w:type="gramEnd"/>
            <w:r w:rsidRPr="007A7992">
              <w:rPr>
                <w:rFonts w:cstheme="minorHAnsi"/>
                <w:sz w:val="22"/>
                <w:u w:val="single" w:color="0070C0"/>
              </w:rPr>
              <w:t xml:space="preserve"> 30 June 202</w:t>
            </w:r>
            <w:r w:rsidR="00A63653">
              <w:rPr>
                <w:rFonts w:cstheme="minorHAnsi"/>
                <w:sz w:val="22"/>
                <w:u w:val="single" w:color="0070C0"/>
              </w:rPr>
              <w:t>6</w:t>
            </w:r>
            <w:r w:rsidRPr="007A7992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34BC1216" w14:textId="7269FF6F" w:rsidR="007A7992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(per 202</w:t>
            </w:r>
            <w:r w:rsidR="00A63653">
              <w:rPr>
                <w:rFonts w:cstheme="minorHAnsi"/>
                <w:sz w:val="22"/>
                <w:u w:color="0070C0"/>
              </w:rPr>
              <w:t>6</w:t>
            </w:r>
            <w:r w:rsidRPr="007A7992">
              <w:rPr>
                <w:rFonts w:cstheme="minorHAnsi"/>
                <w:sz w:val="22"/>
                <w:u w:color="0070C0"/>
              </w:rPr>
              <w:t>–2</w:t>
            </w:r>
            <w:r w:rsidR="00A63653">
              <w:rPr>
                <w:rFonts w:cstheme="minorHAnsi"/>
                <w:sz w:val="22"/>
                <w:u w:color="0070C0"/>
              </w:rPr>
              <w:t>7</w:t>
            </w:r>
            <w:r w:rsidRPr="007A7992">
              <w:rPr>
                <w:rFonts w:cstheme="minorHAnsi"/>
                <w:sz w:val="22"/>
                <w:u w:color="0070C0"/>
              </w:rPr>
              <w:t xml:space="preserve"> Budget) </w:t>
            </w:r>
          </w:p>
          <w:p w14:paraId="07593D9A" w14:textId="77777777" w:rsidR="000B1594" w:rsidRPr="007A7992" w:rsidRDefault="000B1594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</w:p>
          <w:p w14:paraId="009C9CAC" w14:textId="77777777" w:rsidR="007A7992" w:rsidRPr="007A7992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2025–26</w:t>
            </w:r>
          </w:p>
          <w:p w14:paraId="133327D6" w14:textId="77777777" w:rsidR="007A7992" w:rsidRPr="007A7992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2026–27</w:t>
            </w:r>
          </w:p>
          <w:p w14:paraId="2C8BFCCF" w14:textId="77777777" w:rsidR="007A7992" w:rsidRPr="007A7992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2027–28</w:t>
            </w:r>
          </w:p>
          <w:p w14:paraId="23975B8B" w14:textId="77777777" w:rsidR="007A7992" w:rsidRDefault="007A7992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2028–29</w:t>
            </w:r>
          </w:p>
          <w:p w14:paraId="51C43A9F" w14:textId="51083B61" w:rsidR="00055387" w:rsidRPr="007A7992" w:rsidRDefault="00055387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2029–30</w:t>
            </w:r>
          </w:p>
        </w:tc>
        <w:tc>
          <w:tcPr>
            <w:tcW w:w="1134" w:type="dxa"/>
          </w:tcPr>
          <w:p w14:paraId="7009CCF9" w14:textId="77777777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4309617F" w14:textId="77777777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1D94C09A" w14:textId="77777777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774E808F" w14:textId="77777777" w:rsidR="00DF7001" w:rsidRDefault="00DF700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6EAD8878" w14:textId="7B26DF22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3.</w:t>
            </w:r>
            <w:r w:rsidR="00A65564">
              <w:rPr>
                <w:rFonts w:cstheme="minorHAnsi"/>
                <w:sz w:val="22"/>
                <w:u w:color="0070C0"/>
              </w:rPr>
              <w:t>25</w:t>
            </w:r>
            <w:r w:rsidRPr="007A7992">
              <w:rPr>
                <w:rFonts w:cstheme="minorHAnsi"/>
                <w:sz w:val="22"/>
                <w:u w:color="0070C0"/>
              </w:rPr>
              <w:t>%</w:t>
            </w:r>
          </w:p>
          <w:p w14:paraId="12594A19" w14:textId="1D4B17A9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3.</w:t>
            </w:r>
            <w:r w:rsidR="00A65564">
              <w:rPr>
                <w:rFonts w:cstheme="minorHAnsi"/>
                <w:sz w:val="22"/>
                <w:u w:color="0070C0"/>
              </w:rPr>
              <w:t>50</w:t>
            </w:r>
            <w:r w:rsidRPr="007A7992">
              <w:rPr>
                <w:rFonts w:cstheme="minorHAnsi"/>
                <w:sz w:val="22"/>
                <w:u w:color="0070C0"/>
              </w:rPr>
              <w:t>%</w:t>
            </w:r>
          </w:p>
          <w:p w14:paraId="067C6725" w14:textId="64D76F0E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3.</w:t>
            </w:r>
            <w:r w:rsidR="00A65564">
              <w:rPr>
                <w:rFonts w:cstheme="minorHAnsi"/>
                <w:sz w:val="22"/>
                <w:u w:color="0070C0"/>
              </w:rPr>
              <w:t>50</w:t>
            </w:r>
            <w:r w:rsidRPr="007A7992">
              <w:rPr>
                <w:rFonts w:cstheme="minorHAnsi"/>
                <w:sz w:val="22"/>
                <w:u w:color="0070C0"/>
              </w:rPr>
              <w:t>%</w:t>
            </w:r>
          </w:p>
          <w:p w14:paraId="6D8DA38C" w14:textId="37CC62EC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3.</w:t>
            </w:r>
            <w:r w:rsidR="00A65564">
              <w:rPr>
                <w:rFonts w:cstheme="minorHAnsi"/>
                <w:sz w:val="22"/>
                <w:u w:color="0070C0"/>
              </w:rPr>
              <w:t>50</w:t>
            </w:r>
            <w:r w:rsidRPr="007A7992">
              <w:rPr>
                <w:rFonts w:cstheme="minorHAnsi"/>
                <w:sz w:val="22"/>
                <w:u w:color="0070C0"/>
              </w:rPr>
              <w:t>%</w:t>
            </w:r>
          </w:p>
          <w:p w14:paraId="6DC81908" w14:textId="77777777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3.75%</w:t>
            </w:r>
          </w:p>
        </w:tc>
        <w:tc>
          <w:tcPr>
            <w:tcW w:w="4679" w:type="dxa"/>
          </w:tcPr>
          <w:p w14:paraId="30754CC1" w14:textId="77777777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1F0E63E7" w14:textId="77777777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6D7A5441" w14:textId="77777777" w:rsidR="00CB3A7D" w:rsidRPr="00486254" w:rsidRDefault="00CB3A7D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1319C7FF" w14:textId="77777777" w:rsidR="00DF7001" w:rsidRDefault="00DF700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061B5BF4" w14:textId="47C2B154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Available on </w:t>
            </w:r>
            <w:hyperlink r:id="rId15" w:history="1">
              <w:r w:rsidRPr="007A7992">
                <w:rPr>
                  <w:rStyle w:val="Hyperlink"/>
                  <w:rFonts w:cstheme="minorHAnsi"/>
                  <w:sz w:val="22"/>
                </w:rPr>
                <w:t>budget.gov.au</w:t>
              </w:r>
            </w:hyperlink>
            <w:r w:rsidRPr="007A7992">
              <w:rPr>
                <w:rFonts w:cstheme="minorHAnsi"/>
                <w:sz w:val="22"/>
                <w:u w:color="0070C0"/>
              </w:rPr>
              <w:t xml:space="preserve"> in: </w:t>
            </w:r>
          </w:p>
          <w:p w14:paraId="62A35A9B" w14:textId="77777777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Budget Paper No. 1 - Budget Strategy and Outlook</w:t>
            </w:r>
          </w:p>
          <w:p w14:paraId="2FD7EAA4" w14:textId="6AF43D88" w:rsidR="007A7992" w:rsidRPr="007A7992" w:rsidRDefault="007A7992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Statement 1, Table 1.1: Major </w:t>
            </w:r>
            <w:r w:rsidR="00055387">
              <w:rPr>
                <w:rFonts w:cstheme="minorHAnsi"/>
                <w:sz w:val="22"/>
                <w:u w:color="0070C0"/>
              </w:rPr>
              <w:t>E</w:t>
            </w:r>
            <w:r w:rsidRPr="007A7992">
              <w:rPr>
                <w:rFonts w:cstheme="minorHAnsi"/>
                <w:sz w:val="22"/>
                <w:u w:color="0070C0"/>
              </w:rPr>
              <w:t xml:space="preserve">conomic </w:t>
            </w:r>
            <w:r w:rsidR="00055387">
              <w:rPr>
                <w:rFonts w:cstheme="minorHAnsi"/>
                <w:sz w:val="22"/>
                <w:u w:color="0070C0"/>
              </w:rPr>
              <w:t>P</w:t>
            </w:r>
            <w:r w:rsidRPr="007A7992">
              <w:rPr>
                <w:rFonts w:cstheme="minorHAnsi"/>
                <w:sz w:val="22"/>
                <w:u w:color="0070C0"/>
              </w:rPr>
              <w:t>arameters</w:t>
            </w:r>
            <w:r w:rsidR="00055387" w:rsidRPr="007A7992" w:rsidDel="00055387">
              <w:rPr>
                <w:rFonts w:cstheme="minorHAnsi"/>
                <w:sz w:val="22"/>
                <w:u w:color="0070C0"/>
              </w:rPr>
              <w:t xml:space="preserve"> </w:t>
            </w:r>
            <w:r w:rsidRPr="007A7992">
              <w:rPr>
                <w:rFonts w:cstheme="minorHAnsi"/>
                <w:sz w:val="22"/>
                <w:u w:color="0070C0"/>
              </w:rPr>
              <w:t xml:space="preserve">(page </w:t>
            </w:r>
            <w:r w:rsidR="00055387">
              <w:rPr>
                <w:rFonts w:cstheme="minorHAnsi"/>
                <w:sz w:val="22"/>
                <w:u w:color="0070C0"/>
              </w:rPr>
              <w:t>7</w:t>
            </w:r>
            <w:r w:rsidRPr="007A7992">
              <w:rPr>
                <w:rFonts w:cstheme="minorHAnsi"/>
                <w:sz w:val="22"/>
                <w:u w:color="0070C0"/>
              </w:rPr>
              <w:t>)</w:t>
            </w:r>
            <w:r w:rsidR="008534D5" w:rsidRPr="00125B81">
              <w:rPr>
                <w:rFonts w:cstheme="minorHAnsi"/>
                <w:u w:color="0070C0"/>
                <w:vertAlign w:val="superscript"/>
              </w:rPr>
              <w:fldChar w:fldCharType="begin"/>
            </w:r>
            <w:r w:rsidR="008534D5" w:rsidRPr="00125B81">
              <w:rPr>
                <w:rFonts w:cstheme="minorHAnsi"/>
                <w:u w:color="0070C0"/>
                <w:vertAlign w:val="superscript"/>
              </w:rPr>
              <w:instrText xml:space="preserve"> NOTEREF _Ref234226758 \h </w:instrText>
            </w:r>
            <w:r w:rsidR="008534D5">
              <w:rPr>
                <w:rFonts w:cstheme="minorHAnsi"/>
                <w:u w:color="0070C0"/>
                <w:vertAlign w:val="superscript"/>
              </w:rPr>
              <w:instrText xml:space="preserve"> \* MERGEFORMAT </w:instrText>
            </w:r>
            <w:r w:rsidR="008534D5" w:rsidRPr="00125B81">
              <w:rPr>
                <w:rFonts w:cstheme="minorHAnsi"/>
                <w:u w:color="0070C0"/>
                <w:vertAlign w:val="superscript"/>
              </w:rPr>
            </w:r>
            <w:r w:rsidR="008534D5" w:rsidRPr="00125B81">
              <w:rPr>
                <w:rFonts w:cstheme="minorHAnsi"/>
                <w:u w:color="0070C0"/>
                <w:vertAlign w:val="superscript"/>
              </w:rPr>
              <w:fldChar w:fldCharType="separate"/>
            </w:r>
            <w:r w:rsidR="006F4A2B">
              <w:rPr>
                <w:rFonts w:cstheme="minorHAnsi"/>
                <w:u w:color="0070C0"/>
                <w:vertAlign w:val="superscript"/>
              </w:rPr>
              <w:t>2</w:t>
            </w:r>
            <w:r w:rsidR="008534D5" w:rsidRPr="00125B81">
              <w:rPr>
                <w:rFonts w:cstheme="minorHAnsi"/>
                <w:u w:color="0070C0"/>
                <w:vertAlign w:val="superscript"/>
              </w:rPr>
              <w:fldChar w:fldCharType="end"/>
            </w:r>
          </w:p>
        </w:tc>
      </w:tr>
      <w:tr w:rsidR="00C92097" w:rsidRPr="00486254" w14:paraId="30920C87" w14:textId="77777777" w:rsidTr="00CB3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6BA96E6" w14:textId="0DAC8E83" w:rsidR="00DB3133" w:rsidRPr="00A63653" w:rsidRDefault="00DB3133" w:rsidP="00A63653">
            <w:pPr>
              <w:spacing w:before="60" w:line="240" w:lineRule="auto"/>
              <w:rPr>
                <w:rFonts w:cstheme="minorHAnsi"/>
                <w:b/>
                <w:sz w:val="22"/>
                <w:u w:color="0070C0"/>
              </w:rPr>
            </w:pPr>
            <w:r w:rsidRPr="00A63653">
              <w:rPr>
                <w:rFonts w:cstheme="minorHAnsi"/>
                <w:b/>
                <w:sz w:val="22"/>
                <w:u w:color="0070C0"/>
              </w:rPr>
              <w:t>Real Gross Domestic Product</w:t>
            </w:r>
            <w:r w:rsidR="00804849">
              <w:rPr>
                <w:rStyle w:val="FootnoteReference"/>
                <w:rFonts w:cstheme="minorHAnsi"/>
                <w:b/>
                <w:sz w:val="22"/>
                <w:u w:color="0070C0"/>
              </w:rPr>
              <w:footnoteReference w:id="4"/>
            </w:r>
            <w:r w:rsidRPr="00A63653">
              <w:rPr>
                <w:rFonts w:cstheme="minorHAnsi"/>
                <w:b/>
                <w:sz w:val="22"/>
                <w:u w:color="0070C0"/>
              </w:rPr>
              <w:t xml:space="preserve">  </w:t>
            </w:r>
          </w:p>
          <w:p w14:paraId="7F3BC6A0" w14:textId="3DF7F19B" w:rsidR="00DB3133" w:rsidRPr="00486254" w:rsidRDefault="00DB3133" w:rsidP="00A63653">
            <w:pPr>
              <w:spacing w:before="60" w:line="240" w:lineRule="auto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 xml:space="preserve">Forecasts </w:t>
            </w:r>
            <w:proofErr w:type="gramStart"/>
            <w:r w:rsidRPr="00486254">
              <w:rPr>
                <w:rFonts w:cstheme="minorHAnsi"/>
                <w:bCs/>
                <w:sz w:val="22"/>
                <w:u w:color="0070C0"/>
              </w:rPr>
              <w:t>at</w:t>
            </w:r>
            <w:proofErr w:type="gramEnd"/>
            <w:r w:rsidRPr="00486254">
              <w:rPr>
                <w:rFonts w:cstheme="minorHAnsi"/>
                <w:bCs/>
                <w:sz w:val="22"/>
                <w:u w:color="0070C0"/>
              </w:rPr>
              <w:t xml:space="preserve"> 30 June 202</w:t>
            </w:r>
            <w:r w:rsidR="00591E24">
              <w:rPr>
                <w:rFonts w:cstheme="minorHAnsi"/>
                <w:bCs/>
                <w:sz w:val="22"/>
                <w:u w:color="0070C0"/>
              </w:rPr>
              <w:t>6</w:t>
            </w:r>
            <w:r w:rsidRPr="00486254">
              <w:rPr>
                <w:rFonts w:cstheme="minorHAnsi"/>
                <w:bCs/>
                <w:sz w:val="22"/>
                <w:u w:color="0070C0"/>
              </w:rPr>
              <w:t xml:space="preserve"> </w:t>
            </w:r>
          </w:p>
          <w:p w14:paraId="333FD67F" w14:textId="53383D93" w:rsidR="00DB3133" w:rsidRPr="00486254" w:rsidRDefault="00DB3133" w:rsidP="00A63653">
            <w:pPr>
              <w:spacing w:before="60" w:line="240" w:lineRule="auto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>(per 202</w:t>
            </w:r>
            <w:r w:rsidR="00A63653">
              <w:rPr>
                <w:rFonts w:cstheme="minorHAnsi"/>
                <w:bCs/>
                <w:sz w:val="22"/>
                <w:u w:color="0070C0"/>
              </w:rPr>
              <w:t>6</w:t>
            </w:r>
            <w:r w:rsidRPr="00486254">
              <w:rPr>
                <w:rFonts w:cstheme="minorHAnsi"/>
                <w:bCs/>
                <w:sz w:val="22"/>
                <w:u w:color="0070C0"/>
              </w:rPr>
              <w:t>–2</w:t>
            </w:r>
            <w:r w:rsidR="00A63653">
              <w:rPr>
                <w:rFonts w:cstheme="minorHAnsi"/>
                <w:bCs/>
                <w:sz w:val="22"/>
                <w:u w:color="0070C0"/>
              </w:rPr>
              <w:t>7</w:t>
            </w:r>
            <w:r w:rsidRPr="00486254">
              <w:rPr>
                <w:rFonts w:cstheme="minorHAnsi"/>
                <w:bCs/>
                <w:sz w:val="22"/>
                <w:u w:color="0070C0"/>
              </w:rPr>
              <w:t xml:space="preserve"> Budget)</w:t>
            </w:r>
          </w:p>
          <w:p w14:paraId="5BC8FA56" w14:textId="77777777" w:rsidR="000E5980" w:rsidRDefault="000E5980" w:rsidP="00A63653">
            <w:pPr>
              <w:spacing w:before="60" w:line="240" w:lineRule="auto"/>
              <w:rPr>
                <w:rFonts w:cstheme="minorHAnsi"/>
                <w:bCs/>
                <w:sz w:val="22"/>
                <w:u w:color="0070C0"/>
              </w:rPr>
            </w:pPr>
          </w:p>
          <w:p w14:paraId="0E7E3EE0" w14:textId="77777777" w:rsidR="00DB3133" w:rsidRPr="00486254" w:rsidRDefault="00DB3133" w:rsidP="00A63653">
            <w:pPr>
              <w:spacing w:before="60" w:line="240" w:lineRule="auto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>2025–26</w:t>
            </w:r>
          </w:p>
          <w:p w14:paraId="1C3EDDA9" w14:textId="77777777" w:rsidR="00DB3133" w:rsidRPr="00486254" w:rsidRDefault="00DB3133" w:rsidP="00A63653">
            <w:pPr>
              <w:spacing w:before="60" w:line="240" w:lineRule="auto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>2026–27</w:t>
            </w:r>
          </w:p>
          <w:p w14:paraId="32CA5E68" w14:textId="77777777" w:rsidR="00DB3133" w:rsidRPr="00486254" w:rsidRDefault="00DB3133" w:rsidP="00A63653">
            <w:pPr>
              <w:spacing w:before="60" w:line="240" w:lineRule="auto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>2027–28</w:t>
            </w:r>
          </w:p>
          <w:p w14:paraId="15ACE517" w14:textId="77777777" w:rsidR="00C92097" w:rsidRDefault="00DB3133" w:rsidP="00A63653">
            <w:pPr>
              <w:spacing w:before="60" w:line="240" w:lineRule="auto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>2028–29</w:t>
            </w:r>
          </w:p>
          <w:p w14:paraId="13A34C01" w14:textId="046A6055" w:rsidR="0009035F" w:rsidRPr="00486254" w:rsidRDefault="0009035F" w:rsidP="00A63653">
            <w:pPr>
              <w:spacing w:before="60" w:line="240" w:lineRule="auto"/>
              <w:rPr>
                <w:rFonts w:cstheme="minorHAnsi"/>
                <w:bCs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2029–30</w:t>
            </w:r>
          </w:p>
        </w:tc>
        <w:tc>
          <w:tcPr>
            <w:tcW w:w="1134" w:type="dxa"/>
          </w:tcPr>
          <w:p w14:paraId="72CA8313" w14:textId="77777777" w:rsidR="0051455E" w:rsidRPr="00486254" w:rsidRDefault="0051455E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</w:p>
          <w:p w14:paraId="27485598" w14:textId="77777777" w:rsidR="0051455E" w:rsidRPr="00486254" w:rsidRDefault="0051455E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</w:p>
          <w:p w14:paraId="67D48940" w14:textId="77777777" w:rsidR="0051455E" w:rsidRPr="00486254" w:rsidRDefault="0051455E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</w:p>
          <w:p w14:paraId="0ADC5AE0" w14:textId="77777777" w:rsidR="000E5980" w:rsidRDefault="000E5980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</w:p>
          <w:p w14:paraId="46877FFE" w14:textId="6BD48F70" w:rsidR="00BB5158" w:rsidRPr="00486254" w:rsidRDefault="007A5D54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  <w:r>
              <w:rPr>
                <w:rFonts w:cstheme="minorHAnsi"/>
                <w:bCs/>
                <w:sz w:val="22"/>
                <w:u w:color="0070C0"/>
              </w:rPr>
              <w:t>2.25</w:t>
            </w:r>
            <w:r w:rsidR="00BB5158" w:rsidRPr="00486254">
              <w:rPr>
                <w:rFonts w:cstheme="minorHAnsi"/>
                <w:bCs/>
                <w:sz w:val="22"/>
                <w:u w:color="0070C0"/>
              </w:rPr>
              <w:t>%</w:t>
            </w:r>
          </w:p>
          <w:p w14:paraId="57460E29" w14:textId="548F9992" w:rsidR="00BB5158" w:rsidRPr="00486254" w:rsidRDefault="007A5D54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  <w:r>
              <w:rPr>
                <w:rFonts w:cstheme="minorHAnsi"/>
                <w:bCs/>
                <w:sz w:val="22"/>
                <w:u w:color="0070C0"/>
              </w:rPr>
              <w:t>1.75</w:t>
            </w:r>
            <w:r w:rsidR="00BB5158" w:rsidRPr="00486254">
              <w:rPr>
                <w:rFonts w:cstheme="minorHAnsi"/>
                <w:bCs/>
                <w:sz w:val="22"/>
                <w:u w:color="0070C0"/>
              </w:rPr>
              <w:t>%</w:t>
            </w:r>
          </w:p>
          <w:p w14:paraId="359A2166" w14:textId="240366CF" w:rsidR="00BB5158" w:rsidRPr="00486254" w:rsidRDefault="00BB5158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>2.</w:t>
            </w:r>
            <w:r w:rsidR="007A5D54">
              <w:rPr>
                <w:rFonts w:cstheme="minorHAnsi"/>
                <w:bCs/>
                <w:sz w:val="22"/>
                <w:u w:color="0070C0"/>
              </w:rPr>
              <w:t>25</w:t>
            </w:r>
            <w:r w:rsidRPr="00486254">
              <w:rPr>
                <w:rFonts w:cstheme="minorHAnsi"/>
                <w:bCs/>
                <w:sz w:val="22"/>
                <w:u w:color="0070C0"/>
              </w:rPr>
              <w:t>%</w:t>
            </w:r>
          </w:p>
          <w:p w14:paraId="75000C1C" w14:textId="318BD4D6" w:rsidR="00BB5158" w:rsidRPr="00486254" w:rsidRDefault="00BB5158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>2.</w:t>
            </w:r>
            <w:r w:rsidR="007A5D54">
              <w:rPr>
                <w:rFonts w:cstheme="minorHAnsi"/>
                <w:bCs/>
                <w:sz w:val="22"/>
                <w:u w:color="0070C0"/>
              </w:rPr>
              <w:t>50</w:t>
            </w:r>
            <w:r w:rsidRPr="00486254">
              <w:rPr>
                <w:rFonts w:cstheme="minorHAnsi"/>
                <w:bCs/>
                <w:sz w:val="22"/>
                <w:u w:color="0070C0"/>
              </w:rPr>
              <w:t>%</w:t>
            </w:r>
          </w:p>
          <w:p w14:paraId="7AA773E3" w14:textId="7450710A" w:rsidR="00C92097" w:rsidRPr="00486254" w:rsidRDefault="00BB5158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>2.</w:t>
            </w:r>
            <w:r w:rsidR="007A5D54">
              <w:rPr>
                <w:rFonts w:cstheme="minorHAnsi"/>
                <w:bCs/>
                <w:sz w:val="22"/>
                <w:u w:color="0070C0"/>
              </w:rPr>
              <w:t>50</w:t>
            </w:r>
            <w:r w:rsidRPr="00486254">
              <w:rPr>
                <w:rFonts w:cstheme="minorHAnsi"/>
                <w:bCs/>
                <w:sz w:val="22"/>
                <w:u w:color="0070C0"/>
              </w:rPr>
              <w:t>%</w:t>
            </w:r>
          </w:p>
        </w:tc>
        <w:tc>
          <w:tcPr>
            <w:tcW w:w="4679" w:type="dxa"/>
          </w:tcPr>
          <w:p w14:paraId="1D6F3D3C" w14:textId="77777777" w:rsidR="0051455E" w:rsidRPr="00486254" w:rsidRDefault="0051455E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</w:p>
          <w:p w14:paraId="4F8CE12A" w14:textId="77777777" w:rsidR="0051455E" w:rsidRPr="00486254" w:rsidRDefault="0051455E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</w:p>
          <w:p w14:paraId="6AA6F534" w14:textId="77777777" w:rsidR="0051455E" w:rsidRPr="00486254" w:rsidRDefault="0051455E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</w:p>
          <w:p w14:paraId="3695419B" w14:textId="77777777" w:rsidR="000E5980" w:rsidRDefault="000E5980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</w:p>
          <w:p w14:paraId="2219A9C7" w14:textId="55CA5DF4" w:rsidR="0051455E" w:rsidRPr="00486254" w:rsidRDefault="0051455E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 xml:space="preserve">Available on </w:t>
            </w:r>
            <w:hyperlink r:id="rId16" w:history="1">
              <w:r w:rsidRPr="00542C6A">
                <w:rPr>
                  <w:rStyle w:val="Hyperlink"/>
                  <w:rFonts w:cstheme="minorHAnsi"/>
                  <w:bCs/>
                  <w:sz w:val="22"/>
                </w:rPr>
                <w:t>budget.gov.au</w:t>
              </w:r>
            </w:hyperlink>
            <w:r w:rsidRPr="00486254">
              <w:rPr>
                <w:rFonts w:cstheme="minorHAnsi"/>
                <w:bCs/>
                <w:sz w:val="22"/>
                <w:u w:color="0070C0"/>
              </w:rPr>
              <w:t xml:space="preserve"> in: </w:t>
            </w:r>
          </w:p>
          <w:p w14:paraId="4D93019F" w14:textId="77777777" w:rsidR="0051455E" w:rsidRPr="00486254" w:rsidRDefault="0051455E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>Budget Paper No. 1 - Budget Strategy and Outlook</w:t>
            </w:r>
          </w:p>
          <w:p w14:paraId="1BB211CC" w14:textId="33EE08AB" w:rsidR="0051455E" w:rsidRPr="00486254" w:rsidRDefault="0051455E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  <w:r w:rsidRPr="00486254">
              <w:rPr>
                <w:rFonts w:cstheme="minorHAnsi"/>
                <w:bCs/>
                <w:sz w:val="22"/>
                <w:u w:color="0070C0"/>
              </w:rPr>
              <w:t xml:space="preserve">Statement 1, Table 1.1: Major </w:t>
            </w:r>
            <w:r w:rsidR="002A23CB">
              <w:rPr>
                <w:rFonts w:cstheme="minorHAnsi"/>
                <w:bCs/>
                <w:sz w:val="22"/>
                <w:u w:color="0070C0"/>
              </w:rPr>
              <w:t>E</w:t>
            </w:r>
            <w:r w:rsidRPr="00486254">
              <w:rPr>
                <w:rFonts w:cstheme="minorHAnsi"/>
                <w:bCs/>
                <w:sz w:val="22"/>
                <w:u w:color="0070C0"/>
              </w:rPr>
              <w:t xml:space="preserve">conomic </w:t>
            </w:r>
            <w:r w:rsidR="002A23CB">
              <w:rPr>
                <w:rFonts w:cstheme="minorHAnsi"/>
                <w:bCs/>
                <w:sz w:val="22"/>
                <w:u w:color="0070C0"/>
              </w:rPr>
              <w:t>P</w:t>
            </w:r>
            <w:r w:rsidRPr="00486254">
              <w:rPr>
                <w:rFonts w:cstheme="minorHAnsi"/>
                <w:bCs/>
                <w:sz w:val="22"/>
                <w:u w:color="0070C0"/>
              </w:rPr>
              <w:t xml:space="preserve">arameters (page </w:t>
            </w:r>
            <w:r w:rsidR="002A23CB">
              <w:rPr>
                <w:rFonts w:cstheme="minorHAnsi"/>
                <w:bCs/>
                <w:sz w:val="22"/>
                <w:u w:color="0070C0"/>
              </w:rPr>
              <w:t>7</w:t>
            </w:r>
            <w:r w:rsidRPr="00486254">
              <w:rPr>
                <w:rFonts w:cstheme="minorHAnsi"/>
                <w:bCs/>
                <w:sz w:val="22"/>
                <w:u w:color="0070C0"/>
              </w:rPr>
              <w:t>)</w:t>
            </w:r>
            <w:r w:rsidR="00542C6A" w:rsidRPr="00125B81">
              <w:rPr>
                <w:rFonts w:cstheme="minorHAnsi"/>
                <w:u w:color="0070C0"/>
                <w:vertAlign w:val="superscript"/>
              </w:rPr>
              <w:fldChar w:fldCharType="begin"/>
            </w:r>
            <w:r w:rsidR="00542C6A" w:rsidRPr="00125B81">
              <w:rPr>
                <w:rFonts w:cstheme="minorHAnsi"/>
                <w:bCs/>
                <w:u w:color="0070C0"/>
                <w:vertAlign w:val="superscript"/>
              </w:rPr>
              <w:instrText xml:space="preserve"> </w:instrText>
            </w:r>
            <w:r w:rsidR="00542C6A" w:rsidRPr="00125B81">
              <w:rPr>
                <w:rFonts w:cstheme="minorHAnsi"/>
                <w:u w:color="0070C0"/>
                <w:vertAlign w:val="superscript"/>
              </w:rPr>
              <w:instrText xml:space="preserve">NOTEREF </w:instrText>
            </w:r>
            <w:r w:rsidR="00542C6A" w:rsidRPr="00125B81">
              <w:rPr>
                <w:rFonts w:cstheme="minorHAnsi"/>
                <w:bCs/>
                <w:u w:color="0070C0"/>
                <w:vertAlign w:val="superscript"/>
              </w:rPr>
              <w:instrText xml:space="preserve">_Ref234226758 \h </w:instrText>
            </w:r>
            <w:r w:rsidR="00542C6A">
              <w:rPr>
                <w:rFonts w:cstheme="minorHAnsi"/>
                <w:bCs/>
                <w:u w:color="0070C0"/>
                <w:vertAlign w:val="superscript"/>
              </w:rPr>
              <w:instrText xml:space="preserve"> \* MERGEFORMAT</w:instrText>
            </w:r>
            <w:r w:rsidR="00542C6A" w:rsidRPr="00511C48">
              <w:rPr>
                <w:rFonts w:cstheme="minorHAnsi"/>
                <w:u w:color="0070C0"/>
                <w:vertAlign w:val="superscript"/>
              </w:rPr>
              <w:instrText xml:space="preserve"> </w:instrText>
            </w:r>
            <w:r w:rsidR="00542C6A" w:rsidRPr="00125B81">
              <w:rPr>
                <w:rFonts w:cstheme="minorHAnsi"/>
                <w:u w:color="0070C0"/>
                <w:vertAlign w:val="superscript"/>
              </w:rPr>
            </w:r>
            <w:r w:rsidR="00542C6A" w:rsidRPr="00125B81">
              <w:rPr>
                <w:rFonts w:cstheme="minorHAnsi"/>
                <w:u w:color="0070C0"/>
                <w:vertAlign w:val="superscript"/>
              </w:rPr>
              <w:fldChar w:fldCharType="separate"/>
            </w:r>
            <w:r w:rsidR="006F4A2B">
              <w:rPr>
                <w:rFonts w:cstheme="minorHAnsi"/>
                <w:u w:color="0070C0"/>
                <w:vertAlign w:val="superscript"/>
              </w:rPr>
              <w:t>2</w:t>
            </w:r>
            <w:r w:rsidR="00542C6A" w:rsidRPr="00125B81">
              <w:rPr>
                <w:rFonts w:cstheme="minorHAnsi"/>
                <w:bCs/>
                <w:u w:color="0070C0"/>
                <w:vertAlign w:val="superscript"/>
              </w:rPr>
              <w:fldChar w:fldCharType="end"/>
            </w:r>
            <w:r w:rsidRPr="00486254">
              <w:rPr>
                <w:rFonts w:cstheme="minorHAnsi"/>
                <w:bCs/>
                <w:sz w:val="22"/>
                <w:u w:color="0070C0"/>
              </w:rPr>
              <w:t xml:space="preserve"> </w:t>
            </w:r>
          </w:p>
          <w:p w14:paraId="0515CE25" w14:textId="77777777" w:rsidR="00C92097" w:rsidRPr="00486254" w:rsidRDefault="00C92097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u w:color="0070C0"/>
              </w:rPr>
            </w:pPr>
          </w:p>
        </w:tc>
      </w:tr>
      <w:tr w:rsidR="003C7461" w:rsidRPr="007A7992" w14:paraId="5FC7B708" w14:textId="77777777" w:rsidTr="00CB3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06AD744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b/>
                <w:bCs/>
                <w:sz w:val="22"/>
                <w:u w:color="0070C0"/>
              </w:rPr>
              <w:t xml:space="preserve">Commonwealth Government </w:t>
            </w:r>
          </w:p>
          <w:p w14:paraId="5DD1259E" w14:textId="745F4638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b/>
                <w:bCs/>
                <w:sz w:val="22"/>
                <w:u w:color="0070C0"/>
              </w:rPr>
              <w:t xml:space="preserve">Bonds (yields) </w:t>
            </w:r>
            <w:proofErr w:type="gramStart"/>
            <w:r w:rsidRPr="007A7992">
              <w:rPr>
                <w:rFonts w:cstheme="minorHAnsi"/>
                <w:b/>
                <w:bCs/>
                <w:sz w:val="22"/>
                <w:u w:color="0070C0"/>
              </w:rPr>
              <w:t>at</w:t>
            </w:r>
            <w:proofErr w:type="gramEnd"/>
            <w:r w:rsidRPr="007A7992">
              <w:rPr>
                <w:rFonts w:cstheme="minorHAnsi"/>
                <w:b/>
                <w:bCs/>
                <w:sz w:val="22"/>
                <w:u w:color="0070C0"/>
              </w:rPr>
              <w:t xml:space="preserve"> 30 June 202</w:t>
            </w:r>
            <w:r w:rsidR="00A63653">
              <w:rPr>
                <w:rFonts w:cstheme="minorHAnsi"/>
                <w:b/>
                <w:bCs/>
                <w:sz w:val="22"/>
                <w:u w:color="0070C0"/>
              </w:rPr>
              <w:t>6</w:t>
            </w:r>
          </w:p>
          <w:p w14:paraId="3B9CF70A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val="single" w:color="0070C0"/>
              </w:rPr>
              <w:t>Short term</w:t>
            </w:r>
            <w:r w:rsidRPr="007A7992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0FBE0FE8" w14:textId="3CD182DB" w:rsidR="003C7461" w:rsidRPr="00486254" w:rsidRDefault="006F00CA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486254">
              <w:rPr>
                <w:rFonts w:cstheme="minorHAnsi"/>
                <w:sz w:val="22"/>
                <w:u w:color="0070C0"/>
              </w:rPr>
              <w:t xml:space="preserve">2 </w:t>
            </w:r>
            <w:r w:rsidR="003C7461" w:rsidRPr="00486254">
              <w:rPr>
                <w:rFonts w:cstheme="minorHAnsi"/>
                <w:sz w:val="22"/>
                <w:u w:color="0070C0"/>
              </w:rPr>
              <w:t xml:space="preserve">years </w:t>
            </w:r>
          </w:p>
          <w:p w14:paraId="1B60B126" w14:textId="3B79702F" w:rsidR="006F00CA" w:rsidRPr="00486254" w:rsidRDefault="006F00CA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486254">
              <w:rPr>
                <w:rFonts w:cstheme="minorHAnsi"/>
                <w:sz w:val="22"/>
                <w:u w:color="0070C0"/>
              </w:rPr>
              <w:t xml:space="preserve">3 </w:t>
            </w:r>
            <w:r w:rsidR="003C7461" w:rsidRPr="00486254">
              <w:rPr>
                <w:rFonts w:cstheme="minorHAnsi"/>
                <w:sz w:val="22"/>
                <w:u w:color="0070C0"/>
              </w:rPr>
              <w:t xml:space="preserve">years </w:t>
            </w:r>
          </w:p>
          <w:p w14:paraId="63AFB98C" w14:textId="77777777" w:rsidR="003C7461" w:rsidRPr="007A7992" w:rsidRDefault="006F00CA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486254">
              <w:rPr>
                <w:rFonts w:cstheme="minorHAnsi"/>
                <w:sz w:val="22"/>
                <w:u w:color="0070C0"/>
              </w:rPr>
              <w:t xml:space="preserve">5 </w:t>
            </w:r>
            <w:r w:rsidR="003C7461" w:rsidRPr="007A7992">
              <w:rPr>
                <w:rFonts w:cstheme="minorHAnsi"/>
                <w:sz w:val="22"/>
                <w:u w:color="0070C0"/>
              </w:rPr>
              <w:t xml:space="preserve">years </w:t>
            </w:r>
          </w:p>
          <w:p w14:paraId="676E0D98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val="single" w:color="0070C0"/>
              </w:rPr>
            </w:pPr>
          </w:p>
          <w:p w14:paraId="040C62FA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val="single" w:color="0070C0"/>
              </w:rPr>
              <w:t>Long term</w:t>
            </w:r>
            <w:r w:rsidRPr="007A7992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6A3DD3BB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10 years</w:t>
            </w:r>
            <w:r w:rsidRPr="007A7992">
              <w:rPr>
                <w:rFonts w:cstheme="minorHAnsi"/>
                <w:sz w:val="22"/>
                <w:u w:color="0070C0"/>
                <w:vertAlign w:val="superscript"/>
              </w:rPr>
              <w:footnoteReference w:id="5"/>
            </w:r>
            <w:r w:rsidRPr="007A7992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60F08EA3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val="single" w:color="0070C0"/>
              </w:rPr>
            </w:pPr>
          </w:p>
          <w:p w14:paraId="079CFE07" w14:textId="2F3607A6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val="single" w:color="0070C0"/>
              </w:rPr>
              <w:t xml:space="preserve">Longest dated Treasury Bond </w:t>
            </w:r>
            <w:proofErr w:type="gramStart"/>
            <w:r w:rsidRPr="007A7992">
              <w:rPr>
                <w:rFonts w:cstheme="minorHAnsi"/>
                <w:sz w:val="22"/>
                <w:u w:val="single" w:color="0070C0"/>
              </w:rPr>
              <w:t>at</w:t>
            </w:r>
            <w:proofErr w:type="gramEnd"/>
            <w:r w:rsidRPr="007A7992">
              <w:rPr>
                <w:rFonts w:cstheme="minorHAnsi"/>
                <w:sz w:val="22"/>
                <w:u w:val="single" w:color="0070C0"/>
              </w:rPr>
              <w:t xml:space="preserve"> 30</w:t>
            </w:r>
            <w:r w:rsidR="00D626B9">
              <w:rPr>
                <w:rFonts w:cstheme="minorHAnsi"/>
                <w:sz w:val="22"/>
                <w:u w:val="single" w:color="0070C0"/>
              </w:rPr>
              <w:t> </w:t>
            </w:r>
            <w:r w:rsidRPr="007A7992">
              <w:rPr>
                <w:rFonts w:cstheme="minorHAnsi"/>
                <w:sz w:val="22"/>
                <w:u w:val="single" w:color="0070C0"/>
              </w:rPr>
              <w:t>June 202</w:t>
            </w:r>
            <w:r w:rsidR="00A63653">
              <w:rPr>
                <w:rFonts w:cstheme="minorHAnsi"/>
                <w:sz w:val="22"/>
                <w:u w:val="single" w:color="0070C0"/>
              </w:rPr>
              <w:t>6</w:t>
            </w:r>
            <w:r w:rsidRPr="007A7992">
              <w:rPr>
                <w:rFonts w:cstheme="minorHAnsi"/>
                <w:sz w:val="22"/>
                <w:u w:val="single" w:color="0070C0"/>
              </w:rPr>
              <w:t xml:space="preserve"> (Jun 205</w:t>
            </w:r>
            <w:r w:rsidR="00594D82">
              <w:rPr>
                <w:rFonts w:cstheme="minorHAnsi"/>
                <w:sz w:val="22"/>
                <w:u w:val="single" w:color="0070C0"/>
              </w:rPr>
              <w:t>4</w:t>
            </w:r>
            <w:r w:rsidRPr="007A7992">
              <w:rPr>
                <w:rFonts w:cstheme="minorHAnsi"/>
                <w:sz w:val="22"/>
                <w:u w:val="single" w:color="0070C0"/>
              </w:rPr>
              <w:t>)</w:t>
            </w:r>
            <w:r w:rsidRPr="007A7992">
              <w:rPr>
                <w:rFonts w:cstheme="minorHAnsi"/>
                <w:sz w:val="22"/>
                <w:u w:val="single" w:color="0070C0"/>
                <w:vertAlign w:val="superscript"/>
              </w:rPr>
              <w:footnoteReference w:id="6"/>
            </w:r>
          </w:p>
          <w:p w14:paraId="5BA972C2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</w:p>
          <w:p w14:paraId="0EA45618" w14:textId="7CB19A4F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val="single" w:color="0070C0"/>
              </w:rPr>
              <w:t>Rate from Long-term Cost</w:t>
            </w:r>
            <w:r w:rsidRPr="007A7992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04E85A5B" w14:textId="5187937C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val="single" w:color="0070C0"/>
              </w:rPr>
              <w:t>Report</w:t>
            </w:r>
            <w:r w:rsidRPr="007A7992">
              <w:rPr>
                <w:rFonts w:cstheme="minorHAnsi"/>
                <w:b/>
                <w:sz w:val="22"/>
                <w:u w:color="0070C0"/>
              </w:rPr>
              <w:t xml:space="preserve"> </w:t>
            </w:r>
            <w:r w:rsidRPr="007A7992">
              <w:rPr>
                <w:rFonts w:cstheme="minorHAnsi"/>
                <w:sz w:val="22"/>
                <w:u w:color="0070C0"/>
              </w:rPr>
              <w:t>(for budget purposes)</w:t>
            </w:r>
          </w:p>
        </w:tc>
        <w:tc>
          <w:tcPr>
            <w:tcW w:w="1134" w:type="dxa"/>
          </w:tcPr>
          <w:p w14:paraId="7DBE9145" w14:textId="77777777" w:rsidR="003C7461" w:rsidRPr="006415BE" w:rsidRDefault="003C7461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125B81">
              <w:rPr>
                <w:rFonts w:cstheme="minorHAnsi"/>
                <w:u w:color="0070C0"/>
              </w:rPr>
              <w:t xml:space="preserve"> </w:t>
            </w:r>
          </w:p>
          <w:p w14:paraId="12D805B2" w14:textId="77777777" w:rsidR="003C7461" w:rsidRPr="006415BE" w:rsidRDefault="003C7461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6415BE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045F3A6F" w14:textId="77777777" w:rsidR="003C7461" w:rsidRPr="006415BE" w:rsidRDefault="003C7461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19811F09" w14:textId="77777777" w:rsidR="00EF06EC" w:rsidRDefault="00EF06EC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4.41%</w:t>
            </w:r>
          </w:p>
          <w:p w14:paraId="7244EED6" w14:textId="77777777" w:rsidR="00EF06EC" w:rsidRDefault="00EF06EC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4.36%</w:t>
            </w:r>
          </w:p>
          <w:p w14:paraId="712634FB" w14:textId="77777777" w:rsidR="00EF06EC" w:rsidRDefault="00EF06EC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4.40%</w:t>
            </w:r>
          </w:p>
          <w:p w14:paraId="4B393AD8" w14:textId="77777777" w:rsidR="003C7461" w:rsidRPr="006415BE" w:rsidRDefault="003C7461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6D934BBB" w14:textId="77777777" w:rsidR="003C7461" w:rsidRPr="006415BE" w:rsidRDefault="003C7461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478113E6" w14:textId="2CC020AE" w:rsidR="003C7461" w:rsidRPr="006415BE" w:rsidRDefault="00EF06EC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4.73%</w:t>
            </w:r>
          </w:p>
          <w:p w14:paraId="58061788" w14:textId="77777777" w:rsidR="00513518" w:rsidRPr="00125B81" w:rsidRDefault="00513518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0D5BCB67" w14:textId="77777777" w:rsidR="00CB09A3" w:rsidRPr="006415BE" w:rsidRDefault="00CB09A3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1E102819" w14:textId="4E17B848" w:rsidR="003C7461" w:rsidRPr="006415BE" w:rsidRDefault="00EF06EC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5.26%</w:t>
            </w:r>
          </w:p>
          <w:p w14:paraId="53D0262B" w14:textId="77777777" w:rsidR="00513518" w:rsidRPr="006415BE" w:rsidRDefault="00513518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7C069598" w14:textId="77777777" w:rsidR="00CB09A3" w:rsidRPr="006415BE" w:rsidRDefault="00CB09A3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0FAD522E" w14:textId="525270CB" w:rsidR="003C7461" w:rsidRPr="00125B81" w:rsidRDefault="003C7461" w:rsidP="00125B81">
            <w:pPr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6415BE">
              <w:rPr>
                <w:rFonts w:cstheme="minorHAnsi"/>
                <w:sz w:val="22"/>
                <w:u w:color="0070C0"/>
              </w:rPr>
              <w:t>5.0%</w:t>
            </w:r>
          </w:p>
        </w:tc>
        <w:tc>
          <w:tcPr>
            <w:tcW w:w="4679" w:type="dxa"/>
          </w:tcPr>
          <w:p w14:paraId="0973C91A" w14:textId="77777777" w:rsidR="003C7461" w:rsidRPr="00DF49EE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DF49EE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39F6935B" w14:textId="77777777" w:rsidR="003C7461" w:rsidRPr="00DF49EE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DF49EE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437FEAA4" w14:textId="77777777" w:rsidR="003C7461" w:rsidRPr="00DF49EE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DF49EE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22B561D0" w14:textId="7B035FB2" w:rsidR="00CD11F7" w:rsidRPr="002713A0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hyperlink r:id="rId17" w:anchor="interest-rates" w:history="1">
              <w:r w:rsidRPr="002713A0">
                <w:rPr>
                  <w:rStyle w:val="Hyperlink"/>
                  <w:rFonts w:cstheme="minorHAnsi"/>
                  <w:sz w:val="22"/>
                </w:rPr>
                <w:t>https://www.rba.gov.au/statistics/tables/#interest-rates</w:t>
              </w:r>
            </w:hyperlink>
          </w:p>
          <w:p w14:paraId="0BDA849F" w14:textId="77777777" w:rsidR="003C7461" w:rsidRPr="00DF49EE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DF49EE">
              <w:rPr>
                <w:rFonts w:cstheme="minorHAnsi"/>
                <w:sz w:val="22"/>
                <w:u w:color="0070C0"/>
              </w:rPr>
              <w:t xml:space="preserve">(table: </w:t>
            </w:r>
            <w:r w:rsidRPr="00DF49EE">
              <w:rPr>
                <w:rFonts w:cstheme="minorHAnsi"/>
                <w:i/>
                <w:sz w:val="22"/>
                <w:u w:color="0070C0"/>
              </w:rPr>
              <w:t>Capital Market Yields – Government Bonds – Daily – F2</w:t>
            </w:r>
            <w:r w:rsidRPr="00DF49EE">
              <w:rPr>
                <w:rFonts w:cstheme="minorHAnsi"/>
                <w:sz w:val="22"/>
                <w:u w:color="0070C0"/>
              </w:rPr>
              <w:t xml:space="preserve">) </w:t>
            </w:r>
          </w:p>
          <w:p w14:paraId="5775D753" w14:textId="77777777" w:rsidR="00DF49EE" w:rsidRDefault="00DF49EE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12DB4D6A" w14:textId="77777777" w:rsidR="009478A1" w:rsidRDefault="009478A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  <w:p w14:paraId="01F7A686" w14:textId="77777777" w:rsidR="005139BD" w:rsidRDefault="005139BD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cstheme="minorHAnsi"/>
              </w:rPr>
            </w:pPr>
          </w:p>
          <w:p w14:paraId="47FAA997" w14:textId="7520668C" w:rsidR="00CD11F7" w:rsidRDefault="00DF49EE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cstheme="minorHAnsi"/>
                <w:sz w:val="22"/>
              </w:rPr>
            </w:pPr>
            <w:hyperlink r:id="rId18" w:anchor="interest-rates" w:history="1">
              <w:r w:rsidRPr="00CD11F7">
                <w:rPr>
                  <w:rStyle w:val="Hyperlink"/>
                  <w:rFonts w:cstheme="minorHAnsi"/>
                  <w:sz w:val="22"/>
                </w:rPr>
                <w:t>https://www.rba.gov.au/statistics/tables/#interest-rates</w:t>
              </w:r>
            </w:hyperlink>
          </w:p>
          <w:p w14:paraId="0744A45B" w14:textId="114BE8EF" w:rsidR="003C7461" w:rsidRPr="00DF49EE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DF49EE">
              <w:rPr>
                <w:rFonts w:cstheme="minorHAnsi"/>
                <w:sz w:val="22"/>
                <w:u w:color="0070C0"/>
              </w:rPr>
              <w:t xml:space="preserve">(table: </w:t>
            </w:r>
            <w:r w:rsidRPr="00DF49EE">
              <w:rPr>
                <w:rFonts w:cstheme="minorHAnsi"/>
                <w:i/>
                <w:sz w:val="22"/>
                <w:u w:color="0070C0"/>
              </w:rPr>
              <w:t>Indicative Mid Rates of Australian Government Securities – F16</w:t>
            </w:r>
            <w:r w:rsidRPr="00DF49EE">
              <w:rPr>
                <w:rFonts w:cstheme="minorHAnsi"/>
                <w:sz w:val="22"/>
                <w:u w:color="0070C0"/>
              </w:rPr>
              <w:t>) </w:t>
            </w:r>
          </w:p>
          <w:p w14:paraId="3A03907E" w14:textId="77777777" w:rsidR="00DF49EE" w:rsidRDefault="00DF49EE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iCs/>
                <w:sz w:val="22"/>
                <w:u w:color="0070C0"/>
              </w:rPr>
            </w:pPr>
          </w:p>
          <w:p w14:paraId="1B890EC5" w14:textId="54C1D465" w:rsidR="003C7461" w:rsidRPr="00DF49EE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DF49EE">
              <w:rPr>
                <w:rFonts w:cstheme="minorHAnsi"/>
                <w:i/>
                <w:iCs/>
                <w:sz w:val="22"/>
                <w:u w:color="0070C0"/>
              </w:rPr>
              <w:t>P</w:t>
            </w:r>
            <w:r w:rsidRPr="00DF49EE">
              <w:rPr>
                <w:rFonts w:cstheme="minorHAnsi"/>
                <w:i/>
                <w:sz w:val="22"/>
                <w:u w:color="0070C0"/>
              </w:rPr>
              <w:t>SS and CSS Long Term Cost Report 2023</w:t>
            </w:r>
            <w:r w:rsidRPr="00DF49EE">
              <w:rPr>
                <w:rFonts w:cstheme="minorHAnsi"/>
                <w:i/>
                <w:sz w:val="22"/>
                <w:u w:color="0070C0"/>
                <w:vertAlign w:val="superscript"/>
              </w:rPr>
              <w:footnoteReference w:id="7"/>
            </w:r>
          </w:p>
          <w:p w14:paraId="7EB0CD7A" w14:textId="59D87110" w:rsidR="003C7461" w:rsidRPr="00DF49EE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</w:tc>
      </w:tr>
      <w:tr w:rsidR="003C7461" w:rsidRPr="00486254" w14:paraId="76AB3D32" w14:textId="77777777" w:rsidTr="00CB3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257A9C4" w14:textId="77777777" w:rsidR="003C7461" w:rsidRPr="004C4156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4C4156">
              <w:rPr>
                <w:rFonts w:cstheme="minorHAnsi"/>
                <w:b/>
                <w:bCs/>
                <w:sz w:val="22"/>
                <w:u w:color="0070C0"/>
              </w:rPr>
              <w:t>Group of 100 Discount Rate</w:t>
            </w:r>
            <w:r w:rsidRPr="004C4156">
              <w:rPr>
                <w:rFonts w:cstheme="minorHAnsi"/>
                <w:b/>
                <w:bCs/>
                <w:sz w:val="22"/>
                <w:u w:color="0070C0"/>
                <w:vertAlign w:val="superscript"/>
              </w:rPr>
              <w:footnoteReference w:id="8"/>
            </w:r>
            <w:r w:rsidRPr="004C4156">
              <w:rPr>
                <w:rFonts w:cstheme="minorHAnsi"/>
                <w:b/>
                <w:bCs/>
                <w:sz w:val="22"/>
                <w:u w:color="0070C0"/>
              </w:rPr>
              <w:t xml:space="preserve"> </w:t>
            </w:r>
          </w:p>
          <w:p w14:paraId="18188EC2" w14:textId="77777777" w:rsidR="003C7461" w:rsidRPr="004C4156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4C4156">
              <w:rPr>
                <w:rFonts w:cstheme="minorHAnsi"/>
                <w:sz w:val="22"/>
                <w:u w:color="0070C0"/>
              </w:rPr>
              <w:t>(</w:t>
            </w:r>
            <w:proofErr w:type="gramStart"/>
            <w:r w:rsidRPr="004C4156">
              <w:rPr>
                <w:rFonts w:cstheme="minorHAnsi"/>
                <w:sz w:val="22"/>
                <w:u w:color="0070C0"/>
              </w:rPr>
              <w:t>used</w:t>
            </w:r>
            <w:proofErr w:type="gramEnd"/>
            <w:r w:rsidRPr="004C4156">
              <w:rPr>
                <w:rFonts w:cstheme="minorHAnsi"/>
                <w:sz w:val="22"/>
                <w:u w:color="0070C0"/>
              </w:rPr>
              <w:t xml:space="preserve"> by for-profit Corporate </w:t>
            </w:r>
          </w:p>
          <w:p w14:paraId="1A9DAE16" w14:textId="0129780E" w:rsidR="003C7461" w:rsidRPr="004C4156" w:rsidRDefault="003C7461" w:rsidP="00A63653">
            <w:pPr>
              <w:spacing w:before="60" w:line="240" w:lineRule="auto"/>
              <w:rPr>
                <w:rFonts w:cstheme="minorHAnsi"/>
                <w:b/>
                <w:bCs/>
                <w:sz w:val="22"/>
                <w:u w:color="0070C0"/>
              </w:rPr>
            </w:pPr>
            <w:r w:rsidRPr="004C4156">
              <w:rPr>
                <w:rFonts w:cstheme="minorHAnsi"/>
                <w:sz w:val="22"/>
                <w:u w:color="0070C0"/>
              </w:rPr>
              <w:t xml:space="preserve">entities only) </w:t>
            </w:r>
          </w:p>
        </w:tc>
        <w:tc>
          <w:tcPr>
            <w:tcW w:w="1134" w:type="dxa"/>
            <w:vAlign w:val="center"/>
          </w:tcPr>
          <w:p w14:paraId="2E2C3099" w14:textId="0AEE32D3" w:rsidR="003C7461" w:rsidRPr="004C4156" w:rsidRDefault="00134D3D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 xml:space="preserve">See </w:t>
            </w:r>
            <w:r w:rsidR="00F0543F">
              <w:rPr>
                <w:rFonts w:cstheme="minorHAnsi"/>
                <w:sz w:val="22"/>
                <w:u w:color="0070C0"/>
              </w:rPr>
              <w:t>website</w:t>
            </w:r>
          </w:p>
        </w:tc>
        <w:tc>
          <w:tcPr>
            <w:tcW w:w="4679" w:type="dxa"/>
            <w:vAlign w:val="center"/>
          </w:tcPr>
          <w:p w14:paraId="28374E0F" w14:textId="66AB2992" w:rsidR="00914A85" w:rsidRDefault="00914A85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hyperlink r:id="rId19" w:history="1">
              <w:r w:rsidRPr="00914A85">
                <w:rPr>
                  <w:rStyle w:val="Hyperlink"/>
                  <w:rFonts w:cstheme="minorHAnsi"/>
                  <w:sz w:val="22"/>
                </w:rPr>
                <w:t>Discount Rate – June 2026 – Group of 100</w:t>
              </w:r>
            </w:hyperlink>
          </w:p>
          <w:p w14:paraId="3739DD32" w14:textId="77777777" w:rsidR="00125B81" w:rsidRDefault="00125B8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705136AB" w14:textId="69D3163B" w:rsidR="003C7461" w:rsidRPr="004C4156" w:rsidRDefault="00125B8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125B81">
              <w:rPr>
                <w:rFonts w:cstheme="minorHAnsi"/>
                <w:sz w:val="22"/>
                <w:u w:color="0070C0"/>
              </w:rPr>
              <w:t>The 30 June 2026 Group of 100 discount rate is available to purchase for $220 (GST inclusive)</w:t>
            </w:r>
            <w:r w:rsidR="006F4A2B">
              <w:rPr>
                <w:rFonts w:cstheme="minorHAnsi"/>
                <w:sz w:val="22"/>
                <w:u w:color="0070C0"/>
              </w:rPr>
              <w:t>.</w:t>
            </w:r>
          </w:p>
        </w:tc>
      </w:tr>
      <w:tr w:rsidR="003C7461" w:rsidRPr="00486254" w14:paraId="624531B8" w14:textId="77777777" w:rsidTr="00A51D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3914779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b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 xml:space="preserve">Exchange Rates </w:t>
            </w:r>
          </w:p>
          <w:p w14:paraId="476FA873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ab/>
              <w:t xml:space="preserve"> </w:t>
            </w:r>
          </w:p>
          <w:p w14:paraId="219E2629" w14:textId="31672A2A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val="single" w:color="0070C0"/>
              </w:rPr>
              <w:t>RBA/XE.com – 30 June 202</w:t>
            </w:r>
            <w:r w:rsidR="00A63653">
              <w:rPr>
                <w:rFonts w:cstheme="minorHAnsi"/>
                <w:sz w:val="22"/>
                <w:u w:val="single" w:color="0070C0"/>
              </w:rPr>
              <w:t>6</w:t>
            </w:r>
            <w:r w:rsidRPr="007A7992">
              <w:rPr>
                <w:rFonts w:cstheme="minorHAnsi"/>
                <w:sz w:val="22"/>
                <w:u w:val="single" w:color="0070C0"/>
              </w:rPr>
              <w:t xml:space="preserve"> rates</w:t>
            </w:r>
            <w:r w:rsidRPr="007A7992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4B2AB954" w14:textId="15582538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Canadian dollar </w:t>
            </w:r>
            <w:r w:rsidR="00196FA5">
              <w:rPr>
                <w:rFonts w:cstheme="minorHAnsi"/>
                <w:sz w:val="22"/>
                <w:u w:color="0070C0"/>
              </w:rPr>
              <w:t>(CAD)</w:t>
            </w:r>
          </w:p>
          <w:p w14:paraId="41149B77" w14:textId="60358CE4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Chinese renminbi </w:t>
            </w:r>
            <w:r w:rsidR="00953AA5">
              <w:rPr>
                <w:rFonts w:cstheme="minorHAnsi"/>
                <w:sz w:val="22"/>
                <w:u w:color="0070C0"/>
              </w:rPr>
              <w:t>(CN</w:t>
            </w:r>
            <w:r w:rsidR="000D09F1">
              <w:rPr>
                <w:rFonts w:cstheme="minorHAnsi"/>
                <w:sz w:val="22"/>
                <w:u w:color="0070C0"/>
              </w:rPr>
              <w:t>Y</w:t>
            </w:r>
            <w:r w:rsidR="00953AA5">
              <w:rPr>
                <w:rFonts w:cstheme="minorHAnsi"/>
                <w:sz w:val="22"/>
                <w:u w:color="0070C0"/>
              </w:rPr>
              <w:t>)</w:t>
            </w:r>
          </w:p>
          <w:p w14:paraId="4E9CF6CD" w14:textId="4AF48767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European euro </w:t>
            </w:r>
            <w:r w:rsidR="00AF5D83">
              <w:rPr>
                <w:rFonts w:cstheme="minorHAnsi"/>
                <w:sz w:val="22"/>
                <w:u w:color="0070C0"/>
              </w:rPr>
              <w:t>(EUR)</w:t>
            </w:r>
          </w:p>
          <w:p w14:paraId="76B4F6C1" w14:textId="14E75636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Hong Kong dollar </w:t>
            </w:r>
            <w:r w:rsidR="004F70E6">
              <w:rPr>
                <w:rFonts w:cstheme="minorHAnsi"/>
                <w:sz w:val="22"/>
                <w:u w:color="0070C0"/>
              </w:rPr>
              <w:t>(HKD)</w:t>
            </w:r>
          </w:p>
          <w:p w14:paraId="176B339D" w14:textId="453A38CE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Indian rupee </w:t>
            </w:r>
            <w:r w:rsidR="0058268B">
              <w:rPr>
                <w:rFonts w:cstheme="minorHAnsi"/>
                <w:sz w:val="22"/>
                <w:u w:color="0070C0"/>
              </w:rPr>
              <w:t>(INR)</w:t>
            </w:r>
          </w:p>
          <w:p w14:paraId="06A7DE4A" w14:textId="60C65C98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Indonesian rupiah </w:t>
            </w:r>
            <w:r w:rsidR="00274CB7">
              <w:rPr>
                <w:rFonts w:cstheme="minorHAnsi"/>
                <w:sz w:val="22"/>
                <w:u w:color="0070C0"/>
              </w:rPr>
              <w:t>(IDR)</w:t>
            </w:r>
          </w:p>
          <w:p w14:paraId="71075E99" w14:textId="116BA72A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Japanese yen </w:t>
            </w:r>
            <w:r w:rsidR="000D09F1">
              <w:rPr>
                <w:rFonts w:cstheme="minorHAnsi"/>
                <w:sz w:val="22"/>
                <w:u w:color="0070C0"/>
              </w:rPr>
              <w:t>(JPY)</w:t>
            </w:r>
          </w:p>
          <w:p w14:paraId="42C509BE" w14:textId="7852B77A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Malaysian ringgit </w:t>
            </w:r>
            <w:r w:rsidR="00D9161E">
              <w:rPr>
                <w:rFonts w:cstheme="minorHAnsi"/>
                <w:sz w:val="22"/>
                <w:u w:color="0070C0"/>
              </w:rPr>
              <w:t>(MYR)</w:t>
            </w:r>
          </w:p>
          <w:p w14:paraId="1C13A919" w14:textId="36BBBCAA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New Taiwan dollar </w:t>
            </w:r>
            <w:r w:rsidR="00D9496B">
              <w:rPr>
                <w:rFonts w:cstheme="minorHAnsi"/>
                <w:sz w:val="22"/>
                <w:u w:color="0070C0"/>
              </w:rPr>
              <w:t>(</w:t>
            </w:r>
            <w:r w:rsidR="00274CB7">
              <w:rPr>
                <w:rFonts w:cstheme="minorHAnsi"/>
                <w:sz w:val="22"/>
                <w:u w:color="0070C0"/>
              </w:rPr>
              <w:t>TWD)</w:t>
            </w:r>
          </w:p>
          <w:p w14:paraId="394AED36" w14:textId="7D3F163D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New Zealand dollar </w:t>
            </w:r>
            <w:r w:rsidR="00593514">
              <w:rPr>
                <w:rFonts w:cstheme="minorHAnsi"/>
                <w:sz w:val="22"/>
                <w:u w:color="0070C0"/>
              </w:rPr>
              <w:t>(NZD)</w:t>
            </w:r>
          </w:p>
          <w:p w14:paraId="0A7B1540" w14:textId="50BC8F0B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Papua New Guinea kina </w:t>
            </w:r>
            <w:r w:rsidR="002D2A43">
              <w:rPr>
                <w:rFonts w:cstheme="minorHAnsi"/>
                <w:sz w:val="22"/>
                <w:u w:color="0070C0"/>
              </w:rPr>
              <w:t>(PGK)</w:t>
            </w:r>
          </w:p>
          <w:p w14:paraId="2EEAE98E" w14:textId="19658935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Singapore dollar </w:t>
            </w:r>
            <w:r w:rsidR="00696F45">
              <w:rPr>
                <w:rFonts w:cstheme="minorHAnsi"/>
                <w:sz w:val="22"/>
                <w:u w:color="0070C0"/>
              </w:rPr>
              <w:t>(SGD)</w:t>
            </w:r>
          </w:p>
          <w:p w14:paraId="050EB3FF" w14:textId="4631B8CE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South Korean won </w:t>
            </w:r>
            <w:r w:rsidR="00DF0DEC">
              <w:rPr>
                <w:rFonts w:cstheme="minorHAnsi"/>
                <w:sz w:val="22"/>
                <w:u w:color="0070C0"/>
              </w:rPr>
              <w:t>(K</w:t>
            </w:r>
            <w:r w:rsidR="004B1B2E">
              <w:rPr>
                <w:rFonts w:cstheme="minorHAnsi"/>
                <w:sz w:val="22"/>
                <w:u w:color="0070C0"/>
              </w:rPr>
              <w:t>RW)</w:t>
            </w:r>
          </w:p>
          <w:p w14:paraId="201BF516" w14:textId="129ECE63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Swiss franc </w:t>
            </w:r>
            <w:r w:rsidR="004B1B2E">
              <w:rPr>
                <w:rFonts w:cstheme="minorHAnsi"/>
                <w:sz w:val="22"/>
                <w:u w:color="0070C0"/>
              </w:rPr>
              <w:t>(CHF)</w:t>
            </w:r>
          </w:p>
          <w:p w14:paraId="6B96105A" w14:textId="0C5F9C83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Thai baht </w:t>
            </w:r>
            <w:r w:rsidR="000C1352">
              <w:rPr>
                <w:rFonts w:cstheme="minorHAnsi"/>
                <w:sz w:val="22"/>
                <w:u w:color="0070C0"/>
              </w:rPr>
              <w:t>(THB)</w:t>
            </w:r>
          </w:p>
          <w:p w14:paraId="76FE31D8" w14:textId="5F94F286" w:rsidR="003C7461" w:rsidRPr="007A7992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UK pound sterling </w:t>
            </w:r>
            <w:r w:rsidR="00F423E7">
              <w:rPr>
                <w:rFonts w:cstheme="minorHAnsi"/>
                <w:sz w:val="22"/>
                <w:u w:color="0070C0"/>
              </w:rPr>
              <w:t>(G</w:t>
            </w:r>
            <w:r w:rsidR="00414FFA">
              <w:rPr>
                <w:rFonts w:cstheme="minorHAnsi"/>
                <w:sz w:val="22"/>
                <w:u w:color="0070C0"/>
              </w:rPr>
              <w:t>BP)</w:t>
            </w:r>
          </w:p>
          <w:p w14:paraId="10CB3411" w14:textId="7BF7E6F0" w:rsidR="003C7461" w:rsidRPr="00C355A7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C355A7">
              <w:rPr>
                <w:rFonts w:cstheme="minorHAnsi"/>
                <w:sz w:val="22"/>
                <w:u w:color="0070C0"/>
              </w:rPr>
              <w:t xml:space="preserve">United States dollar </w:t>
            </w:r>
            <w:r w:rsidR="005D24AA" w:rsidRPr="00C355A7">
              <w:rPr>
                <w:rFonts w:cstheme="minorHAnsi"/>
                <w:sz w:val="22"/>
                <w:u w:color="0070C0"/>
              </w:rPr>
              <w:t>(USD)</w:t>
            </w:r>
          </w:p>
          <w:p w14:paraId="5E9928BF" w14:textId="45798E25" w:rsidR="003C7461" w:rsidRPr="00C355A7" w:rsidRDefault="003C7461" w:rsidP="00125B81">
            <w:pPr>
              <w:spacing w:before="120" w:line="240" w:lineRule="auto"/>
              <w:rPr>
                <w:rFonts w:cstheme="minorHAnsi"/>
                <w:sz w:val="22"/>
                <w:u w:color="0070C0"/>
              </w:rPr>
            </w:pPr>
            <w:r w:rsidRPr="00C355A7">
              <w:rPr>
                <w:rFonts w:cstheme="minorHAnsi"/>
                <w:sz w:val="22"/>
                <w:u w:color="0070C0"/>
              </w:rPr>
              <w:t xml:space="preserve">Vietnamese dong </w:t>
            </w:r>
            <w:r w:rsidR="00921754" w:rsidRPr="00C355A7">
              <w:rPr>
                <w:rFonts w:cstheme="minorHAnsi"/>
                <w:sz w:val="22"/>
                <w:u w:color="0070C0"/>
              </w:rPr>
              <w:t>(VND)</w:t>
            </w:r>
          </w:p>
          <w:p w14:paraId="34BD068C" w14:textId="77777777" w:rsidR="003C7461" w:rsidRPr="00C355A7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C355A7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52B0F68F" w14:textId="5DC95437" w:rsidR="003C7461" w:rsidRPr="00CA0094" w:rsidRDefault="007E4B01" w:rsidP="00A63653">
            <w:pPr>
              <w:spacing w:before="60" w:line="240" w:lineRule="auto"/>
              <w:rPr>
                <w:rFonts w:cstheme="minorHAnsi"/>
                <w:bCs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Trade-</w:t>
            </w:r>
            <w:r w:rsidR="0037479B">
              <w:rPr>
                <w:rFonts w:cstheme="minorHAnsi"/>
                <w:sz w:val="22"/>
                <w:u w:color="0070C0"/>
              </w:rPr>
              <w:t>weighted Index (4pm)</w:t>
            </w:r>
            <w:r w:rsidR="003C7461" w:rsidRPr="00125B81">
              <w:rPr>
                <w:rFonts w:cstheme="minorHAnsi"/>
                <w:u w:color="0070C0"/>
              </w:rPr>
              <w:t xml:space="preserve"> </w:t>
            </w:r>
          </w:p>
          <w:p w14:paraId="4B44D703" w14:textId="69EFB3A6" w:rsidR="003C7461" w:rsidRPr="00486254" w:rsidRDefault="003C7461" w:rsidP="00A63653">
            <w:pPr>
              <w:spacing w:before="60" w:line="240" w:lineRule="auto"/>
              <w:rPr>
                <w:rFonts w:cstheme="minorHAnsi"/>
                <w:b/>
                <w:bCs/>
                <w:sz w:val="22"/>
                <w:u w:color="0070C0"/>
              </w:rPr>
            </w:pPr>
            <w:r w:rsidRPr="00C355A7">
              <w:rPr>
                <w:rFonts w:cstheme="minorHAnsi"/>
                <w:sz w:val="22"/>
                <w:u w:color="0070C0"/>
              </w:rPr>
              <w:t>Special Drawing Right</w:t>
            </w:r>
            <w:r w:rsidRPr="007A7992">
              <w:rPr>
                <w:rFonts w:cstheme="minorHAnsi"/>
                <w:b/>
                <w:sz w:val="22"/>
                <w:u w:color="0070C0"/>
              </w:rPr>
              <w:t xml:space="preserve"> </w:t>
            </w:r>
          </w:p>
        </w:tc>
        <w:tc>
          <w:tcPr>
            <w:tcW w:w="1134" w:type="dxa"/>
          </w:tcPr>
          <w:p w14:paraId="2BCBD022" w14:textId="77777777" w:rsidR="003C7461" w:rsidRPr="00125B81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highlight w:val="yellow"/>
                <w:u w:color="0070C0"/>
              </w:rPr>
            </w:pPr>
          </w:p>
          <w:p w14:paraId="44FC6040" w14:textId="77777777" w:rsidR="003C7461" w:rsidRPr="00125B81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highlight w:val="yellow"/>
                <w:u w:color="0070C0"/>
              </w:rPr>
            </w:pPr>
          </w:p>
          <w:p w14:paraId="21053E0F" w14:textId="77777777" w:rsidR="003C7461" w:rsidRPr="00125B81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highlight w:val="yellow"/>
                <w:u w:color="0070C0"/>
              </w:rPr>
            </w:pPr>
          </w:p>
          <w:p w14:paraId="25CDC84A" w14:textId="77777777" w:rsidR="00196FA5" w:rsidRPr="00125B81" w:rsidRDefault="00196FA5" w:rsidP="00196FA5">
            <w:pPr>
              <w:suppressAutoHyphens w:val="0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25B81">
              <w:rPr>
                <w:rFonts w:ascii="Arial" w:hAnsi="Arial" w:cs="Arial"/>
                <w:sz w:val="22"/>
              </w:rPr>
              <w:t>0.9778</w:t>
            </w:r>
          </w:p>
          <w:p w14:paraId="4D2BCA16" w14:textId="6A23D3FD" w:rsidR="0009496C" w:rsidRPr="00125B81" w:rsidRDefault="00AA5A01" w:rsidP="0009496C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highlight w:val="yellow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4.6647</w:t>
            </w:r>
          </w:p>
          <w:p w14:paraId="3FA0ACDE" w14:textId="5C5DE093" w:rsidR="005D24AA" w:rsidRPr="00196FA5" w:rsidRDefault="005D24AA" w:rsidP="0009496C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highlight w:val="yellow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0.6034</w:t>
            </w:r>
          </w:p>
          <w:p w14:paraId="26F79DDE" w14:textId="35DF7ED3" w:rsidR="004F70E6" w:rsidRPr="00196FA5" w:rsidRDefault="004F70E6" w:rsidP="0009496C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5.3871</w:t>
            </w:r>
          </w:p>
          <w:p w14:paraId="101ED40B" w14:textId="5A11483B" w:rsidR="0058268B" w:rsidRPr="00196FA5" w:rsidRDefault="0058268B" w:rsidP="0009496C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highlight w:val="yellow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64.94</w:t>
            </w:r>
          </w:p>
          <w:p w14:paraId="575236C1" w14:textId="24C9517E" w:rsidR="00274CB7" w:rsidRPr="00196FA5" w:rsidRDefault="00274CB7" w:rsidP="0009496C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12298</w:t>
            </w:r>
          </w:p>
          <w:p w14:paraId="498E70B0" w14:textId="372C7E01" w:rsidR="007C5E1E" w:rsidRPr="00196FA5" w:rsidRDefault="007C5E1E" w:rsidP="0009496C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highlight w:val="yellow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111.48</w:t>
            </w:r>
          </w:p>
          <w:p w14:paraId="3E9B55B7" w14:textId="1B31D7BE" w:rsidR="00D9161E" w:rsidRPr="00196FA5" w:rsidRDefault="00D9161E" w:rsidP="0009496C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highlight w:val="yellow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2.7957</w:t>
            </w:r>
          </w:p>
          <w:p w14:paraId="406C0C9E" w14:textId="1FD44CE6" w:rsidR="00D9496B" w:rsidRPr="00196FA5" w:rsidRDefault="00D9496B" w:rsidP="0009496C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21.89</w:t>
            </w:r>
          </w:p>
          <w:p w14:paraId="571BA681" w14:textId="53951CE6" w:rsidR="00CA2128" w:rsidRDefault="00593514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6621B8">
              <w:rPr>
                <w:rFonts w:cstheme="minorHAnsi"/>
                <w:sz w:val="22"/>
                <w:u w:color="0070C0"/>
              </w:rPr>
              <w:t>1.2166</w:t>
            </w:r>
          </w:p>
          <w:p w14:paraId="5F3430C4" w14:textId="12084CF5" w:rsidR="00CA2128" w:rsidRPr="006621B8" w:rsidRDefault="00CA2128" w:rsidP="00125B81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3.0127</w:t>
            </w:r>
          </w:p>
          <w:p w14:paraId="7A8212ED" w14:textId="2D5F22C2" w:rsidR="0070635F" w:rsidRPr="006621B8" w:rsidRDefault="00696F45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6621B8">
              <w:rPr>
                <w:rFonts w:cstheme="minorHAnsi"/>
                <w:sz w:val="22"/>
                <w:u w:color="0070C0"/>
              </w:rPr>
              <w:t>0.8895</w:t>
            </w:r>
          </w:p>
          <w:p w14:paraId="0E51FD47" w14:textId="04F58BE2" w:rsidR="0070635F" w:rsidRPr="006621B8" w:rsidRDefault="0070635F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6621B8">
              <w:rPr>
                <w:rFonts w:cstheme="minorHAnsi"/>
                <w:sz w:val="22"/>
                <w:u w:color="0070C0"/>
              </w:rPr>
              <w:t>1063.49</w:t>
            </w:r>
          </w:p>
          <w:p w14:paraId="2C99BF42" w14:textId="12E3DCFC" w:rsidR="00CF7DF7" w:rsidRDefault="0070635F" w:rsidP="0009496C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0635F">
              <w:rPr>
                <w:rFonts w:cstheme="minorHAnsi"/>
                <w:sz w:val="22"/>
                <w:u w:color="0070C0"/>
              </w:rPr>
              <w:t>0.5564</w:t>
            </w:r>
          </w:p>
          <w:p w14:paraId="23C7535E" w14:textId="2E4C397C" w:rsidR="000C1352" w:rsidRPr="00196FA5" w:rsidRDefault="000C1352" w:rsidP="0009496C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22.87</w:t>
            </w:r>
          </w:p>
          <w:p w14:paraId="0D93CD3C" w14:textId="56D40CA3" w:rsidR="00414FFA" w:rsidRPr="00196FA5" w:rsidRDefault="00414FFA" w:rsidP="006132BF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0.5193</w:t>
            </w:r>
          </w:p>
          <w:p w14:paraId="3E338AF7" w14:textId="60A1A22C" w:rsidR="005D24AA" w:rsidRPr="00196FA5" w:rsidRDefault="005D24AA" w:rsidP="006132BF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highlight w:val="yellow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0.6869</w:t>
            </w:r>
          </w:p>
          <w:p w14:paraId="39CD7267" w14:textId="199C30CA" w:rsidR="0070635F" w:rsidRDefault="00921754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196FA5">
              <w:rPr>
                <w:rFonts w:cstheme="minorHAnsi"/>
                <w:sz w:val="22"/>
                <w:u w:color="0070C0"/>
              </w:rPr>
              <w:t>18072</w:t>
            </w:r>
          </w:p>
          <w:p w14:paraId="7756893A" w14:textId="77777777" w:rsidR="0070635F" w:rsidRDefault="0070635F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78237EF9" w14:textId="77777777" w:rsidR="0070635F" w:rsidRPr="0070635F" w:rsidRDefault="0070635F" w:rsidP="0070635F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0635F">
              <w:rPr>
                <w:rFonts w:cstheme="minorHAnsi"/>
                <w:sz w:val="22"/>
                <w:u w:color="0070C0"/>
              </w:rPr>
              <w:t>64.60</w:t>
            </w:r>
          </w:p>
          <w:p w14:paraId="2AF95DAA" w14:textId="36CAF404" w:rsidR="003C7461" w:rsidRPr="00125B81" w:rsidRDefault="0070635F" w:rsidP="00125B81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highlight w:val="yellow"/>
                <w:u w:color="0070C0"/>
              </w:rPr>
            </w:pPr>
            <w:r w:rsidRPr="0070635F">
              <w:rPr>
                <w:rFonts w:cstheme="minorHAnsi"/>
                <w:sz w:val="22"/>
                <w:u w:color="0070C0"/>
              </w:rPr>
              <w:t>0.5065</w:t>
            </w:r>
          </w:p>
        </w:tc>
        <w:tc>
          <w:tcPr>
            <w:tcW w:w="4679" w:type="dxa"/>
            <w:vAlign w:val="center"/>
          </w:tcPr>
          <w:p w14:paraId="30483313" w14:textId="27C16BBE" w:rsidR="003C7461" w:rsidRPr="00A424B2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hyperlink r:id="rId20" w:anchor="exchange-rates" w:history="1">
              <w:r w:rsidRPr="00A424B2">
                <w:rPr>
                  <w:rStyle w:val="Hyperlink"/>
                  <w:rFonts w:cstheme="minorHAnsi"/>
                  <w:sz w:val="22"/>
                </w:rPr>
                <w:t>https://www.rba.gov.au/statistics/tables/#exchange-rates</w:t>
              </w:r>
            </w:hyperlink>
            <w:r w:rsidRPr="00A424B2">
              <w:rPr>
                <w:rFonts w:cstheme="minorHAnsi"/>
                <w:sz w:val="22"/>
                <w:u w:color="0070C0"/>
              </w:rPr>
              <w:t xml:space="preserve"> (F11.1 Exchange Rates: 2023 to Current) </w:t>
            </w:r>
          </w:p>
          <w:p w14:paraId="3B8B18DA" w14:textId="32F49A73" w:rsidR="003C7461" w:rsidRPr="00A424B2" w:rsidRDefault="003C7461" w:rsidP="00A63653">
            <w:pPr>
              <w:spacing w:before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</w:tc>
      </w:tr>
      <w:tr w:rsidR="003C7461" w:rsidRPr="00486254" w14:paraId="7B6B96DA" w14:textId="77777777" w:rsidTr="00CB3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987171D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 xml:space="preserve">Rates for Market Sensitivity </w:t>
            </w:r>
          </w:p>
          <w:p w14:paraId="7E8E9F5A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b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>Analysis</w:t>
            </w:r>
            <w:r w:rsidRPr="007A7992">
              <w:rPr>
                <w:rFonts w:cstheme="minorHAnsi"/>
                <w:b/>
                <w:sz w:val="22"/>
                <w:u w:color="0070C0"/>
                <w:vertAlign w:val="superscript"/>
              </w:rPr>
              <w:footnoteReference w:id="9"/>
            </w:r>
            <w:r w:rsidRPr="007A7992">
              <w:rPr>
                <w:rFonts w:cstheme="minorHAnsi"/>
                <w:b/>
                <w:sz w:val="22"/>
                <w:u w:color="0070C0"/>
              </w:rPr>
              <w:t xml:space="preserve"> </w:t>
            </w:r>
          </w:p>
          <w:p w14:paraId="40844E82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</w:p>
          <w:p w14:paraId="2EC4B329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Interest Rate sensitivity analysis standardised rate</w:t>
            </w:r>
          </w:p>
          <w:p w14:paraId="4B19EEE1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(</w:t>
            </w:r>
            <w:r w:rsidRPr="007A7992">
              <w:rPr>
                <w:rFonts w:cstheme="minorHAnsi"/>
                <w:b/>
                <w:sz w:val="22"/>
                <w:u w:color="0070C0"/>
              </w:rPr>
              <w:t>IRSA rate</w:t>
            </w:r>
            <w:r w:rsidRPr="007A7992">
              <w:rPr>
                <w:rFonts w:cstheme="minorHAnsi"/>
                <w:sz w:val="22"/>
                <w:u w:color="0070C0"/>
              </w:rPr>
              <w:t xml:space="preserve">) </w:t>
            </w:r>
          </w:p>
          <w:p w14:paraId="3CEE166A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</w:p>
          <w:p w14:paraId="14DEB0D5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Foreign Exchange sensitivity analysis standardised rate</w:t>
            </w:r>
          </w:p>
          <w:p w14:paraId="3E32AA6E" w14:textId="77777777" w:rsidR="003C7461" w:rsidRPr="007A7992" w:rsidRDefault="003C7461" w:rsidP="00A63653">
            <w:pPr>
              <w:spacing w:before="60" w:line="240" w:lineRule="auto"/>
              <w:rPr>
                <w:rFonts w:cstheme="minorHAnsi"/>
                <w:b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>(</w:t>
            </w:r>
            <w:r w:rsidRPr="007A7992">
              <w:rPr>
                <w:rFonts w:cstheme="minorHAnsi"/>
                <w:b/>
                <w:sz w:val="22"/>
                <w:u w:color="0070C0"/>
              </w:rPr>
              <w:t>FXSA rate</w:t>
            </w:r>
            <w:r w:rsidRPr="007A7992">
              <w:rPr>
                <w:rFonts w:cstheme="minorHAnsi"/>
                <w:sz w:val="22"/>
                <w:u w:color="0070C0"/>
              </w:rPr>
              <w:t>)</w:t>
            </w:r>
            <w:r w:rsidRPr="007A7992">
              <w:rPr>
                <w:rFonts w:cstheme="minorHAnsi"/>
                <w:b/>
                <w:sz w:val="22"/>
                <w:u w:color="0070C0"/>
              </w:rPr>
              <w:t xml:space="preserve"> </w:t>
            </w:r>
          </w:p>
          <w:p w14:paraId="0C36A587" w14:textId="77777777" w:rsidR="003C7461" w:rsidRPr="00486254" w:rsidRDefault="003C7461" w:rsidP="00A63653">
            <w:pPr>
              <w:spacing w:before="60" w:line="240" w:lineRule="auto"/>
              <w:rPr>
                <w:rFonts w:cstheme="minorHAnsi"/>
                <w:b/>
                <w:sz w:val="22"/>
                <w:u w:color="0070C0"/>
              </w:rPr>
            </w:pPr>
          </w:p>
        </w:tc>
        <w:tc>
          <w:tcPr>
            <w:tcW w:w="1134" w:type="dxa"/>
          </w:tcPr>
          <w:p w14:paraId="609B9D96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 xml:space="preserve"> </w:t>
            </w:r>
          </w:p>
          <w:p w14:paraId="4CF9687F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 xml:space="preserve"> </w:t>
            </w:r>
          </w:p>
          <w:p w14:paraId="172AA449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59ED3752" w14:textId="66A4CFF6" w:rsidR="003C7461" w:rsidRPr="007A7992" w:rsidRDefault="00562298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0.99%</w:t>
            </w:r>
            <w:r w:rsidR="003C7461" w:rsidRPr="007A7992">
              <w:rPr>
                <w:rFonts w:cstheme="minorHAnsi"/>
                <w:sz w:val="22"/>
                <w:u w:color="0070C0"/>
              </w:rPr>
              <w:t xml:space="preserve"> </w:t>
            </w:r>
          </w:p>
          <w:p w14:paraId="7C702478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 xml:space="preserve"> </w:t>
            </w:r>
          </w:p>
          <w:p w14:paraId="75340E12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u w:color="0070C0"/>
              </w:rPr>
            </w:pPr>
          </w:p>
          <w:p w14:paraId="690CB9C1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 xml:space="preserve"> </w:t>
            </w:r>
          </w:p>
          <w:p w14:paraId="283F0CA3" w14:textId="5BCAFC0A" w:rsidR="003C7461" w:rsidRPr="007A7992" w:rsidRDefault="000B039D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>
              <w:rPr>
                <w:rFonts w:cstheme="minorHAnsi"/>
                <w:sz w:val="22"/>
                <w:u w:color="0070C0"/>
              </w:rPr>
              <w:t>9</w:t>
            </w:r>
            <w:r w:rsidR="003C7461" w:rsidRPr="007A7992">
              <w:rPr>
                <w:rFonts w:cstheme="minorHAnsi"/>
                <w:sz w:val="22"/>
                <w:u w:color="0070C0"/>
              </w:rPr>
              <w:t>.06%</w:t>
            </w:r>
          </w:p>
          <w:p w14:paraId="2778ED88" w14:textId="15D495CB" w:rsidR="003C7461" w:rsidRPr="00486254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u w:color="0070C0"/>
              </w:rPr>
            </w:pPr>
            <w:r w:rsidRPr="007A7992">
              <w:rPr>
                <w:rFonts w:cstheme="minorHAnsi"/>
                <w:b/>
                <w:sz w:val="22"/>
                <w:u w:color="0070C0"/>
              </w:rPr>
              <w:t xml:space="preserve"> </w:t>
            </w:r>
          </w:p>
        </w:tc>
        <w:tc>
          <w:tcPr>
            <w:tcW w:w="4679" w:type="dxa"/>
          </w:tcPr>
          <w:p w14:paraId="178358A7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24ECB238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277DE6FC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241326D1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Not applicable. </w:t>
            </w:r>
          </w:p>
          <w:p w14:paraId="0DC4EE87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56FF7946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21DC502B" w14:textId="77777777" w:rsidR="003C7461" w:rsidRPr="007A7992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u w:color="0070C0"/>
              </w:rPr>
            </w:pPr>
          </w:p>
          <w:p w14:paraId="653D4ACD" w14:textId="1BFC3E04" w:rsidR="003C7461" w:rsidRPr="00486254" w:rsidRDefault="003C7461" w:rsidP="00A6365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u w:color="0070C0"/>
              </w:rPr>
            </w:pPr>
            <w:r w:rsidRPr="007A7992">
              <w:rPr>
                <w:rFonts w:cstheme="minorHAnsi"/>
                <w:sz w:val="22"/>
                <w:u w:color="0070C0"/>
              </w:rPr>
              <w:t xml:space="preserve">Not applicable. </w:t>
            </w:r>
          </w:p>
        </w:tc>
      </w:tr>
    </w:tbl>
    <w:p w14:paraId="700DDDF6" w14:textId="77777777" w:rsidR="00BD319D" w:rsidRDefault="00BD319D" w:rsidP="00125B81">
      <w:pPr>
        <w:suppressAutoHyphens w:val="0"/>
        <w:spacing w:before="0" w:after="120" w:line="440" w:lineRule="atLeast"/>
        <w:rPr>
          <w:rFonts w:ascii="Arial" w:eastAsia="Arial" w:hAnsi="Arial" w:cs="Arial"/>
          <w:b/>
        </w:rPr>
        <w:sectPr w:rsidR="00BD319D" w:rsidSect="00125B81">
          <w:footerReference w:type="default" r:id="rId21"/>
          <w:pgSz w:w="11906" w:h="16838" w:code="9"/>
          <w:pgMar w:top="1418" w:right="1418" w:bottom="1418" w:left="1418" w:header="567" w:footer="624" w:gutter="0"/>
          <w:cols w:space="708"/>
          <w:docGrid w:linePitch="360"/>
        </w:sectPr>
      </w:pPr>
    </w:p>
    <w:p w14:paraId="3F46486F" w14:textId="53CD72DA" w:rsidR="00357A70" w:rsidRPr="007241FA" w:rsidRDefault="00357A70" w:rsidP="00357A70">
      <w:pPr>
        <w:rPr>
          <w:rFonts w:ascii="Arial" w:eastAsia="Arial" w:hAnsi="Arial" w:cs="Arial"/>
          <w:b/>
        </w:rPr>
      </w:pPr>
      <w:r w:rsidRPr="007241FA">
        <w:rPr>
          <w:rFonts w:ascii="Arial" w:eastAsia="Arial" w:hAnsi="Arial" w:cs="Arial"/>
          <w:b/>
        </w:rPr>
        <w:t>Long Service Leave (LSL) – Shorthand method standard factors for calculating LSL entitlements transfers</w:t>
      </w:r>
      <w:r>
        <w:rPr>
          <w:rFonts w:ascii="Arial" w:eastAsia="Arial" w:hAnsi="Arial" w:cs="Arial"/>
          <w:b/>
        </w:rPr>
        <w:t xml:space="preserve"> only</w:t>
      </w:r>
    </w:p>
    <w:p w14:paraId="06559FD2" w14:textId="77777777" w:rsidR="00357A70" w:rsidRPr="004469E5" w:rsidRDefault="00357A70" w:rsidP="00357A70">
      <w:pPr>
        <w:spacing w:after="120"/>
        <w:ind w:right="-436"/>
        <w:rPr>
          <w:rFonts w:ascii="Arial" w:hAnsi="Arial" w:cs="Arial"/>
        </w:rPr>
      </w:pPr>
      <w:r w:rsidRPr="004469E5">
        <w:rPr>
          <w:rFonts w:ascii="Arial" w:hAnsi="Arial" w:cs="Arial"/>
        </w:rPr>
        <w:t xml:space="preserve">The following factors can be used in the </w:t>
      </w:r>
      <w:r w:rsidRPr="004469E5">
        <w:rPr>
          <w:rFonts w:ascii="Arial" w:hAnsi="Arial" w:cs="Arial"/>
          <w:u w:val="single"/>
        </w:rPr>
        <w:t>calculation of transfers of funding for LSL entitlements</w:t>
      </w:r>
      <w:r w:rsidRPr="004469E5">
        <w:rPr>
          <w:rFonts w:ascii="Arial" w:hAnsi="Arial" w:cs="Arial"/>
        </w:rPr>
        <w:t xml:space="preserve"> when Australian Public Service (APS) employees move between Commonwealth entities</w:t>
      </w:r>
      <w:r w:rsidRPr="004469E5">
        <w:rPr>
          <w:rStyle w:val="FootnoteReference"/>
          <w:rFonts w:ascii="Arial" w:hAnsi="Arial" w:cs="Arial"/>
        </w:rPr>
        <w:footnoteReference w:id="10"/>
      </w:r>
      <w:r w:rsidRPr="004469E5">
        <w:rPr>
          <w:rFonts w:ascii="Arial" w:hAnsi="Arial" w:cs="Arial"/>
        </w:rPr>
        <w:t xml:space="preserve">. The Salary Growth Rate chosen should reflect each entity’s expected long-term (10 year) salary growth rate for its staff. These factors are </w:t>
      </w:r>
      <w:r w:rsidRPr="004469E5">
        <w:rPr>
          <w:rFonts w:ascii="Arial" w:hAnsi="Arial" w:cs="Arial"/>
          <w:u w:val="single"/>
        </w:rPr>
        <w:t>not appropriate</w:t>
      </w:r>
      <w:r w:rsidRPr="004469E5">
        <w:rPr>
          <w:rFonts w:ascii="Arial" w:hAnsi="Arial" w:cs="Arial"/>
        </w:rPr>
        <w:t xml:space="preserve"> for use by private sector or state/territory government entities. </w:t>
      </w:r>
    </w:p>
    <w:p w14:paraId="242CBBB3" w14:textId="77777777" w:rsidR="00446AD5" w:rsidRDefault="00357A70" w:rsidP="00357A70">
      <w:pPr>
        <w:spacing w:after="120"/>
        <w:ind w:right="-436"/>
        <w:rPr>
          <w:rFonts w:ascii="Arial" w:hAnsi="Arial" w:cs="Arial"/>
        </w:rPr>
      </w:pPr>
      <w:r w:rsidRPr="004469E5">
        <w:rPr>
          <w:rFonts w:ascii="Arial" w:hAnsi="Arial" w:cs="Arial"/>
        </w:rPr>
        <w:t xml:space="preserve">Note: These tables are for calculating transfers between Commonwealth entities only and </w:t>
      </w:r>
      <w:r w:rsidRPr="004469E5">
        <w:rPr>
          <w:rFonts w:ascii="Arial" w:hAnsi="Arial" w:cs="Arial"/>
          <w:u w:val="single"/>
        </w:rPr>
        <w:t xml:space="preserve">must not be used for calculating an entity’s LSL liability </w:t>
      </w:r>
      <w:proofErr w:type="gramStart"/>
      <w:r w:rsidRPr="004469E5">
        <w:rPr>
          <w:rFonts w:ascii="Arial" w:hAnsi="Arial" w:cs="Arial"/>
          <w:u w:val="single"/>
        </w:rPr>
        <w:t>at</w:t>
      </w:r>
      <w:proofErr w:type="gramEnd"/>
      <w:r w:rsidRPr="004469E5">
        <w:rPr>
          <w:rFonts w:ascii="Arial" w:hAnsi="Arial" w:cs="Arial"/>
          <w:u w:val="single"/>
        </w:rPr>
        <w:t xml:space="preserve"> 30 June</w:t>
      </w:r>
      <w:r w:rsidRPr="004469E5">
        <w:rPr>
          <w:rFonts w:ascii="Arial" w:hAnsi="Arial" w:cs="Arial"/>
        </w:rPr>
        <w:t xml:space="preserve">. The requirements for calculating LSL liabilities are prescribed by section 24(1) of the </w:t>
      </w:r>
      <w:hyperlink r:id="rId22" w:history="1">
        <w:r w:rsidRPr="004469E5">
          <w:rPr>
            <w:rStyle w:val="Hyperlink"/>
            <w:rFonts w:ascii="Arial" w:hAnsi="Arial" w:cs="Arial"/>
            <w:i/>
            <w:iCs/>
          </w:rPr>
          <w:t>Public Governance, Performance and Accountability (Financial Reporting) Rule 2015</w:t>
        </w:r>
      </w:hyperlink>
      <w:r w:rsidRPr="004469E5">
        <w:rPr>
          <w:rFonts w:ascii="Arial" w:hAnsi="Arial" w:cs="Arial"/>
        </w:rPr>
        <w:t xml:space="preserve">. </w:t>
      </w:r>
    </w:p>
    <w:p w14:paraId="1DE0F86F" w14:textId="42286EBA" w:rsidR="00357A70" w:rsidRDefault="00357A70" w:rsidP="00357A70">
      <w:pPr>
        <w:spacing w:after="120"/>
        <w:ind w:right="-436"/>
        <w:rPr>
          <w:rFonts w:ascii="Arial" w:hAnsi="Arial" w:cs="Arial"/>
        </w:rPr>
      </w:pPr>
      <w:r w:rsidRPr="004469E5">
        <w:rPr>
          <w:rFonts w:ascii="Arial" w:hAnsi="Arial" w:cs="Arial"/>
        </w:rPr>
        <w:t xml:space="preserve">See </w:t>
      </w:r>
      <w:hyperlink r:id="rId23" w:anchor="-employee-benefits-" w:history="1">
        <w:r w:rsidRPr="004469E5">
          <w:rPr>
            <w:rStyle w:val="Hyperlink"/>
            <w:rFonts w:ascii="Arial" w:hAnsi="Arial" w:cs="Arial"/>
          </w:rPr>
          <w:t xml:space="preserve">RMG 125 </w:t>
        </w:r>
        <w:r w:rsidRPr="004469E5">
          <w:rPr>
            <w:rStyle w:val="Hyperlink"/>
            <w:rFonts w:ascii="Arial" w:hAnsi="Arial" w:cs="Arial"/>
            <w:i/>
            <w:iCs/>
          </w:rPr>
          <w:t>Commonwealth Entities Financial Statements Guide</w:t>
        </w:r>
      </w:hyperlink>
      <w:r w:rsidRPr="004469E5">
        <w:rPr>
          <w:rFonts w:ascii="Arial" w:hAnsi="Arial" w:cs="Arial"/>
        </w:rPr>
        <w:t xml:space="preserve"> for additional guidance. </w:t>
      </w:r>
    </w:p>
    <w:p w14:paraId="405934C5" w14:textId="35E73A94" w:rsidR="00470711" w:rsidRPr="00125B81" w:rsidRDefault="00470711" w:rsidP="00357A70">
      <w:pPr>
        <w:spacing w:after="120"/>
        <w:ind w:right="-436"/>
        <w:rPr>
          <w:rFonts w:ascii="Arial" w:hAnsi="Arial" w:cs="Arial"/>
          <w:b/>
          <w:bCs/>
        </w:rPr>
      </w:pPr>
      <w:r w:rsidRPr="00125B81">
        <w:rPr>
          <w:rFonts w:ascii="Arial" w:hAnsi="Arial" w:cs="Arial"/>
          <w:b/>
          <w:bCs/>
          <w:sz w:val="18"/>
          <w:szCs w:val="16"/>
        </w:rPr>
        <w:t>LSL – Table of Probability Factors</w:t>
      </w:r>
    </w:p>
    <w:tbl>
      <w:tblPr>
        <w:tblStyle w:val="Finance1"/>
        <w:tblpPr w:leftFromText="180" w:rightFromText="180" w:vertAnchor="text" w:tblpY="1"/>
        <w:tblOverlap w:val="never"/>
        <w:tblW w:w="5387" w:type="dxa"/>
        <w:tblLook w:val="04A0" w:firstRow="1" w:lastRow="0" w:firstColumn="1" w:lastColumn="0" w:noHBand="0" w:noVBand="1"/>
      </w:tblPr>
      <w:tblGrid>
        <w:gridCol w:w="2694"/>
        <w:gridCol w:w="2693"/>
      </w:tblGrid>
      <w:tr w:rsidR="00357A70" w:rsidRPr="00C276FA" w14:paraId="3EB0A764" w14:textId="77777777" w:rsidTr="00125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B1B6F96" w14:textId="77777777" w:rsidR="00357A70" w:rsidRPr="0032460D" w:rsidRDefault="00357A70" w:rsidP="00125B81">
            <w:pPr>
              <w:spacing w:before="60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32460D">
              <w:rPr>
                <w:rFonts w:ascii="Arial" w:hAnsi="Arial" w:cs="Arial"/>
                <w:sz w:val="18"/>
                <w:szCs w:val="16"/>
              </w:rPr>
              <w:t>Completed years of service</w:t>
            </w:r>
          </w:p>
        </w:tc>
        <w:tc>
          <w:tcPr>
            <w:tcW w:w="2693" w:type="dxa"/>
          </w:tcPr>
          <w:p w14:paraId="76949F50" w14:textId="77777777" w:rsidR="00357A70" w:rsidRPr="0032460D" w:rsidRDefault="00357A70" w:rsidP="00125B81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6"/>
              </w:rPr>
            </w:pPr>
            <w:r w:rsidRPr="0032460D">
              <w:rPr>
                <w:rFonts w:ascii="Arial" w:hAnsi="Arial" w:cs="Arial"/>
                <w:sz w:val="18"/>
                <w:szCs w:val="16"/>
              </w:rPr>
              <w:t>Probability weights</w:t>
            </w:r>
          </w:p>
        </w:tc>
      </w:tr>
      <w:tr w:rsidR="00357A70" w:rsidRPr="00C276FA" w14:paraId="7530837F" w14:textId="77777777" w:rsidTr="0012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A126D64" w14:textId="77777777" w:rsidR="00357A70" w:rsidRPr="00C276FA" w:rsidRDefault="00357A70" w:rsidP="00125B81">
            <w:pPr>
              <w:spacing w:before="6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2693" w:type="dxa"/>
          </w:tcPr>
          <w:p w14:paraId="4FFB426F" w14:textId="77777777" w:rsidR="00357A70" w:rsidRPr="00C276FA" w:rsidRDefault="00357A70" w:rsidP="00125B81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55.0%</w:t>
            </w:r>
          </w:p>
        </w:tc>
      </w:tr>
      <w:tr w:rsidR="00357A70" w:rsidRPr="00C276FA" w14:paraId="241E1E84" w14:textId="77777777" w:rsidTr="00125B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131A3E8" w14:textId="77777777" w:rsidR="00357A70" w:rsidRPr="0032460D" w:rsidRDefault="00357A70" w:rsidP="00125B81">
            <w:pPr>
              <w:spacing w:before="6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93" w:type="dxa"/>
          </w:tcPr>
          <w:p w14:paraId="4869F663" w14:textId="77777777" w:rsidR="00357A70" w:rsidRPr="0032460D" w:rsidRDefault="00357A70" w:rsidP="00125B8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65.0%</w:t>
            </w:r>
          </w:p>
        </w:tc>
      </w:tr>
      <w:tr w:rsidR="00357A70" w:rsidRPr="00C276FA" w14:paraId="6DD04DD7" w14:textId="77777777" w:rsidTr="0012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2856CAB" w14:textId="77777777" w:rsidR="00357A70" w:rsidRPr="0032460D" w:rsidRDefault="00357A70" w:rsidP="00125B81">
            <w:pPr>
              <w:spacing w:before="6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693" w:type="dxa"/>
          </w:tcPr>
          <w:p w14:paraId="43A6B73C" w14:textId="77777777" w:rsidR="00357A70" w:rsidRPr="0032460D" w:rsidRDefault="00357A70" w:rsidP="00125B81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70.0%</w:t>
            </w:r>
          </w:p>
        </w:tc>
      </w:tr>
      <w:tr w:rsidR="00357A70" w:rsidRPr="00C276FA" w14:paraId="2918E3A0" w14:textId="77777777" w:rsidTr="00125B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B471129" w14:textId="77777777" w:rsidR="00357A70" w:rsidRPr="0032460D" w:rsidRDefault="00357A70" w:rsidP="00125B81">
            <w:pPr>
              <w:spacing w:before="6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2693" w:type="dxa"/>
          </w:tcPr>
          <w:p w14:paraId="206A4D01" w14:textId="77777777" w:rsidR="00357A70" w:rsidRPr="0032460D" w:rsidRDefault="00357A70" w:rsidP="00125B8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75.0%</w:t>
            </w:r>
          </w:p>
        </w:tc>
      </w:tr>
      <w:tr w:rsidR="00357A70" w:rsidRPr="00C276FA" w14:paraId="465C7F38" w14:textId="77777777" w:rsidTr="0012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AE136CF" w14:textId="77777777" w:rsidR="00357A70" w:rsidRPr="0032460D" w:rsidRDefault="00357A70" w:rsidP="00125B81">
            <w:pPr>
              <w:spacing w:before="6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</w:t>
            </w:r>
          </w:p>
        </w:tc>
        <w:tc>
          <w:tcPr>
            <w:tcW w:w="2693" w:type="dxa"/>
          </w:tcPr>
          <w:p w14:paraId="6D007A30" w14:textId="77777777" w:rsidR="00357A70" w:rsidRPr="0032460D" w:rsidRDefault="00357A70" w:rsidP="00125B81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80.0%</w:t>
            </w:r>
          </w:p>
        </w:tc>
      </w:tr>
      <w:tr w:rsidR="00357A70" w:rsidRPr="00C276FA" w14:paraId="6A6971D6" w14:textId="77777777" w:rsidTr="00125B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8963E1" w14:textId="77777777" w:rsidR="00357A70" w:rsidRPr="0032460D" w:rsidRDefault="00357A70" w:rsidP="00125B81">
            <w:pPr>
              <w:spacing w:before="6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2693" w:type="dxa"/>
          </w:tcPr>
          <w:p w14:paraId="62C99517" w14:textId="77777777" w:rsidR="00357A70" w:rsidRPr="0032460D" w:rsidRDefault="00357A70" w:rsidP="00125B8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85.0%</w:t>
            </w:r>
          </w:p>
        </w:tc>
      </w:tr>
      <w:tr w:rsidR="00357A70" w:rsidRPr="00C276FA" w14:paraId="6C3CDA25" w14:textId="77777777" w:rsidTr="0012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A4120D1" w14:textId="77777777" w:rsidR="00357A70" w:rsidRPr="00C276FA" w:rsidRDefault="00357A70" w:rsidP="00125B81">
            <w:pPr>
              <w:spacing w:before="6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2693" w:type="dxa"/>
          </w:tcPr>
          <w:p w14:paraId="5F94D85A" w14:textId="77777777" w:rsidR="00357A70" w:rsidRPr="00C276FA" w:rsidRDefault="00357A70" w:rsidP="00125B81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90.0%</w:t>
            </w:r>
          </w:p>
        </w:tc>
      </w:tr>
      <w:tr w:rsidR="00357A70" w:rsidRPr="00C276FA" w14:paraId="1ADABBA7" w14:textId="77777777" w:rsidTr="00125B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89BB65" w14:textId="77777777" w:rsidR="00357A70" w:rsidRPr="00C276FA" w:rsidRDefault="00357A70" w:rsidP="00125B81">
            <w:pPr>
              <w:spacing w:before="6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</w:t>
            </w:r>
          </w:p>
        </w:tc>
        <w:tc>
          <w:tcPr>
            <w:tcW w:w="2693" w:type="dxa"/>
          </w:tcPr>
          <w:p w14:paraId="3FE6F891" w14:textId="77777777" w:rsidR="00357A70" w:rsidRPr="00C276FA" w:rsidRDefault="00357A70" w:rsidP="00125B8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90.0%</w:t>
            </w:r>
          </w:p>
        </w:tc>
      </w:tr>
      <w:tr w:rsidR="00357A70" w:rsidRPr="00C276FA" w14:paraId="2E3D0323" w14:textId="77777777" w:rsidTr="0012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45DBB80" w14:textId="77777777" w:rsidR="00357A70" w:rsidRPr="00C276FA" w:rsidRDefault="00357A70" w:rsidP="00125B81">
            <w:pPr>
              <w:spacing w:before="6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2693" w:type="dxa"/>
          </w:tcPr>
          <w:p w14:paraId="2AEF026E" w14:textId="77777777" w:rsidR="00357A70" w:rsidRPr="00C276FA" w:rsidRDefault="00357A70" w:rsidP="00125B81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95.0%</w:t>
            </w:r>
          </w:p>
        </w:tc>
      </w:tr>
      <w:tr w:rsidR="00357A70" w:rsidRPr="00C276FA" w14:paraId="664CC056" w14:textId="77777777" w:rsidTr="00125B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AE32FF" w14:textId="77777777" w:rsidR="00357A70" w:rsidRDefault="00357A70" w:rsidP="00125B81">
            <w:pPr>
              <w:spacing w:before="6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</w:t>
            </w:r>
          </w:p>
        </w:tc>
        <w:tc>
          <w:tcPr>
            <w:tcW w:w="2693" w:type="dxa"/>
          </w:tcPr>
          <w:p w14:paraId="36E7664F" w14:textId="77777777" w:rsidR="00357A70" w:rsidRPr="00C276FA" w:rsidRDefault="00357A70" w:rsidP="00125B8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100.0%</w:t>
            </w:r>
          </w:p>
        </w:tc>
      </w:tr>
      <w:tr w:rsidR="00357A70" w:rsidRPr="00C276FA" w14:paraId="1D6E492A" w14:textId="77777777" w:rsidTr="0012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97B82B4" w14:textId="77777777" w:rsidR="00357A70" w:rsidRPr="0032460D" w:rsidRDefault="00357A70" w:rsidP="00125B81">
            <w:pPr>
              <w:spacing w:before="6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10+</w:t>
            </w:r>
          </w:p>
        </w:tc>
        <w:tc>
          <w:tcPr>
            <w:tcW w:w="2693" w:type="dxa"/>
          </w:tcPr>
          <w:p w14:paraId="0251F69B" w14:textId="77777777" w:rsidR="00357A70" w:rsidRPr="0032460D" w:rsidRDefault="00357A70" w:rsidP="00125B81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100.0%</w:t>
            </w:r>
          </w:p>
        </w:tc>
      </w:tr>
    </w:tbl>
    <w:p w14:paraId="19689069" w14:textId="77777777" w:rsidR="00CB7309" w:rsidRDefault="00CB7309" w:rsidP="00CD4915">
      <w:pPr>
        <w:rPr>
          <w:rFonts w:ascii="Arial" w:hAnsi="Arial" w:cs="Arial"/>
          <w:b/>
          <w:sz w:val="18"/>
          <w:szCs w:val="18"/>
        </w:rPr>
      </w:pPr>
    </w:p>
    <w:p w14:paraId="1097F275" w14:textId="77777777" w:rsidR="00BD319D" w:rsidRDefault="00BD319D" w:rsidP="00CD4915">
      <w:pPr>
        <w:rPr>
          <w:rFonts w:ascii="Arial" w:hAnsi="Arial" w:cs="Arial"/>
          <w:b/>
          <w:sz w:val="18"/>
          <w:szCs w:val="18"/>
        </w:rPr>
      </w:pPr>
    </w:p>
    <w:p w14:paraId="5F092645" w14:textId="77777777" w:rsidR="00BD319D" w:rsidRDefault="00BD319D" w:rsidP="00051A08">
      <w:pPr>
        <w:spacing w:before="60"/>
        <w:jc w:val="center"/>
        <w:rPr>
          <w:rFonts w:ascii="Arial" w:hAnsi="Arial" w:cs="Arial"/>
          <w:b/>
          <w:szCs w:val="16"/>
        </w:rPr>
        <w:sectPr w:rsidR="00BD319D" w:rsidSect="00125B81">
          <w:pgSz w:w="11906" w:h="16838" w:code="9"/>
          <w:pgMar w:top="1418" w:right="1418" w:bottom="1418" w:left="1418" w:header="567" w:footer="624" w:gutter="0"/>
          <w:cols w:space="708"/>
          <w:docGrid w:linePitch="360"/>
        </w:sectPr>
      </w:pPr>
    </w:p>
    <w:tbl>
      <w:tblPr>
        <w:tblStyle w:val="Finance1"/>
        <w:tblpPr w:leftFromText="180" w:rightFromText="180" w:vertAnchor="text" w:horzAnchor="margin" w:tblpXSpec="center" w:tblpY="722"/>
        <w:tblW w:w="15884" w:type="dxa"/>
        <w:tblLayout w:type="fixed"/>
        <w:tblLook w:val="04A0" w:firstRow="1" w:lastRow="0" w:firstColumn="1" w:lastColumn="0" w:noHBand="0" w:noVBand="1"/>
      </w:tblPr>
      <w:tblGrid>
        <w:gridCol w:w="843"/>
        <w:gridCol w:w="716"/>
        <w:gridCol w:w="716"/>
        <w:gridCol w:w="716"/>
        <w:gridCol w:w="716"/>
        <w:gridCol w:w="717"/>
        <w:gridCol w:w="716"/>
        <w:gridCol w:w="716"/>
        <w:gridCol w:w="716"/>
        <w:gridCol w:w="717"/>
        <w:gridCol w:w="716"/>
        <w:gridCol w:w="716"/>
        <w:gridCol w:w="716"/>
        <w:gridCol w:w="717"/>
        <w:gridCol w:w="716"/>
        <w:gridCol w:w="716"/>
        <w:gridCol w:w="716"/>
        <w:gridCol w:w="717"/>
        <w:gridCol w:w="716"/>
        <w:gridCol w:w="716"/>
        <w:gridCol w:w="716"/>
        <w:gridCol w:w="717"/>
      </w:tblGrid>
      <w:tr w:rsidR="00051A08" w:rsidRPr="00C77DB1" w14:paraId="389DFED7" w14:textId="77777777" w:rsidTr="00051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right w:val="single" w:sz="4" w:space="0" w:color="auto"/>
            </w:tcBorders>
            <w:shd w:val="clear" w:color="auto" w:fill="1C1C1C" w:themeFill="text2"/>
          </w:tcPr>
          <w:p w14:paraId="3F08BF4C" w14:textId="77777777" w:rsidR="00051A08" w:rsidRPr="0032460D" w:rsidRDefault="00051A08" w:rsidP="00051A08">
            <w:pPr>
              <w:spacing w:before="60"/>
              <w:jc w:val="center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Salary Growth Rate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4D9FA40B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1.00%</w:t>
            </w:r>
          </w:p>
        </w:tc>
        <w:tc>
          <w:tcPr>
            <w:tcW w:w="716" w:type="dxa"/>
          </w:tcPr>
          <w:p w14:paraId="0065273F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1.25%</w:t>
            </w:r>
          </w:p>
        </w:tc>
        <w:tc>
          <w:tcPr>
            <w:tcW w:w="716" w:type="dxa"/>
          </w:tcPr>
          <w:p w14:paraId="439F48EB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1.50%</w:t>
            </w:r>
          </w:p>
        </w:tc>
        <w:tc>
          <w:tcPr>
            <w:tcW w:w="716" w:type="dxa"/>
          </w:tcPr>
          <w:p w14:paraId="50BD3F94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1.75%</w:t>
            </w:r>
          </w:p>
        </w:tc>
        <w:tc>
          <w:tcPr>
            <w:tcW w:w="717" w:type="dxa"/>
          </w:tcPr>
          <w:p w14:paraId="073D01B0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2.00%</w:t>
            </w:r>
          </w:p>
        </w:tc>
        <w:tc>
          <w:tcPr>
            <w:tcW w:w="716" w:type="dxa"/>
          </w:tcPr>
          <w:p w14:paraId="4A766626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2.25%</w:t>
            </w:r>
          </w:p>
        </w:tc>
        <w:tc>
          <w:tcPr>
            <w:tcW w:w="716" w:type="dxa"/>
          </w:tcPr>
          <w:p w14:paraId="3B3995E6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2.50%</w:t>
            </w:r>
          </w:p>
        </w:tc>
        <w:tc>
          <w:tcPr>
            <w:tcW w:w="716" w:type="dxa"/>
          </w:tcPr>
          <w:p w14:paraId="2B386715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2.75%</w:t>
            </w:r>
          </w:p>
        </w:tc>
        <w:tc>
          <w:tcPr>
            <w:tcW w:w="717" w:type="dxa"/>
          </w:tcPr>
          <w:p w14:paraId="2DD751E5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3.00%</w:t>
            </w:r>
          </w:p>
        </w:tc>
        <w:tc>
          <w:tcPr>
            <w:tcW w:w="716" w:type="dxa"/>
          </w:tcPr>
          <w:p w14:paraId="386D79AF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3.25%</w:t>
            </w:r>
          </w:p>
        </w:tc>
        <w:tc>
          <w:tcPr>
            <w:tcW w:w="716" w:type="dxa"/>
          </w:tcPr>
          <w:p w14:paraId="5AE210F4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3.50%</w:t>
            </w:r>
          </w:p>
        </w:tc>
        <w:tc>
          <w:tcPr>
            <w:tcW w:w="716" w:type="dxa"/>
          </w:tcPr>
          <w:p w14:paraId="2DB14D70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3.75%</w:t>
            </w:r>
          </w:p>
        </w:tc>
        <w:tc>
          <w:tcPr>
            <w:tcW w:w="717" w:type="dxa"/>
          </w:tcPr>
          <w:p w14:paraId="05F491A4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4.00%</w:t>
            </w:r>
          </w:p>
        </w:tc>
        <w:tc>
          <w:tcPr>
            <w:tcW w:w="716" w:type="dxa"/>
          </w:tcPr>
          <w:p w14:paraId="1283ECCA" w14:textId="77777777" w:rsidR="00051A08" w:rsidRPr="0032460D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4.25%</w:t>
            </w:r>
          </w:p>
        </w:tc>
        <w:tc>
          <w:tcPr>
            <w:tcW w:w="716" w:type="dxa"/>
          </w:tcPr>
          <w:p w14:paraId="6A1FBB4D" w14:textId="77777777" w:rsidR="00051A08" w:rsidRPr="00C77DB1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77DB1">
              <w:rPr>
                <w:rFonts w:ascii="Arial" w:hAnsi="Arial" w:cs="Arial"/>
                <w:szCs w:val="16"/>
              </w:rPr>
              <w:t>4.50%</w:t>
            </w:r>
          </w:p>
        </w:tc>
        <w:tc>
          <w:tcPr>
            <w:tcW w:w="716" w:type="dxa"/>
          </w:tcPr>
          <w:p w14:paraId="5E616278" w14:textId="77777777" w:rsidR="00051A08" w:rsidRPr="00C77DB1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77DB1">
              <w:rPr>
                <w:rFonts w:ascii="Arial" w:hAnsi="Arial" w:cs="Arial"/>
                <w:szCs w:val="16"/>
              </w:rPr>
              <w:t>4.75%</w:t>
            </w:r>
          </w:p>
        </w:tc>
        <w:tc>
          <w:tcPr>
            <w:tcW w:w="717" w:type="dxa"/>
          </w:tcPr>
          <w:p w14:paraId="590B8C34" w14:textId="77777777" w:rsidR="00051A08" w:rsidRPr="00C77DB1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77DB1">
              <w:rPr>
                <w:rFonts w:ascii="Arial" w:hAnsi="Arial" w:cs="Arial"/>
                <w:szCs w:val="16"/>
              </w:rPr>
              <w:t>5.00%</w:t>
            </w:r>
          </w:p>
        </w:tc>
        <w:tc>
          <w:tcPr>
            <w:tcW w:w="716" w:type="dxa"/>
          </w:tcPr>
          <w:p w14:paraId="2B0E9556" w14:textId="77777777" w:rsidR="00051A08" w:rsidRPr="00C77DB1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E32BD">
              <w:t>5.25%</w:t>
            </w:r>
          </w:p>
        </w:tc>
        <w:tc>
          <w:tcPr>
            <w:tcW w:w="716" w:type="dxa"/>
          </w:tcPr>
          <w:p w14:paraId="6983D40A" w14:textId="77777777" w:rsidR="00051A08" w:rsidRPr="00C77DB1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E32BD">
              <w:t>5.50%</w:t>
            </w:r>
          </w:p>
        </w:tc>
        <w:tc>
          <w:tcPr>
            <w:tcW w:w="716" w:type="dxa"/>
          </w:tcPr>
          <w:p w14:paraId="016A6EA2" w14:textId="77777777" w:rsidR="00051A08" w:rsidRPr="00C77DB1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E32BD">
              <w:t>5.75%</w:t>
            </w:r>
          </w:p>
        </w:tc>
        <w:tc>
          <w:tcPr>
            <w:tcW w:w="717" w:type="dxa"/>
          </w:tcPr>
          <w:p w14:paraId="6B22FF03" w14:textId="77777777" w:rsidR="00051A08" w:rsidRPr="00C77DB1" w:rsidRDefault="00051A08" w:rsidP="00051A0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E32BD">
              <w:t>6.00%</w:t>
            </w:r>
          </w:p>
        </w:tc>
      </w:tr>
      <w:tr w:rsidR="00051A08" w:rsidRPr="0032460D" w14:paraId="21308536" w14:textId="77777777" w:rsidTr="00051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204660F0" w14:textId="77777777" w:rsidR="00051A08" w:rsidRPr="0032460D" w:rsidRDefault="00051A08" w:rsidP="00051A08">
            <w:pPr>
              <w:spacing w:before="60"/>
              <w:jc w:val="center"/>
              <w:rPr>
                <w:rFonts w:ascii="Arial" w:hAnsi="Arial" w:cs="Arial"/>
                <w:b/>
                <w:szCs w:val="16"/>
              </w:rPr>
            </w:pPr>
            <w:r w:rsidRPr="0032460D">
              <w:rPr>
                <w:rFonts w:ascii="Arial" w:hAnsi="Arial" w:cs="Arial"/>
                <w:b/>
                <w:szCs w:val="16"/>
              </w:rPr>
              <w:t>1.00%</w:t>
            </w:r>
          </w:p>
        </w:tc>
        <w:tc>
          <w:tcPr>
            <w:tcW w:w="716" w:type="dxa"/>
          </w:tcPr>
          <w:p w14:paraId="4701A111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100.0%</w:t>
            </w:r>
          </w:p>
        </w:tc>
        <w:tc>
          <w:tcPr>
            <w:tcW w:w="716" w:type="dxa"/>
          </w:tcPr>
          <w:p w14:paraId="248CE6C3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98.1%</w:t>
            </w:r>
          </w:p>
        </w:tc>
        <w:tc>
          <w:tcPr>
            <w:tcW w:w="716" w:type="dxa"/>
          </w:tcPr>
          <w:p w14:paraId="4C7D9BA9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96.2%</w:t>
            </w:r>
          </w:p>
        </w:tc>
        <w:tc>
          <w:tcPr>
            <w:tcW w:w="716" w:type="dxa"/>
          </w:tcPr>
          <w:p w14:paraId="09C96D8D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94.4%</w:t>
            </w:r>
          </w:p>
        </w:tc>
        <w:tc>
          <w:tcPr>
            <w:tcW w:w="717" w:type="dxa"/>
          </w:tcPr>
          <w:p w14:paraId="0F7C74D2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92.7%</w:t>
            </w:r>
          </w:p>
        </w:tc>
        <w:tc>
          <w:tcPr>
            <w:tcW w:w="716" w:type="dxa"/>
          </w:tcPr>
          <w:p w14:paraId="349A516A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91.0%</w:t>
            </w:r>
          </w:p>
        </w:tc>
        <w:tc>
          <w:tcPr>
            <w:tcW w:w="716" w:type="dxa"/>
          </w:tcPr>
          <w:p w14:paraId="1F322108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89.3%</w:t>
            </w:r>
          </w:p>
        </w:tc>
        <w:tc>
          <w:tcPr>
            <w:tcW w:w="716" w:type="dxa"/>
          </w:tcPr>
          <w:p w14:paraId="6129FB5B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87.8%</w:t>
            </w:r>
          </w:p>
        </w:tc>
        <w:tc>
          <w:tcPr>
            <w:tcW w:w="717" w:type="dxa"/>
          </w:tcPr>
          <w:p w14:paraId="229CCEE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86.3%</w:t>
            </w:r>
          </w:p>
        </w:tc>
        <w:tc>
          <w:tcPr>
            <w:tcW w:w="716" w:type="dxa"/>
          </w:tcPr>
          <w:p w14:paraId="74B9CBD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84.8%</w:t>
            </w:r>
          </w:p>
        </w:tc>
        <w:tc>
          <w:tcPr>
            <w:tcW w:w="716" w:type="dxa"/>
          </w:tcPr>
          <w:p w14:paraId="16CD7D67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83.4%</w:t>
            </w:r>
          </w:p>
        </w:tc>
        <w:tc>
          <w:tcPr>
            <w:tcW w:w="716" w:type="dxa"/>
          </w:tcPr>
          <w:p w14:paraId="645095C8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82.0%</w:t>
            </w:r>
          </w:p>
        </w:tc>
        <w:tc>
          <w:tcPr>
            <w:tcW w:w="717" w:type="dxa"/>
          </w:tcPr>
          <w:p w14:paraId="028F10CC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80.6%</w:t>
            </w:r>
          </w:p>
        </w:tc>
        <w:tc>
          <w:tcPr>
            <w:tcW w:w="716" w:type="dxa"/>
          </w:tcPr>
          <w:p w14:paraId="45840E3E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79.3%</w:t>
            </w:r>
          </w:p>
        </w:tc>
        <w:tc>
          <w:tcPr>
            <w:tcW w:w="716" w:type="dxa"/>
          </w:tcPr>
          <w:p w14:paraId="762339D6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78.1%</w:t>
            </w:r>
          </w:p>
        </w:tc>
        <w:tc>
          <w:tcPr>
            <w:tcW w:w="716" w:type="dxa"/>
          </w:tcPr>
          <w:p w14:paraId="406ECB5E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76.9%</w:t>
            </w:r>
          </w:p>
        </w:tc>
        <w:tc>
          <w:tcPr>
            <w:tcW w:w="717" w:type="dxa"/>
          </w:tcPr>
          <w:p w14:paraId="757C9C1A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75.7%</w:t>
            </w:r>
          </w:p>
        </w:tc>
        <w:tc>
          <w:tcPr>
            <w:tcW w:w="716" w:type="dxa"/>
          </w:tcPr>
          <w:p w14:paraId="487D922C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74.5%</w:t>
            </w:r>
          </w:p>
        </w:tc>
        <w:tc>
          <w:tcPr>
            <w:tcW w:w="716" w:type="dxa"/>
          </w:tcPr>
          <w:p w14:paraId="145D7E39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73.3%</w:t>
            </w:r>
          </w:p>
        </w:tc>
        <w:tc>
          <w:tcPr>
            <w:tcW w:w="716" w:type="dxa"/>
          </w:tcPr>
          <w:p w14:paraId="61C01B2F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72.1%</w:t>
            </w:r>
          </w:p>
        </w:tc>
        <w:tc>
          <w:tcPr>
            <w:tcW w:w="717" w:type="dxa"/>
          </w:tcPr>
          <w:p w14:paraId="21DFC90C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70.9%</w:t>
            </w:r>
          </w:p>
        </w:tc>
      </w:tr>
      <w:tr w:rsidR="00051A08" w:rsidRPr="0032460D" w14:paraId="39C53D0D" w14:textId="77777777" w:rsidTr="00051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5D7336C4" w14:textId="77777777" w:rsidR="00051A08" w:rsidRPr="0032460D" w:rsidRDefault="00051A08" w:rsidP="00051A08">
            <w:pPr>
              <w:spacing w:before="60"/>
              <w:jc w:val="center"/>
              <w:rPr>
                <w:rFonts w:ascii="Arial" w:hAnsi="Arial" w:cs="Arial"/>
                <w:b/>
                <w:szCs w:val="16"/>
              </w:rPr>
            </w:pPr>
            <w:r w:rsidRPr="0032460D">
              <w:rPr>
                <w:rFonts w:ascii="Arial" w:hAnsi="Arial" w:cs="Arial"/>
                <w:b/>
                <w:szCs w:val="16"/>
              </w:rPr>
              <w:t>1.50%</w:t>
            </w:r>
          </w:p>
        </w:tc>
        <w:tc>
          <w:tcPr>
            <w:tcW w:w="716" w:type="dxa"/>
          </w:tcPr>
          <w:p w14:paraId="2808E85A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104.1%</w:t>
            </w:r>
          </w:p>
        </w:tc>
        <w:tc>
          <w:tcPr>
            <w:tcW w:w="716" w:type="dxa"/>
          </w:tcPr>
          <w:p w14:paraId="78C694CA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102.0%</w:t>
            </w:r>
          </w:p>
        </w:tc>
        <w:tc>
          <w:tcPr>
            <w:tcW w:w="716" w:type="dxa"/>
          </w:tcPr>
          <w:p w14:paraId="75471040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100.0%</w:t>
            </w:r>
          </w:p>
        </w:tc>
        <w:tc>
          <w:tcPr>
            <w:tcW w:w="716" w:type="dxa"/>
          </w:tcPr>
          <w:p w14:paraId="424765A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98.1%</w:t>
            </w:r>
          </w:p>
        </w:tc>
        <w:tc>
          <w:tcPr>
            <w:tcW w:w="717" w:type="dxa"/>
          </w:tcPr>
          <w:p w14:paraId="4813A1FE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96.2%</w:t>
            </w:r>
          </w:p>
        </w:tc>
        <w:tc>
          <w:tcPr>
            <w:tcW w:w="716" w:type="dxa"/>
          </w:tcPr>
          <w:p w14:paraId="343A5D73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94.4%</w:t>
            </w:r>
          </w:p>
        </w:tc>
        <w:tc>
          <w:tcPr>
            <w:tcW w:w="716" w:type="dxa"/>
          </w:tcPr>
          <w:p w14:paraId="3E1FC5E4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92.7%</w:t>
            </w:r>
          </w:p>
        </w:tc>
        <w:tc>
          <w:tcPr>
            <w:tcW w:w="716" w:type="dxa"/>
          </w:tcPr>
          <w:p w14:paraId="63F78FBF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91.0%</w:t>
            </w:r>
          </w:p>
        </w:tc>
        <w:tc>
          <w:tcPr>
            <w:tcW w:w="717" w:type="dxa"/>
          </w:tcPr>
          <w:p w14:paraId="2B527D03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89.4%</w:t>
            </w:r>
          </w:p>
        </w:tc>
        <w:tc>
          <w:tcPr>
            <w:tcW w:w="716" w:type="dxa"/>
          </w:tcPr>
          <w:p w14:paraId="1692A1C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87.8%</w:t>
            </w:r>
          </w:p>
        </w:tc>
        <w:tc>
          <w:tcPr>
            <w:tcW w:w="716" w:type="dxa"/>
          </w:tcPr>
          <w:p w14:paraId="1254FFED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86.3%</w:t>
            </w:r>
          </w:p>
        </w:tc>
        <w:tc>
          <w:tcPr>
            <w:tcW w:w="716" w:type="dxa"/>
          </w:tcPr>
          <w:p w14:paraId="61EAD62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84.8%</w:t>
            </w:r>
          </w:p>
        </w:tc>
        <w:tc>
          <w:tcPr>
            <w:tcW w:w="717" w:type="dxa"/>
          </w:tcPr>
          <w:p w14:paraId="092672B5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83.4%</w:t>
            </w:r>
          </w:p>
        </w:tc>
        <w:tc>
          <w:tcPr>
            <w:tcW w:w="716" w:type="dxa"/>
          </w:tcPr>
          <w:p w14:paraId="230B49BF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82.0%</w:t>
            </w:r>
          </w:p>
        </w:tc>
        <w:tc>
          <w:tcPr>
            <w:tcW w:w="716" w:type="dxa"/>
          </w:tcPr>
          <w:p w14:paraId="0318DC83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80.7%</w:t>
            </w:r>
          </w:p>
        </w:tc>
        <w:tc>
          <w:tcPr>
            <w:tcW w:w="716" w:type="dxa"/>
          </w:tcPr>
          <w:p w14:paraId="6BD042F0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79.4%</w:t>
            </w:r>
          </w:p>
        </w:tc>
        <w:tc>
          <w:tcPr>
            <w:tcW w:w="717" w:type="dxa"/>
          </w:tcPr>
          <w:p w14:paraId="2FA4D79E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78.2%</w:t>
            </w:r>
          </w:p>
        </w:tc>
        <w:tc>
          <w:tcPr>
            <w:tcW w:w="716" w:type="dxa"/>
          </w:tcPr>
          <w:p w14:paraId="61F09E7D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76.9%</w:t>
            </w:r>
          </w:p>
        </w:tc>
        <w:tc>
          <w:tcPr>
            <w:tcW w:w="716" w:type="dxa"/>
          </w:tcPr>
          <w:p w14:paraId="66FD164C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75.7%</w:t>
            </w:r>
          </w:p>
        </w:tc>
        <w:tc>
          <w:tcPr>
            <w:tcW w:w="716" w:type="dxa"/>
          </w:tcPr>
          <w:p w14:paraId="164D493D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74.5%</w:t>
            </w:r>
          </w:p>
        </w:tc>
        <w:tc>
          <w:tcPr>
            <w:tcW w:w="717" w:type="dxa"/>
          </w:tcPr>
          <w:p w14:paraId="2DFF64A8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73.3%</w:t>
            </w:r>
          </w:p>
        </w:tc>
      </w:tr>
      <w:tr w:rsidR="00051A08" w:rsidRPr="0032460D" w14:paraId="715781B8" w14:textId="77777777" w:rsidTr="00051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5EC3E227" w14:textId="77777777" w:rsidR="00051A08" w:rsidRPr="0032460D" w:rsidRDefault="00051A08" w:rsidP="00051A08">
            <w:pPr>
              <w:spacing w:before="60"/>
              <w:jc w:val="center"/>
              <w:rPr>
                <w:rFonts w:ascii="Arial" w:hAnsi="Arial" w:cs="Arial"/>
                <w:b/>
                <w:szCs w:val="16"/>
              </w:rPr>
            </w:pPr>
            <w:r w:rsidRPr="0032460D">
              <w:rPr>
                <w:rFonts w:ascii="Arial" w:hAnsi="Arial" w:cs="Arial"/>
                <w:b/>
                <w:szCs w:val="16"/>
              </w:rPr>
              <w:t>2.00%</w:t>
            </w:r>
          </w:p>
        </w:tc>
        <w:tc>
          <w:tcPr>
            <w:tcW w:w="716" w:type="dxa"/>
          </w:tcPr>
          <w:p w14:paraId="1BC7E87B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108.5%</w:t>
            </w:r>
          </w:p>
        </w:tc>
        <w:tc>
          <w:tcPr>
            <w:tcW w:w="716" w:type="dxa"/>
          </w:tcPr>
          <w:p w14:paraId="5F2E8941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106.2%</w:t>
            </w:r>
          </w:p>
        </w:tc>
        <w:tc>
          <w:tcPr>
            <w:tcW w:w="716" w:type="dxa"/>
          </w:tcPr>
          <w:p w14:paraId="175462E6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104.1%</w:t>
            </w:r>
          </w:p>
        </w:tc>
        <w:tc>
          <w:tcPr>
            <w:tcW w:w="716" w:type="dxa"/>
          </w:tcPr>
          <w:p w14:paraId="1B62D4B1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102.0%</w:t>
            </w:r>
          </w:p>
        </w:tc>
        <w:tc>
          <w:tcPr>
            <w:tcW w:w="717" w:type="dxa"/>
          </w:tcPr>
          <w:p w14:paraId="39865A8D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100.0%</w:t>
            </w:r>
          </w:p>
        </w:tc>
        <w:tc>
          <w:tcPr>
            <w:tcW w:w="716" w:type="dxa"/>
          </w:tcPr>
          <w:p w14:paraId="724C9B4D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98.1%</w:t>
            </w:r>
          </w:p>
        </w:tc>
        <w:tc>
          <w:tcPr>
            <w:tcW w:w="716" w:type="dxa"/>
          </w:tcPr>
          <w:p w14:paraId="7FEECF22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96.3%</w:t>
            </w:r>
          </w:p>
        </w:tc>
        <w:tc>
          <w:tcPr>
            <w:tcW w:w="716" w:type="dxa"/>
          </w:tcPr>
          <w:p w14:paraId="078D366E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94.5%</w:t>
            </w:r>
          </w:p>
        </w:tc>
        <w:tc>
          <w:tcPr>
            <w:tcW w:w="717" w:type="dxa"/>
          </w:tcPr>
          <w:p w14:paraId="4F6DBCCD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92.7%</w:t>
            </w:r>
          </w:p>
        </w:tc>
        <w:tc>
          <w:tcPr>
            <w:tcW w:w="716" w:type="dxa"/>
          </w:tcPr>
          <w:p w14:paraId="3FF0F012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91.1%</w:t>
            </w:r>
          </w:p>
        </w:tc>
        <w:tc>
          <w:tcPr>
            <w:tcW w:w="716" w:type="dxa"/>
          </w:tcPr>
          <w:p w14:paraId="1936B616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89.4%</w:t>
            </w:r>
          </w:p>
        </w:tc>
        <w:tc>
          <w:tcPr>
            <w:tcW w:w="716" w:type="dxa"/>
          </w:tcPr>
          <w:p w14:paraId="62F431C6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87.9%</w:t>
            </w:r>
          </w:p>
        </w:tc>
        <w:tc>
          <w:tcPr>
            <w:tcW w:w="717" w:type="dxa"/>
          </w:tcPr>
          <w:p w14:paraId="4D265338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86.4%</w:t>
            </w:r>
          </w:p>
        </w:tc>
        <w:tc>
          <w:tcPr>
            <w:tcW w:w="716" w:type="dxa"/>
          </w:tcPr>
          <w:p w14:paraId="52536076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84.9%</w:t>
            </w:r>
          </w:p>
        </w:tc>
        <w:tc>
          <w:tcPr>
            <w:tcW w:w="716" w:type="dxa"/>
          </w:tcPr>
          <w:p w14:paraId="63A875E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83.5%</w:t>
            </w:r>
          </w:p>
        </w:tc>
        <w:tc>
          <w:tcPr>
            <w:tcW w:w="716" w:type="dxa"/>
          </w:tcPr>
          <w:p w14:paraId="50BFA2AA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82.1%</w:t>
            </w:r>
          </w:p>
        </w:tc>
        <w:tc>
          <w:tcPr>
            <w:tcW w:w="717" w:type="dxa"/>
          </w:tcPr>
          <w:p w14:paraId="62D030BE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80.8%</w:t>
            </w:r>
          </w:p>
        </w:tc>
        <w:tc>
          <w:tcPr>
            <w:tcW w:w="716" w:type="dxa"/>
          </w:tcPr>
          <w:p w14:paraId="67EAD2D2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79.4%</w:t>
            </w:r>
          </w:p>
        </w:tc>
        <w:tc>
          <w:tcPr>
            <w:tcW w:w="716" w:type="dxa"/>
          </w:tcPr>
          <w:p w14:paraId="36A6AE69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78.2%</w:t>
            </w:r>
          </w:p>
        </w:tc>
        <w:tc>
          <w:tcPr>
            <w:tcW w:w="716" w:type="dxa"/>
          </w:tcPr>
          <w:p w14:paraId="337DD01B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76.9%</w:t>
            </w:r>
          </w:p>
        </w:tc>
        <w:tc>
          <w:tcPr>
            <w:tcW w:w="717" w:type="dxa"/>
          </w:tcPr>
          <w:p w14:paraId="7CA56D1A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75.7%</w:t>
            </w:r>
          </w:p>
        </w:tc>
      </w:tr>
      <w:tr w:rsidR="00051A08" w:rsidRPr="0032460D" w14:paraId="7E565AAB" w14:textId="77777777" w:rsidTr="00051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451852AD" w14:textId="77777777" w:rsidR="00051A08" w:rsidRPr="0032460D" w:rsidRDefault="00051A08" w:rsidP="00051A08">
            <w:pPr>
              <w:spacing w:before="60"/>
              <w:jc w:val="center"/>
              <w:rPr>
                <w:rFonts w:ascii="Arial" w:hAnsi="Arial" w:cs="Arial"/>
                <w:b/>
                <w:szCs w:val="16"/>
              </w:rPr>
            </w:pPr>
            <w:r w:rsidRPr="0032460D">
              <w:rPr>
                <w:rFonts w:ascii="Arial" w:hAnsi="Arial" w:cs="Arial"/>
                <w:b/>
                <w:szCs w:val="16"/>
              </w:rPr>
              <w:t>2.50%</w:t>
            </w:r>
          </w:p>
        </w:tc>
        <w:tc>
          <w:tcPr>
            <w:tcW w:w="716" w:type="dxa"/>
          </w:tcPr>
          <w:p w14:paraId="512880CD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113.1%</w:t>
            </w:r>
          </w:p>
        </w:tc>
        <w:tc>
          <w:tcPr>
            <w:tcW w:w="716" w:type="dxa"/>
          </w:tcPr>
          <w:p w14:paraId="19E21D0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110.7%</w:t>
            </w:r>
          </w:p>
        </w:tc>
        <w:tc>
          <w:tcPr>
            <w:tcW w:w="716" w:type="dxa"/>
          </w:tcPr>
          <w:p w14:paraId="1280663E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108.4%</w:t>
            </w:r>
          </w:p>
        </w:tc>
        <w:tc>
          <w:tcPr>
            <w:tcW w:w="716" w:type="dxa"/>
          </w:tcPr>
          <w:p w14:paraId="62DF240D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106.2%</w:t>
            </w:r>
          </w:p>
        </w:tc>
        <w:tc>
          <w:tcPr>
            <w:tcW w:w="717" w:type="dxa"/>
          </w:tcPr>
          <w:p w14:paraId="2576E429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104.1%</w:t>
            </w:r>
          </w:p>
        </w:tc>
        <w:tc>
          <w:tcPr>
            <w:tcW w:w="716" w:type="dxa"/>
          </w:tcPr>
          <w:p w14:paraId="5D1BBFC6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102.0%</w:t>
            </w:r>
          </w:p>
        </w:tc>
        <w:tc>
          <w:tcPr>
            <w:tcW w:w="716" w:type="dxa"/>
          </w:tcPr>
          <w:p w14:paraId="0C9908B1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100.0%</w:t>
            </w:r>
          </w:p>
        </w:tc>
        <w:tc>
          <w:tcPr>
            <w:tcW w:w="716" w:type="dxa"/>
          </w:tcPr>
          <w:p w14:paraId="65EF2825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98.1%</w:t>
            </w:r>
          </w:p>
        </w:tc>
        <w:tc>
          <w:tcPr>
            <w:tcW w:w="717" w:type="dxa"/>
          </w:tcPr>
          <w:p w14:paraId="22E3F5F9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96.3%</w:t>
            </w:r>
          </w:p>
        </w:tc>
        <w:tc>
          <w:tcPr>
            <w:tcW w:w="716" w:type="dxa"/>
          </w:tcPr>
          <w:p w14:paraId="1E6025D4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94.5%</w:t>
            </w:r>
          </w:p>
        </w:tc>
        <w:tc>
          <w:tcPr>
            <w:tcW w:w="716" w:type="dxa"/>
          </w:tcPr>
          <w:p w14:paraId="6997FDB8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92.8%</w:t>
            </w:r>
          </w:p>
        </w:tc>
        <w:tc>
          <w:tcPr>
            <w:tcW w:w="716" w:type="dxa"/>
          </w:tcPr>
          <w:p w14:paraId="06ED7588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91.1%</w:t>
            </w:r>
          </w:p>
        </w:tc>
        <w:tc>
          <w:tcPr>
            <w:tcW w:w="717" w:type="dxa"/>
          </w:tcPr>
          <w:p w14:paraId="5EC29548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89.5%</w:t>
            </w:r>
          </w:p>
        </w:tc>
        <w:tc>
          <w:tcPr>
            <w:tcW w:w="716" w:type="dxa"/>
          </w:tcPr>
          <w:p w14:paraId="69E5D1CE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87.9%</w:t>
            </w:r>
          </w:p>
        </w:tc>
        <w:tc>
          <w:tcPr>
            <w:tcW w:w="716" w:type="dxa"/>
          </w:tcPr>
          <w:p w14:paraId="30AEC632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86.4%</w:t>
            </w:r>
          </w:p>
        </w:tc>
        <w:tc>
          <w:tcPr>
            <w:tcW w:w="716" w:type="dxa"/>
          </w:tcPr>
          <w:p w14:paraId="3BF63765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85.0%</w:t>
            </w:r>
          </w:p>
        </w:tc>
        <w:tc>
          <w:tcPr>
            <w:tcW w:w="717" w:type="dxa"/>
          </w:tcPr>
          <w:p w14:paraId="6FB7DF40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83.6%</w:t>
            </w:r>
          </w:p>
        </w:tc>
        <w:tc>
          <w:tcPr>
            <w:tcW w:w="716" w:type="dxa"/>
          </w:tcPr>
          <w:p w14:paraId="7BFC97FA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82.1%</w:t>
            </w:r>
          </w:p>
        </w:tc>
        <w:tc>
          <w:tcPr>
            <w:tcW w:w="716" w:type="dxa"/>
          </w:tcPr>
          <w:p w14:paraId="245F4A3B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80.8%</w:t>
            </w:r>
          </w:p>
        </w:tc>
        <w:tc>
          <w:tcPr>
            <w:tcW w:w="716" w:type="dxa"/>
          </w:tcPr>
          <w:p w14:paraId="76AF8F60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79.4%</w:t>
            </w:r>
          </w:p>
        </w:tc>
        <w:tc>
          <w:tcPr>
            <w:tcW w:w="717" w:type="dxa"/>
          </w:tcPr>
          <w:p w14:paraId="481C3CD4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78.2%</w:t>
            </w:r>
          </w:p>
        </w:tc>
      </w:tr>
      <w:tr w:rsidR="00051A08" w:rsidRPr="0032460D" w14:paraId="433355D7" w14:textId="77777777" w:rsidTr="00051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51E1412A" w14:textId="77777777" w:rsidR="00051A08" w:rsidRPr="0032460D" w:rsidRDefault="00051A08" w:rsidP="00051A08">
            <w:pPr>
              <w:spacing w:before="60"/>
              <w:jc w:val="center"/>
              <w:rPr>
                <w:rFonts w:ascii="Arial" w:hAnsi="Arial" w:cs="Arial"/>
                <w:b/>
                <w:szCs w:val="16"/>
              </w:rPr>
            </w:pPr>
            <w:r w:rsidRPr="0032460D">
              <w:rPr>
                <w:rFonts w:ascii="Arial" w:hAnsi="Arial" w:cs="Arial"/>
                <w:b/>
                <w:szCs w:val="16"/>
              </w:rPr>
              <w:t>3.00%</w:t>
            </w:r>
          </w:p>
        </w:tc>
        <w:tc>
          <w:tcPr>
            <w:tcW w:w="716" w:type="dxa"/>
          </w:tcPr>
          <w:p w14:paraId="498DC997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118.1%</w:t>
            </w:r>
          </w:p>
        </w:tc>
        <w:tc>
          <w:tcPr>
            <w:tcW w:w="716" w:type="dxa"/>
          </w:tcPr>
          <w:p w14:paraId="5F7B7DD2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115.5%</w:t>
            </w:r>
          </w:p>
        </w:tc>
        <w:tc>
          <w:tcPr>
            <w:tcW w:w="716" w:type="dxa"/>
          </w:tcPr>
          <w:p w14:paraId="1F96C492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113.1%</w:t>
            </w:r>
          </w:p>
        </w:tc>
        <w:tc>
          <w:tcPr>
            <w:tcW w:w="716" w:type="dxa"/>
          </w:tcPr>
          <w:p w14:paraId="75FFE25D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110.7%</w:t>
            </w:r>
          </w:p>
        </w:tc>
        <w:tc>
          <w:tcPr>
            <w:tcW w:w="717" w:type="dxa"/>
          </w:tcPr>
          <w:p w14:paraId="749BF501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108.4%</w:t>
            </w:r>
          </w:p>
        </w:tc>
        <w:tc>
          <w:tcPr>
            <w:tcW w:w="716" w:type="dxa"/>
          </w:tcPr>
          <w:p w14:paraId="1E1324DF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106.2%</w:t>
            </w:r>
          </w:p>
        </w:tc>
        <w:tc>
          <w:tcPr>
            <w:tcW w:w="716" w:type="dxa"/>
          </w:tcPr>
          <w:p w14:paraId="5F7A3C1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104.1%</w:t>
            </w:r>
          </w:p>
        </w:tc>
        <w:tc>
          <w:tcPr>
            <w:tcW w:w="716" w:type="dxa"/>
          </w:tcPr>
          <w:p w14:paraId="6F5FA687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102.0%</w:t>
            </w:r>
          </w:p>
        </w:tc>
        <w:tc>
          <w:tcPr>
            <w:tcW w:w="717" w:type="dxa"/>
          </w:tcPr>
          <w:p w14:paraId="43846C06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100.0%</w:t>
            </w:r>
          </w:p>
        </w:tc>
        <w:tc>
          <w:tcPr>
            <w:tcW w:w="716" w:type="dxa"/>
          </w:tcPr>
          <w:p w14:paraId="4A30FA12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98.1%</w:t>
            </w:r>
          </w:p>
        </w:tc>
        <w:tc>
          <w:tcPr>
            <w:tcW w:w="716" w:type="dxa"/>
          </w:tcPr>
          <w:p w14:paraId="53F660DA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96.3%</w:t>
            </w:r>
          </w:p>
        </w:tc>
        <w:tc>
          <w:tcPr>
            <w:tcW w:w="716" w:type="dxa"/>
          </w:tcPr>
          <w:p w14:paraId="2DEE5CA5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94.5%</w:t>
            </w:r>
          </w:p>
        </w:tc>
        <w:tc>
          <w:tcPr>
            <w:tcW w:w="717" w:type="dxa"/>
          </w:tcPr>
          <w:p w14:paraId="2C64EA6D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92.8%</w:t>
            </w:r>
          </w:p>
        </w:tc>
        <w:tc>
          <w:tcPr>
            <w:tcW w:w="716" w:type="dxa"/>
          </w:tcPr>
          <w:p w14:paraId="36823230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91.1%</w:t>
            </w:r>
          </w:p>
        </w:tc>
        <w:tc>
          <w:tcPr>
            <w:tcW w:w="716" w:type="dxa"/>
          </w:tcPr>
          <w:p w14:paraId="3BCC2611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89.5%</w:t>
            </w:r>
          </w:p>
        </w:tc>
        <w:tc>
          <w:tcPr>
            <w:tcW w:w="716" w:type="dxa"/>
          </w:tcPr>
          <w:p w14:paraId="21DD30B8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88.0%</w:t>
            </w:r>
          </w:p>
        </w:tc>
        <w:tc>
          <w:tcPr>
            <w:tcW w:w="717" w:type="dxa"/>
          </w:tcPr>
          <w:p w14:paraId="3DA2D4D1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86.5%</w:t>
            </w:r>
          </w:p>
        </w:tc>
        <w:tc>
          <w:tcPr>
            <w:tcW w:w="716" w:type="dxa"/>
          </w:tcPr>
          <w:p w14:paraId="2ACB24D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85.0%</w:t>
            </w:r>
          </w:p>
        </w:tc>
        <w:tc>
          <w:tcPr>
            <w:tcW w:w="716" w:type="dxa"/>
          </w:tcPr>
          <w:p w14:paraId="4E5096C2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83.5%</w:t>
            </w:r>
          </w:p>
        </w:tc>
        <w:tc>
          <w:tcPr>
            <w:tcW w:w="716" w:type="dxa"/>
          </w:tcPr>
          <w:p w14:paraId="04B45DBB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82.1%</w:t>
            </w:r>
          </w:p>
        </w:tc>
        <w:tc>
          <w:tcPr>
            <w:tcW w:w="717" w:type="dxa"/>
          </w:tcPr>
          <w:p w14:paraId="167C8CD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80.8%</w:t>
            </w:r>
          </w:p>
        </w:tc>
      </w:tr>
      <w:tr w:rsidR="00051A08" w:rsidRPr="0032460D" w14:paraId="41C1C4BF" w14:textId="77777777" w:rsidTr="00051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2370F51F" w14:textId="77777777" w:rsidR="00051A08" w:rsidRPr="0032460D" w:rsidRDefault="00051A08" w:rsidP="00051A08">
            <w:pPr>
              <w:spacing w:before="60"/>
              <w:jc w:val="center"/>
              <w:rPr>
                <w:rFonts w:ascii="Arial" w:hAnsi="Arial" w:cs="Arial"/>
                <w:b/>
                <w:szCs w:val="16"/>
              </w:rPr>
            </w:pPr>
            <w:r w:rsidRPr="0032460D">
              <w:rPr>
                <w:rFonts w:ascii="Arial" w:hAnsi="Arial" w:cs="Arial"/>
                <w:b/>
                <w:szCs w:val="16"/>
              </w:rPr>
              <w:t>3.50%</w:t>
            </w:r>
          </w:p>
        </w:tc>
        <w:tc>
          <w:tcPr>
            <w:tcW w:w="716" w:type="dxa"/>
          </w:tcPr>
          <w:p w14:paraId="3F785BD6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123.4%</w:t>
            </w:r>
          </w:p>
        </w:tc>
        <w:tc>
          <w:tcPr>
            <w:tcW w:w="716" w:type="dxa"/>
          </w:tcPr>
          <w:p w14:paraId="0767F5B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120.7%</w:t>
            </w:r>
          </w:p>
        </w:tc>
        <w:tc>
          <w:tcPr>
            <w:tcW w:w="716" w:type="dxa"/>
          </w:tcPr>
          <w:p w14:paraId="3A4A2035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118.0%</w:t>
            </w:r>
          </w:p>
        </w:tc>
        <w:tc>
          <w:tcPr>
            <w:tcW w:w="716" w:type="dxa"/>
          </w:tcPr>
          <w:p w14:paraId="48C269F8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115.4%</w:t>
            </w:r>
          </w:p>
        </w:tc>
        <w:tc>
          <w:tcPr>
            <w:tcW w:w="717" w:type="dxa"/>
          </w:tcPr>
          <w:p w14:paraId="65682B54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113.0%</w:t>
            </w:r>
          </w:p>
        </w:tc>
        <w:tc>
          <w:tcPr>
            <w:tcW w:w="716" w:type="dxa"/>
          </w:tcPr>
          <w:p w14:paraId="6853265B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110.6%</w:t>
            </w:r>
          </w:p>
        </w:tc>
        <w:tc>
          <w:tcPr>
            <w:tcW w:w="716" w:type="dxa"/>
          </w:tcPr>
          <w:p w14:paraId="58F3600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108.3%</w:t>
            </w:r>
          </w:p>
        </w:tc>
        <w:tc>
          <w:tcPr>
            <w:tcW w:w="716" w:type="dxa"/>
          </w:tcPr>
          <w:p w14:paraId="0BB7C6C3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106.2%</w:t>
            </w:r>
          </w:p>
        </w:tc>
        <w:tc>
          <w:tcPr>
            <w:tcW w:w="717" w:type="dxa"/>
          </w:tcPr>
          <w:p w14:paraId="2450CEA1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104.0%</w:t>
            </w:r>
          </w:p>
        </w:tc>
        <w:tc>
          <w:tcPr>
            <w:tcW w:w="716" w:type="dxa"/>
          </w:tcPr>
          <w:p w14:paraId="4B13BB46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102.0%</w:t>
            </w:r>
          </w:p>
        </w:tc>
        <w:tc>
          <w:tcPr>
            <w:tcW w:w="716" w:type="dxa"/>
          </w:tcPr>
          <w:p w14:paraId="4F043C8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100.0%</w:t>
            </w:r>
          </w:p>
        </w:tc>
        <w:tc>
          <w:tcPr>
            <w:tcW w:w="716" w:type="dxa"/>
          </w:tcPr>
          <w:p w14:paraId="7092E78C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98.1%</w:t>
            </w:r>
          </w:p>
        </w:tc>
        <w:tc>
          <w:tcPr>
            <w:tcW w:w="717" w:type="dxa"/>
          </w:tcPr>
          <w:p w14:paraId="4EC9E443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96.3%</w:t>
            </w:r>
          </w:p>
        </w:tc>
        <w:tc>
          <w:tcPr>
            <w:tcW w:w="716" w:type="dxa"/>
          </w:tcPr>
          <w:p w14:paraId="3246C8AA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94.5%</w:t>
            </w:r>
          </w:p>
        </w:tc>
        <w:tc>
          <w:tcPr>
            <w:tcW w:w="716" w:type="dxa"/>
          </w:tcPr>
          <w:p w14:paraId="608CF1EE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92.8%</w:t>
            </w:r>
          </w:p>
        </w:tc>
        <w:tc>
          <w:tcPr>
            <w:tcW w:w="716" w:type="dxa"/>
          </w:tcPr>
          <w:p w14:paraId="1A2A1EF1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91.2%</w:t>
            </w:r>
          </w:p>
        </w:tc>
        <w:tc>
          <w:tcPr>
            <w:tcW w:w="717" w:type="dxa"/>
          </w:tcPr>
          <w:p w14:paraId="5CF1B11B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89.6%</w:t>
            </w:r>
          </w:p>
        </w:tc>
        <w:tc>
          <w:tcPr>
            <w:tcW w:w="716" w:type="dxa"/>
          </w:tcPr>
          <w:p w14:paraId="3F24436F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88.0%</w:t>
            </w:r>
          </w:p>
        </w:tc>
        <w:tc>
          <w:tcPr>
            <w:tcW w:w="716" w:type="dxa"/>
          </w:tcPr>
          <w:p w14:paraId="6D3BBF01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86.5%</w:t>
            </w:r>
          </w:p>
        </w:tc>
        <w:tc>
          <w:tcPr>
            <w:tcW w:w="716" w:type="dxa"/>
          </w:tcPr>
          <w:p w14:paraId="281B86B8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85.0%</w:t>
            </w:r>
          </w:p>
        </w:tc>
        <w:tc>
          <w:tcPr>
            <w:tcW w:w="717" w:type="dxa"/>
          </w:tcPr>
          <w:p w14:paraId="430C1656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83.5%</w:t>
            </w:r>
          </w:p>
        </w:tc>
      </w:tr>
      <w:tr w:rsidR="00051A08" w:rsidRPr="0032460D" w14:paraId="0105A17C" w14:textId="77777777" w:rsidTr="00051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41A5B59E" w14:textId="77777777" w:rsidR="00051A08" w:rsidRPr="0032460D" w:rsidRDefault="00051A08" w:rsidP="00051A08">
            <w:pPr>
              <w:spacing w:before="60"/>
              <w:jc w:val="center"/>
              <w:rPr>
                <w:rFonts w:ascii="Arial" w:hAnsi="Arial" w:cs="Arial"/>
                <w:b/>
                <w:szCs w:val="16"/>
              </w:rPr>
            </w:pPr>
            <w:r w:rsidRPr="0032460D">
              <w:rPr>
                <w:rFonts w:ascii="Arial" w:hAnsi="Arial" w:cs="Arial"/>
                <w:b/>
                <w:szCs w:val="16"/>
              </w:rPr>
              <w:t>4.00%</w:t>
            </w:r>
          </w:p>
        </w:tc>
        <w:tc>
          <w:tcPr>
            <w:tcW w:w="716" w:type="dxa"/>
          </w:tcPr>
          <w:p w14:paraId="0D354D43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129.1%</w:t>
            </w:r>
          </w:p>
        </w:tc>
        <w:tc>
          <w:tcPr>
            <w:tcW w:w="716" w:type="dxa"/>
          </w:tcPr>
          <w:p w14:paraId="50E1B52B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126.2%</w:t>
            </w:r>
          </w:p>
        </w:tc>
        <w:tc>
          <w:tcPr>
            <w:tcW w:w="716" w:type="dxa"/>
          </w:tcPr>
          <w:p w14:paraId="7DF00470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123.3%</w:t>
            </w:r>
          </w:p>
        </w:tc>
        <w:tc>
          <w:tcPr>
            <w:tcW w:w="716" w:type="dxa"/>
          </w:tcPr>
          <w:p w14:paraId="7BE74A60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120.5%</w:t>
            </w:r>
          </w:p>
        </w:tc>
        <w:tc>
          <w:tcPr>
            <w:tcW w:w="717" w:type="dxa"/>
          </w:tcPr>
          <w:p w14:paraId="731D314B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117.9%</w:t>
            </w:r>
          </w:p>
        </w:tc>
        <w:tc>
          <w:tcPr>
            <w:tcW w:w="716" w:type="dxa"/>
          </w:tcPr>
          <w:p w14:paraId="41F90428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115.4%</w:t>
            </w:r>
          </w:p>
        </w:tc>
        <w:tc>
          <w:tcPr>
            <w:tcW w:w="716" w:type="dxa"/>
          </w:tcPr>
          <w:p w14:paraId="09213A6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112.9%</w:t>
            </w:r>
          </w:p>
        </w:tc>
        <w:tc>
          <w:tcPr>
            <w:tcW w:w="716" w:type="dxa"/>
          </w:tcPr>
          <w:p w14:paraId="5AC9C938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110.6%</w:t>
            </w:r>
          </w:p>
        </w:tc>
        <w:tc>
          <w:tcPr>
            <w:tcW w:w="717" w:type="dxa"/>
          </w:tcPr>
          <w:p w14:paraId="0A3960B5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108.3%</w:t>
            </w:r>
          </w:p>
        </w:tc>
        <w:tc>
          <w:tcPr>
            <w:tcW w:w="716" w:type="dxa"/>
          </w:tcPr>
          <w:p w14:paraId="563FC0CA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106.1%</w:t>
            </w:r>
          </w:p>
        </w:tc>
        <w:tc>
          <w:tcPr>
            <w:tcW w:w="716" w:type="dxa"/>
          </w:tcPr>
          <w:p w14:paraId="66D3F8B2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104.0%</w:t>
            </w:r>
          </w:p>
        </w:tc>
        <w:tc>
          <w:tcPr>
            <w:tcW w:w="716" w:type="dxa"/>
          </w:tcPr>
          <w:p w14:paraId="6CF8B368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102.0%</w:t>
            </w:r>
          </w:p>
        </w:tc>
        <w:tc>
          <w:tcPr>
            <w:tcW w:w="717" w:type="dxa"/>
          </w:tcPr>
          <w:p w14:paraId="1C078875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100.0%</w:t>
            </w:r>
          </w:p>
        </w:tc>
        <w:tc>
          <w:tcPr>
            <w:tcW w:w="716" w:type="dxa"/>
          </w:tcPr>
          <w:p w14:paraId="680AA4BA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98.1%</w:t>
            </w:r>
          </w:p>
        </w:tc>
        <w:tc>
          <w:tcPr>
            <w:tcW w:w="716" w:type="dxa"/>
          </w:tcPr>
          <w:p w14:paraId="7B5E648F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96.3%</w:t>
            </w:r>
          </w:p>
        </w:tc>
        <w:tc>
          <w:tcPr>
            <w:tcW w:w="716" w:type="dxa"/>
          </w:tcPr>
          <w:p w14:paraId="6F44BEDA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94.6%</w:t>
            </w:r>
          </w:p>
        </w:tc>
        <w:tc>
          <w:tcPr>
            <w:tcW w:w="717" w:type="dxa"/>
          </w:tcPr>
          <w:p w14:paraId="3B5AA99B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92.9%</w:t>
            </w:r>
          </w:p>
        </w:tc>
        <w:tc>
          <w:tcPr>
            <w:tcW w:w="716" w:type="dxa"/>
          </w:tcPr>
          <w:p w14:paraId="20297541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91.2%</w:t>
            </w:r>
          </w:p>
        </w:tc>
        <w:tc>
          <w:tcPr>
            <w:tcW w:w="716" w:type="dxa"/>
          </w:tcPr>
          <w:p w14:paraId="7183FF33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89.5%</w:t>
            </w:r>
          </w:p>
        </w:tc>
        <w:tc>
          <w:tcPr>
            <w:tcW w:w="716" w:type="dxa"/>
          </w:tcPr>
          <w:p w14:paraId="6FE23765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88.0%</w:t>
            </w:r>
          </w:p>
        </w:tc>
        <w:tc>
          <w:tcPr>
            <w:tcW w:w="717" w:type="dxa"/>
          </w:tcPr>
          <w:p w14:paraId="5473FEDF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86.5%</w:t>
            </w:r>
          </w:p>
        </w:tc>
      </w:tr>
      <w:tr w:rsidR="00051A08" w:rsidRPr="0032460D" w14:paraId="06D5B947" w14:textId="77777777" w:rsidTr="00051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5010B7CF" w14:textId="77777777" w:rsidR="00051A08" w:rsidRPr="0032460D" w:rsidRDefault="00051A08" w:rsidP="00051A08">
            <w:pPr>
              <w:spacing w:before="60"/>
              <w:jc w:val="center"/>
              <w:rPr>
                <w:rFonts w:ascii="Arial" w:hAnsi="Arial" w:cs="Arial"/>
                <w:b/>
                <w:szCs w:val="16"/>
              </w:rPr>
            </w:pPr>
            <w:r w:rsidRPr="0032460D">
              <w:rPr>
                <w:rFonts w:ascii="Arial" w:hAnsi="Arial" w:cs="Arial"/>
                <w:b/>
                <w:szCs w:val="16"/>
              </w:rPr>
              <w:t>4.50%</w:t>
            </w:r>
          </w:p>
        </w:tc>
        <w:tc>
          <w:tcPr>
            <w:tcW w:w="716" w:type="dxa"/>
          </w:tcPr>
          <w:p w14:paraId="2C686F05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135.3%</w:t>
            </w:r>
          </w:p>
        </w:tc>
        <w:tc>
          <w:tcPr>
            <w:tcW w:w="716" w:type="dxa"/>
          </w:tcPr>
          <w:p w14:paraId="3D77EA8F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132.1%</w:t>
            </w:r>
          </w:p>
        </w:tc>
        <w:tc>
          <w:tcPr>
            <w:tcW w:w="716" w:type="dxa"/>
          </w:tcPr>
          <w:p w14:paraId="3C6E3E53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129.0%</w:t>
            </w:r>
          </w:p>
        </w:tc>
        <w:tc>
          <w:tcPr>
            <w:tcW w:w="716" w:type="dxa"/>
          </w:tcPr>
          <w:p w14:paraId="6C59CFD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126.0%</w:t>
            </w:r>
          </w:p>
        </w:tc>
        <w:tc>
          <w:tcPr>
            <w:tcW w:w="717" w:type="dxa"/>
          </w:tcPr>
          <w:p w14:paraId="4C875534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123.2%</w:t>
            </w:r>
          </w:p>
        </w:tc>
        <w:tc>
          <w:tcPr>
            <w:tcW w:w="716" w:type="dxa"/>
          </w:tcPr>
          <w:p w14:paraId="7EDC8D85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120.4%</w:t>
            </w:r>
          </w:p>
        </w:tc>
        <w:tc>
          <w:tcPr>
            <w:tcW w:w="716" w:type="dxa"/>
          </w:tcPr>
          <w:p w14:paraId="6E2E1B2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117.8%</w:t>
            </w:r>
          </w:p>
        </w:tc>
        <w:tc>
          <w:tcPr>
            <w:tcW w:w="716" w:type="dxa"/>
          </w:tcPr>
          <w:p w14:paraId="79D4A079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115.3%</w:t>
            </w:r>
          </w:p>
        </w:tc>
        <w:tc>
          <w:tcPr>
            <w:tcW w:w="717" w:type="dxa"/>
          </w:tcPr>
          <w:p w14:paraId="6D1D452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112.9%</w:t>
            </w:r>
          </w:p>
        </w:tc>
        <w:tc>
          <w:tcPr>
            <w:tcW w:w="716" w:type="dxa"/>
          </w:tcPr>
          <w:p w14:paraId="16F2EB79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110.5%</w:t>
            </w:r>
          </w:p>
        </w:tc>
        <w:tc>
          <w:tcPr>
            <w:tcW w:w="716" w:type="dxa"/>
          </w:tcPr>
          <w:p w14:paraId="00402FA4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108.3%</w:t>
            </w:r>
          </w:p>
        </w:tc>
        <w:tc>
          <w:tcPr>
            <w:tcW w:w="716" w:type="dxa"/>
          </w:tcPr>
          <w:p w14:paraId="39706046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106.1%</w:t>
            </w:r>
          </w:p>
        </w:tc>
        <w:tc>
          <w:tcPr>
            <w:tcW w:w="717" w:type="dxa"/>
          </w:tcPr>
          <w:p w14:paraId="272A320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104.0%</w:t>
            </w:r>
          </w:p>
        </w:tc>
        <w:tc>
          <w:tcPr>
            <w:tcW w:w="716" w:type="dxa"/>
          </w:tcPr>
          <w:p w14:paraId="18CDFB2E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102.0%</w:t>
            </w:r>
          </w:p>
        </w:tc>
        <w:tc>
          <w:tcPr>
            <w:tcW w:w="716" w:type="dxa"/>
          </w:tcPr>
          <w:p w14:paraId="3129D5E0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100.0%</w:t>
            </w:r>
          </w:p>
        </w:tc>
        <w:tc>
          <w:tcPr>
            <w:tcW w:w="716" w:type="dxa"/>
          </w:tcPr>
          <w:p w14:paraId="2CFEB4C3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98.2%</w:t>
            </w:r>
          </w:p>
        </w:tc>
        <w:tc>
          <w:tcPr>
            <w:tcW w:w="717" w:type="dxa"/>
          </w:tcPr>
          <w:p w14:paraId="42697422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96.3%</w:t>
            </w:r>
          </w:p>
        </w:tc>
        <w:tc>
          <w:tcPr>
            <w:tcW w:w="716" w:type="dxa"/>
          </w:tcPr>
          <w:p w14:paraId="62990747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94.6%</w:t>
            </w:r>
          </w:p>
        </w:tc>
        <w:tc>
          <w:tcPr>
            <w:tcW w:w="716" w:type="dxa"/>
          </w:tcPr>
          <w:p w14:paraId="23B92136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92.8%</w:t>
            </w:r>
          </w:p>
        </w:tc>
        <w:tc>
          <w:tcPr>
            <w:tcW w:w="716" w:type="dxa"/>
          </w:tcPr>
          <w:p w14:paraId="103BD61C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91.2%</w:t>
            </w:r>
          </w:p>
        </w:tc>
        <w:tc>
          <w:tcPr>
            <w:tcW w:w="717" w:type="dxa"/>
          </w:tcPr>
          <w:p w14:paraId="62919A34" w14:textId="77777777" w:rsidR="00051A08" w:rsidRPr="0032460D" w:rsidRDefault="00051A08" w:rsidP="00051A0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89.6%</w:t>
            </w:r>
          </w:p>
        </w:tc>
      </w:tr>
      <w:tr w:rsidR="00051A08" w:rsidRPr="0032460D" w14:paraId="509C22E8" w14:textId="77777777" w:rsidTr="00051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503179FC" w14:textId="77777777" w:rsidR="00051A08" w:rsidRPr="0032460D" w:rsidRDefault="00051A08" w:rsidP="00051A08">
            <w:pPr>
              <w:spacing w:before="60"/>
              <w:jc w:val="center"/>
              <w:rPr>
                <w:rFonts w:ascii="Arial" w:hAnsi="Arial" w:cs="Arial"/>
                <w:b/>
                <w:szCs w:val="16"/>
              </w:rPr>
            </w:pPr>
            <w:r w:rsidRPr="0032460D">
              <w:rPr>
                <w:rFonts w:ascii="Arial" w:hAnsi="Arial" w:cs="Arial"/>
                <w:b/>
                <w:szCs w:val="16"/>
              </w:rPr>
              <w:t>5.00%</w:t>
            </w:r>
          </w:p>
        </w:tc>
        <w:tc>
          <w:tcPr>
            <w:tcW w:w="716" w:type="dxa"/>
          </w:tcPr>
          <w:p w14:paraId="1521A44C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141.8%</w:t>
            </w:r>
          </w:p>
        </w:tc>
        <w:tc>
          <w:tcPr>
            <w:tcW w:w="716" w:type="dxa"/>
          </w:tcPr>
          <w:p w14:paraId="46A8B2BA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138.4%</w:t>
            </w:r>
          </w:p>
        </w:tc>
        <w:tc>
          <w:tcPr>
            <w:tcW w:w="716" w:type="dxa"/>
          </w:tcPr>
          <w:p w14:paraId="50DD6F79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135.0%</w:t>
            </w:r>
          </w:p>
        </w:tc>
        <w:tc>
          <w:tcPr>
            <w:tcW w:w="716" w:type="dxa"/>
          </w:tcPr>
          <w:p w14:paraId="5A0A4FFE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131.9%</w:t>
            </w:r>
          </w:p>
        </w:tc>
        <w:tc>
          <w:tcPr>
            <w:tcW w:w="717" w:type="dxa"/>
          </w:tcPr>
          <w:p w14:paraId="58ABB7B6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128.8%</w:t>
            </w:r>
          </w:p>
        </w:tc>
        <w:tc>
          <w:tcPr>
            <w:tcW w:w="716" w:type="dxa"/>
          </w:tcPr>
          <w:p w14:paraId="4EB3A54C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125.9%</w:t>
            </w:r>
          </w:p>
        </w:tc>
        <w:tc>
          <w:tcPr>
            <w:tcW w:w="716" w:type="dxa"/>
          </w:tcPr>
          <w:p w14:paraId="5CD928D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123.0%</w:t>
            </w:r>
          </w:p>
        </w:tc>
        <w:tc>
          <w:tcPr>
            <w:tcW w:w="716" w:type="dxa"/>
          </w:tcPr>
          <w:p w14:paraId="12002D27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120.3%</w:t>
            </w:r>
          </w:p>
        </w:tc>
        <w:tc>
          <w:tcPr>
            <w:tcW w:w="717" w:type="dxa"/>
          </w:tcPr>
          <w:p w14:paraId="2BD0E65E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117.7%</w:t>
            </w:r>
          </w:p>
        </w:tc>
        <w:tc>
          <w:tcPr>
            <w:tcW w:w="716" w:type="dxa"/>
          </w:tcPr>
          <w:p w14:paraId="08227CA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115.2%</w:t>
            </w:r>
          </w:p>
        </w:tc>
        <w:tc>
          <w:tcPr>
            <w:tcW w:w="716" w:type="dxa"/>
          </w:tcPr>
          <w:p w14:paraId="2E1466E9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112.8%</w:t>
            </w:r>
          </w:p>
        </w:tc>
        <w:tc>
          <w:tcPr>
            <w:tcW w:w="716" w:type="dxa"/>
          </w:tcPr>
          <w:p w14:paraId="5FBCCF7C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110.5%</w:t>
            </w:r>
          </w:p>
        </w:tc>
        <w:tc>
          <w:tcPr>
            <w:tcW w:w="717" w:type="dxa"/>
          </w:tcPr>
          <w:p w14:paraId="6970B5E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108.2%</w:t>
            </w:r>
          </w:p>
        </w:tc>
        <w:tc>
          <w:tcPr>
            <w:tcW w:w="716" w:type="dxa"/>
          </w:tcPr>
          <w:p w14:paraId="23FED09C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106.1%</w:t>
            </w:r>
          </w:p>
        </w:tc>
        <w:tc>
          <w:tcPr>
            <w:tcW w:w="716" w:type="dxa"/>
          </w:tcPr>
          <w:p w14:paraId="0195AFEA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104.0%</w:t>
            </w:r>
          </w:p>
        </w:tc>
        <w:tc>
          <w:tcPr>
            <w:tcW w:w="716" w:type="dxa"/>
          </w:tcPr>
          <w:p w14:paraId="668A632C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102.0%</w:t>
            </w:r>
          </w:p>
        </w:tc>
        <w:tc>
          <w:tcPr>
            <w:tcW w:w="717" w:type="dxa"/>
          </w:tcPr>
          <w:p w14:paraId="660B6D8B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32460D">
              <w:rPr>
                <w:rFonts w:ascii="Arial" w:hAnsi="Arial" w:cs="Arial"/>
                <w:szCs w:val="16"/>
              </w:rPr>
              <w:t>100.0%</w:t>
            </w:r>
          </w:p>
        </w:tc>
        <w:tc>
          <w:tcPr>
            <w:tcW w:w="716" w:type="dxa"/>
          </w:tcPr>
          <w:p w14:paraId="5F765BA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98.2%</w:t>
            </w:r>
          </w:p>
        </w:tc>
        <w:tc>
          <w:tcPr>
            <w:tcW w:w="716" w:type="dxa"/>
          </w:tcPr>
          <w:p w14:paraId="5AA67CDE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96.3%</w:t>
            </w:r>
          </w:p>
        </w:tc>
        <w:tc>
          <w:tcPr>
            <w:tcW w:w="716" w:type="dxa"/>
          </w:tcPr>
          <w:p w14:paraId="401125C4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94.6%</w:t>
            </w:r>
          </w:p>
        </w:tc>
        <w:tc>
          <w:tcPr>
            <w:tcW w:w="717" w:type="dxa"/>
          </w:tcPr>
          <w:p w14:paraId="6CE2B73A" w14:textId="77777777" w:rsidR="00051A08" w:rsidRPr="0032460D" w:rsidRDefault="00051A08" w:rsidP="00051A0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C46C84">
              <w:t>92.8%</w:t>
            </w:r>
          </w:p>
        </w:tc>
      </w:tr>
    </w:tbl>
    <w:p w14:paraId="21976486" w14:textId="6E8E65D4" w:rsidR="007757B2" w:rsidRPr="00125B81" w:rsidRDefault="003D4405" w:rsidP="00CD4915">
      <w:pPr>
        <w:rPr>
          <w:rFonts w:cs="MuseoSans-500"/>
          <w:b/>
          <w:color w:val="0070C0"/>
          <w:u w:val="single" w:color="0070C0"/>
        </w:rPr>
      </w:pPr>
      <w:r w:rsidRPr="00CB7309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EFB5FE" wp14:editId="0ED8D86B">
                <wp:simplePos x="0" y="0"/>
                <wp:positionH relativeFrom="margin">
                  <wp:posOffset>-61742</wp:posOffset>
                </wp:positionH>
                <wp:positionV relativeFrom="paragraph">
                  <wp:posOffset>162560</wp:posOffset>
                </wp:positionV>
                <wp:extent cx="954786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7860" cy="285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1A618" w14:textId="77777777" w:rsidR="00D55072" w:rsidRDefault="00D55072" w:rsidP="00125B81">
                            <w:pPr>
                              <w:spacing w:before="0" w:after="0"/>
                              <w:jc w:val="center"/>
                            </w:pPr>
                            <w:r w:rsidRPr="003E32B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LSL - 10 Year Commonwealth Bond (Discount) Yield per annum – </w:t>
                            </w:r>
                            <w:proofErr w:type="gramStart"/>
                            <w:r w:rsidRPr="003E32B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at</w:t>
                            </w:r>
                            <w:proofErr w:type="gramEnd"/>
                            <w:r w:rsidRPr="003E32B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30 June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FB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5pt;margin-top:12.8pt;width:751.8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" fillcolor="#9cdbd9 [3204]" stroked="f">
                <v:textbox>
                  <w:txbxContent>
                    <w:p w14:paraId="4F01A618" w14:textId="77777777" w:rsidR="00D55072" w:rsidRDefault="00D55072" w:rsidP="00125B81">
                      <w:pPr>
                        <w:spacing w:before="0" w:after="0"/>
                        <w:jc w:val="center"/>
                      </w:pPr>
                      <w:r w:rsidRPr="003E32B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LSL - 10 Year Commonwealth Bond (Discount) Yield per annum – at 30 June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757B2" w:rsidRPr="00125B81" w:rsidSect="00125B81">
      <w:pgSz w:w="16838" w:h="11906" w:orient="landscape" w:code="9"/>
      <w:pgMar w:top="1418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16D1" w14:textId="77777777" w:rsidR="00C9157B" w:rsidRDefault="00C9157B" w:rsidP="00EF4574">
      <w:pPr>
        <w:spacing w:before="0" w:after="0" w:line="240" w:lineRule="auto"/>
      </w:pPr>
      <w:r>
        <w:separator/>
      </w:r>
    </w:p>
    <w:p w14:paraId="61741289" w14:textId="77777777" w:rsidR="00C9157B" w:rsidRDefault="00C9157B"/>
  </w:endnote>
  <w:endnote w:type="continuationSeparator" w:id="0">
    <w:p w14:paraId="10D6D1A9" w14:textId="77777777" w:rsidR="00C9157B" w:rsidRDefault="00C9157B" w:rsidP="00EF4574">
      <w:pPr>
        <w:spacing w:before="0" w:after="0" w:line="240" w:lineRule="auto"/>
      </w:pPr>
      <w:r>
        <w:continuationSeparator/>
      </w:r>
    </w:p>
    <w:p w14:paraId="1C360D93" w14:textId="77777777" w:rsidR="00C9157B" w:rsidRDefault="00C91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useoSans-500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44E7" w14:textId="67E56E46" w:rsidR="005D3E0C" w:rsidRPr="00375BD3" w:rsidRDefault="0072594E" w:rsidP="004D6DF9">
    <w:pPr>
      <w:pStyle w:val="Footerstyle"/>
    </w:pPr>
    <w:r>
      <w:t>Standard parameters for use in financial statements</w:t>
    </w:r>
    <w:r w:rsidR="00375BD3" w:rsidRPr="00375BD3">
      <w:ptab w:relativeTo="margin" w:alignment="right" w:leader="none"/>
    </w:r>
    <w:r w:rsidR="005D3E0C" w:rsidRPr="00375BD3">
      <w:fldChar w:fldCharType="begin"/>
    </w:r>
    <w:r w:rsidR="005D3E0C" w:rsidRPr="00375BD3">
      <w:instrText xml:space="preserve"> PAGE   \* MERGEFORMAT </w:instrText>
    </w:r>
    <w:r w:rsidR="005D3E0C" w:rsidRPr="00375BD3">
      <w:fldChar w:fldCharType="separate"/>
    </w:r>
    <w:r w:rsidR="00A57A97" w:rsidRPr="00375BD3">
      <w:t>2</w:t>
    </w:r>
    <w:r w:rsidR="005D3E0C" w:rsidRPr="00375B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2C5B" w14:textId="77777777" w:rsidR="00C9157B" w:rsidRDefault="00C9157B" w:rsidP="0020122A">
      <w:pPr>
        <w:pStyle w:val="FootnoteSeparator"/>
      </w:pPr>
    </w:p>
  </w:footnote>
  <w:footnote w:type="continuationSeparator" w:id="0">
    <w:p w14:paraId="6566FB25" w14:textId="77777777" w:rsidR="00C9157B" w:rsidRDefault="00C9157B" w:rsidP="00EF4574">
      <w:pPr>
        <w:spacing w:before="0" w:after="0" w:line="240" w:lineRule="auto"/>
      </w:pPr>
      <w:r>
        <w:continuationSeparator/>
      </w:r>
    </w:p>
    <w:p w14:paraId="3ABDB852" w14:textId="77777777" w:rsidR="00C9157B" w:rsidRDefault="00C9157B"/>
  </w:footnote>
  <w:footnote w:id="1">
    <w:p w14:paraId="650F1AED" w14:textId="77777777" w:rsidR="007A7992" w:rsidRPr="009A793A" w:rsidRDefault="007A7992" w:rsidP="007A7992">
      <w:pPr>
        <w:pStyle w:val="FootnoteText"/>
        <w:rPr>
          <w:rFonts w:ascii="Arial" w:hAnsi="Arial" w:cs="Arial"/>
          <w:szCs w:val="16"/>
        </w:rPr>
      </w:pPr>
      <w:r w:rsidRPr="009A793A">
        <w:rPr>
          <w:rStyle w:val="FootnoteReference"/>
          <w:rFonts w:ascii="Arial" w:hAnsi="Arial" w:cs="Arial"/>
          <w:szCs w:val="16"/>
        </w:rPr>
        <w:footnoteRef/>
      </w:r>
      <w:r w:rsidRPr="009A793A">
        <w:rPr>
          <w:rFonts w:ascii="Arial" w:hAnsi="Arial" w:cs="Arial"/>
          <w:szCs w:val="16"/>
        </w:rPr>
        <w:t xml:space="preserve"> </w:t>
      </w:r>
      <w:hyperlink r:id="rId1" w:history="1">
        <w:r w:rsidRPr="009A793A">
          <w:rPr>
            <w:rStyle w:val="Hyperlink"/>
            <w:rFonts w:ascii="Arial" w:hAnsi="Arial" w:cs="Arial"/>
            <w:szCs w:val="16"/>
          </w:rPr>
          <w:t>https://www.finance.gov.au/government/managing-commonwealth-resources/structure-australian-government-public-sector/pgpa-act-flipchart-and-list</w:t>
        </w:r>
      </w:hyperlink>
    </w:p>
  </w:footnote>
  <w:footnote w:id="2">
    <w:p w14:paraId="0F88DBEE" w14:textId="77777777" w:rsidR="007A7992" w:rsidRPr="009A793A" w:rsidRDefault="007A7992" w:rsidP="007A7992">
      <w:pPr>
        <w:pStyle w:val="FootnoteText"/>
        <w:rPr>
          <w:rFonts w:ascii="Arial" w:hAnsi="Arial" w:cs="Arial"/>
          <w:szCs w:val="16"/>
        </w:rPr>
      </w:pPr>
      <w:r w:rsidRPr="009A793A">
        <w:rPr>
          <w:rStyle w:val="FootnoteReference"/>
          <w:rFonts w:ascii="Arial" w:hAnsi="Arial" w:cs="Arial"/>
          <w:szCs w:val="16"/>
        </w:rPr>
        <w:footnoteRef/>
      </w:r>
      <w:r w:rsidRPr="009A793A">
        <w:rPr>
          <w:rFonts w:ascii="Arial" w:hAnsi="Arial" w:cs="Arial"/>
          <w:szCs w:val="16"/>
        </w:rPr>
        <w:t xml:space="preserve"> </w:t>
      </w:r>
      <w:hyperlink r:id="rId2" w:history="1">
        <w:r w:rsidRPr="009A793A">
          <w:rPr>
            <w:rStyle w:val="Hyperlink"/>
            <w:rFonts w:ascii="Arial" w:hAnsi="Arial" w:cs="Arial"/>
            <w:szCs w:val="16"/>
          </w:rPr>
          <w:t>https://budget.gov.au/content/bp1/index.htm</w:t>
        </w:r>
      </w:hyperlink>
    </w:p>
  </w:footnote>
  <w:footnote w:id="3">
    <w:p w14:paraId="1069E72C" w14:textId="77777777" w:rsidR="007A7992" w:rsidRPr="009A793A" w:rsidRDefault="007A7992" w:rsidP="007A7992">
      <w:pPr>
        <w:pStyle w:val="FootnoteText"/>
        <w:rPr>
          <w:rFonts w:ascii="Arial" w:hAnsi="Arial" w:cs="Arial"/>
          <w:szCs w:val="16"/>
        </w:rPr>
      </w:pPr>
      <w:r w:rsidRPr="009A793A">
        <w:rPr>
          <w:rStyle w:val="FootnoteReference"/>
          <w:rFonts w:ascii="Arial" w:hAnsi="Arial" w:cs="Arial"/>
          <w:szCs w:val="16"/>
        </w:rPr>
        <w:footnoteRef/>
      </w:r>
      <w:r w:rsidRPr="009A793A">
        <w:rPr>
          <w:rFonts w:ascii="Arial" w:hAnsi="Arial" w:cs="Arial"/>
          <w:szCs w:val="16"/>
        </w:rPr>
        <w:t xml:space="preserve"> Seasonally adjusted, through-the-year growth to the June quarter.</w:t>
      </w:r>
    </w:p>
  </w:footnote>
  <w:footnote w:id="4">
    <w:p w14:paraId="2FE3F6C1" w14:textId="28B69CA5" w:rsidR="00804849" w:rsidRDefault="00804849" w:rsidP="00965C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47790" w:rsidRPr="00B47790">
        <w:t>Real rates are nominal rates adjusted for inflation.</w:t>
      </w:r>
    </w:p>
  </w:footnote>
  <w:footnote w:id="5">
    <w:p w14:paraId="5931E1CC" w14:textId="67C461CC" w:rsidR="003C7461" w:rsidRPr="009A793A" w:rsidRDefault="003C7461" w:rsidP="00965C73">
      <w:pPr>
        <w:pStyle w:val="FootnoteText"/>
        <w:rPr>
          <w:rFonts w:ascii="Arial" w:hAnsi="Arial" w:cs="Arial"/>
          <w:szCs w:val="16"/>
        </w:rPr>
      </w:pPr>
      <w:r w:rsidRPr="009A793A">
        <w:rPr>
          <w:rStyle w:val="FootnoteReference"/>
          <w:rFonts w:ascii="Arial" w:hAnsi="Arial" w:cs="Arial"/>
          <w:szCs w:val="16"/>
        </w:rPr>
        <w:footnoteRef/>
      </w:r>
      <w:r w:rsidRPr="009A793A">
        <w:rPr>
          <w:rFonts w:ascii="Arial" w:hAnsi="Arial" w:cs="Arial"/>
          <w:szCs w:val="16"/>
        </w:rPr>
        <w:t xml:space="preserve"> The Long Service Leave shorthand model uses the </w:t>
      </w:r>
      <w:r w:rsidR="00DA5735" w:rsidRPr="009A793A">
        <w:rPr>
          <w:rFonts w:ascii="Arial" w:hAnsi="Arial" w:cs="Arial"/>
          <w:szCs w:val="16"/>
        </w:rPr>
        <w:t>10-year</w:t>
      </w:r>
      <w:r w:rsidRPr="009A793A">
        <w:rPr>
          <w:rFonts w:ascii="Arial" w:hAnsi="Arial" w:cs="Arial"/>
          <w:szCs w:val="16"/>
        </w:rPr>
        <w:t xml:space="preserve"> Treasury bond rate.</w:t>
      </w:r>
    </w:p>
  </w:footnote>
  <w:footnote w:id="6">
    <w:p w14:paraId="69B04292" w14:textId="77777777" w:rsidR="003C7461" w:rsidRPr="009A793A" w:rsidRDefault="003C7461" w:rsidP="00965C73">
      <w:pPr>
        <w:pStyle w:val="EndnoteText"/>
        <w:ind w:right="-501"/>
        <w:rPr>
          <w:rFonts w:ascii="Arial" w:hAnsi="Arial" w:cs="Arial"/>
          <w:sz w:val="16"/>
          <w:szCs w:val="16"/>
        </w:rPr>
      </w:pPr>
      <w:r w:rsidRPr="009A793A">
        <w:rPr>
          <w:rStyle w:val="FootnoteReference"/>
          <w:rFonts w:ascii="Arial" w:hAnsi="Arial" w:cs="Arial"/>
          <w:sz w:val="16"/>
          <w:szCs w:val="16"/>
        </w:rPr>
        <w:footnoteRef/>
      </w:r>
      <w:r w:rsidRPr="009A793A">
        <w:rPr>
          <w:rFonts w:ascii="Arial" w:hAnsi="Arial" w:cs="Arial"/>
          <w:sz w:val="16"/>
          <w:szCs w:val="16"/>
        </w:rPr>
        <w:t xml:space="preserve"> Only to be used where the longest dated government bond is appropriate under accounting standards, that is, it is a close match to the expected average maturity of a liability.</w:t>
      </w:r>
    </w:p>
  </w:footnote>
  <w:footnote w:id="7">
    <w:p w14:paraId="740860B9" w14:textId="77777777" w:rsidR="003C7461" w:rsidRPr="009A793A" w:rsidRDefault="003C7461" w:rsidP="00965C73">
      <w:pPr>
        <w:pStyle w:val="FootnoteText"/>
        <w:rPr>
          <w:rFonts w:ascii="Arial" w:hAnsi="Arial" w:cs="Arial"/>
          <w:szCs w:val="16"/>
        </w:rPr>
      </w:pPr>
      <w:r w:rsidRPr="009A793A">
        <w:rPr>
          <w:rStyle w:val="FootnoteReference"/>
          <w:rFonts w:ascii="Arial" w:hAnsi="Arial" w:cs="Arial"/>
          <w:szCs w:val="16"/>
        </w:rPr>
        <w:footnoteRef/>
      </w:r>
      <w:r w:rsidRPr="009A793A">
        <w:rPr>
          <w:rFonts w:ascii="Arial" w:hAnsi="Arial" w:cs="Arial"/>
          <w:szCs w:val="16"/>
        </w:rPr>
        <w:t xml:space="preserve"> </w:t>
      </w:r>
      <w:hyperlink r:id="rId3" w:history="1">
        <w:r w:rsidRPr="009A793A">
          <w:rPr>
            <w:rStyle w:val="Hyperlink"/>
            <w:rFonts w:ascii="Arial" w:hAnsi="Arial" w:cs="Arial"/>
            <w:szCs w:val="16"/>
          </w:rPr>
          <w:t>https://www.finance.gov.au/government/superannuation/superannuation-costs-and-reports/pss-and-css-long-term-cost-reports</w:t>
        </w:r>
      </w:hyperlink>
      <w:r w:rsidRPr="009A793A">
        <w:rPr>
          <w:rFonts w:ascii="Arial" w:hAnsi="Arial" w:cs="Arial"/>
          <w:szCs w:val="16"/>
        </w:rPr>
        <w:t>.</w:t>
      </w:r>
    </w:p>
  </w:footnote>
  <w:footnote w:id="8">
    <w:p w14:paraId="2EEF60D1" w14:textId="77777777" w:rsidR="003C7461" w:rsidRDefault="003C7461" w:rsidP="00965C73">
      <w:pPr>
        <w:pStyle w:val="FootnoteText"/>
      </w:pPr>
      <w:r w:rsidRPr="009A793A">
        <w:rPr>
          <w:rStyle w:val="FootnoteReference"/>
          <w:rFonts w:ascii="Arial" w:hAnsi="Arial" w:cs="Arial"/>
          <w:szCs w:val="16"/>
        </w:rPr>
        <w:footnoteRef/>
      </w:r>
      <w:r w:rsidRPr="009A793A">
        <w:rPr>
          <w:rFonts w:ascii="Arial" w:hAnsi="Arial" w:cs="Arial"/>
          <w:szCs w:val="16"/>
        </w:rPr>
        <w:t xml:space="preserve"> For-profit entities, that use a corporate bond yield, will also be required to prepare calculations using a government bond yield for the purpose of preparing Australian Government Consolidated Financial Statements, which is collected in the supplementary reporting pack.</w:t>
      </w:r>
    </w:p>
  </w:footnote>
  <w:footnote w:id="9">
    <w:p w14:paraId="38C109A4" w14:textId="77777777" w:rsidR="003C7461" w:rsidRPr="009A793A" w:rsidRDefault="003C7461" w:rsidP="007A7992">
      <w:pPr>
        <w:pStyle w:val="FootnoteText"/>
        <w:rPr>
          <w:szCs w:val="16"/>
        </w:rPr>
      </w:pPr>
      <w:r w:rsidRPr="009A793A">
        <w:rPr>
          <w:rStyle w:val="FootnoteReference"/>
          <w:szCs w:val="16"/>
        </w:rPr>
        <w:footnoteRef/>
      </w:r>
      <w:r w:rsidRPr="009A793A">
        <w:rPr>
          <w:szCs w:val="16"/>
        </w:rPr>
        <w:t xml:space="preserve"> Standard rates are required by subsection 16(8) of the </w:t>
      </w:r>
      <w:hyperlink r:id="rId4" w:history="1">
        <w:r w:rsidRPr="009A793A">
          <w:rPr>
            <w:rStyle w:val="Hyperlink"/>
            <w:i/>
            <w:szCs w:val="16"/>
          </w:rPr>
          <w:t>Public Governance, Performance and Accountability (Financial Reporting) Rule 2015</w:t>
        </w:r>
      </w:hyperlink>
      <w:r w:rsidRPr="009A793A">
        <w:rPr>
          <w:szCs w:val="16"/>
        </w:rPr>
        <w:t xml:space="preserve"> – market risk sensitivity analysis. These rates are issued by the Department of Finance and are based on Reserve Bank of Australia data.</w:t>
      </w:r>
    </w:p>
  </w:footnote>
  <w:footnote w:id="10">
    <w:p w14:paraId="01358FA2" w14:textId="70290B56" w:rsidR="00357A70" w:rsidRPr="009A793A" w:rsidRDefault="00357A70" w:rsidP="00357A70">
      <w:pPr>
        <w:pStyle w:val="FootnoteText"/>
        <w:rPr>
          <w:rFonts w:ascii="Arial" w:hAnsi="Arial" w:cs="Arial"/>
          <w:szCs w:val="16"/>
        </w:rPr>
      </w:pPr>
      <w:r w:rsidRPr="009A793A">
        <w:rPr>
          <w:rStyle w:val="FootnoteReference"/>
          <w:rFonts w:ascii="Arial" w:hAnsi="Arial" w:cs="Arial"/>
          <w:szCs w:val="16"/>
        </w:rPr>
        <w:footnoteRef/>
      </w:r>
      <w:r w:rsidRPr="009A793A">
        <w:rPr>
          <w:rFonts w:ascii="Arial" w:hAnsi="Arial" w:cs="Arial"/>
          <w:szCs w:val="16"/>
        </w:rPr>
        <w:t xml:space="preserve"> </w:t>
      </w:r>
      <w:hyperlink r:id="rId5" w:history="1">
        <w:r w:rsidRPr="009A793A">
          <w:rPr>
            <w:rStyle w:val="Hyperlink"/>
            <w:rFonts w:ascii="Arial" w:hAnsi="Arial" w:cs="Arial"/>
            <w:szCs w:val="16"/>
          </w:rPr>
          <w:t>https://www.finance.gov.au/government/managing-commonwealth-resources/structure-australian-government-public-sector/pgpa-act-flipchart-and-list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E64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30B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38A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28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20DC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C4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5CE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A2F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9EA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DEA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F7764"/>
    <w:multiLevelType w:val="hybridMultilevel"/>
    <w:tmpl w:val="0CCC474C"/>
    <w:lvl w:ilvl="0" w:tplc="B2307EDA">
      <w:start w:val="2"/>
      <w:numFmt w:val="decimal"/>
      <w:lvlText w:val="%1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646D4E">
      <w:start w:val="1"/>
      <w:numFmt w:val="lowerLetter"/>
      <w:lvlText w:val="%2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AE510">
      <w:start w:val="1"/>
      <w:numFmt w:val="lowerRoman"/>
      <w:lvlText w:val="%3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A08240">
      <w:start w:val="1"/>
      <w:numFmt w:val="decimal"/>
      <w:lvlText w:val="%4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043FE">
      <w:start w:val="1"/>
      <w:numFmt w:val="lowerLetter"/>
      <w:lvlText w:val="%5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C69D8">
      <w:start w:val="1"/>
      <w:numFmt w:val="lowerRoman"/>
      <w:lvlText w:val="%6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C6052">
      <w:start w:val="1"/>
      <w:numFmt w:val="decimal"/>
      <w:lvlText w:val="%7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B25002">
      <w:start w:val="1"/>
      <w:numFmt w:val="lowerLetter"/>
      <w:lvlText w:val="%8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0F88A">
      <w:start w:val="1"/>
      <w:numFmt w:val="lowerRoman"/>
      <w:lvlText w:val="%9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A2F6B80"/>
    <w:multiLevelType w:val="multilevel"/>
    <w:tmpl w:val="437081D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1B58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B9B159F"/>
    <w:multiLevelType w:val="multilevel"/>
    <w:tmpl w:val="1F963B46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48D257FC"/>
    <w:multiLevelType w:val="hybridMultilevel"/>
    <w:tmpl w:val="64569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6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7" w15:restartNumberingAfterBreak="0">
    <w:nsid w:val="73107305"/>
    <w:multiLevelType w:val="multilevel"/>
    <w:tmpl w:val="79262C7A"/>
    <w:styleLink w:val="BulletsList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163086956">
    <w:abstractNumId w:val="17"/>
  </w:num>
  <w:num w:numId="2" w16cid:durableId="17287237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368285">
    <w:abstractNumId w:val="11"/>
  </w:num>
  <w:num w:numId="4" w16cid:durableId="1562279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4632745">
    <w:abstractNumId w:val="13"/>
  </w:num>
  <w:num w:numId="6" w16cid:durableId="3772445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424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241631">
    <w:abstractNumId w:val="12"/>
  </w:num>
  <w:num w:numId="9" w16cid:durableId="387343305">
    <w:abstractNumId w:val="15"/>
  </w:num>
  <w:num w:numId="10" w16cid:durableId="1466657515">
    <w:abstractNumId w:val="16"/>
  </w:num>
  <w:num w:numId="11" w16cid:durableId="515266657">
    <w:abstractNumId w:val="9"/>
  </w:num>
  <w:num w:numId="12" w16cid:durableId="1491215166">
    <w:abstractNumId w:val="7"/>
  </w:num>
  <w:num w:numId="13" w16cid:durableId="376512941">
    <w:abstractNumId w:val="6"/>
  </w:num>
  <w:num w:numId="14" w16cid:durableId="737439907">
    <w:abstractNumId w:val="5"/>
  </w:num>
  <w:num w:numId="15" w16cid:durableId="607543685">
    <w:abstractNumId w:val="4"/>
  </w:num>
  <w:num w:numId="16" w16cid:durableId="996542678">
    <w:abstractNumId w:val="8"/>
  </w:num>
  <w:num w:numId="17" w16cid:durableId="818113872">
    <w:abstractNumId w:val="3"/>
  </w:num>
  <w:num w:numId="18" w16cid:durableId="512839020">
    <w:abstractNumId w:val="2"/>
  </w:num>
  <w:num w:numId="19" w16cid:durableId="945969257">
    <w:abstractNumId w:val="1"/>
  </w:num>
  <w:num w:numId="20" w16cid:durableId="1971396324">
    <w:abstractNumId w:val="0"/>
  </w:num>
  <w:num w:numId="21" w16cid:durableId="841505170">
    <w:abstractNumId w:val="14"/>
  </w:num>
  <w:num w:numId="22" w16cid:durableId="1659532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9B"/>
    <w:rsid w:val="0000049F"/>
    <w:rsid w:val="00000D35"/>
    <w:rsid w:val="00010ED2"/>
    <w:rsid w:val="000211DF"/>
    <w:rsid w:val="0002782F"/>
    <w:rsid w:val="0003427F"/>
    <w:rsid w:val="000353B0"/>
    <w:rsid w:val="00046221"/>
    <w:rsid w:val="0004692A"/>
    <w:rsid w:val="00051A08"/>
    <w:rsid w:val="00054E4D"/>
    <w:rsid w:val="00055387"/>
    <w:rsid w:val="00056AE4"/>
    <w:rsid w:val="00060073"/>
    <w:rsid w:val="000603C7"/>
    <w:rsid w:val="00062942"/>
    <w:rsid w:val="00063A37"/>
    <w:rsid w:val="0006519D"/>
    <w:rsid w:val="0007771F"/>
    <w:rsid w:val="00082632"/>
    <w:rsid w:val="000829F4"/>
    <w:rsid w:val="0009035F"/>
    <w:rsid w:val="0009496C"/>
    <w:rsid w:val="00096D03"/>
    <w:rsid w:val="000A4B30"/>
    <w:rsid w:val="000A6A8B"/>
    <w:rsid w:val="000B039D"/>
    <w:rsid w:val="000B1594"/>
    <w:rsid w:val="000B7946"/>
    <w:rsid w:val="000C0894"/>
    <w:rsid w:val="000C1352"/>
    <w:rsid w:val="000C2A48"/>
    <w:rsid w:val="000C5F75"/>
    <w:rsid w:val="000D09F1"/>
    <w:rsid w:val="000D60B1"/>
    <w:rsid w:val="000E5980"/>
    <w:rsid w:val="0010402E"/>
    <w:rsid w:val="00104104"/>
    <w:rsid w:val="001121BE"/>
    <w:rsid w:val="0011453B"/>
    <w:rsid w:val="00120AE9"/>
    <w:rsid w:val="00125B81"/>
    <w:rsid w:val="00131EF4"/>
    <w:rsid w:val="00134D3D"/>
    <w:rsid w:val="0013635D"/>
    <w:rsid w:val="00136530"/>
    <w:rsid w:val="00137266"/>
    <w:rsid w:val="0014368A"/>
    <w:rsid w:val="00143815"/>
    <w:rsid w:val="001444CF"/>
    <w:rsid w:val="001479F5"/>
    <w:rsid w:val="00153B94"/>
    <w:rsid w:val="001541EA"/>
    <w:rsid w:val="00154CD6"/>
    <w:rsid w:val="001601BC"/>
    <w:rsid w:val="001612A4"/>
    <w:rsid w:val="00163320"/>
    <w:rsid w:val="00164723"/>
    <w:rsid w:val="00167FA3"/>
    <w:rsid w:val="0017445F"/>
    <w:rsid w:val="0018399B"/>
    <w:rsid w:val="00187BA8"/>
    <w:rsid w:val="00196FA5"/>
    <w:rsid w:val="001A1006"/>
    <w:rsid w:val="001A3BE5"/>
    <w:rsid w:val="001B43E7"/>
    <w:rsid w:val="001B7F39"/>
    <w:rsid w:val="001C12DA"/>
    <w:rsid w:val="001C2614"/>
    <w:rsid w:val="001C4A55"/>
    <w:rsid w:val="001C6106"/>
    <w:rsid w:val="001D1CCF"/>
    <w:rsid w:val="001D7EB4"/>
    <w:rsid w:val="001E1DC0"/>
    <w:rsid w:val="001E6698"/>
    <w:rsid w:val="0020122A"/>
    <w:rsid w:val="002247A9"/>
    <w:rsid w:val="00225C6C"/>
    <w:rsid w:val="0023556B"/>
    <w:rsid w:val="002415CD"/>
    <w:rsid w:val="00260125"/>
    <w:rsid w:val="0026356D"/>
    <w:rsid w:val="0026634A"/>
    <w:rsid w:val="002713A0"/>
    <w:rsid w:val="00274CB7"/>
    <w:rsid w:val="002774F2"/>
    <w:rsid w:val="0028602A"/>
    <w:rsid w:val="002875BB"/>
    <w:rsid w:val="002A23CB"/>
    <w:rsid w:val="002A4A3D"/>
    <w:rsid w:val="002A5EB7"/>
    <w:rsid w:val="002B7879"/>
    <w:rsid w:val="002C3D7C"/>
    <w:rsid w:val="002D0EF4"/>
    <w:rsid w:val="002D2A43"/>
    <w:rsid w:val="002E011B"/>
    <w:rsid w:val="002E12DD"/>
    <w:rsid w:val="002E16FC"/>
    <w:rsid w:val="002E7989"/>
    <w:rsid w:val="002F5017"/>
    <w:rsid w:val="00301144"/>
    <w:rsid w:val="003044FA"/>
    <w:rsid w:val="0030671E"/>
    <w:rsid w:val="00307466"/>
    <w:rsid w:val="00312896"/>
    <w:rsid w:val="003148B7"/>
    <w:rsid w:val="003158C3"/>
    <w:rsid w:val="003160ED"/>
    <w:rsid w:val="0032089D"/>
    <w:rsid w:val="003274CD"/>
    <w:rsid w:val="0033244C"/>
    <w:rsid w:val="00340C0F"/>
    <w:rsid w:val="00342D19"/>
    <w:rsid w:val="0034301E"/>
    <w:rsid w:val="00345896"/>
    <w:rsid w:val="00347082"/>
    <w:rsid w:val="0035119D"/>
    <w:rsid w:val="00357A70"/>
    <w:rsid w:val="00370D43"/>
    <w:rsid w:val="00372700"/>
    <w:rsid w:val="0037479B"/>
    <w:rsid w:val="00375BD3"/>
    <w:rsid w:val="00386434"/>
    <w:rsid w:val="00391E87"/>
    <w:rsid w:val="0039724D"/>
    <w:rsid w:val="003A71C5"/>
    <w:rsid w:val="003B442F"/>
    <w:rsid w:val="003B4F12"/>
    <w:rsid w:val="003B5FBF"/>
    <w:rsid w:val="003C0E5E"/>
    <w:rsid w:val="003C7461"/>
    <w:rsid w:val="003D4405"/>
    <w:rsid w:val="003D5489"/>
    <w:rsid w:val="003D570F"/>
    <w:rsid w:val="003E0CFF"/>
    <w:rsid w:val="003E36A6"/>
    <w:rsid w:val="003E68CF"/>
    <w:rsid w:val="003F3A01"/>
    <w:rsid w:val="003F52E6"/>
    <w:rsid w:val="003F6CD8"/>
    <w:rsid w:val="003F701D"/>
    <w:rsid w:val="00404437"/>
    <w:rsid w:val="0040722D"/>
    <w:rsid w:val="00411D22"/>
    <w:rsid w:val="00413339"/>
    <w:rsid w:val="00413E34"/>
    <w:rsid w:val="00414FFA"/>
    <w:rsid w:val="0041791D"/>
    <w:rsid w:val="00422634"/>
    <w:rsid w:val="00423F31"/>
    <w:rsid w:val="00424638"/>
    <w:rsid w:val="00431899"/>
    <w:rsid w:val="00431B67"/>
    <w:rsid w:val="00437505"/>
    <w:rsid w:val="00437E87"/>
    <w:rsid w:val="004402FF"/>
    <w:rsid w:val="004431E1"/>
    <w:rsid w:val="00446AD5"/>
    <w:rsid w:val="00454799"/>
    <w:rsid w:val="004555FB"/>
    <w:rsid w:val="00457676"/>
    <w:rsid w:val="0046321A"/>
    <w:rsid w:val="00470711"/>
    <w:rsid w:val="004752F6"/>
    <w:rsid w:val="00480354"/>
    <w:rsid w:val="00482412"/>
    <w:rsid w:val="00486254"/>
    <w:rsid w:val="004867AF"/>
    <w:rsid w:val="00486804"/>
    <w:rsid w:val="00492718"/>
    <w:rsid w:val="00494F63"/>
    <w:rsid w:val="004B0878"/>
    <w:rsid w:val="004B1243"/>
    <w:rsid w:val="004B1B2E"/>
    <w:rsid w:val="004B3775"/>
    <w:rsid w:val="004C2A06"/>
    <w:rsid w:val="004C4156"/>
    <w:rsid w:val="004C633D"/>
    <w:rsid w:val="004D3BDE"/>
    <w:rsid w:val="004D6DF9"/>
    <w:rsid w:val="004E058F"/>
    <w:rsid w:val="004E3B87"/>
    <w:rsid w:val="004F1C08"/>
    <w:rsid w:val="004F5BE8"/>
    <w:rsid w:val="004F5C97"/>
    <w:rsid w:val="004F70E6"/>
    <w:rsid w:val="00510921"/>
    <w:rsid w:val="00510AD3"/>
    <w:rsid w:val="00511C48"/>
    <w:rsid w:val="005125BE"/>
    <w:rsid w:val="00513348"/>
    <w:rsid w:val="00513518"/>
    <w:rsid w:val="005139BD"/>
    <w:rsid w:val="0051455E"/>
    <w:rsid w:val="00517815"/>
    <w:rsid w:val="005202F3"/>
    <w:rsid w:val="00524382"/>
    <w:rsid w:val="00533B5D"/>
    <w:rsid w:val="00534069"/>
    <w:rsid w:val="0053604E"/>
    <w:rsid w:val="00537397"/>
    <w:rsid w:val="005409E2"/>
    <w:rsid w:val="00542C6A"/>
    <w:rsid w:val="0054516C"/>
    <w:rsid w:val="0054593A"/>
    <w:rsid w:val="00546AFB"/>
    <w:rsid w:val="00555847"/>
    <w:rsid w:val="005570E8"/>
    <w:rsid w:val="00561741"/>
    <w:rsid w:val="00562298"/>
    <w:rsid w:val="00572FA0"/>
    <w:rsid w:val="00574D62"/>
    <w:rsid w:val="00574F46"/>
    <w:rsid w:val="00576566"/>
    <w:rsid w:val="0058268B"/>
    <w:rsid w:val="00583961"/>
    <w:rsid w:val="0058649B"/>
    <w:rsid w:val="00591203"/>
    <w:rsid w:val="00591E24"/>
    <w:rsid w:val="00593514"/>
    <w:rsid w:val="00593DB7"/>
    <w:rsid w:val="00594D82"/>
    <w:rsid w:val="005970EA"/>
    <w:rsid w:val="0059720B"/>
    <w:rsid w:val="005A4D32"/>
    <w:rsid w:val="005A5E31"/>
    <w:rsid w:val="005B14CB"/>
    <w:rsid w:val="005C37F0"/>
    <w:rsid w:val="005D24AA"/>
    <w:rsid w:val="005D2D36"/>
    <w:rsid w:val="005D3E0C"/>
    <w:rsid w:val="005D5041"/>
    <w:rsid w:val="005E0EAE"/>
    <w:rsid w:val="005E4E04"/>
    <w:rsid w:val="00600449"/>
    <w:rsid w:val="006107E3"/>
    <w:rsid w:val="006132BF"/>
    <w:rsid w:val="00623BA1"/>
    <w:rsid w:val="006346BC"/>
    <w:rsid w:val="006374E7"/>
    <w:rsid w:val="006411AF"/>
    <w:rsid w:val="006415BE"/>
    <w:rsid w:val="006445AB"/>
    <w:rsid w:val="00645300"/>
    <w:rsid w:val="00645ABC"/>
    <w:rsid w:val="00650120"/>
    <w:rsid w:val="00653962"/>
    <w:rsid w:val="006543D8"/>
    <w:rsid w:val="00656EFA"/>
    <w:rsid w:val="00660B74"/>
    <w:rsid w:val="006611F8"/>
    <w:rsid w:val="006621B8"/>
    <w:rsid w:val="00662CBB"/>
    <w:rsid w:val="00665EBF"/>
    <w:rsid w:val="00666291"/>
    <w:rsid w:val="0066652A"/>
    <w:rsid w:val="00667394"/>
    <w:rsid w:val="006766E7"/>
    <w:rsid w:val="00677E81"/>
    <w:rsid w:val="00682089"/>
    <w:rsid w:val="00682167"/>
    <w:rsid w:val="00687BAD"/>
    <w:rsid w:val="00695DA5"/>
    <w:rsid w:val="00696F45"/>
    <w:rsid w:val="006A23AE"/>
    <w:rsid w:val="006C42AF"/>
    <w:rsid w:val="006C4916"/>
    <w:rsid w:val="006C4DD1"/>
    <w:rsid w:val="006D0D3A"/>
    <w:rsid w:val="006D7D05"/>
    <w:rsid w:val="006D7F5F"/>
    <w:rsid w:val="006E09B8"/>
    <w:rsid w:val="006E1376"/>
    <w:rsid w:val="006E2ED6"/>
    <w:rsid w:val="006F00CA"/>
    <w:rsid w:val="006F38DA"/>
    <w:rsid w:val="006F38F8"/>
    <w:rsid w:val="006F4A2B"/>
    <w:rsid w:val="007046F0"/>
    <w:rsid w:val="0070635F"/>
    <w:rsid w:val="00711D8E"/>
    <w:rsid w:val="00712672"/>
    <w:rsid w:val="00721B1B"/>
    <w:rsid w:val="0072367F"/>
    <w:rsid w:val="0072594E"/>
    <w:rsid w:val="00734753"/>
    <w:rsid w:val="00734E3F"/>
    <w:rsid w:val="00736985"/>
    <w:rsid w:val="007373B7"/>
    <w:rsid w:val="00737A13"/>
    <w:rsid w:val="00745951"/>
    <w:rsid w:val="0074741F"/>
    <w:rsid w:val="00750ABF"/>
    <w:rsid w:val="00754D16"/>
    <w:rsid w:val="00755521"/>
    <w:rsid w:val="0076348D"/>
    <w:rsid w:val="00766E92"/>
    <w:rsid w:val="00767CCA"/>
    <w:rsid w:val="00767E23"/>
    <w:rsid w:val="007757B2"/>
    <w:rsid w:val="00780D07"/>
    <w:rsid w:val="00786180"/>
    <w:rsid w:val="00786A39"/>
    <w:rsid w:val="00787946"/>
    <w:rsid w:val="00791978"/>
    <w:rsid w:val="00795014"/>
    <w:rsid w:val="007A57F3"/>
    <w:rsid w:val="007A5D54"/>
    <w:rsid w:val="007A6E5F"/>
    <w:rsid w:val="007A7992"/>
    <w:rsid w:val="007B085A"/>
    <w:rsid w:val="007B0CA5"/>
    <w:rsid w:val="007B435F"/>
    <w:rsid w:val="007B4F9E"/>
    <w:rsid w:val="007B6200"/>
    <w:rsid w:val="007B7DB5"/>
    <w:rsid w:val="007B7EE8"/>
    <w:rsid w:val="007C1F8B"/>
    <w:rsid w:val="007C5E1E"/>
    <w:rsid w:val="007D112B"/>
    <w:rsid w:val="007D20CE"/>
    <w:rsid w:val="007D29D9"/>
    <w:rsid w:val="007E31AA"/>
    <w:rsid w:val="007E4B01"/>
    <w:rsid w:val="007E580E"/>
    <w:rsid w:val="007E6B15"/>
    <w:rsid w:val="007F571F"/>
    <w:rsid w:val="007F5F69"/>
    <w:rsid w:val="00801B9F"/>
    <w:rsid w:val="00804792"/>
    <w:rsid w:val="00804849"/>
    <w:rsid w:val="0080787C"/>
    <w:rsid w:val="00812CAE"/>
    <w:rsid w:val="00814658"/>
    <w:rsid w:val="0082589D"/>
    <w:rsid w:val="008258C9"/>
    <w:rsid w:val="008300BD"/>
    <w:rsid w:val="008335D5"/>
    <w:rsid w:val="00842368"/>
    <w:rsid w:val="00845ACE"/>
    <w:rsid w:val="008534D5"/>
    <w:rsid w:val="00853850"/>
    <w:rsid w:val="008610FA"/>
    <w:rsid w:val="00865208"/>
    <w:rsid w:val="008656E6"/>
    <w:rsid w:val="008807EF"/>
    <w:rsid w:val="00880B3F"/>
    <w:rsid w:val="00884041"/>
    <w:rsid w:val="008858EC"/>
    <w:rsid w:val="008869DD"/>
    <w:rsid w:val="0089709B"/>
    <w:rsid w:val="008977F4"/>
    <w:rsid w:val="008A5FCE"/>
    <w:rsid w:val="008B0065"/>
    <w:rsid w:val="008B2A95"/>
    <w:rsid w:val="008B3F77"/>
    <w:rsid w:val="008B624C"/>
    <w:rsid w:val="008B62C7"/>
    <w:rsid w:val="008C2ABA"/>
    <w:rsid w:val="008C3106"/>
    <w:rsid w:val="008C3676"/>
    <w:rsid w:val="008D1B62"/>
    <w:rsid w:val="008D4A99"/>
    <w:rsid w:val="008E2669"/>
    <w:rsid w:val="008F2DC0"/>
    <w:rsid w:val="008F4933"/>
    <w:rsid w:val="008F5CB7"/>
    <w:rsid w:val="0090309A"/>
    <w:rsid w:val="00905ADF"/>
    <w:rsid w:val="00910823"/>
    <w:rsid w:val="00914A85"/>
    <w:rsid w:val="00921754"/>
    <w:rsid w:val="00925079"/>
    <w:rsid w:val="00940996"/>
    <w:rsid w:val="00941191"/>
    <w:rsid w:val="0094204B"/>
    <w:rsid w:val="00942EB0"/>
    <w:rsid w:val="00946760"/>
    <w:rsid w:val="009478A1"/>
    <w:rsid w:val="00952D9F"/>
    <w:rsid w:val="00953AA5"/>
    <w:rsid w:val="0095445C"/>
    <w:rsid w:val="00954BE1"/>
    <w:rsid w:val="00965C73"/>
    <w:rsid w:val="009661CF"/>
    <w:rsid w:val="00971A5D"/>
    <w:rsid w:val="00975D12"/>
    <w:rsid w:val="009847C5"/>
    <w:rsid w:val="00985E11"/>
    <w:rsid w:val="009871D7"/>
    <w:rsid w:val="00987B86"/>
    <w:rsid w:val="00994690"/>
    <w:rsid w:val="009A1773"/>
    <w:rsid w:val="009A2A9E"/>
    <w:rsid w:val="009A2DA7"/>
    <w:rsid w:val="009A2E31"/>
    <w:rsid w:val="009A4AE9"/>
    <w:rsid w:val="009B1896"/>
    <w:rsid w:val="009B4799"/>
    <w:rsid w:val="009B4D3B"/>
    <w:rsid w:val="009B6709"/>
    <w:rsid w:val="009C1D7D"/>
    <w:rsid w:val="009C789B"/>
    <w:rsid w:val="009D0CC3"/>
    <w:rsid w:val="009D41CD"/>
    <w:rsid w:val="009D7407"/>
    <w:rsid w:val="009E0866"/>
    <w:rsid w:val="009F0C54"/>
    <w:rsid w:val="00A00278"/>
    <w:rsid w:val="00A1333F"/>
    <w:rsid w:val="00A136B3"/>
    <w:rsid w:val="00A136D3"/>
    <w:rsid w:val="00A1412C"/>
    <w:rsid w:val="00A15780"/>
    <w:rsid w:val="00A16418"/>
    <w:rsid w:val="00A20E8E"/>
    <w:rsid w:val="00A24A62"/>
    <w:rsid w:val="00A31C9F"/>
    <w:rsid w:val="00A35D12"/>
    <w:rsid w:val="00A40F7E"/>
    <w:rsid w:val="00A41527"/>
    <w:rsid w:val="00A424B2"/>
    <w:rsid w:val="00A4480C"/>
    <w:rsid w:val="00A45EE8"/>
    <w:rsid w:val="00A51D21"/>
    <w:rsid w:val="00A52D7D"/>
    <w:rsid w:val="00A53F9B"/>
    <w:rsid w:val="00A57A97"/>
    <w:rsid w:val="00A63653"/>
    <w:rsid w:val="00A65564"/>
    <w:rsid w:val="00A734E4"/>
    <w:rsid w:val="00A75CAC"/>
    <w:rsid w:val="00A760F5"/>
    <w:rsid w:val="00AA2373"/>
    <w:rsid w:val="00AA4D42"/>
    <w:rsid w:val="00AA4E49"/>
    <w:rsid w:val="00AA5A01"/>
    <w:rsid w:val="00AB19CF"/>
    <w:rsid w:val="00AC164A"/>
    <w:rsid w:val="00AD1524"/>
    <w:rsid w:val="00AD5027"/>
    <w:rsid w:val="00AD7258"/>
    <w:rsid w:val="00AE1988"/>
    <w:rsid w:val="00AE57BE"/>
    <w:rsid w:val="00AE732F"/>
    <w:rsid w:val="00AF2050"/>
    <w:rsid w:val="00AF5D83"/>
    <w:rsid w:val="00AF60AB"/>
    <w:rsid w:val="00AF793D"/>
    <w:rsid w:val="00B206D4"/>
    <w:rsid w:val="00B25839"/>
    <w:rsid w:val="00B31832"/>
    <w:rsid w:val="00B441DE"/>
    <w:rsid w:val="00B44356"/>
    <w:rsid w:val="00B44D3B"/>
    <w:rsid w:val="00B458B5"/>
    <w:rsid w:val="00B47790"/>
    <w:rsid w:val="00B54312"/>
    <w:rsid w:val="00B5432F"/>
    <w:rsid w:val="00B54594"/>
    <w:rsid w:val="00B554BC"/>
    <w:rsid w:val="00B60352"/>
    <w:rsid w:val="00B7368F"/>
    <w:rsid w:val="00B76CA9"/>
    <w:rsid w:val="00B770C4"/>
    <w:rsid w:val="00B77A93"/>
    <w:rsid w:val="00B8077B"/>
    <w:rsid w:val="00B8495C"/>
    <w:rsid w:val="00B8575A"/>
    <w:rsid w:val="00B86ABB"/>
    <w:rsid w:val="00BB0815"/>
    <w:rsid w:val="00BB26C5"/>
    <w:rsid w:val="00BB3C24"/>
    <w:rsid w:val="00BB3DA9"/>
    <w:rsid w:val="00BB433D"/>
    <w:rsid w:val="00BB5158"/>
    <w:rsid w:val="00BC0054"/>
    <w:rsid w:val="00BC08FC"/>
    <w:rsid w:val="00BC09D7"/>
    <w:rsid w:val="00BD319D"/>
    <w:rsid w:val="00BE4C32"/>
    <w:rsid w:val="00BF4DE6"/>
    <w:rsid w:val="00C04F53"/>
    <w:rsid w:val="00C145AC"/>
    <w:rsid w:val="00C27965"/>
    <w:rsid w:val="00C30EA8"/>
    <w:rsid w:val="00C319A6"/>
    <w:rsid w:val="00C31ABE"/>
    <w:rsid w:val="00C355A7"/>
    <w:rsid w:val="00C36720"/>
    <w:rsid w:val="00C367BA"/>
    <w:rsid w:val="00C42CDE"/>
    <w:rsid w:val="00C451F0"/>
    <w:rsid w:val="00C6073B"/>
    <w:rsid w:val="00C65E49"/>
    <w:rsid w:val="00C65E8D"/>
    <w:rsid w:val="00C77DB1"/>
    <w:rsid w:val="00C813F4"/>
    <w:rsid w:val="00C9157B"/>
    <w:rsid w:val="00C92097"/>
    <w:rsid w:val="00C93198"/>
    <w:rsid w:val="00C97918"/>
    <w:rsid w:val="00CA0094"/>
    <w:rsid w:val="00CA2128"/>
    <w:rsid w:val="00CA2B1A"/>
    <w:rsid w:val="00CA37B1"/>
    <w:rsid w:val="00CB09A3"/>
    <w:rsid w:val="00CB1959"/>
    <w:rsid w:val="00CB3A7D"/>
    <w:rsid w:val="00CB7309"/>
    <w:rsid w:val="00CC10C8"/>
    <w:rsid w:val="00CC6A2F"/>
    <w:rsid w:val="00CD11F7"/>
    <w:rsid w:val="00CD4915"/>
    <w:rsid w:val="00CD74D6"/>
    <w:rsid w:val="00CE189E"/>
    <w:rsid w:val="00CE7931"/>
    <w:rsid w:val="00CF2122"/>
    <w:rsid w:val="00CF7DF7"/>
    <w:rsid w:val="00D01278"/>
    <w:rsid w:val="00D0296C"/>
    <w:rsid w:val="00D12B0A"/>
    <w:rsid w:val="00D2253C"/>
    <w:rsid w:val="00D22869"/>
    <w:rsid w:val="00D2292A"/>
    <w:rsid w:val="00D247B2"/>
    <w:rsid w:val="00D34749"/>
    <w:rsid w:val="00D44768"/>
    <w:rsid w:val="00D46D82"/>
    <w:rsid w:val="00D5104E"/>
    <w:rsid w:val="00D54CA7"/>
    <w:rsid w:val="00D55072"/>
    <w:rsid w:val="00D615D9"/>
    <w:rsid w:val="00D626B9"/>
    <w:rsid w:val="00D62D19"/>
    <w:rsid w:val="00D65B24"/>
    <w:rsid w:val="00D6675C"/>
    <w:rsid w:val="00D748BA"/>
    <w:rsid w:val="00D83B63"/>
    <w:rsid w:val="00D91422"/>
    <w:rsid w:val="00D9161E"/>
    <w:rsid w:val="00D9496B"/>
    <w:rsid w:val="00D951DF"/>
    <w:rsid w:val="00D974E1"/>
    <w:rsid w:val="00DA4483"/>
    <w:rsid w:val="00DA5735"/>
    <w:rsid w:val="00DB3133"/>
    <w:rsid w:val="00DB6D69"/>
    <w:rsid w:val="00DB7DD5"/>
    <w:rsid w:val="00DC430B"/>
    <w:rsid w:val="00DD0DA7"/>
    <w:rsid w:val="00DD3A17"/>
    <w:rsid w:val="00DF0DEC"/>
    <w:rsid w:val="00DF1E7A"/>
    <w:rsid w:val="00DF25F7"/>
    <w:rsid w:val="00DF49EE"/>
    <w:rsid w:val="00DF7001"/>
    <w:rsid w:val="00E01FE4"/>
    <w:rsid w:val="00E16E3B"/>
    <w:rsid w:val="00E2568B"/>
    <w:rsid w:val="00E25EC4"/>
    <w:rsid w:val="00E27BC2"/>
    <w:rsid w:val="00E3142D"/>
    <w:rsid w:val="00E357B7"/>
    <w:rsid w:val="00E36583"/>
    <w:rsid w:val="00E42EA9"/>
    <w:rsid w:val="00E44D53"/>
    <w:rsid w:val="00E5316E"/>
    <w:rsid w:val="00E53800"/>
    <w:rsid w:val="00E5437C"/>
    <w:rsid w:val="00E6081F"/>
    <w:rsid w:val="00E6279A"/>
    <w:rsid w:val="00E632CF"/>
    <w:rsid w:val="00E738C4"/>
    <w:rsid w:val="00E76A1C"/>
    <w:rsid w:val="00E83238"/>
    <w:rsid w:val="00E92B38"/>
    <w:rsid w:val="00E9683D"/>
    <w:rsid w:val="00E97078"/>
    <w:rsid w:val="00EA04B2"/>
    <w:rsid w:val="00EA20F3"/>
    <w:rsid w:val="00EA25AF"/>
    <w:rsid w:val="00EB64C0"/>
    <w:rsid w:val="00EC2748"/>
    <w:rsid w:val="00ED43D1"/>
    <w:rsid w:val="00ED6DEB"/>
    <w:rsid w:val="00ED6FBB"/>
    <w:rsid w:val="00EE03CE"/>
    <w:rsid w:val="00EE4EE1"/>
    <w:rsid w:val="00EF005F"/>
    <w:rsid w:val="00EF06EC"/>
    <w:rsid w:val="00EF1A77"/>
    <w:rsid w:val="00EF275E"/>
    <w:rsid w:val="00EF4574"/>
    <w:rsid w:val="00F04062"/>
    <w:rsid w:val="00F0543F"/>
    <w:rsid w:val="00F14CF7"/>
    <w:rsid w:val="00F255DB"/>
    <w:rsid w:val="00F2684E"/>
    <w:rsid w:val="00F30A27"/>
    <w:rsid w:val="00F3206D"/>
    <w:rsid w:val="00F322DE"/>
    <w:rsid w:val="00F36A79"/>
    <w:rsid w:val="00F40425"/>
    <w:rsid w:val="00F4175E"/>
    <w:rsid w:val="00F423E7"/>
    <w:rsid w:val="00F44291"/>
    <w:rsid w:val="00F52654"/>
    <w:rsid w:val="00F53FB3"/>
    <w:rsid w:val="00F66525"/>
    <w:rsid w:val="00F726ED"/>
    <w:rsid w:val="00F729EF"/>
    <w:rsid w:val="00F76017"/>
    <w:rsid w:val="00F76DD3"/>
    <w:rsid w:val="00F77CAE"/>
    <w:rsid w:val="00F80B06"/>
    <w:rsid w:val="00F96BB9"/>
    <w:rsid w:val="00FA2F41"/>
    <w:rsid w:val="00FA53EB"/>
    <w:rsid w:val="00FB44AA"/>
    <w:rsid w:val="00FB5E47"/>
    <w:rsid w:val="00FB75C9"/>
    <w:rsid w:val="00FC125A"/>
    <w:rsid w:val="00FC5BE0"/>
    <w:rsid w:val="00FC5DBD"/>
    <w:rsid w:val="00FD3792"/>
    <w:rsid w:val="00FE6D51"/>
    <w:rsid w:val="797AF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411B3"/>
  <w15:docId w15:val="{1D1AEB30-5277-401F-B56D-C56C9DA9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AA"/>
    <w:pPr>
      <w:suppressAutoHyphens/>
      <w:spacing w:before="180" w:after="60" w:line="280" w:lineRule="atLeas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5BD3"/>
    <w:pPr>
      <w:keepNext/>
      <w:keepLines/>
      <w:spacing w:before="360" w:after="120" w:line="460" w:lineRule="atLeast"/>
      <w:contextualSpacing/>
      <w:outlineLvl w:val="0"/>
    </w:pPr>
    <w:rPr>
      <w:rFonts w:asciiTheme="majorHAnsi" w:eastAsiaTheme="majorEastAsia" w:hAnsiTheme="majorHAnsi" w:cstheme="majorBidi"/>
      <w:bCs/>
      <w:color w:val="008672" w:themeColor="accent3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612A4"/>
    <w:pPr>
      <w:spacing w:line="400" w:lineRule="atLeast"/>
      <w:outlineLvl w:val="1"/>
    </w:pPr>
    <w:rPr>
      <w:bCs w:val="0"/>
      <w:sz w:val="3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6D82"/>
    <w:pPr>
      <w:spacing w:line="340" w:lineRule="atLeast"/>
      <w:outlineLvl w:val="2"/>
    </w:pPr>
    <w:rPr>
      <w:bCs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76CA9"/>
    <w:pPr>
      <w:spacing w:before="240" w:line="300" w:lineRule="atLeast"/>
      <w:outlineLvl w:val="3"/>
    </w:pPr>
    <w:rPr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375BD3"/>
    <w:pPr>
      <w:outlineLvl w:val="4"/>
    </w:pPr>
    <w:rPr>
      <w:i/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486804"/>
    <w:pPr>
      <w:spacing w:before="40"/>
      <w:outlineLvl w:val="5"/>
    </w:pPr>
    <w:rPr>
      <w:color w:val="318885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486804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486804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486804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BD3"/>
    <w:rPr>
      <w:rFonts w:asciiTheme="majorHAnsi" w:eastAsiaTheme="majorEastAsia" w:hAnsiTheme="majorHAnsi" w:cstheme="majorBidi"/>
      <w:bCs/>
      <w:color w:val="008672" w:themeColor="accent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2A4"/>
    <w:rPr>
      <w:rFonts w:asciiTheme="majorHAnsi" w:eastAsiaTheme="majorEastAsia" w:hAnsiTheme="majorHAnsi" w:cstheme="majorBidi"/>
      <w:color w:val="1C1C1C" w:themeColor="text2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6D82"/>
    <w:rPr>
      <w:rFonts w:asciiTheme="majorHAnsi" w:eastAsiaTheme="majorEastAsia" w:hAnsiTheme="majorHAnsi" w:cstheme="majorBidi"/>
      <w:bCs/>
      <w:color w:val="1C1C1C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D0296C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0211DF"/>
    <w:pPr>
      <w:spacing w:before="720"/>
    </w:pPr>
    <w:rPr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0211DF"/>
    <w:rPr>
      <w:rFonts w:asciiTheme="majorHAnsi" w:eastAsiaTheme="majorEastAsia" w:hAnsiTheme="majorHAnsi" w:cstheme="majorBidi"/>
      <w:bCs/>
      <w:sz w:val="40"/>
      <w:szCs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5409E2"/>
    <w:pPr>
      <w:numPr>
        <w:ilvl w:val="1"/>
      </w:numPr>
      <w:spacing w:before="0" w:after="480" w:line="260" w:lineRule="atLeast"/>
    </w:pPr>
    <w:rPr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09E2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customStyle="1" w:styleId="Bullet1">
    <w:name w:val="Bullet 1"/>
    <w:basedOn w:val="Normal"/>
    <w:qFormat/>
    <w:rsid w:val="00FB44AA"/>
    <w:pPr>
      <w:numPr>
        <w:numId w:val="1"/>
      </w:numPr>
      <w:spacing w:before="120"/>
    </w:pPr>
  </w:style>
  <w:style w:type="paragraph" w:customStyle="1" w:styleId="Bullet2">
    <w:name w:val="Bullet 2"/>
    <w:basedOn w:val="Bullet1"/>
    <w:qFormat/>
    <w:rsid w:val="00F2684E"/>
    <w:pPr>
      <w:numPr>
        <w:ilvl w:val="1"/>
      </w:numPr>
    </w:pPr>
  </w:style>
  <w:style w:type="paragraph" w:customStyle="1" w:styleId="Bullet3">
    <w:name w:val="Bullet 3"/>
    <w:basedOn w:val="Bullet2"/>
    <w:qFormat/>
    <w:rsid w:val="00F2684E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576566"/>
    <w:pPr>
      <w:numPr>
        <w:numId w:val="3"/>
      </w:numPr>
      <w:ind w:left="397" w:hanging="397"/>
    </w:pPr>
  </w:style>
  <w:style w:type="paragraph" w:customStyle="1" w:styleId="NumberedList2">
    <w:name w:val="Numbered List 2"/>
    <w:basedOn w:val="NumberedList1"/>
    <w:qFormat/>
    <w:rsid w:val="00576566"/>
    <w:pPr>
      <w:numPr>
        <w:ilvl w:val="1"/>
      </w:numPr>
      <w:spacing w:before="120"/>
      <w:ind w:left="681" w:hanging="397"/>
    </w:pPr>
  </w:style>
  <w:style w:type="paragraph" w:customStyle="1" w:styleId="NumberedList3">
    <w:name w:val="Numbered List 3"/>
    <w:basedOn w:val="NumberedList2"/>
    <w:qFormat/>
    <w:rsid w:val="00576566"/>
    <w:pPr>
      <w:numPr>
        <w:ilvl w:val="2"/>
      </w:numPr>
      <w:ind w:left="964" w:hanging="397"/>
    </w:pPr>
  </w:style>
  <w:style w:type="paragraph" w:customStyle="1" w:styleId="Heading1Numbered">
    <w:name w:val="Heading 1 Numbered"/>
    <w:basedOn w:val="Heading1"/>
    <w:next w:val="Normal"/>
    <w:qFormat/>
    <w:rsid w:val="001E1DC0"/>
    <w:pPr>
      <w:numPr>
        <w:numId w:val="5"/>
      </w:numPr>
    </w:pPr>
  </w:style>
  <w:style w:type="paragraph" w:customStyle="1" w:styleId="Heading2Numbered">
    <w:name w:val="Heading 2 Numbered"/>
    <w:basedOn w:val="Heading2"/>
    <w:next w:val="Normal"/>
    <w:qFormat/>
    <w:rsid w:val="0082589D"/>
    <w:pPr>
      <w:numPr>
        <w:ilvl w:val="1"/>
        <w:numId w:val="5"/>
      </w:numPr>
      <w:ind w:left="851" w:hanging="851"/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1D7EB4"/>
    <w:pPr>
      <w:numPr>
        <w:ilvl w:val="2"/>
        <w:numId w:val="5"/>
      </w:numPr>
    </w:pPr>
    <w:rPr>
      <w:szCs w:val="22"/>
    </w:rPr>
  </w:style>
  <w:style w:type="numbering" w:customStyle="1" w:styleId="BulletsList">
    <w:name w:val="Bullets List"/>
    <w:uiPriority w:val="99"/>
    <w:rsid w:val="00F2684E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3"/>
      </w:numPr>
    </w:pPr>
  </w:style>
  <w:style w:type="numbering" w:customStyle="1" w:styleId="HeadingsList">
    <w:name w:val="Headings List"/>
    <w:uiPriority w:val="99"/>
    <w:rsid w:val="001E1DC0"/>
    <w:pPr>
      <w:numPr>
        <w:numId w:val="5"/>
      </w:numPr>
    </w:pPr>
  </w:style>
  <w:style w:type="table" w:styleId="PlainTable2">
    <w:name w:val="Plain Table 2"/>
    <w:basedOn w:val="TableNormal"/>
    <w:uiPriority w:val="42"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0122A"/>
    <w:pPr>
      <w:suppressAutoHyphens w:val="0"/>
      <w:contextualSpacing w:val="0"/>
      <w:outlineLvl w:val="9"/>
    </w:pPr>
    <w:rPr>
      <w:bCs w:val="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76CA9"/>
    <w:rPr>
      <w:rFonts w:asciiTheme="majorHAnsi" w:eastAsiaTheme="majorEastAsia" w:hAnsiTheme="majorHAnsi" w:cstheme="majorBidi"/>
      <w:bCs/>
      <w:iCs/>
      <w:color w:val="008672" w:themeColor="accent3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27965"/>
    <w:pPr>
      <w:tabs>
        <w:tab w:val="left" w:pos="454"/>
        <w:tab w:val="right" w:pos="9072"/>
      </w:tabs>
      <w:spacing w:after="180" w:line="230" w:lineRule="atLeast"/>
    </w:pPr>
    <w:rPr>
      <w:b/>
      <w:sz w:val="23"/>
    </w:rPr>
  </w:style>
  <w:style w:type="paragraph" w:styleId="TOC2">
    <w:name w:val="toc 2"/>
    <w:basedOn w:val="Normal"/>
    <w:next w:val="Normal"/>
    <w:autoRedefine/>
    <w:uiPriority w:val="39"/>
    <w:unhideWhenUsed/>
    <w:rsid w:val="00C27965"/>
    <w:pPr>
      <w:tabs>
        <w:tab w:val="left" w:pos="454"/>
        <w:tab w:val="right" w:pos="9072"/>
      </w:tabs>
      <w:spacing w:after="180" w:line="230" w:lineRule="atLeast"/>
      <w:ind w:left="738" w:hanging="454"/>
    </w:pPr>
  </w:style>
  <w:style w:type="paragraph" w:styleId="TOC3">
    <w:name w:val="toc 3"/>
    <w:basedOn w:val="Normal"/>
    <w:next w:val="Normal"/>
    <w:autoRedefine/>
    <w:uiPriority w:val="39"/>
    <w:unhideWhenUsed/>
    <w:rsid w:val="00880B3F"/>
    <w:pPr>
      <w:tabs>
        <w:tab w:val="left" w:pos="1134"/>
        <w:tab w:val="right" w:pos="9072"/>
      </w:tabs>
      <w:spacing w:before="60"/>
      <w:ind w:left="1134" w:hanging="680"/>
    </w:pPr>
  </w:style>
  <w:style w:type="paragraph" w:styleId="Header">
    <w:name w:val="header"/>
    <w:basedOn w:val="Normal"/>
    <w:link w:val="HeaderChar"/>
    <w:uiPriority w:val="99"/>
    <w:unhideWhenUsed/>
    <w:rsid w:val="00DB6D69"/>
    <w:pPr>
      <w:tabs>
        <w:tab w:val="center" w:pos="4513"/>
        <w:tab w:val="right" w:pos="9026"/>
      </w:tabs>
      <w:spacing w:before="0" w:after="0" w:line="180" w:lineRule="atLeast"/>
      <w:jc w:val="right"/>
    </w:pPr>
    <w:rPr>
      <w:sz w:val="14"/>
    </w:rPr>
  </w:style>
  <w:style w:type="paragraph" w:styleId="TOC4">
    <w:name w:val="toc 4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9"/>
      </w:numPr>
    </w:pPr>
  </w:style>
  <w:style w:type="paragraph" w:styleId="TOC8">
    <w:name w:val="toc 8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375BD3"/>
    <w:pPr>
      <w:pBdr>
        <w:bottom w:val="single" w:sz="4" w:space="6" w:color="9CDBD9" w:themeColor="accent1"/>
      </w:pBdr>
    </w:pPr>
    <w:rPr>
      <w:sz w:val="24"/>
    </w:rPr>
  </w:style>
  <w:style w:type="table" w:styleId="TableGrid">
    <w:name w:val="Table Grid"/>
    <w:basedOn w:val="TableNormal"/>
    <w:uiPriority w:val="39"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6D69"/>
    <w:rPr>
      <w:sz w:val="14"/>
    </w:rPr>
  </w:style>
  <w:style w:type="numbering" w:customStyle="1" w:styleId="FigureTitles">
    <w:name w:val="Figure Titles"/>
    <w:uiPriority w:val="99"/>
    <w:rsid w:val="006346BC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FE6D51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FE6D51"/>
    <w:rPr>
      <w:b/>
      <w:bCs/>
    </w:rPr>
  </w:style>
  <w:style w:type="character" w:styleId="Emphasis">
    <w:name w:val="Emphasis"/>
    <w:basedOn w:val="DefaultParagraphFont"/>
    <w:uiPriority w:val="20"/>
    <w:qFormat/>
    <w:rsid w:val="009D740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BD3"/>
    <w:rPr>
      <w:rFonts w:asciiTheme="majorHAnsi" w:eastAsiaTheme="majorEastAsia" w:hAnsiTheme="majorHAnsi" w:cstheme="majorBidi"/>
      <w:bCs/>
      <w:i/>
      <w:iCs/>
      <w:color w:val="008672" w:themeColor="accent3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FB44AA"/>
    <w:pPr>
      <w:spacing w:before="200" w:after="120"/>
    </w:pPr>
    <w:rPr>
      <w:b/>
      <w:iCs/>
      <w:color w:val="000000" w:themeColor="text1"/>
      <w:szCs w:val="18"/>
    </w:rPr>
  </w:style>
  <w:style w:type="paragraph" w:styleId="Footer">
    <w:name w:val="footer"/>
    <w:basedOn w:val="Normal"/>
    <w:link w:val="FooterChar"/>
    <w:uiPriority w:val="99"/>
    <w:unhideWhenUsed/>
    <w:rsid w:val="00FB44AA"/>
    <w:pPr>
      <w:tabs>
        <w:tab w:val="center" w:pos="4513"/>
        <w:tab w:val="center" w:pos="8819"/>
        <w:tab w:val="right" w:pos="9026"/>
      </w:tabs>
      <w:spacing w:before="120"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B44AA"/>
    <w:rPr>
      <w:sz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4"/>
    <w:rPr>
      <w:rFonts w:asciiTheme="majorHAnsi" w:eastAsiaTheme="majorEastAsia" w:hAnsiTheme="majorHAnsi" w:cstheme="majorBidi"/>
      <w:bCs/>
      <w:iCs/>
      <w:color w:val="318885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4"/>
    <w:rPr>
      <w:rFonts w:asciiTheme="majorHAnsi" w:eastAsiaTheme="majorEastAsia" w:hAnsiTheme="majorHAnsi" w:cstheme="majorBidi"/>
      <w:bCs/>
      <w:i/>
      <w:color w:val="318885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4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4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paragraph" w:customStyle="1" w:styleId="Boxed1Text">
    <w:name w:val="Boxed 1 Text"/>
    <w:basedOn w:val="Normal"/>
    <w:qFormat/>
    <w:rsid w:val="00486804"/>
    <w:pPr>
      <w:pBdr>
        <w:top w:val="single" w:sz="4" w:space="14" w:color="EBF7F7" w:themeColor="accent1" w:themeTint="33"/>
        <w:left w:val="single" w:sz="4" w:space="14" w:color="EBF7F7" w:themeColor="accent1" w:themeTint="33"/>
        <w:bottom w:val="single" w:sz="4" w:space="14" w:color="EBF7F7" w:themeColor="accent1" w:themeTint="33"/>
        <w:right w:val="single" w:sz="4" w:space="14" w:color="EBF7F7" w:themeColor="accent1" w:themeTint="33"/>
      </w:pBdr>
      <w:shd w:val="clear" w:color="auto" w:fill="EBF7F7" w:themeFill="accent1" w:themeFillTint="33"/>
      <w:ind w:left="284" w:right="284"/>
    </w:pPr>
  </w:style>
  <w:style w:type="paragraph" w:customStyle="1" w:styleId="Boxed1Heading">
    <w:name w:val="Boxed 1 Heading"/>
    <w:basedOn w:val="Boxed1Text"/>
    <w:qFormat/>
    <w:rsid w:val="00486804"/>
    <w:rPr>
      <w:b/>
      <w:sz w:val="24"/>
    </w:rPr>
  </w:style>
  <w:style w:type="paragraph" w:customStyle="1" w:styleId="Boxed2Text">
    <w:name w:val="Boxed 2 Text"/>
    <w:basedOn w:val="Boxed1Text"/>
    <w:qFormat/>
    <w:rsid w:val="000C2A48"/>
    <w:pPr>
      <w:pBdr>
        <w:top w:val="single" w:sz="4" w:space="14" w:color="9CDBD9" w:themeColor="accent1"/>
        <w:left w:val="single" w:sz="4" w:space="14" w:color="9CDBD9" w:themeColor="accent1"/>
        <w:bottom w:val="single" w:sz="4" w:space="14" w:color="9CDBD9" w:themeColor="accent1"/>
        <w:right w:val="single" w:sz="4" w:space="14" w:color="9CDBD9" w:themeColor="accent1"/>
      </w:pBdr>
      <w:shd w:val="clear" w:color="auto" w:fill="9CDBD9" w:themeFill="accent1"/>
    </w:pPr>
  </w:style>
  <w:style w:type="paragraph" w:customStyle="1" w:styleId="Boxed2Heading">
    <w:name w:val="Boxed 2 Heading"/>
    <w:basedOn w:val="Boxed2Text"/>
    <w:qFormat/>
    <w:rsid w:val="00375BD3"/>
    <w:rPr>
      <w:b/>
      <w:sz w:val="24"/>
    </w:rPr>
  </w:style>
  <w:style w:type="character" w:styleId="PageNumber">
    <w:name w:val="page number"/>
    <w:basedOn w:val="DefaultParagraphFont"/>
    <w:uiPriority w:val="99"/>
    <w:unhideWhenUsed/>
    <w:rsid w:val="00DB6D69"/>
  </w:style>
  <w:style w:type="table" w:styleId="TableGridLight">
    <w:name w:val="Grid Table Light"/>
    <w:basedOn w:val="TableNormal"/>
    <w:uiPriority w:val="40"/>
    <w:rsid w:val="000D60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inance1">
    <w:name w:val="Finance 1"/>
    <w:basedOn w:val="TableNormal"/>
    <w:uiPriority w:val="99"/>
    <w:rsid w:val="008C3676"/>
    <w:pPr>
      <w:spacing w:before="60" w:after="60" w:line="200" w:lineRule="atLeast"/>
    </w:pPr>
    <w:rPr>
      <w:sz w:val="16"/>
    </w:rPr>
    <w:tblPr>
      <w:tblStyleRowBandSize w:val="1"/>
      <w:tblStyleColBandSize w:val="1"/>
      <w:tblBorders>
        <w:top w:val="single" w:sz="4" w:space="0" w:color="1C1C1C" w:themeColor="text2"/>
        <w:bottom w:val="single" w:sz="4" w:space="0" w:color="1C1C1C" w:themeColor="text2"/>
        <w:insideH w:val="single" w:sz="4" w:space="0" w:color="1C1C1C" w:themeColor="text2"/>
      </w:tblBorders>
      <w:tblCellMar>
        <w:left w:w="85" w:type="dxa"/>
        <w:right w:w="85" w:type="dxa"/>
      </w:tblCellMar>
    </w:tblPr>
    <w:trPr>
      <w:cantSplit/>
    </w:trPr>
    <w:tblStylePr w:type="firstRow">
      <w:rPr>
        <w:b/>
      </w:rPr>
      <w:tblPr/>
      <w:tcPr>
        <w:shd w:val="clear" w:color="auto" w:fill="9CDBD9" w:themeFill="accent1"/>
      </w:tcPr>
    </w:tblStylePr>
    <w:tblStylePr w:type="lastRow">
      <w:tblPr/>
      <w:tcPr>
        <w:shd w:val="clear" w:color="auto" w:fill="1C1C1C" w:themeFill="text2"/>
      </w:tcPr>
    </w:tblStylePr>
    <w:tblStylePr w:type="firstCol">
      <w:tblPr/>
      <w:tcPr>
        <w:tcBorders>
          <w:insideH w:val="single" w:sz="4" w:space="0" w:color="FFFFFF" w:themeColor="background1"/>
        </w:tcBorders>
        <w:shd w:val="clear" w:color="auto" w:fill="1C1C1C" w:themeFill="text2"/>
      </w:tcPr>
    </w:tblStylePr>
    <w:tblStylePr w:type="lastCol"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E2E3E2" w:themeFill="background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2E3E2" w:themeFill="background2"/>
      </w:tcPr>
    </w:tblStylePr>
    <w:tblStylePr w:type="band2Horz">
      <w:rPr>
        <w:color w:val="auto"/>
      </w:rPr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qFormat/>
    <w:rsid w:val="00FB44AA"/>
    <w:pPr>
      <w:spacing w:before="60"/>
    </w:pPr>
    <w:rPr>
      <w:sz w:val="18"/>
    </w:rPr>
  </w:style>
  <w:style w:type="paragraph" w:customStyle="1" w:styleId="TableSourceNotes">
    <w:name w:val="Table Source Notes"/>
    <w:basedOn w:val="TableText"/>
    <w:qFormat/>
    <w:rsid w:val="00FB44AA"/>
    <w:pPr>
      <w:spacing w:before="120" w:line="240" w:lineRule="atLeast"/>
      <w:ind w:left="284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19CF"/>
    <w:pPr>
      <w:spacing w:before="0" w:after="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9C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122A"/>
    <w:rPr>
      <w:vertAlign w:val="superscript"/>
    </w:rPr>
  </w:style>
  <w:style w:type="paragraph" w:customStyle="1" w:styleId="FootnoteSeparator">
    <w:name w:val="Footnote Separator"/>
    <w:basedOn w:val="Normal"/>
    <w:qFormat/>
    <w:rsid w:val="0020122A"/>
    <w:pPr>
      <w:pBdr>
        <w:top w:val="single" w:sz="2" w:space="1" w:color="auto"/>
      </w:pBd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A6A8B"/>
    <w:rPr>
      <w:color w:val="808080"/>
    </w:rPr>
  </w:style>
  <w:style w:type="character" w:customStyle="1" w:styleId="Classification">
    <w:name w:val="Classification"/>
    <w:basedOn w:val="DefaultParagraphFont"/>
    <w:uiPriority w:val="1"/>
    <w:qFormat/>
    <w:rsid w:val="006C4DD1"/>
    <w:rPr>
      <w:b/>
      <w:caps/>
      <w:smallCaps w:val="0"/>
      <w:sz w:val="24"/>
    </w:rPr>
  </w:style>
  <w:style w:type="paragraph" w:styleId="ListParagraph">
    <w:name w:val="List Paragraph"/>
    <w:basedOn w:val="Normal"/>
    <w:uiPriority w:val="34"/>
    <w:qFormat/>
    <w:rsid w:val="0082589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BD3"/>
    <w:pPr>
      <w:pBdr>
        <w:top w:val="single" w:sz="4" w:space="10" w:color="9CDBD9" w:themeColor="accent1"/>
        <w:bottom w:val="single" w:sz="4" w:space="10" w:color="9CDBD9" w:themeColor="accent1"/>
      </w:pBdr>
      <w:spacing w:before="360" w:after="360"/>
      <w:ind w:left="864" w:right="864"/>
      <w:jc w:val="center"/>
    </w:pPr>
    <w:rPr>
      <w:i/>
      <w:iCs/>
      <w:color w:val="008672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BD3"/>
    <w:rPr>
      <w:i/>
      <w:iCs/>
      <w:color w:val="008672" w:themeColor="accent3"/>
    </w:rPr>
  </w:style>
  <w:style w:type="character" w:styleId="IntenseReference">
    <w:name w:val="Intense Reference"/>
    <w:basedOn w:val="DefaultParagraphFont"/>
    <w:uiPriority w:val="32"/>
    <w:qFormat/>
    <w:rsid w:val="00DD0DA7"/>
    <w:rPr>
      <w:b/>
      <w:bCs/>
      <w:smallCaps/>
      <w:color w:val="008672" w:themeColor="accent3"/>
      <w:spacing w:val="5"/>
    </w:rPr>
  </w:style>
  <w:style w:type="paragraph" w:customStyle="1" w:styleId="Footerstyle">
    <w:name w:val="Footer style"/>
    <w:basedOn w:val="Footer"/>
    <w:link w:val="FooterstyleChar"/>
    <w:qFormat/>
    <w:rsid w:val="00D91422"/>
    <w:pPr>
      <w:pBdr>
        <w:top w:val="single" w:sz="4" w:space="8" w:color="9CDBD9" w:themeColor="accent1"/>
      </w:pBdr>
    </w:pPr>
    <w:rPr>
      <w:noProof/>
    </w:rPr>
  </w:style>
  <w:style w:type="character" w:customStyle="1" w:styleId="FooterstyleChar">
    <w:name w:val="Footer style Char"/>
    <w:basedOn w:val="FooterChar"/>
    <w:link w:val="Footerstyle"/>
    <w:rsid w:val="00D91422"/>
    <w:rPr>
      <w:noProof/>
      <w:sz w:val="14"/>
    </w:rPr>
  </w:style>
  <w:style w:type="paragraph" w:customStyle="1" w:styleId="DOFBullet1">
    <w:name w:val="DOF_Bullet 1"/>
    <w:basedOn w:val="Normal"/>
    <w:rsid w:val="00B7368F"/>
    <w:pPr>
      <w:spacing w:before="120"/>
    </w:pPr>
  </w:style>
  <w:style w:type="paragraph" w:customStyle="1" w:styleId="DOFBullet2">
    <w:name w:val="DOF_Bullet 2"/>
    <w:basedOn w:val="DOFBullet1"/>
    <w:rsid w:val="00B7368F"/>
    <w:pPr>
      <w:numPr>
        <w:ilvl w:val="1"/>
      </w:numPr>
    </w:pPr>
  </w:style>
  <w:style w:type="paragraph" w:customStyle="1" w:styleId="DOFBullet3">
    <w:name w:val="DOF_Bullet 3"/>
    <w:basedOn w:val="DOFBullet2"/>
    <w:rsid w:val="00B7368F"/>
    <w:pPr>
      <w:numPr>
        <w:ilvl w:val="2"/>
      </w:numPr>
    </w:pPr>
  </w:style>
  <w:style w:type="paragraph" w:customStyle="1" w:styleId="DOFHeading1Numbered">
    <w:name w:val="DOF_Heading 1 Numbered"/>
    <w:basedOn w:val="Heading1"/>
    <w:next w:val="Normal"/>
    <w:rsid w:val="00B7368F"/>
  </w:style>
  <w:style w:type="paragraph" w:customStyle="1" w:styleId="DOFHeading2Numbered">
    <w:name w:val="DOF_Heading 2 Numbered"/>
    <w:basedOn w:val="Heading2"/>
    <w:next w:val="Normal"/>
    <w:rsid w:val="00B7368F"/>
    <w:rPr>
      <w:bCs/>
    </w:rPr>
  </w:style>
  <w:style w:type="paragraph" w:customStyle="1" w:styleId="DOFHeading3Numbered">
    <w:name w:val="DOF_Heading 3 Numbered"/>
    <w:basedOn w:val="Heading3"/>
    <w:next w:val="Normal"/>
    <w:rsid w:val="00B7368F"/>
    <w:rPr>
      <w:szCs w:val="22"/>
    </w:rPr>
  </w:style>
  <w:style w:type="paragraph" w:customStyle="1" w:styleId="DOFBoxedText1">
    <w:name w:val="DOF_Boxed Text 1"/>
    <w:basedOn w:val="Normal"/>
    <w:rsid w:val="00B7368F"/>
    <w:pPr>
      <w:pBdr>
        <w:top w:val="single" w:sz="4" w:space="14" w:color="EBF7F7" w:themeColor="accent1" w:themeTint="33"/>
        <w:left w:val="single" w:sz="4" w:space="14" w:color="EBF7F7" w:themeColor="accent1" w:themeTint="33"/>
        <w:bottom w:val="single" w:sz="4" w:space="14" w:color="EBF7F7" w:themeColor="accent1" w:themeTint="33"/>
        <w:right w:val="single" w:sz="4" w:space="14" w:color="EBF7F7" w:themeColor="accent1" w:themeTint="33"/>
      </w:pBdr>
      <w:shd w:val="clear" w:color="auto" w:fill="EBF7F7" w:themeFill="accent1" w:themeFillTint="33"/>
      <w:ind w:left="284" w:right="284"/>
    </w:pPr>
  </w:style>
  <w:style w:type="paragraph" w:customStyle="1" w:styleId="DOFBoxedHeading1">
    <w:name w:val="DOF_Boxed Heading 1"/>
    <w:basedOn w:val="DOFBoxedText1"/>
    <w:rsid w:val="00B7368F"/>
    <w:rPr>
      <w:b/>
      <w:sz w:val="24"/>
    </w:rPr>
  </w:style>
  <w:style w:type="paragraph" w:customStyle="1" w:styleId="DOFBoxedText2">
    <w:name w:val="DOF_Boxed Text 2"/>
    <w:basedOn w:val="DOFBoxedText1"/>
    <w:rsid w:val="00B7368F"/>
    <w:pPr>
      <w:pBdr>
        <w:top w:val="single" w:sz="4" w:space="14" w:color="9CDBD9" w:themeColor="accent1"/>
        <w:left w:val="single" w:sz="4" w:space="14" w:color="9CDBD9" w:themeColor="accent1"/>
        <w:bottom w:val="single" w:sz="4" w:space="14" w:color="9CDBD9" w:themeColor="accent1"/>
        <w:right w:val="single" w:sz="4" w:space="14" w:color="9CDBD9" w:themeColor="accent1"/>
      </w:pBdr>
      <w:shd w:val="clear" w:color="auto" w:fill="9CDBD9" w:themeFill="accent1"/>
    </w:pPr>
  </w:style>
  <w:style w:type="paragraph" w:customStyle="1" w:styleId="DOFBoxedHeading2">
    <w:name w:val="DOF_Boxed Heading 2"/>
    <w:basedOn w:val="DOFBoxedText2"/>
    <w:rsid w:val="00B7368F"/>
    <w:rPr>
      <w:b/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7A7992"/>
    <w:pPr>
      <w:suppressAutoHyphens w:val="0"/>
      <w:spacing w:before="0" w:after="0" w:line="240" w:lineRule="auto"/>
    </w:pPr>
    <w:rPr>
      <w:rFonts w:ascii="Calibri" w:eastAsia="Calibri" w:hAnsi="Calibri" w:cs="Calibri"/>
      <w:color w:val="000000"/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A7992"/>
    <w:rPr>
      <w:rFonts w:ascii="Calibri" w:eastAsia="Calibri" w:hAnsi="Calibri" w:cs="Calibri"/>
      <w:color w:val="000000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A79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622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A2B1A"/>
    <w:rPr>
      <w:color w:val="0086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3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3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35D"/>
    <w:rPr>
      <w:b/>
      <w:bCs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8335D5"/>
    <w:pPr>
      <w:spacing w:after="0" w:line="240" w:lineRule="auto"/>
    </w:pPr>
    <w:tblPr>
      <w:tblStyleRowBandSize w:val="1"/>
      <w:tblStyleColBandSize w:val="1"/>
      <w:tblBorders>
        <w:top w:val="single" w:sz="4" w:space="0" w:color="68FFE7" w:themeColor="accent3" w:themeTint="66"/>
        <w:left w:val="single" w:sz="4" w:space="0" w:color="68FFE7" w:themeColor="accent3" w:themeTint="66"/>
        <w:bottom w:val="single" w:sz="4" w:space="0" w:color="68FFE7" w:themeColor="accent3" w:themeTint="66"/>
        <w:right w:val="single" w:sz="4" w:space="0" w:color="68FFE7" w:themeColor="accent3" w:themeTint="66"/>
        <w:insideH w:val="single" w:sz="4" w:space="0" w:color="68FFE7" w:themeColor="accent3" w:themeTint="66"/>
        <w:insideV w:val="single" w:sz="4" w:space="0" w:color="68FF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DFF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FF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rba.gov.au/statistics/table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rba.gov.au/statistics/table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udget.gov.au/" TargetMode="External"/><Relationship Id="rId20" Type="http://schemas.openxmlformats.org/officeDocument/2006/relationships/hyperlink" Target="https://www.rba.gov.au/statistics/tables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budget.gov.au/" TargetMode="External"/><Relationship Id="rId23" Type="http://schemas.openxmlformats.org/officeDocument/2006/relationships/hyperlink" Target="https://www.finance.gov.au/government/managing-commonwealth-resources/commonwealth-entities-financial-statements-guide-rmg-125/4-statement-financial-position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group100.com.au/product/discount-rate-june-2026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budget.gov.au/" TargetMode="External"/><Relationship Id="rId22" Type="http://schemas.openxmlformats.org/officeDocument/2006/relationships/hyperlink" Target="https://www.legislation.gov.au/F2015L00131/latest/versions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nance.gov.au/government/superannuation/superannuation-costs-and-reports/pss-and-css-long-term-cost-reports" TargetMode="External"/><Relationship Id="rId2" Type="http://schemas.openxmlformats.org/officeDocument/2006/relationships/hyperlink" Target="https://budget.gov.au/content/bp1/index.htm" TargetMode="External"/><Relationship Id="rId1" Type="http://schemas.openxmlformats.org/officeDocument/2006/relationships/hyperlink" Target="https://www.finance.gov.au/government/managing-commonwealth-resources/structure-australian-government-public-sector/pgpa-act-flipchart-and-list" TargetMode="External"/><Relationship Id="rId5" Type="http://schemas.openxmlformats.org/officeDocument/2006/relationships/hyperlink" Target="https://www.finance.gov.au/government/managing-commonwealth-resources/structure-australian-government-public-sector/pgpa-act-flipchart-and-list" TargetMode="External"/><Relationship Id="rId4" Type="http://schemas.openxmlformats.org/officeDocument/2006/relationships/hyperlink" Target="https://www.legislation.gov.au/Series/F2015L0013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YUNZ\AppData\Local\Temp\MicrosoftEdgeDownloads\08b2a7d7-9305-4f72-be89-9f21f1c94e92\Short_Word_Template%201_Teal-Purple.dotx" TargetMode="External"/></Relationships>
</file>

<file path=word/theme/theme1.xml><?xml version="1.0" encoding="utf-8"?>
<a:theme xmlns:a="http://schemas.openxmlformats.org/drawingml/2006/main" name="Finance 1 Blue">
  <a:themeElements>
    <a:clrScheme name="Finance Teal">
      <a:dk1>
        <a:sysClr val="windowText" lastClr="000000"/>
      </a:dk1>
      <a:lt1>
        <a:sysClr val="window" lastClr="FFFFFF"/>
      </a:lt1>
      <a:dk2>
        <a:srgbClr val="1C1C1C"/>
      </a:dk2>
      <a:lt2>
        <a:srgbClr val="E2E3E2"/>
      </a:lt2>
      <a:accent1>
        <a:srgbClr val="9CDBD9"/>
      </a:accent1>
      <a:accent2>
        <a:srgbClr val="64CCC9"/>
      </a:accent2>
      <a:accent3>
        <a:srgbClr val="008672"/>
      </a:accent3>
      <a:accent4>
        <a:srgbClr val="F6EB61"/>
      </a:accent4>
      <a:accent5>
        <a:srgbClr val="85CAF0"/>
      </a:accent5>
      <a:accent6>
        <a:srgbClr val="B4B5DF"/>
      </a:accent6>
      <a:hlink>
        <a:srgbClr val="008672"/>
      </a:hlink>
      <a:folHlink>
        <a:srgbClr val="0086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inance 1 Blue" id="{F0E8012F-52C4-4285-8588-15EF98A0938A}" vid="{1F551BCA-87CD-4010-B1B7-2E689DDB7D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56E4B63DA7C60E4FB865DA55A9025C19" ma:contentTypeVersion="37" ma:contentTypeDescription="Create a new document." ma:contentTypeScope="" ma:versionID="ea88a2e49036bed376caefc7082fb33f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6f76d6a1-ce98-4a01-b99b-f2aa06952a0d" targetNamespace="http://schemas.microsoft.com/office/2006/metadata/properties" ma:root="true" ma:fieldsID="baa342c6f1ae8a048cbc29e7fe5617cf" ns1:_="" ns2:_="" ns3:_="" ns4:_="">
    <xsd:import namespace="http://schemas.microsoft.com/sharepoint/v3"/>
    <xsd:import namespace="a334ba3b-e131-42d3-95f3-2728f5a41884"/>
    <xsd:import namespace="6a7e9632-768a-49bf-85ac-c69233ab2a52"/>
    <xsd:import namespace="6f76d6a1-ce98-4a01-b99b-f2aa06952a0d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2141ea2a-3c96-46ca-8683-48bf94d5695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Accounting and Framework|05436862-e97f-4424-a21d-d4053053aa0f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2141ea2a-3c96-46ca-8683-48bf94d5695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6d6a1-ce98-4a01-b99b-f2aa0695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lcf76f155ced4ddcb4097134ff3c332f xmlns="6f76d6a1-ce98-4a01-b99b-f2aa06952a0d">
      <Terms xmlns="http://schemas.microsoft.com/office/infopath/2007/PartnerControls"/>
    </lcf76f155ced4ddcb4097134ff3c332f>
    <TaxCatchAll xmlns="a334ba3b-e131-42d3-95f3-2728f5a41884">
      <Value>71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Accounting and Framework</TermName>
          <TermId xmlns="http://schemas.microsoft.com/office/infopath/2007/PartnerControls">05436862-e97f-4424-a21d-d4053053aa0f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FIN33504-1449590144-41221</_dlc_DocId>
    <_dlc_DocIdUrl xmlns="6a7e9632-768a-49bf-85ac-c69233ab2a52">
      <Url>https://financegovau.sharepoint.com/sites/M365_DoF_50033504/_layouts/15/DocIdRedir.aspx?ID=FIN33504-1449590144-41221</Url>
      <Description>FIN33504-1449590144-41221</Description>
    </_dlc_DocIdUrl>
  </documentManagement>
</p:propertie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6B7D7D-C910-4C95-819D-95B9F88B1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8D818-8108-4266-8A50-50BFD7DCB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6f76d6a1-ce98-4a01-b99b-f2aa0695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5BC8E-C57F-4E20-89C1-EAB4E8439F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34ba3b-e131-42d3-95f3-2728f5a41884"/>
    <ds:schemaRef ds:uri="6f76d6a1-ce98-4a01-b99b-f2aa06952a0d"/>
    <ds:schemaRef ds:uri="6a7e9632-768a-49bf-85ac-c69233ab2a52"/>
  </ds:schemaRefs>
</ds:datastoreItem>
</file>

<file path=customXml/itemProps4.xml><?xml version="1.0" encoding="utf-8"?>
<ds:datastoreItem xmlns:ds="http://schemas.openxmlformats.org/officeDocument/2006/customXml" ds:itemID="{3DF5A0B9-93F7-4D2B-B41B-B32D90B3C1B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1805D9-7EE6-4ABB-8966-ECB1DF81540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F99C1EF-9EE7-41E6-B9F1-2281FE99A4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Short_Word_Template 1_Teal-Purple.dotx</Template>
  <TotalTime>807</TotalTime>
  <Pages>1</Pages>
  <Words>970</Words>
  <Characters>5426</Characters>
  <Application>Microsoft Office Word</Application>
  <DocSecurity>0</DocSecurity>
  <Lines>602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Standard_parameters_for_use_in_2025–26_financial_statements</dc:title>
  <dc:subject/>
  <dc:creator>Department of Finance</dc:creator>
  <cp:keywords>[SEC=UNOFFICIAL]</cp:keywords>
  <dc:description/>
  <cp:lastModifiedBy>Truong, Minh</cp:lastModifiedBy>
  <cp:revision>271</cp:revision>
  <cp:lastPrinted>2026-07-06T06:21:00Z</cp:lastPrinted>
  <dcterms:created xsi:type="dcterms:W3CDTF">2026-05-17T13:55:00Z</dcterms:created>
  <dcterms:modified xsi:type="dcterms:W3CDTF">2026-07-07T07:10:00Z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MSIP_Label_6af89f2f-9671-4583-84ec-9b406935fc32_SetDate">
    <vt:lpwstr>2024-11-15T05:17:42Z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MSIP_Label_6af89f2f-9671-4583-84ec-9b406935fc32_Name">
    <vt:lpwstr>UNOFFICIAL</vt:lpwstr>
  </property>
  <property fmtid="{D5CDD505-2E9C-101B-9397-08002B2CF9AE}" pid="7" name="PM_SecurityClassification">
    <vt:lpwstr>UNOFFICIAL</vt:lpwstr>
  </property>
  <property fmtid="{D5CDD505-2E9C-101B-9397-08002B2CF9AE}" pid="8" name="MSIP_Label_6af89f2f-9671-4583-84ec-9b406935fc32_Enabled">
    <vt:lpwstr>true</vt:lpwstr>
  </property>
  <property fmtid="{D5CDD505-2E9C-101B-9397-08002B2CF9AE}" pid="9" name="PM_Qualifier">
    <vt:lpwstr/>
  </property>
  <property fmtid="{D5CDD505-2E9C-101B-9397-08002B2CF9AE}" pid="10" name="PM_Note">
    <vt:lpwstr/>
  </property>
  <property fmtid="{D5CDD505-2E9C-101B-9397-08002B2CF9AE}" pid="11" name="PM_OriginationTimeStamp">
    <vt:lpwstr>2024-11-15T05:17:42Z</vt:lpwstr>
  </property>
  <property fmtid="{D5CDD505-2E9C-101B-9397-08002B2CF9AE}" pid="12" name="PM_ProtectiveMarkingValue_Header">
    <vt:lpwstr>UNOFFICIAL</vt:lpwstr>
  </property>
  <property fmtid="{D5CDD505-2E9C-101B-9397-08002B2CF9AE}" pid="13" name="PM_Markers">
    <vt:lpwstr/>
  </property>
  <property fmtid="{D5CDD505-2E9C-101B-9397-08002B2CF9AE}" pid="14" name="MSIP_Label_6af89f2f-9671-4583-84ec-9b406935fc32_SiteId">
    <vt:lpwstr>08954cee-4782-4ff6-9ad5-1997dccef4b0</vt:lpwstr>
  </property>
  <property fmtid="{D5CDD505-2E9C-101B-9397-08002B2CF9AE}" pid="15" name="MSIP_Label_6af89f2f-9671-4583-84ec-9b406935fc32_Method">
    <vt:lpwstr>Privileged</vt:lpwstr>
  </property>
  <property fmtid="{D5CDD505-2E9C-101B-9397-08002B2CF9AE}" pid="16" name="PM_Display">
    <vt:lpwstr>UNOFFICIAL</vt:lpwstr>
  </property>
  <property fmtid="{D5CDD505-2E9C-101B-9397-08002B2CF9AE}" pid="17" name="MSIP_Label_6af89f2f-9671-4583-84ec-9b406935fc32_ContentBits">
    <vt:lpwstr>3</vt:lpwstr>
  </property>
  <property fmtid="{D5CDD505-2E9C-101B-9397-08002B2CF9AE}" pid="18" name="PM_InsertionValue">
    <vt:lpwstr>UNOFFICIAL</vt:lpwstr>
  </property>
  <property fmtid="{D5CDD505-2E9C-101B-9397-08002B2CF9AE}" pid="19" name="PM_DisplayValueSecClassificationWithQualifier">
    <vt:lpwstr>UNOFFICIAL</vt:lpwstr>
  </property>
  <property fmtid="{D5CDD505-2E9C-101B-9397-08002B2CF9AE}" pid="20" name="PM_ProtectiveMarkingValue_Footer">
    <vt:lpwstr>UNOFFICIAL</vt:lpwstr>
  </property>
  <property fmtid="{D5CDD505-2E9C-101B-9397-08002B2CF9AE}" pid="21" name="PM_Originating_FileId">
    <vt:lpwstr>B1D716C70F444F8BA1449F99C53FF073</vt:lpwstr>
  </property>
  <property fmtid="{D5CDD505-2E9C-101B-9397-08002B2CF9AE}" pid="22" name="PM_ProtectiveMarkingImage_Header">
    <vt:lpwstr>C:\Program Files\Common Files\janusNET Shared\janusSEAL\Images\DocumentSlashBlue.png</vt:lpwstr>
  </property>
  <property fmtid="{D5CDD505-2E9C-101B-9397-08002B2CF9AE}" pid="23" name="PM_ProtectiveMarkingImage_Footer">
    <vt:lpwstr>C:\Program Files\Common Files\janusNET Shared\janusSEAL\Images\DocumentSlashBlue.png</vt:lpwstr>
  </property>
  <property fmtid="{D5CDD505-2E9C-101B-9397-08002B2CF9AE}" pid="24" name="PM_OriginatorDomainName_SHA256">
    <vt:lpwstr>325440F6CA31C4C3BCE4433552DC42928CAAD3E2731ABE35FDE729ECEB763AF0</vt:lpwstr>
  </property>
  <property fmtid="{D5CDD505-2E9C-101B-9397-08002B2CF9AE}" pid="25" name="PMUuid">
    <vt:lpwstr>v=2022.2;d=gov.au;g=65417EFE-F3B9-5E66-BD91-1E689FEC2EA6</vt:lpwstr>
  </property>
  <property fmtid="{D5CDD505-2E9C-101B-9397-08002B2CF9AE}" pid="26" name="PM_Hash_Version">
    <vt:lpwstr>2022.1</vt:lpwstr>
  </property>
  <property fmtid="{D5CDD505-2E9C-101B-9397-08002B2CF9AE}" pid="27" name="PM_SecurityClassification_Prev">
    <vt:lpwstr>UNOFFICIAL</vt:lpwstr>
  </property>
  <property fmtid="{D5CDD505-2E9C-101B-9397-08002B2CF9AE}" pid="28" name="PM_Qualifier_Prev">
    <vt:lpwstr/>
  </property>
  <property fmtid="{D5CDD505-2E9C-101B-9397-08002B2CF9AE}" pid="29" name="ContentTypeId">
    <vt:lpwstr>0x010100B7B479F47583304BA8B631462CC772D70056E4B63DA7C60E4FB865DA55A9025C19</vt:lpwstr>
  </property>
  <property fmtid="{D5CDD505-2E9C-101B-9397-08002B2CF9AE}" pid="30" name="TaxKeyword">
    <vt:lpwstr>71;#[SEC=UNOFFICIAL]|c5095c15-4234-4e92-adf8-afe43cfbe4c5</vt:lpwstr>
  </property>
  <property fmtid="{D5CDD505-2E9C-101B-9397-08002B2CF9AE}" pid="31" name="_dlc_DocIdItemGuid">
    <vt:lpwstr>9f2b8ac7-21c8-4c37-96a7-d9d6e7d4f777</vt:lpwstr>
  </property>
  <property fmtid="{D5CDD505-2E9C-101B-9397-08002B2CF9AE}" pid="32" name="Organisation Unit">
    <vt:lpwstr>2;#Accounting and Framework|05436862-e97f-4424-a21d-d4053053aa0f</vt:lpwstr>
  </property>
  <property fmtid="{D5CDD505-2E9C-101B-9397-08002B2CF9AE}" pid="33" name="About Entity">
    <vt:lpwstr>1;#Department of Finance|fd660e8f-8f31-49bd-92a3-d31d4da31afe</vt:lpwstr>
  </property>
  <property fmtid="{D5CDD505-2E9C-101B-9397-08002B2CF9AE}" pid="34" name="Initiating Entity">
    <vt:lpwstr>1;#Department of Finance|fd660e8f-8f31-49bd-92a3-d31d4da31afe</vt:lpwstr>
  </property>
  <property fmtid="{D5CDD505-2E9C-101B-9397-08002B2CF9AE}" pid="35" name="Organisation_x0020_Unit">
    <vt:lpwstr>2;#Accounting and Framework|05436862-e97f-4424-a21d-d4053053aa0f</vt:lpwstr>
  </property>
  <property fmtid="{D5CDD505-2E9C-101B-9397-08002B2CF9AE}" pid="36" name="MediaServiceImageTags">
    <vt:lpwstr/>
  </property>
  <property fmtid="{D5CDD505-2E9C-101B-9397-08002B2CF9AE}" pid="37" name="About_x0020_Entity">
    <vt:lpwstr>1;#Department of Finance|fd660e8f-8f31-49bd-92a3-d31d4da31afe</vt:lpwstr>
  </property>
  <property fmtid="{D5CDD505-2E9C-101B-9397-08002B2CF9AE}" pid="38" name="Function_x0020_and_x0020_Activity">
    <vt:lpwstr/>
  </property>
  <property fmtid="{D5CDD505-2E9C-101B-9397-08002B2CF9AE}" pid="39" name="Initiating_x0020_Entity">
    <vt:lpwstr>1;#Department of Finance|fd660e8f-8f31-49bd-92a3-d31d4da31afe</vt:lpwstr>
  </property>
  <property fmtid="{D5CDD505-2E9C-101B-9397-08002B2CF9AE}" pid="40" name="Function and Activity">
    <vt:lpwstr/>
  </property>
  <property fmtid="{D5CDD505-2E9C-101B-9397-08002B2CF9AE}" pid="41" name="PM_Expires">
    <vt:lpwstr/>
  </property>
  <property fmtid="{D5CDD505-2E9C-101B-9397-08002B2CF9AE}" pid="42" name="PM_DownTo">
    <vt:lpwstr/>
  </property>
  <property fmtid="{D5CDD505-2E9C-101B-9397-08002B2CF9AE}" pid="43" name="PMHMAC">
    <vt:lpwstr>v=2022.1;a=SHA256;h=F8AD29B6626E8640366F4EEBCF95295A483B3FF4EA67EF5E1481C5CD51D359DD</vt:lpwstr>
  </property>
  <property fmtid="{D5CDD505-2E9C-101B-9397-08002B2CF9AE}" pid="44" name="MSIP_Label_6af89f2f-9671-4583-84ec-9b406935fc32_ActionId">
    <vt:lpwstr>c67ab28472d14dbeb8c70096978ddce9</vt:lpwstr>
  </property>
  <property fmtid="{D5CDD505-2E9C-101B-9397-08002B2CF9AE}" pid="45" name="PM_Originator_Hash_SHA1">
    <vt:lpwstr>C4E8576B6510B1FB5DEF9BBC04AB3A64E004CBD8</vt:lpwstr>
  </property>
  <property fmtid="{D5CDD505-2E9C-101B-9397-08002B2CF9AE}" pid="46" name="PM_OriginatorUserAccountName_SHA256">
    <vt:lpwstr>3F9C3930C95A80FE14E5E569A96906FECB80D374DD6F0E6814A1821B290CD60B</vt:lpwstr>
  </property>
  <property fmtid="{D5CDD505-2E9C-101B-9397-08002B2CF9AE}" pid="47" name="PM_Hash_Salt_Prev">
    <vt:lpwstr>BCBCD518FE202F97AC8FFD4151F9CBFD</vt:lpwstr>
  </property>
  <property fmtid="{D5CDD505-2E9C-101B-9397-08002B2CF9AE}" pid="48" name="PM_Hash_Salt">
    <vt:lpwstr>45D3635652C61E698F86A8D63BDD6022</vt:lpwstr>
  </property>
  <property fmtid="{D5CDD505-2E9C-101B-9397-08002B2CF9AE}" pid="49" name="PM_Hash_SHA1">
    <vt:lpwstr>8666BE55B65A746D385AA818DF89A5718A926AD2</vt:lpwstr>
  </property>
</Properties>
</file>