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40216" w14:textId="2D7A2DFA" w:rsidR="00B770C4" w:rsidRPr="00EA125B" w:rsidRDefault="00665EBF" w:rsidP="00645300">
      <w:pPr>
        <w:pStyle w:val="Title"/>
      </w:pPr>
      <w:bookmarkStart w:id="0" w:name="_Toc53573191"/>
      <w:bookmarkStart w:id="1" w:name="_Toc53573619"/>
      <w:r w:rsidRPr="00EA125B">
        <w:rPr>
          <w:noProof/>
        </w:rPr>
        <w:drawing>
          <wp:anchor distT="0" distB="0" distL="114300" distR="114300" simplePos="0" relativeHeight="251658240" behindDoc="1" locked="0" layoutInCell="1" allowOverlap="1" wp14:anchorId="4F56D948" wp14:editId="66E073CA">
            <wp:simplePos x="0" y="0"/>
            <wp:positionH relativeFrom="page">
              <wp:align>left</wp:align>
            </wp:positionH>
            <wp:positionV relativeFrom="paragraph">
              <wp:posOffset>-900431</wp:posOffset>
            </wp:positionV>
            <wp:extent cx="7558587" cy="2346820"/>
            <wp:effectExtent l="0" t="0" r="4445"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58587" cy="2346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96ECB" w:rsidRPr="00EA125B">
        <w:t>Changes to Accounting Standards</w:t>
      </w:r>
    </w:p>
    <w:p w14:paraId="0030BE7E" w14:textId="38D85493" w:rsidR="00645300" w:rsidRPr="00EA125B" w:rsidRDefault="0083612C" w:rsidP="00645300">
      <w:pPr>
        <w:pStyle w:val="Title"/>
      </w:pPr>
      <w:r w:rsidRPr="00EA125B">
        <w:t>Relevant to 2025–26 Financial Statements</w:t>
      </w:r>
    </w:p>
    <w:p w14:paraId="6908999A" w14:textId="179325A3" w:rsidR="00B770C4" w:rsidRPr="00EA125B" w:rsidRDefault="0083612C" w:rsidP="00645300">
      <w:pPr>
        <w:pStyle w:val="Subtitle"/>
      </w:pPr>
      <w:r w:rsidRPr="00EA125B">
        <w:t xml:space="preserve">As </w:t>
      </w:r>
      <w:proofErr w:type="gramStart"/>
      <w:r w:rsidRPr="00EA125B">
        <w:t>at</w:t>
      </w:r>
      <w:proofErr w:type="gramEnd"/>
      <w:r w:rsidRPr="00EA125B">
        <w:t xml:space="preserve"> 30 June 2026</w:t>
      </w:r>
    </w:p>
    <w:p w14:paraId="16A58A2E" w14:textId="77777777" w:rsidR="00286182" w:rsidRPr="00291913" w:rsidRDefault="00286182" w:rsidP="00286182">
      <w:pPr>
        <w:pStyle w:val="Heading1"/>
        <w:rPr>
          <w:color w:val="auto"/>
        </w:rPr>
      </w:pPr>
      <w:r w:rsidRPr="00291913">
        <w:rPr>
          <w:color w:val="auto"/>
        </w:rPr>
        <w:t>Audience</w:t>
      </w:r>
    </w:p>
    <w:p w14:paraId="67B2CA85" w14:textId="19212D74" w:rsidR="00286182" w:rsidRPr="00EA125B" w:rsidRDefault="00286182" w:rsidP="00286182">
      <w:r w:rsidRPr="00EA125B">
        <w:t>This document is relevant to Chief Financial Officers and officers of Commonwealth entities responsible for preparing 202</w:t>
      </w:r>
      <w:r w:rsidR="00DC5FB4" w:rsidRPr="00D44DD3">
        <w:t>5</w:t>
      </w:r>
      <w:r w:rsidRPr="00EA125B">
        <w:t>–2</w:t>
      </w:r>
      <w:r w:rsidR="00DC5FB4" w:rsidRPr="00EA125B">
        <w:t>6</w:t>
      </w:r>
      <w:r w:rsidRPr="00EA125B">
        <w:t xml:space="preserve"> financial statements. </w:t>
      </w:r>
    </w:p>
    <w:p w14:paraId="511038EA" w14:textId="77777777" w:rsidR="00286182" w:rsidRPr="00291913" w:rsidRDefault="00286182" w:rsidP="00286182">
      <w:pPr>
        <w:pStyle w:val="Heading2"/>
        <w:rPr>
          <w:color w:val="auto"/>
          <w:sz w:val="40"/>
          <w:szCs w:val="40"/>
        </w:rPr>
      </w:pPr>
      <w:proofErr w:type="gramStart"/>
      <w:r w:rsidRPr="00291913">
        <w:rPr>
          <w:color w:val="auto"/>
          <w:sz w:val="40"/>
          <w:szCs w:val="40"/>
        </w:rPr>
        <w:t>At a glance</w:t>
      </w:r>
      <w:proofErr w:type="gramEnd"/>
    </w:p>
    <w:p w14:paraId="766458B9" w14:textId="28D97DFA" w:rsidR="00286182" w:rsidRPr="00291913" w:rsidRDefault="00286182" w:rsidP="00286182">
      <w:pPr>
        <w:rPr>
          <w:rStyle w:val="Hyperlink"/>
          <w:rFonts w:ascii="Arial" w:hAnsi="Arial" w:cs="Arial"/>
          <w:u w:val="none"/>
          <w:lang w:val="en-US"/>
        </w:rPr>
      </w:pPr>
      <w:r w:rsidRPr="00EA125B">
        <w:t>This document provides an overview of changes to Australian Accounting Standards (AAS) and AAS interpretations that were issued up until 30 June 202</w:t>
      </w:r>
      <w:r w:rsidR="00DC5FB4" w:rsidRPr="00EA125B">
        <w:t>6</w:t>
      </w:r>
      <w:r w:rsidRPr="00EA125B">
        <w:t>. Entities must consider further AAS issued after this date up until the sign-off date of their financial statements (</w:t>
      </w:r>
      <w:r w:rsidRPr="00EA125B">
        <w:rPr>
          <w:rFonts w:ascii="Arial" w:hAnsi="Arial" w:cs="Arial"/>
        </w:rPr>
        <w:t>useful link:</w:t>
      </w:r>
      <w:r w:rsidRPr="00EA125B">
        <w:rPr>
          <w:rFonts w:ascii="Arial" w:hAnsi="Arial" w:cs="Arial"/>
          <w:lang w:val="en-US"/>
        </w:rPr>
        <w:t xml:space="preserve"> </w:t>
      </w:r>
      <w:hyperlink r:id="rId14" w:history="1">
        <w:r w:rsidRPr="00291913">
          <w:rPr>
            <w:rStyle w:val="Hyperlink"/>
            <w:rFonts w:ascii="Arial" w:hAnsi="Arial" w:cs="Arial"/>
            <w:lang w:val="en-US"/>
          </w:rPr>
          <w:t>Australian Accounting Standards Board (AASB) Latest News</w:t>
        </w:r>
      </w:hyperlink>
      <w:r w:rsidRPr="00291913">
        <w:rPr>
          <w:rFonts w:ascii="Arial" w:hAnsi="Arial" w:cs="Arial"/>
          <w:lang w:val="en-US"/>
        </w:rPr>
        <w:t>).</w:t>
      </w:r>
    </w:p>
    <w:p w14:paraId="02ACAABF" w14:textId="77777777" w:rsidR="00286182" w:rsidRPr="00EA125B" w:rsidRDefault="00286182" w:rsidP="00291913">
      <w:pPr>
        <w:pStyle w:val="Bullet1"/>
      </w:pPr>
      <w:r w:rsidRPr="00EA125B">
        <w:t xml:space="preserve">Entities are required to assess the impact of these changes on their financial statements and make appropriate disclosures in the ‘Overview’ note of their financial statements in accordance with AASB 108 </w:t>
      </w:r>
      <w:r w:rsidRPr="00EA125B">
        <w:rPr>
          <w:i/>
          <w:iCs/>
        </w:rPr>
        <w:t xml:space="preserve">Accounting Policies, Changes in Accounting Estimates and Errors </w:t>
      </w:r>
      <w:r w:rsidRPr="00EA125B">
        <w:rPr>
          <w:iCs/>
        </w:rPr>
        <w:t>and</w:t>
      </w:r>
      <w:r w:rsidRPr="00EA125B">
        <w:rPr>
          <w:i/>
          <w:iCs/>
        </w:rPr>
        <w:t xml:space="preserve"> </w:t>
      </w:r>
      <w:r w:rsidRPr="00EA125B">
        <w:rPr>
          <w:iCs/>
        </w:rPr>
        <w:t>AASB 1060</w:t>
      </w:r>
      <w:r w:rsidRPr="00EA125B">
        <w:rPr>
          <w:i/>
          <w:iCs/>
        </w:rPr>
        <w:t xml:space="preserve"> General Purpose Financial Statements – Simplified Disclosures for For-Profit and Not-for-Profit Tier 2 Entities.</w:t>
      </w:r>
    </w:p>
    <w:p w14:paraId="351F067A" w14:textId="77777777" w:rsidR="00286182" w:rsidRPr="00EA125B" w:rsidRDefault="00286182" w:rsidP="00291913">
      <w:pPr>
        <w:pStyle w:val="Bullet1"/>
      </w:pPr>
      <w:r w:rsidRPr="00EA125B">
        <w:t>Under AASB 108 and AASB 1060, entities are required to make:</w:t>
      </w:r>
    </w:p>
    <w:p w14:paraId="02484CCB" w14:textId="77777777" w:rsidR="00286182" w:rsidRPr="00EA125B" w:rsidRDefault="00286182" w:rsidP="00291913">
      <w:pPr>
        <w:pStyle w:val="Bullet2"/>
      </w:pPr>
      <w:r w:rsidRPr="00EA125B">
        <w:t>individual disclosures of new AAS that have had, or are expected to have, a material effect on their financial statements; and/or</w:t>
      </w:r>
    </w:p>
    <w:p w14:paraId="2AB6C364" w14:textId="77777777" w:rsidR="00286182" w:rsidRPr="00EA125B" w:rsidRDefault="00286182" w:rsidP="00291913">
      <w:pPr>
        <w:pStyle w:val="Bullet2"/>
      </w:pPr>
      <w:r w:rsidRPr="00EA125B">
        <w:t>a general statement regarding new AAS that do not have a material effect on their financial statements. The ‘Overview’ note in the Primary Reporting and Information Management Aid (PRIMA) template provides a suggested format for the disclosure.</w:t>
      </w:r>
    </w:p>
    <w:p w14:paraId="40729D49" w14:textId="3AC2BA8F" w:rsidR="00286182" w:rsidRPr="00EA125B" w:rsidRDefault="00286182" w:rsidP="00291913">
      <w:pPr>
        <w:pStyle w:val="Bullet1"/>
      </w:pPr>
      <w:r w:rsidRPr="00EA125B">
        <w:t xml:space="preserve">Entities must be able to demonstrate and provide evidence that they have </w:t>
      </w:r>
      <w:r w:rsidRPr="00EA125B">
        <w:rPr>
          <w:i/>
          <w:iCs/>
        </w:rPr>
        <w:t>considered</w:t>
      </w:r>
      <w:r w:rsidRPr="00EA125B">
        <w:t xml:space="preserve"> the impact of each new AAS. The information provided in this document can be used as a starting point in this process.</w:t>
      </w:r>
    </w:p>
    <w:p w14:paraId="5518187A" w14:textId="27F64E52" w:rsidR="00635549" w:rsidRPr="00EA125B" w:rsidRDefault="00635549" w:rsidP="00291913">
      <w:pPr>
        <w:pStyle w:val="Boxed1Text"/>
      </w:pPr>
      <w:r w:rsidRPr="00EA125B">
        <w:t xml:space="preserve">Copies of the latest AAS, AAS interpretations and amending pronouncements can be downloaded from the </w:t>
      </w:r>
      <w:hyperlink r:id="rId15" w:history="1">
        <w:r w:rsidRPr="00EA125B">
          <w:rPr>
            <w:rStyle w:val="Hyperlink"/>
            <w:rFonts w:cstheme="minorBidi"/>
          </w:rPr>
          <w:t>AASB website</w:t>
        </w:r>
      </w:hyperlink>
      <w:r w:rsidRPr="00EA125B">
        <w:t>.</w:t>
      </w:r>
    </w:p>
    <w:p w14:paraId="7163C6E2" w14:textId="1E111996" w:rsidR="00286182" w:rsidRPr="00EA125B" w:rsidRDefault="00286182" w:rsidP="00286182">
      <w:r w:rsidRPr="00EA125B">
        <w:t xml:space="preserve">The Commonwealth Climate Disclosure policy requires Commonwealth entities and companies to report their climate risks and opportunities and actions to manage them. </w:t>
      </w:r>
      <w:hyperlink r:id="rId16" w:history="1"/>
      <w:r w:rsidRPr="00EA125B">
        <w:t xml:space="preserve"> Mandatory climate disclosures in annual reporting are being phased in. Entities should refer to the </w:t>
      </w:r>
      <w:hyperlink r:id="rId17" w:history="1">
        <w:r w:rsidR="000907F9" w:rsidRPr="00EA125B">
          <w:rPr>
            <w:rStyle w:val="Hyperlink"/>
            <w:rFonts w:cstheme="minorBidi"/>
          </w:rPr>
          <w:t>Commonwealth Climate Disclosure</w:t>
        </w:r>
      </w:hyperlink>
      <w:r w:rsidRPr="00EA125B">
        <w:t xml:space="preserve"> to determine requirements and timelines applicable to them.</w:t>
      </w:r>
    </w:p>
    <w:p w14:paraId="1BD1CFD4" w14:textId="110F5853" w:rsidR="00286182" w:rsidRPr="00EA125B" w:rsidRDefault="00286182" w:rsidP="00286182">
      <w:r w:rsidRPr="00EA125B">
        <w:lastRenderedPageBreak/>
        <w:t xml:space="preserve">Enquiries about climate disclosure, emissions reporting and the APS Net Zero by 2030 target should be directed to the </w:t>
      </w:r>
      <w:hyperlink r:id="rId18">
        <w:r w:rsidRPr="00EA125B">
          <w:rPr>
            <w:rStyle w:val="Hyperlink"/>
            <w:rFonts w:cstheme="minorBidi"/>
          </w:rPr>
          <w:t>Climate Action in Government Operations</w:t>
        </w:r>
      </w:hyperlink>
      <w:r w:rsidRPr="00EA125B">
        <w:t xml:space="preserve"> Unit at </w:t>
      </w:r>
      <w:hyperlink r:id="rId19">
        <w:r w:rsidRPr="00EA125B">
          <w:rPr>
            <w:rStyle w:val="Hyperlink"/>
          </w:rPr>
          <w:t>climateaction@finance.gov.au</w:t>
        </w:r>
      </w:hyperlink>
      <w:r w:rsidRPr="00EA125B">
        <w:t>.</w:t>
      </w:r>
    </w:p>
    <w:p w14:paraId="5B1EB814" w14:textId="77777777" w:rsidR="00286182" w:rsidRPr="00EA125B" w:rsidRDefault="00286182" w:rsidP="00286182">
      <w:pPr>
        <w:pStyle w:val="Boxed2Text"/>
      </w:pPr>
      <w:r w:rsidRPr="00EA125B">
        <w:t xml:space="preserve">For further information, please email </w:t>
      </w:r>
      <w:hyperlink r:id="rId20" w:history="1">
        <w:r w:rsidRPr="00EA125B">
          <w:rPr>
            <w:rStyle w:val="Hyperlink"/>
            <w:rFonts w:cstheme="minorBidi"/>
          </w:rPr>
          <w:t>accountingpolicy@finance.gov.au</w:t>
        </w:r>
      </w:hyperlink>
    </w:p>
    <w:p w14:paraId="4488BCB8" w14:textId="77777777" w:rsidR="00286182" w:rsidRPr="00291913" w:rsidRDefault="00286182" w:rsidP="00286182">
      <w:pPr>
        <w:pStyle w:val="Heading1"/>
        <w:rPr>
          <w:color w:val="auto"/>
        </w:rPr>
      </w:pPr>
      <w:r w:rsidRPr="00291913">
        <w:rPr>
          <w:color w:val="auto"/>
        </w:rPr>
        <w:t>Changes to Accounting Standards</w:t>
      </w:r>
    </w:p>
    <w:p w14:paraId="4CBCB66F" w14:textId="12AD1C6F" w:rsidR="00286182" w:rsidRPr="009A1025" w:rsidRDefault="00286182" w:rsidP="00291913">
      <w:pPr>
        <w:pStyle w:val="Heading2"/>
      </w:pPr>
      <w:r w:rsidRPr="00291913">
        <w:rPr>
          <w:color w:val="auto"/>
        </w:rPr>
        <w:t>Changes applicable to the 202</w:t>
      </w:r>
      <w:r w:rsidR="00EE09BF" w:rsidRPr="00291913">
        <w:rPr>
          <w:color w:val="auto"/>
        </w:rPr>
        <w:t>5</w:t>
      </w:r>
      <w:r w:rsidRPr="00291913">
        <w:rPr>
          <w:color w:val="auto"/>
        </w:rPr>
        <w:t>–2</w:t>
      </w:r>
      <w:r w:rsidR="00EE09BF" w:rsidRPr="00291913">
        <w:rPr>
          <w:color w:val="auto"/>
        </w:rPr>
        <w:t>6</w:t>
      </w:r>
      <w:r w:rsidRPr="00291913">
        <w:rPr>
          <w:color w:val="auto"/>
        </w:rPr>
        <w:t xml:space="preserve"> financial year</w:t>
      </w:r>
    </w:p>
    <w:p w14:paraId="7EAFA71F" w14:textId="2DCB8755" w:rsidR="00286182" w:rsidRPr="00EA125B" w:rsidRDefault="00286182" w:rsidP="00286182">
      <w:pPr>
        <w:jc w:val="both"/>
      </w:pPr>
      <w:r w:rsidRPr="00EA125B">
        <w:t>New AASB pronouncements and changes to AAS relating to the 202</w:t>
      </w:r>
      <w:r w:rsidR="00EE09BF" w:rsidRPr="00EA125B">
        <w:t>5</w:t>
      </w:r>
      <w:r w:rsidRPr="00EA125B">
        <w:t>–2</w:t>
      </w:r>
      <w:r w:rsidR="00EE09BF" w:rsidRPr="00EA125B">
        <w:t>6</w:t>
      </w:r>
      <w:r w:rsidRPr="00EA125B">
        <w:t xml:space="preserve"> financial year are provided in </w:t>
      </w:r>
      <w:r w:rsidRPr="00EA125B">
        <w:rPr>
          <w:u w:val="single"/>
        </w:rPr>
        <w:t>Attachment A – Table A</w:t>
      </w:r>
      <w:r w:rsidRPr="00EA125B">
        <w:t xml:space="preserve">. The likely impact of a new or amending accounting standard on a Commonwealth entity’s financial statements is indicated with an ‘X’ in </w:t>
      </w:r>
      <w:r w:rsidRPr="00EA125B">
        <w:rPr>
          <w:u w:val="single"/>
        </w:rPr>
        <w:t>Attachment A – Table A</w:t>
      </w:r>
      <w:r w:rsidRPr="00EA125B">
        <w:t>.</w:t>
      </w:r>
    </w:p>
    <w:p w14:paraId="33AB588F" w14:textId="77777777" w:rsidR="00286182" w:rsidRPr="00EA125B" w:rsidRDefault="00286182" w:rsidP="00286182">
      <w:r w:rsidRPr="00EA125B">
        <w:t xml:space="preserve">Commonwealth entities are required to individually assess the likely impacts of new and/or revised accounting standards, taking into consideration how changes to AAS impact their </w:t>
      </w:r>
      <w:proofErr w:type="gramStart"/>
      <w:r w:rsidRPr="00EA125B">
        <w:t>particular circumstances</w:t>
      </w:r>
      <w:proofErr w:type="gramEnd"/>
      <w:r w:rsidRPr="00EA125B">
        <w:t xml:space="preserve"> and business operations.  Entities should also consider the impacts of the consequential amendments in the preparation of their ‘Overview’ note.</w:t>
      </w:r>
    </w:p>
    <w:p w14:paraId="4F712902" w14:textId="77777777" w:rsidR="00286182" w:rsidRPr="009A1025" w:rsidRDefault="00286182" w:rsidP="00291913">
      <w:pPr>
        <w:pStyle w:val="Heading2"/>
      </w:pPr>
      <w:r w:rsidRPr="00291913">
        <w:rPr>
          <w:color w:val="auto"/>
        </w:rPr>
        <w:t>Changes applicable to future reporting periods</w:t>
      </w:r>
    </w:p>
    <w:p w14:paraId="433F215F" w14:textId="2DABFE7C" w:rsidR="00286182" w:rsidRPr="00EA125B" w:rsidRDefault="00286182" w:rsidP="00286182">
      <w:r w:rsidRPr="00EA125B">
        <w:t>The new and amending pronouncements relevant to reporting periods beyond the 202</w:t>
      </w:r>
      <w:r w:rsidR="00EA4B94" w:rsidRPr="00EA125B">
        <w:t>5</w:t>
      </w:r>
      <w:r w:rsidRPr="00EA125B">
        <w:t>–2</w:t>
      </w:r>
      <w:r w:rsidR="00EA4B94" w:rsidRPr="00EA125B">
        <w:t>6</w:t>
      </w:r>
      <w:r w:rsidRPr="00EA125B">
        <w:t xml:space="preserve"> financial year are provided in </w:t>
      </w:r>
      <w:r w:rsidRPr="00EA125B">
        <w:rPr>
          <w:u w:val="single"/>
        </w:rPr>
        <w:t>Attachment A – Table B</w:t>
      </w:r>
      <w:r w:rsidRPr="00EA125B">
        <w:t>.</w:t>
      </w:r>
    </w:p>
    <w:p w14:paraId="67F005B6" w14:textId="77777777" w:rsidR="00286182" w:rsidRPr="00EA125B" w:rsidRDefault="00286182" w:rsidP="00286182">
      <w:r w:rsidRPr="00EA125B">
        <w:t xml:space="preserve">Tier 2 reporting entities are not required to disclose in their entity financial statements the details of new AAS that have been issued but are not yet effective, however entities need to be aware of changes to AAS affecting future years. </w:t>
      </w:r>
    </w:p>
    <w:p w14:paraId="7E180CE7" w14:textId="77777777" w:rsidR="00286182" w:rsidRPr="009A1025" w:rsidRDefault="00286182" w:rsidP="00291913">
      <w:pPr>
        <w:pStyle w:val="Heading2"/>
      </w:pPr>
      <w:r w:rsidRPr="00291913">
        <w:rPr>
          <w:color w:val="auto"/>
        </w:rPr>
        <w:t>Summary of new and amending pronouncements</w:t>
      </w:r>
    </w:p>
    <w:p w14:paraId="7BB3E86F" w14:textId="78CEB683" w:rsidR="00286182" w:rsidRPr="00EA125B" w:rsidRDefault="00286182" w:rsidP="00286182">
      <w:r w:rsidRPr="00EA125B">
        <w:rPr>
          <w:u w:val="single"/>
        </w:rPr>
        <w:t>Attachment B</w:t>
      </w:r>
      <w:r w:rsidRPr="00EA125B">
        <w:t xml:space="preserve"> provides a summary of the potential impact for Commonwealth reporting entities of new and amending pronouncements relating to the 202</w:t>
      </w:r>
      <w:r w:rsidR="00650CA0" w:rsidRPr="00EA125B">
        <w:t>5</w:t>
      </w:r>
      <w:r w:rsidRPr="00EA125B">
        <w:t>–2</w:t>
      </w:r>
      <w:r w:rsidR="00650CA0" w:rsidRPr="00EA125B">
        <w:t>6</w:t>
      </w:r>
      <w:r w:rsidRPr="00EA125B">
        <w:t xml:space="preserve"> and future financial years that is listed in </w:t>
      </w:r>
      <w:r w:rsidRPr="00EA125B">
        <w:rPr>
          <w:u w:val="single"/>
        </w:rPr>
        <w:t>Attachment A – Table A</w:t>
      </w:r>
      <w:r w:rsidRPr="00EA125B">
        <w:t xml:space="preserve"> and </w:t>
      </w:r>
      <w:r w:rsidRPr="00EA125B">
        <w:rPr>
          <w:u w:val="single"/>
        </w:rPr>
        <w:t>Table B</w:t>
      </w:r>
      <w:r w:rsidRPr="00EA125B">
        <w:t xml:space="preserve">.  </w:t>
      </w:r>
    </w:p>
    <w:p w14:paraId="3FE8E788" w14:textId="0E79E1CA" w:rsidR="00286182" w:rsidRPr="00EA125B" w:rsidRDefault="00286182" w:rsidP="00291913">
      <w:pPr>
        <w:pStyle w:val="Boxed2Text"/>
      </w:pPr>
      <w:r w:rsidRPr="00291913">
        <w:rPr>
          <w:b/>
          <w:bCs/>
        </w:rPr>
        <w:t>Note</w:t>
      </w:r>
      <w:r w:rsidR="00EB5721" w:rsidRPr="00291913">
        <w:rPr>
          <w:b/>
          <w:bCs/>
        </w:rPr>
        <w:t>:</w:t>
      </w:r>
      <w:r w:rsidR="00EB5721" w:rsidRPr="00EA125B">
        <w:t xml:space="preserve"> T</w:t>
      </w:r>
      <w:r w:rsidRPr="00EA125B">
        <w:t xml:space="preserve">he expected application date for new or amending pronouncements for Commonwealth entities subject to the </w:t>
      </w:r>
      <w:hyperlink r:id="rId21" w:history="1">
        <w:r w:rsidRPr="000F0B40">
          <w:rPr>
            <w:rStyle w:val="Hyperlink"/>
            <w:rFonts w:cstheme="minorBidi"/>
          </w:rPr>
          <w:t>Public Governance, Performance and Accountability (Financial Reporting) Rule 2015</w:t>
        </w:r>
      </w:hyperlink>
      <w:r w:rsidRPr="00EA125B">
        <w:t xml:space="preserve"> (FRR) is usually 1 July of the year in which the pronouncement commences, unless the Finance delegate approves its early adoption. </w:t>
      </w:r>
    </w:p>
    <w:p w14:paraId="650713F6" w14:textId="77777777" w:rsidR="00286182" w:rsidRPr="00EA125B" w:rsidRDefault="00286182" w:rsidP="00291913">
      <w:pPr>
        <w:pStyle w:val="Boxed2Text"/>
      </w:pPr>
      <w:r w:rsidRPr="00EA125B">
        <w:t>For example, for a pronouncement that applies to reporting periods commencing on or after 1 January 202X, that pronouncement will apply to Commonwealth entities from 1 July 202X.</w:t>
      </w:r>
    </w:p>
    <w:p w14:paraId="5B95B01D" w14:textId="13CFDA6E" w:rsidR="00286182" w:rsidRPr="00EA125B" w:rsidRDefault="00286182" w:rsidP="00291913">
      <w:pPr>
        <w:pStyle w:val="Boxed2Text"/>
      </w:pPr>
      <w:r w:rsidRPr="00EA125B">
        <w:t>Early adoption requirements are provided in section 19 of the</w:t>
      </w:r>
      <w:r w:rsidR="00E710BC" w:rsidRPr="00EA125B">
        <w:t xml:space="preserve"> FRR</w:t>
      </w:r>
      <w:r w:rsidRPr="00EA125B">
        <w:t xml:space="preserve">.  </w:t>
      </w:r>
    </w:p>
    <w:p w14:paraId="51E77E2F" w14:textId="77777777" w:rsidR="003E61DB" w:rsidRPr="00291913" w:rsidRDefault="003E61DB" w:rsidP="00291913">
      <w:pPr>
        <w:pStyle w:val="Heading2"/>
        <w:rPr>
          <w:color w:val="auto"/>
        </w:rPr>
      </w:pPr>
      <w:r w:rsidRPr="00291913">
        <w:rPr>
          <w:color w:val="auto"/>
        </w:rPr>
        <w:lastRenderedPageBreak/>
        <w:t>Attachment A</w:t>
      </w:r>
    </w:p>
    <w:p w14:paraId="38E0AD8A" w14:textId="7511B21C" w:rsidR="003E61DB" w:rsidRDefault="003E61DB" w:rsidP="00291913">
      <w:pPr>
        <w:pStyle w:val="Heading3"/>
        <w:rPr>
          <w:color w:val="auto"/>
        </w:rPr>
      </w:pPr>
      <w:r w:rsidRPr="00291913">
        <w:rPr>
          <w:color w:val="auto"/>
        </w:rPr>
        <w:t>Table A: 202</w:t>
      </w:r>
      <w:r w:rsidR="00430CF5" w:rsidRPr="00291913">
        <w:rPr>
          <w:color w:val="auto"/>
        </w:rPr>
        <w:t>5</w:t>
      </w:r>
      <w:r w:rsidRPr="00291913">
        <w:rPr>
          <w:color w:val="auto"/>
        </w:rPr>
        <w:t>–2</w:t>
      </w:r>
      <w:r w:rsidR="00430CF5" w:rsidRPr="00291913">
        <w:rPr>
          <w:color w:val="auto"/>
        </w:rPr>
        <w:t>6</w:t>
      </w:r>
      <w:r w:rsidRPr="00291913">
        <w:rPr>
          <w:color w:val="auto"/>
        </w:rPr>
        <w:t xml:space="preserve"> Financial Year</w:t>
      </w:r>
    </w:p>
    <w:p w14:paraId="676ACCE6" w14:textId="039414BC" w:rsidR="00495BCE" w:rsidRDefault="00BB5843" w:rsidP="003115CA">
      <w:pPr>
        <w:spacing w:after="120"/>
        <w:rPr>
          <w:b/>
          <w:bCs/>
        </w:rPr>
      </w:pPr>
      <w:r w:rsidRPr="003115CA">
        <w:rPr>
          <w:b/>
          <w:bCs/>
        </w:rPr>
        <w:t>New Accounting Standards</w:t>
      </w:r>
    </w:p>
    <w:tbl>
      <w:tblPr>
        <w:tblStyle w:val="TableGrid2"/>
        <w:tblW w:w="5000" w:type="pct"/>
        <w:tblLook w:val="04A0" w:firstRow="1" w:lastRow="0" w:firstColumn="1" w:lastColumn="0" w:noHBand="0" w:noVBand="1"/>
      </w:tblPr>
      <w:tblGrid>
        <w:gridCol w:w="7083"/>
        <w:gridCol w:w="1977"/>
      </w:tblGrid>
      <w:tr w:rsidR="00BB5843" w:rsidRPr="00EA125B" w14:paraId="4931BCCD" w14:textId="77777777" w:rsidTr="003115CA">
        <w:trPr>
          <w:trHeight w:val="400"/>
          <w:tblHeader/>
        </w:trPr>
        <w:tc>
          <w:tcPr>
            <w:tcW w:w="3909" w:type="pct"/>
            <w:shd w:val="clear" w:color="auto" w:fill="56C2BE" w:themeFill="accent1" w:themeFillShade="BF"/>
          </w:tcPr>
          <w:p w14:paraId="4D9269CD" w14:textId="48F190C9" w:rsidR="00BB5843" w:rsidRPr="001F6828" w:rsidRDefault="00BB5843" w:rsidP="001F6828">
            <w:pPr>
              <w:keepNext/>
              <w:suppressAutoHyphens w:val="0"/>
              <w:spacing w:before="120" w:after="120" w:line="220" w:lineRule="atLeast"/>
              <w:ind w:left="96" w:right="96"/>
              <w:rPr>
                <w:rFonts w:ascii="Arial" w:eastAsia="Times New Roman" w:hAnsi="Arial" w:cs="Times New Roman"/>
                <w:b/>
                <w:bCs/>
                <w:sz w:val="20"/>
                <w:szCs w:val="20"/>
              </w:rPr>
            </w:pPr>
            <w:r w:rsidRPr="001F6828">
              <w:rPr>
                <w:rFonts w:ascii="Arial" w:eastAsia="Times New Roman" w:hAnsi="Arial" w:cs="Times New Roman"/>
                <w:b/>
                <w:bCs/>
                <w:sz w:val="20"/>
                <w:szCs w:val="20"/>
              </w:rPr>
              <w:t>New/amend</w:t>
            </w:r>
            <w:r w:rsidR="00C43215" w:rsidRPr="001F6828">
              <w:rPr>
                <w:rFonts w:ascii="Arial" w:eastAsia="Times New Roman" w:hAnsi="Arial" w:cs="Times New Roman"/>
                <w:b/>
                <w:bCs/>
                <w:sz w:val="20"/>
                <w:szCs w:val="20"/>
              </w:rPr>
              <w:t>ing</w:t>
            </w:r>
            <w:r w:rsidRPr="001F6828">
              <w:rPr>
                <w:rFonts w:ascii="Arial" w:eastAsia="Times New Roman" w:hAnsi="Arial" w:cs="Times New Roman"/>
                <w:b/>
                <w:bCs/>
                <w:sz w:val="20"/>
                <w:szCs w:val="20"/>
              </w:rPr>
              <w:t xml:space="preserve"> standards</w:t>
            </w:r>
          </w:p>
        </w:tc>
        <w:tc>
          <w:tcPr>
            <w:tcW w:w="1091" w:type="pct"/>
            <w:shd w:val="clear" w:color="auto" w:fill="56C2BE" w:themeFill="accent1" w:themeFillShade="BF"/>
          </w:tcPr>
          <w:p w14:paraId="04F1BECF" w14:textId="77777777" w:rsidR="00BB5843" w:rsidRPr="001F6828" w:rsidRDefault="00BB5843" w:rsidP="001F6828">
            <w:pPr>
              <w:tabs>
                <w:tab w:val="left" w:pos="272"/>
                <w:tab w:val="left" w:pos="851"/>
              </w:tabs>
              <w:suppressAutoHyphens w:val="0"/>
              <w:spacing w:before="120" w:after="120" w:line="220" w:lineRule="atLeast"/>
              <w:ind w:left="96" w:right="96"/>
              <w:jc w:val="center"/>
              <w:rPr>
                <w:rFonts w:ascii="Arial" w:eastAsia="Times New Roman" w:hAnsi="Arial" w:cs="Times New Roman"/>
                <w:b/>
                <w:bCs/>
                <w:sz w:val="20"/>
                <w:szCs w:val="20"/>
                <w:vertAlign w:val="superscript"/>
              </w:rPr>
            </w:pPr>
            <w:r w:rsidRPr="001F6828">
              <w:rPr>
                <w:rFonts w:ascii="Arial" w:eastAsia="Times New Roman" w:hAnsi="Arial" w:cs="Times New Roman"/>
                <w:b/>
                <w:bCs/>
                <w:sz w:val="20"/>
                <w:szCs w:val="20"/>
              </w:rPr>
              <w:t>Likely impact</w:t>
            </w:r>
            <w:r w:rsidRPr="001F6828">
              <w:rPr>
                <w:rFonts w:ascii="Arial" w:eastAsia="Times New Roman" w:hAnsi="Arial" w:cs="Times New Roman"/>
                <w:b/>
                <w:bCs/>
                <w:sz w:val="20"/>
                <w:szCs w:val="20"/>
                <w:vertAlign w:val="superscript"/>
              </w:rPr>
              <w:t>1</w:t>
            </w:r>
            <w:r w:rsidRPr="001F6828">
              <w:rPr>
                <w:rFonts w:ascii="Arial" w:eastAsia="Times New Roman" w:hAnsi="Arial" w:cs="Times New Roman"/>
                <w:b/>
                <w:bCs/>
                <w:sz w:val="20"/>
                <w:szCs w:val="20"/>
              </w:rPr>
              <w:t>?</w:t>
            </w:r>
          </w:p>
        </w:tc>
      </w:tr>
      <w:tr w:rsidR="001D21BF" w:rsidRPr="00291913" w14:paraId="1872A1C1" w14:textId="77777777" w:rsidTr="003115CA">
        <w:trPr>
          <w:trHeight w:val="400"/>
        </w:trPr>
        <w:tc>
          <w:tcPr>
            <w:tcW w:w="3909" w:type="pct"/>
          </w:tcPr>
          <w:p w14:paraId="2ABDA3DA" w14:textId="4E2B603E" w:rsidR="001D21BF" w:rsidRPr="003115CA" w:rsidRDefault="001D21BF" w:rsidP="001F6828">
            <w:pPr>
              <w:suppressAutoHyphens w:val="0"/>
              <w:spacing w:before="120" w:after="120" w:line="220" w:lineRule="atLeast"/>
              <w:ind w:left="96" w:right="96"/>
              <w:rPr>
                <w:rFonts w:ascii="Arial" w:eastAsia="Times New Roman" w:hAnsi="Arial" w:cs="Times New Roman"/>
                <w:sz w:val="18"/>
                <w:szCs w:val="18"/>
              </w:rPr>
            </w:pPr>
            <w:r w:rsidRPr="003115CA">
              <w:rPr>
                <w:rFonts w:ascii="Arial" w:eastAsia="Times New Roman" w:hAnsi="Arial" w:cs="Times New Roman"/>
                <w:sz w:val="18"/>
                <w:szCs w:val="18"/>
              </w:rPr>
              <w:t>N/A</w:t>
            </w:r>
          </w:p>
        </w:tc>
        <w:tc>
          <w:tcPr>
            <w:tcW w:w="1091" w:type="pct"/>
          </w:tcPr>
          <w:p w14:paraId="6912FCA1" w14:textId="77777777" w:rsidR="001D21BF" w:rsidRPr="003115CA" w:rsidRDefault="001D21BF" w:rsidP="001F6828">
            <w:pPr>
              <w:tabs>
                <w:tab w:val="left" w:pos="272"/>
                <w:tab w:val="left" w:pos="851"/>
              </w:tabs>
              <w:suppressAutoHyphens w:val="0"/>
              <w:spacing w:before="120" w:after="120" w:line="220" w:lineRule="atLeast"/>
              <w:ind w:left="96" w:right="96"/>
              <w:jc w:val="center"/>
              <w:rPr>
                <w:rFonts w:asciiTheme="majorHAnsi" w:eastAsia="Times New Roman" w:hAnsiTheme="majorHAnsi" w:cstheme="majorHAnsi"/>
                <w:b/>
                <w:sz w:val="18"/>
                <w:szCs w:val="18"/>
              </w:rPr>
            </w:pPr>
          </w:p>
        </w:tc>
      </w:tr>
    </w:tbl>
    <w:p w14:paraId="45EB1E68" w14:textId="484E9F65" w:rsidR="00BB5843" w:rsidRPr="003115CA" w:rsidRDefault="007074AB" w:rsidP="003115CA">
      <w:pPr>
        <w:spacing w:after="120"/>
        <w:rPr>
          <w:b/>
        </w:rPr>
      </w:pPr>
      <w:r w:rsidRPr="007074AB">
        <w:rPr>
          <w:b/>
          <w:bCs/>
        </w:rPr>
        <w:t>Amending Pronouncements</w:t>
      </w:r>
    </w:p>
    <w:tbl>
      <w:tblPr>
        <w:tblStyle w:val="TableGrid2"/>
        <w:tblW w:w="5000" w:type="pct"/>
        <w:tblLook w:val="04A0" w:firstRow="1" w:lastRow="0" w:firstColumn="1" w:lastColumn="0" w:noHBand="0" w:noVBand="1"/>
      </w:tblPr>
      <w:tblGrid>
        <w:gridCol w:w="1846"/>
        <w:gridCol w:w="5237"/>
        <w:gridCol w:w="1977"/>
      </w:tblGrid>
      <w:tr w:rsidR="00C43215" w:rsidRPr="00EA125B" w14:paraId="2873A15F" w14:textId="77777777" w:rsidTr="001F6828">
        <w:trPr>
          <w:trHeight w:val="121"/>
          <w:tblHeader/>
        </w:trPr>
        <w:tc>
          <w:tcPr>
            <w:tcW w:w="1019" w:type="pct"/>
            <w:shd w:val="clear" w:color="auto" w:fill="56C2BE" w:themeFill="accent1" w:themeFillShade="BF"/>
          </w:tcPr>
          <w:p w14:paraId="5A176387" w14:textId="0E102142" w:rsidR="00C43215" w:rsidRPr="001F6828" w:rsidRDefault="00C43215" w:rsidP="001F6828">
            <w:pPr>
              <w:keepNext/>
              <w:suppressAutoHyphens w:val="0"/>
              <w:spacing w:before="120" w:after="120" w:line="220" w:lineRule="atLeast"/>
              <w:ind w:left="96" w:right="96"/>
              <w:rPr>
                <w:rFonts w:ascii="Arial" w:eastAsia="Times New Roman" w:hAnsi="Arial" w:cs="Times New Roman"/>
                <w:b/>
                <w:bCs/>
                <w:sz w:val="20"/>
                <w:szCs w:val="20"/>
              </w:rPr>
            </w:pPr>
            <w:r w:rsidRPr="001F6828">
              <w:rPr>
                <w:rFonts w:ascii="Arial" w:eastAsia="Times New Roman" w:hAnsi="Arial" w:cs="Times New Roman"/>
                <w:b/>
                <w:bCs/>
                <w:sz w:val="20"/>
                <w:szCs w:val="20"/>
              </w:rPr>
              <w:t>AASB No.</w:t>
            </w:r>
          </w:p>
        </w:tc>
        <w:tc>
          <w:tcPr>
            <w:tcW w:w="2890" w:type="pct"/>
            <w:shd w:val="clear" w:color="auto" w:fill="56C2BE" w:themeFill="accent1" w:themeFillShade="BF"/>
          </w:tcPr>
          <w:p w14:paraId="1E6E4DCB" w14:textId="495196EA" w:rsidR="00C43215" w:rsidRPr="001F6828" w:rsidRDefault="00C43215" w:rsidP="001F6828">
            <w:pPr>
              <w:keepNext/>
              <w:suppressAutoHyphens w:val="0"/>
              <w:spacing w:before="120" w:after="120" w:line="220" w:lineRule="atLeast"/>
              <w:ind w:left="96" w:right="96"/>
              <w:rPr>
                <w:rFonts w:ascii="Arial" w:eastAsia="Times New Roman" w:hAnsi="Arial" w:cs="Times New Roman"/>
                <w:b/>
                <w:bCs/>
                <w:sz w:val="17"/>
                <w:szCs w:val="24"/>
              </w:rPr>
            </w:pPr>
            <w:r w:rsidRPr="001F6828">
              <w:rPr>
                <w:rFonts w:ascii="Arial" w:eastAsia="Times New Roman" w:hAnsi="Arial" w:cs="Times New Roman"/>
                <w:b/>
                <w:bCs/>
                <w:sz w:val="20"/>
                <w:szCs w:val="20"/>
              </w:rPr>
              <w:t>New/amending pronouncement title</w:t>
            </w:r>
          </w:p>
        </w:tc>
        <w:tc>
          <w:tcPr>
            <w:tcW w:w="1091" w:type="pct"/>
            <w:shd w:val="clear" w:color="auto" w:fill="56C2BE" w:themeFill="accent1" w:themeFillShade="BF"/>
          </w:tcPr>
          <w:p w14:paraId="08AB233D" w14:textId="5AD6636D" w:rsidR="00C43215" w:rsidRPr="001F6828" w:rsidRDefault="00C43215" w:rsidP="001F6828">
            <w:pPr>
              <w:tabs>
                <w:tab w:val="left" w:pos="272"/>
                <w:tab w:val="left" w:pos="851"/>
              </w:tabs>
              <w:suppressAutoHyphens w:val="0"/>
              <w:spacing w:before="120" w:after="120" w:line="220" w:lineRule="atLeast"/>
              <w:ind w:left="96" w:right="96"/>
              <w:jc w:val="center"/>
              <w:rPr>
                <w:rFonts w:ascii="Arial" w:eastAsia="Times New Roman" w:hAnsi="Arial" w:cs="Times New Roman"/>
                <w:b/>
                <w:bCs/>
                <w:sz w:val="20"/>
                <w:szCs w:val="20"/>
                <w:vertAlign w:val="superscript"/>
              </w:rPr>
            </w:pPr>
            <w:r w:rsidRPr="001F6828">
              <w:rPr>
                <w:rFonts w:ascii="Arial" w:eastAsia="Times New Roman" w:hAnsi="Arial" w:cs="Times New Roman"/>
                <w:b/>
                <w:bCs/>
                <w:sz w:val="20"/>
                <w:szCs w:val="20"/>
              </w:rPr>
              <w:t>Likely impact</w:t>
            </w:r>
            <w:r w:rsidR="00684634" w:rsidRPr="001F6828">
              <w:rPr>
                <w:rFonts w:ascii="Arial" w:eastAsia="Times New Roman" w:hAnsi="Arial" w:cs="Times New Roman"/>
                <w:b/>
                <w:bCs/>
                <w:sz w:val="20"/>
                <w:szCs w:val="20"/>
                <w:vertAlign w:val="superscript"/>
              </w:rPr>
              <w:t>1</w:t>
            </w:r>
            <w:r w:rsidRPr="001F6828">
              <w:rPr>
                <w:rFonts w:ascii="Arial" w:eastAsia="Times New Roman" w:hAnsi="Arial" w:cs="Times New Roman"/>
                <w:b/>
                <w:bCs/>
                <w:sz w:val="20"/>
                <w:szCs w:val="20"/>
              </w:rPr>
              <w:t>?</w:t>
            </w:r>
          </w:p>
        </w:tc>
      </w:tr>
      <w:tr w:rsidR="00C43215" w:rsidRPr="00EA125B" w14:paraId="3CFB7A6A" w14:textId="77777777" w:rsidTr="003115CA">
        <w:trPr>
          <w:trHeight w:val="470"/>
        </w:trPr>
        <w:tc>
          <w:tcPr>
            <w:tcW w:w="1019" w:type="pct"/>
            <w:vAlign w:val="center"/>
          </w:tcPr>
          <w:p w14:paraId="73542D4A" w14:textId="63E0B7BC" w:rsidR="00C43215" w:rsidRPr="003115CA" w:rsidRDefault="00C43215" w:rsidP="001F6828">
            <w:pPr>
              <w:spacing w:before="120" w:after="120"/>
              <w:rPr>
                <w:rFonts w:ascii="Arial" w:eastAsia="Arial" w:hAnsi="Arial" w:cs="Arial"/>
                <w:sz w:val="18"/>
                <w:szCs w:val="18"/>
              </w:rPr>
            </w:pPr>
            <w:r w:rsidRPr="003115CA">
              <w:rPr>
                <w:rFonts w:ascii="Arial" w:eastAsia="Arial" w:hAnsi="Arial" w:cs="Arial"/>
                <w:sz w:val="18"/>
                <w:szCs w:val="18"/>
              </w:rPr>
              <w:t>AASB 2023-5</w:t>
            </w:r>
          </w:p>
        </w:tc>
        <w:tc>
          <w:tcPr>
            <w:tcW w:w="2890" w:type="pct"/>
            <w:vAlign w:val="center"/>
          </w:tcPr>
          <w:p w14:paraId="3ABE73F2" w14:textId="722E3FD8" w:rsidR="00C43215" w:rsidRPr="003115CA" w:rsidRDefault="00C43215" w:rsidP="001F6828">
            <w:pPr>
              <w:spacing w:before="120" w:after="120"/>
              <w:rPr>
                <w:rFonts w:ascii="Arial" w:eastAsia="Arial" w:hAnsi="Arial" w:cs="Arial"/>
                <w:i/>
                <w:iCs/>
                <w:sz w:val="18"/>
                <w:szCs w:val="18"/>
              </w:rPr>
            </w:pPr>
            <w:r w:rsidRPr="003115CA">
              <w:rPr>
                <w:rFonts w:ascii="Arial" w:eastAsia="Arial" w:hAnsi="Arial" w:cs="Arial"/>
                <w:i/>
                <w:iCs/>
                <w:sz w:val="18"/>
                <w:szCs w:val="18"/>
              </w:rPr>
              <w:t>Amendments to Australian Accounting Standards – Lack of Exchangeability</w:t>
            </w:r>
          </w:p>
        </w:tc>
        <w:tc>
          <w:tcPr>
            <w:tcW w:w="1091" w:type="pct"/>
            <w:vAlign w:val="center"/>
          </w:tcPr>
          <w:p w14:paraId="4AF891BA" w14:textId="061293E8" w:rsidR="00C43215" w:rsidRPr="003115CA" w:rsidDel="002472D3" w:rsidRDefault="00C43215" w:rsidP="001F6828">
            <w:pPr>
              <w:tabs>
                <w:tab w:val="left" w:pos="272"/>
                <w:tab w:val="left" w:pos="851"/>
              </w:tabs>
              <w:suppressAutoHyphens w:val="0"/>
              <w:spacing w:before="120" w:after="120" w:line="220" w:lineRule="atLeast"/>
              <w:ind w:right="96"/>
              <w:jc w:val="center"/>
              <w:rPr>
                <w:rFonts w:ascii="Arial" w:eastAsia="Arial" w:hAnsi="Arial" w:cs="Arial"/>
                <w:sz w:val="18"/>
                <w:szCs w:val="18"/>
              </w:rPr>
            </w:pPr>
            <w:r w:rsidRPr="003115CA">
              <w:rPr>
                <w:rFonts w:ascii="Arial" w:eastAsia="Arial" w:hAnsi="Arial" w:cs="Arial"/>
                <w:sz w:val="18"/>
                <w:szCs w:val="18"/>
              </w:rPr>
              <w:t>No</w:t>
            </w:r>
          </w:p>
        </w:tc>
      </w:tr>
      <w:tr w:rsidR="00C43215" w:rsidRPr="00EA125B" w14:paraId="39D1DE16" w14:textId="77777777" w:rsidTr="003115CA">
        <w:trPr>
          <w:trHeight w:val="453"/>
        </w:trPr>
        <w:tc>
          <w:tcPr>
            <w:tcW w:w="1019" w:type="pct"/>
            <w:vAlign w:val="center"/>
          </w:tcPr>
          <w:p w14:paraId="40BAE5B8" w14:textId="3EF5A45A" w:rsidR="00C43215" w:rsidRPr="003115CA" w:rsidRDefault="00C43215" w:rsidP="001F6828">
            <w:pPr>
              <w:spacing w:before="120" w:after="120"/>
              <w:rPr>
                <w:rFonts w:ascii="Arial" w:eastAsia="Arial" w:hAnsi="Arial" w:cs="Arial"/>
                <w:i/>
                <w:iCs/>
                <w:sz w:val="18"/>
                <w:szCs w:val="18"/>
              </w:rPr>
            </w:pPr>
            <w:r w:rsidRPr="003115CA">
              <w:rPr>
                <w:rFonts w:ascii="Arial" w:eastAsia="Arial" w:hAnsi="Arial" w:cs="Arial"/>
                <w:sz w:val="18"/>
                <w:szCs w:val="18"/>
              </w:rPr>
              <w:t>AASB 2024-4a</w:t>
            </w:r>
          </w:p>
        </w:tc>
        <w:tc>
          <w:tcPr>
            <w:tcW w:w="2890" w:type="pct"/>
            <w:vAlign w:val="center"/>
          </w:tcPr>
          <w:p w14:paraId="00EB4F70" w14:textId="0818F6A6" w:rsidR="00C43215" w:rsidRPr="003115CA" w:rsidRDefault="00C43215" w:rsidP="001F6828">
            <w:pPr>
              <w:spacing w:before="120" w:after="120"/>
              <w:rPr>
                <w:rFonts w:ascii="Arial" w:eastAsia="Arial" w:hAnsi="Arial" w:cs="Arial"/>
                <w:sz w:val="18"/>
                <w:szCs w:val="18"/>
              </w:rPr>
            </w:pPr>
            <w:r w:rsidRPr="003115CA">
              <w:rPr>
                <w:rFonts w:ascii="Arial" w:eastAsia="Arial" w:hAnsi="Arial" w:cs="Arial"/>
                <w:i/>
                <w:iCs/>
                <w:sz w:val="18"/>
                <w:szCs w:val="18"/>
              </w:rPr>
              <w:t>Amendments to Australian Accounting Standards – Effective Date of Amendments to AASB 10 and AASB 128</w:t>
            </w:r>
          </w:p>
        </w:tc>
        <w:tc>
          <w:tcPr>
            <w:tcW w:w="1091" w:type="pct"/>
            <w:vAlign w:val="center"/>
          </w:tcPr>
          <w:p w14:paraId="5E533980" w14:textId="37E8A839" w:rsidR="00C43215" w:rsidRPr="003115CA" w:rsidRDefault="00C43215" w:rsidP="001F6828">
            <w:pPr>
              <w:tabs>
                <w:tab w:val="left" w:pos="272"/>
                <w:tab w:val="left" w:pos="851"/>
              </w:tabs>
              <w:suppressAutoHyphens w:val="0"/>
              <w:spacing w:before="120" w:after="120" w:line="220" w:lineRule="atLeast"/>
              <w:ind w:right="96"/>
              <w:jc w:val="center"/>
              <w:rPr>
                <w:rFonts w:ascii="Arial" w:eastAsia="Arial" w:hAnsi="Arial" w:cs="Arial"/>
                <w:sz w:val="18"/>
                <w:szCs w:val="18"/>
              </w:rPr>
            </w:pPr>
            <w:r w:rsidRPr="003115CA">
              <w:rPr>
                <w:rFonts w:ascii="Arial" w:eastAsia="Arial" w:hAnsi="Arial" w:cs="Arial"/>
                <w:sz w:val="18"/>
                <w:szCs w:val="18"/>
              </w:rPr>
              <w:t>No</w:t>
            </w:r>
          </w:p>
        </w:tc>
      </w:tr>
      <w:tr w:rsidR="00C43215" w:rsidRPr="00EA125B" w14:paraId="638E9EF2" w14:textId="77777777" w:rsidTr="003115CA">
        <w:trPr>
          <w:trHeight w:val="549"/>
        </w:trPr>
        <w:tc>
          <w:tcPr>
            <w:tcW w:w="1019" w:type="pct"/>
            <w:vAlign w:val="center"/>
          </w:tcPr>
          <w:p w14:paraId="6213B892" w14:textId="70AEF09A" w:rsidR="00C43215" w:rsidRPr="003115CA" w:rsidRDefault="00C43215" w:rsidP="001F6828">
            <w:pPr>
              <w:spacing w:before="120" w:after="120"/>
              <w:rPr>
                <w:rFonts w:ascii="Arial" w:eastAsia="Arial" w:hAnsi="Arial" w:cs="Arial"/>
                <w:i/>
                <w:iCs/>
                <w:sz w:val="18"/>
                <w:szCs w:val="18"/>
              </w:rPr>
            </w:pPr>
            <w:r w:rsidRPr="003115CA">
              <w:rPr>
                <w:rFonts w:ascii="Arial" w:eastAsia="Arial" w:hAnsi="Arial" w:cs="Arial"/>
                <w:sz w:val="18"/>
                <w:szCs w:val="18"/>
              </w:rPr>
              <w:t>AASB 2026-1</w:t>
            </w:r>
          </w:p>
        </w:tc>
        <w:tc>
          <w:tcPr>
            <w:tcW w:w="2890" w:type="pct"/>
            <w:vAlign w:val="center"/>
          </w:tcPr>
          <w:p w14:paraId="678ADC46" w14:textId="3B91C3DD" w:rsidR="00C43215" w:rsidRPr="003115CA" w:rsidRDefault="00C43215" w:rsidP="001F6828">
            <w:pPr>
              <w:spacing w:before="120" w:after="120"/>
              <w:rPr>
                <w:rFonts w:ascii="Arial" w:eastAsia="Arial" w:hAnsi="Arial" w:cs="Arial"/>
                <w:sz w:val="18"/>
                <w:szCs w:val="18"/>
              </w:rPr>
            </w:pPr>
            <w:r w:rsidRPr="003115CA">
              <w:rPr>
                <w:rFonts w:ascii="Arial" w:eastAsia="Arial" w:hAnsi="Arial" w:cs="Arial"/>
                <w:i/>
                <w:iCs/>
                <w:sz w:val="18"/>
                <w:szCs w:val="18"/>
              </w:rPr>
              <w:t xml:space="preserve">Amendments to Australian Accounting Standards – Disclosures about Uncertainties in the Financial Statements   </w:t>
            </w:r>
          </w:p>
        </w:tc>
        <w:tc>
          <w:tcPr>
            <w:tcW w:w="1091" w:type="pct"/>
            <w:vAlign w:val="center"/>
          </w:tcPr>
          <w:p w14:paraId="553168CF" w14:textId="49BF7C1A" w:rsidR="00C43215" w:rsidRPr="003115CA" w:rsidRDefault="00C43215" w:rsidP="001F6828">
            <w:pPr>
              <w:tabs>
                <w:tab w:val="left" w:pos="272"/>
                <w:tab w:val="left" w:pos="851"/>
              </w:tabs>
              <w:suppressAutoHyphens w:val="0"/>
              <w:spacing w:before="120" w:after="120" w:line="220" w:lineRule="atLeast"/>
              <w:ind w:right="96"/>
              <w:jc w:val="center"/>
              <w:rPr>
                <w:rFonts w:ascii="Arial" w:eastAsia="Arial" w:hAnsi="Arial" w:cs="Arial"/>
                <w:sz w:val="18"/>
                <w:szCs w:val="18"/>
              </w:rPr>
            </w:pPr>
            <w:r w:rsidRPr="003115CA">
              <w:rPr>
                <w:rFonts w:ascii="Arial" w:eastAsia="Arial" w:hAnsi="Arial" w:cs="Arial"/>
                <w:sz w:val="18"/>
                <w:szCs w:val="18"/>
              </w:rPr>
              <w:t>No</w:t>
            </w:r>
          </w:p>
        </w:tc>
      </w:tr>
    </w:tbl>
    <w:p w14:paraId="4DF54CD1" w14:textId="784A88F0" w:rsidR="00820CFF" w:rsidRDefault="00820CFF" w:rsidP="003115CA">
      <w:pPr>
        <w:spacing w:after="120"/>
        <w:rPr>
          <w:b/>
          <w:bCs/>
        </w:rPr>
      </w:pPr>
      <w:r w:rsidRPr="00820CFF">
        <w:rPr>
          <w:b/>
          <w:bCs/>
        </w:rPr>
        <w:t>Interpretations (new or amended)</w:t>
      </w:r>
    </w:p>
    <w:tbl>
      <w:tblPr>
        <w:tblStyle w:val="TableGrid2"/>
        <w:tblW w:w="5000" w:type="pct"/>
        <w:tblLook w:val="04A0" w:firstRow="1" w:lastRow="0" w:firstColumn="1" w:lastColumn="0" w:noHBand="0" w:noVBand="1"/>
      </w:tblPr>
      <w:tblGrid>
        <w:gridCol w:w="7087"/>
        <w:gridCol w:w="1973"/>
      </w:tblGrid>
      <w:tr w:rsidR="00820CFF" w:rsidRPr="00EA125B" w14:paraId="40DD6553" w14:textId="77777777" w:rsidTr="003115CA">
        <w:trPr>
          <w:trHeight w:val="400"/>
          <w:tblHeader/>
        </w:trPr>
        <w:tc>
          <w:tcPr>
            <w:tcW w:w="3911" w:type="pct"/>
            <w:shd w:val="clear" w:color="auto" w:fill="56C2BE" w:themeFill="accent1" w:themeFillShade="BF"/>
          </w:tcPr>
          <w:p w14:paraId="5690DF5E" w14:textId="2FE77365" w:rsidR="00820CFF" w:rsidRPr="001F6828" w:rsidRDefault="009D3268" w:rsidP="001F6828">
            <w:pPr>
              <w:keepNext/>
              <w:suppressAutoHyphens w:val="0"/>
              <w:spacing w:before="120" w:after="120" w:line="220" w:lineRule="atLeast"/>
              <w:ind w:left="96" w:right="96"/>
              <w:rPr>
                <w:rFonts w:ascii="Arial" w:eastAsia="Times New Roman" w:hAnsi="Arial" w:cs="Times New Roman"/>
                <w:b/>
                <w:bCs/>
                <w:sz w:val="17"/>
                <w:szCs w:val="24"/>
              </w:rPr>
            </w:pPr>
            <w:r w:rsidRPr="001F6828">
              <w:rPr>
                <w:rFonts w:ascii="Arial" w:eastAsia="Times New Roman" w:hAnsi="Arial" w:cs="Times New Roman"/>
                <w:b/>
                <w:bCs/>
                <w:sz w:val="20"/>
                <w:szCs w:val="20"/>
              </w:rPr>
              <w:t>N</w:t>
            </w:r>
            <w:r w:rsidR="00820CFF" w:rsidRPr="001F6828">
              <w:rPr>
                <w:rFonts w:ascii="Arial" w:eastAsia="Times New Roman" w:hAnsi="Arial" w:cs="Times New Roman"/>
                <w:b/>
                <w:bCs/>
                <w:sz w:val="20"/>
                <w:szCs w:val="20"/>
              </w:rPr>
              <w:t>ew/amen</w:t>
            </w:r>
            <w:r w:rsidR="00C43215" w:rsidRPr="001F6828">
              <w:rPr>
                <w:rFonts w:ascii="Arial" w:eastAsia="Times New Roman" w:hAnsi="Arial" w:cs="Times New Roman"/>
                <w:b/>
                <w:bCs/>
                <w:sz w:val="20"/>
                <w:szCs w:val="20"/>
              </w:rPr>
              <w:t>ding</w:t>
            </w:r>
            <w:r w:rsidR="00820CFF" w:rsidRPr="001F6828">
              <w:rPr>
                <w:rFonts w:ascii="Arial" w:eastAsia="Times New Roman" w:hAnsi="Arial" w:cs="Times New Roman"/>
                <w:b/>
                <w:bCs/>
                <w:sz w:val="20"/>
                <w:szCs w:val="20"/>
              </w:rPr>
              <w:t xml:space="preserve"> interpretations </w:t>
            </w:r>
          </w:p>
        </w:tc>
        <w:tc>
          <w:tcPr>
            <w:tcW w:w="1089" w:type="pct"/>
            <w:shd w:val="clear" w:color="auto" w:fill="56C2BE" w:themeFill="accent1" w:themeFillShade="BF"/>
          </w:tcPr>
          <w:p w14:paraId="0ED5F324" w14:textId="6DB136B2" w:rsidR="00820CFF" w:rsidRPr="001F6828" w:rsidRDefault="00820CFF" w:rsidP="001F6828">
            <w:pPr>
              <w:tabs>
                <w:tab w:val="left" w:pos="272"/>
                <w:tab w:val="left" w:pos="851"/>
              </w:tabs>
              <w:suppressAutoHyphens w:val="0"/>
              <w:spacing w:before="120" w:after="120" w:line="220" w:lineRule="atLeast"/>
              <w:ind w:left="96" w:right="96"/>
              <w:jc w:val="center"/>
              <w:rPr>
                <w:rFonts w:ascii="Arial" w:eastAsia="Times New Roman" w:hAnsi="Arial" w:cs="Times New Roman"/>
                <w:b/>
                <w:bCs/>
                <w:sz w:val="20"/>
                <w:szCs w:val="20"/>
                <w:vertAlign w:val="superscript"/>
              </w:rPr>
            </w:pPr>
            <w:r w:rsidRPr="001F6828">
              <w:rPr>
                <w:rFonts w:ascii="Arial" w:eastAsia="Times New Roman" w:hAnsi="Arial" w:cs="Times New Roman"/>
                <w:b/>
                <w:bCs/>
                <w:sz w:val="20"/>
                <w:szCs w:val="20"/>
              </w:rPr>
              <w:t>Likely impact</w:t>
            </w:r>
            <w:r w:rsidR="00684634" w:rsidRPr="001F6828">
              <w:rPr>
                <w:rFonts w:ascii="Arial" w:eastAsia="Times New Roman" w:hAnsi="Arial" w:cs="Times New Roman"/>
                <w:b/>
                <w:bCs/>
                <w:sz w:val="20"/>
                <w:szCs w:val="20"/>
                <w:vertAlign w:val="superscript"/>
              </w:rPr>
              <w:t>1</w:t>
            </w:r>
            <w:r w:rsidRPr="001F6828">
              <w:rPr>
                <w:rFonts w:ascii="Arial" w:eastAsia="Times New Roman" w:hAnsi="Arial" w:cs="Times New Roman"/>
                <w:b/>
                <w:bCs/>
                <w:sz w:val="20"/>
                <w:szCs w:val="20"/>
              </w:rPr>
              <w:t>?</w:t>
            </w:r>
          </w:p>
        </w:tc>
      </w:tr>
      <w:tr w:rsidR="002472D3" w:rsidRPr="00291913" w14:paraId="4A1FF2BC" w14:textId="77777777" w:rsidTr="003115CA">
        <w:trPr>
          <w:trHeight w:val="400"/>
        </w:trPr>
        <w:tc>
          <w:tcPr>
            <w:tcW w:w="3911" w:type="pct"/>
          </w:tcPr>
          <w:p w14:paraId="43C2B335" w14:textId="77777777" w:rsidR="002472D3" w:rsidRPr="003115CA" w:rsidRDefault="002472D3" w:rsidP="001F6828">
            <w:pPr>
              <w:suppressAutoHyphens w:val="0"/>
              <w:spacing w:before="120" w:after="120" w:line="220" w:lineRule="atLeast"/>
              <w:ind w:left="96" w:right="96"/>
              <w:rPr>
                <w:rFonts w:ascii="Arial" w:eastAsia="Times New Roman" w:hAnsi="Arial" w:cs="Times New Roman"/>
                <w:sz w:val="18"/>
                <w:szCs w:val="18"/>
              </w:rPr>
            </w:pPr>
            <w:r w:rsidRPr="003115CA">
              <w:rPr>
                <w:rFonts w:ascii="Arial" w:eastAsia="Times New Roman" w:hAnsi="Arial" w:cs="Times New Roman"/>
                <w:sz w:val="18"/>
                <w:szCs w:val="18"/>
              </w:rPr>
              <w:t>N/A</w:t>
            </w:r>
          </w:p>
        </w:tc>
        <w:tc>
          <w:tcPr>
            <w:tcW w:w="1089" w:type="pct"/>
          </w:tcPr>
          <w:p w14:paraId="06DF933B" w14:textId="77777777" w:rsidR="002472D3" w:rsidRPr="003115CA" w:rsidRDefault="002472D3" w:rsidP="001F6828">
            <w:pPr>
              <w:tabs>
                <w:tab w:val="left" w:pos="272"/>
                <w:tab w:val="left" w:pos="851"/>
              </w:tabs>
              <w:suppressAutoHyphens w:val="0"/>
              <w:spacing w:before="120" w:after="120" w:line="220" w:lineRule="atLeast"/>
              <w:ind w:left="96" w:right="96"/>
              <w:jc w:val="center"/>
              <w:rPr>
                <w:rFonts w:asciiTheme="majorHAnsi" w:eastAsia="Times New Roman" w:hAnsiTheme="majorHAnsi" w:cstheme="majorHAnsi"/>
                <w:b/>
                <w:sz w:val="18"/>
                <w:szCs w:val="18"/>
              </w:rPr>
            </w:pPr>
          </w:p>
        </w:tc>
      </w:tr>
    </w:tbl>
    <w:p w14:paraId="00E03FA4" w14:textId="31D8DB4B" w:rsidR="00506554" w:rsidRPr="00EA125B" w:rsidRDefault="00506554" w:rsidP="00506554">
      <w:pPr>
        <w:spacing w:before="120" w:after="120"/>
        <w:rPr>
          <w:sz w:val="16"/>
          <w:szCs w:val="16"/>
        </w:rPr>
      </w:pPr>
      <w:r w:rsidRPr="00EA125B">
        <w:rPr>
          <w:sz w:val="16"/>
          <w:szCs w:val="16"/>
          <w:vertAlign w:val="superscript"/>
        </w:rPr>
        <w:t xml:space="preserve">1 </w:t>
      </w:r>
      <w:r w:rsidRPr="00EA125B">
        <w:rPr>
          <w:sz w:val="16"/>
          <w:szCs w:val="16"/>
        </w:rPr>
        <w:t>Items with likely impact marked as ‘</w:t>
      </w:r>
      <w:r w:rsidR="000924AB">
        <w:rPr>
          <w:sz w:val="16"/>
          <w:szCs w:val="16"/>
        </w:rPr>
        <w:t>N</w:t>
      </w:r>
      <w:r w:rsidRPr="00EA125B">
        <w:rPr>
          <w:sz w:val="16"/>
          <w:szCs w:val="16"/>
        </w:rPr>
        <w:t xml:space="preserve">o’ are those items that the Department of Finance would regard as unlikely to have an impact on most public sector entities. However, entities must consider how changes to standards impact on their business operations and take into consideration their </w:t>
      </w:r>
      <w:proofErr w:type="gramStart"/>
      <w:r w:rsidRPr="00EA125B">
        <w:rPr>
          <w:sz w:val="16"/>
          <w:szCs w:val="16"/>
        </w:rPr>
        <w:t>particular circumstances</w:t>
      </w:r>
      <w:proofErr w:type="gramEnd"/>
      <w:r w:rsidRPr="00EA125B">
        <w:rPr>
          <w:sz w:val="16"/>
          <w:szCs w:val="16"/>
        </w:rPr>
        <w:t xml:space="preserve">. Please note the assessment of </w:t>
      </w:r>
      <w:r>
        <w:rPr>
          <w:sz w:val="16"/>
          <w:szCs w:val="16"/>
        </w:rPr>
        <w:t>‘</w:t>
      </w:r>
      <w:r w:rsidRPr="00EA125B">
        <w:rPr>
          <w:sz w:val="16"/>
          <w:szCs w:val="16"/>
        </w:rPr>
        <w:t>possible impact’ is broader than the requirements of AASB 108.28-31 as it considers issues such as disclosure requirements and the capturing of financial information.</w:t>
      </w:r>
    </w:p>
    <w:p w14:paraId="2A2FE1AB" w14:textId="77777777" w:rsidR="00820CFF" w:rsidRDefault="00820CFF" w:rsidP="003E61DB">
      <w:pPr>
        <w:rPr>
          <w:sz w:val="16"/>
          <w:szCs w:val="16"/>
          <w:vertAlign w:val="superscript"/>
        </w:rPr>
      </w:pPr>
    </w:p>
    <w:p w14:paraId="536E288E" w14:textId="77777777" w:rsidR="003E61DB" w:rsidRPr="00291913" w:rsidRDefault="003E61DB" w:rsidP="003E61DB">
      <w:pPr>
        <w:suppressAutoHyphens w:val="0"/>
        <w:spacing w:before="0" w:after="120" w:line="440" w:lineRule="atLeast"/>
        <w:rPr>
          <w:rFonts w:asciiTheme="majorHAnsi" w:eastAsiaTheme="majorEastAsia" w:hAnsiTheme="majorHAnsi" w:cstheme="majorBidi"/>
          <w:sz w:val="34"/>
          <w:szCs w:val="26"/>
        </w:rPr>
      </w:pPr>
      <w:r w:rsidRPr="00EA125B">
        <w:br w:type="page"/>
      </w:r>
    </w:p>
    <w:p w14:paraId="4416C4D0" w14:textId="77777777" w:rsidR="003E61DB" w:rsidRDefault="003E61DB" w:rsidP="00291913">
      <w:pPr>
        <w:pStyle w:val="Heading3"/>
        <w:rPr>
          <w:color w:val="auto"/>
        </w:rPr>
      </w:pPr>
      <w:r w:rsidRPr="00291913">
        <w:rPr>
          <w:color w:val="auto"/>
        </w:rPr>
        <w:lastRenderedPageBreak/>
        <w:t>Table B: Future Reporting Periods</w:t>
      </w:r>
    </w:p>
    <w:p w14:paraId="6455AFE2" w14:textId="2CA77222" w:rsidR="00464539" w:rsidRPr="003115CA" w:rsidRDefault="00464539" w:rsidP="003115CA">
      <w:pPr>
        <w:spacing w:after="120"/>
        <w:rPr>
          <w:b/>
          <w:bCs/>
        </w:rPr>
      </w:pPr>
      <w:r w:rsidRPr="003115CA">
        <w:rPr>
          <w:b/>
          <w:bCs/>
        </w:rPr>
        <w:t>New Accounting Standards</w:t>
      </w:r>
    </w:p>
    <w:tbl>
      <w:tblPr>
        <w:tblStyle w:val="TableGrid2"/>
        <w:tblW w:w="5000" w:type="pct"/>
        <w:tblLook w:val="04A0" w:firstRow="1" w:lastRow="0" w:firstColumn="1" w:lastColumn="0" w:noHBand="0" w:noVBand="1"/>
      </w:tblPr>
      <w:tblGrid>
        <w:gridCol w:w="1514"/>
        <w:gridCol w:w="4298"/>
        <w:gridCol w:w="1624"/>
        <w:gridCol w:w="1624"/>
      </w:tblGrid>
      <w:tr w:rsidR="00B41A20" w:rsidRPr="00EA125B" w14:paraId="4E0D75BA" w14:textId="77777777" w:rsidTr="001F6828">
        <w:trPr>
          <w:trHeight w:val="480"/>
          <w:tblHeader/>
        </w:trPr>
        <w:tc>
          <w:tcPr>
            <w:tcW w:w="836" w:type="pct"/>
            <w:shd w:val="clear" w:color="auto" w:fill="56C2BE" w:themeFill="accent1" w:themeFillShade="BF"/>
            <w:vAlign w:val="center"/>
          </w:tcPr>
          <w:p w14:paraId="345067FF" w14:textId="77777777" w:rsidR="00B41A20" w:rsidRPr="00F40B79" w:rsidRDefault="00B41A20" w:rsidP="001F6828">
            <w:pPr>
              <w:keepNext/>
              <w:suppressAutoHyphens w:val="0"/>
              <w:spacing w:before="120" w:after="120" w:line="220" w:lineRule="atLeast"/>
              <w:ind w:left="96" w:right="96"/>
              <w:rPr>
                <w:rFonts w:ascii="Arial" w:eastAsia="Times New Roman" w:hAnsi="Arial" w:cs="Times New Roman"/>
                <w:b/>
                <w:bCs/>
                <w:sz w:val="20"/>
                <w:szCs w:val="20"/>
              </w:rPr>
            </w:pPr>
            <w:r w:rsidRPr="00F40B79">
              <w:rPr>
                <w:rFonts w:ascii="Arial" w:eastAsia="Times New Roman" w:hAnsi="Arial" w:cs="Times New Roman"/>
                <w:b/>
                <w:bCs/>
                <w:sz w:val="20"/>
                <w:szCs w:val="20"/>
              </w:rPr>
              <w:t>AASB No.</w:t>
            </w:r>
          </w:p>
        </w:tc>
        <w:tc>
          <w:tcPr>
            <w:tcW w:w="2372" w:type="pct"/>
            <w:shd w:val="clear" w:color="auto" w:fill="56C2BE" w:themeFill="accent1" w:themeFillShade="BF"/>
            <w:vAlign w:val="center"/>
          </w:tcPr>
          <w:p w14:paraId="0BB27E2D" w14:textId="12F6BBEB" w:rsidR="00B41A20" w:rsidRPr="00F40B79" w:rsidRDefault="00B41A20" w:rsidP="001F6828">
            <w:pPr>
              <w:keepNext/>
              <w:suppressAutoHyphens w:val="0"/>
              <w:spacing w:before="120" w:after="120" w:line="220" w:lineRule="atLeast"/>
              <w:ind w:left="96" w:right="96"/>
              <w:rPr>
                <w:rFonts w:ascii="Arial" w:eastAsia="Times New Roman" w:hAnsi="Arial" w:cs="Times New Roman"/>
                <w:b/>
                <w:bCs/>
                <w:sz w:val="17"/>
                <w:szCs w:val="24"/>
              </w:rPr>
            </w:pPr>
            <w:r w:rsidRPr="00F40B79">
              <w:rPr>
                <w:rFonts w:ascii="Arial" w:eastAsia="Times New Roman" w:hAnsi="Arial" w:cs="Times New Roman"/>
                <w:b/>
                <w:bCs/>
                <w:sz w:val="20"/>
                <w:szCs w:val="20"/>
              </w:rPr>
              <w:t xml:space="preserve">New/amending </w:t>
            </w:r>
            <w:r w:rsidR="00C51F02" w:rsidRPr="00F40B79">
              <w:rPr>
                <w:rFonts w:ascii="Arial" w:eastAsia="Times New Roman" w:hAnsi="Arial" w:cs="Times New Roman"/>
                <w:b/>
                <w:bCs/>
                <w:sz w:val="20"/>
                <w:szCs w:val="20"/>
              </w:rPr>
              <w:t>standard</w:t>
            </w:r>
            <w:r w:rsidRPr="00F40B79">
              <w:rPr>
                <w:rFonts w:ascii="Arial" w:eastAsia="Times New Roman" w:hAnsi="Arial" w:cs="Times New Roman"/>
                <w:b/>
                <w:bCs/>
                <w:sz w:val="20"/>
                <w:szCs w:val="20"/>
              </w:rPr>
              <w:t xml:space="preserve"> title</w:t>
            </w:r>
          </w:p>
        </w:tc>
        <w:tc>
          <w:tcPr>
            <w:tcW w:w="896" w:type="pct"/>
            <w:shd w:val="clear" w:color="auto" w:fill="56C2BE" w:themeFill="accent1" w:themeFillShade="BF"/>
            <w:vAlign w:val="center"/>
          </w:tcPr>
          <w:p w14:paraId="5ADE3724" w14:textId="23AE1771" w:rsidR="00B41A20" w:rsidRPr="00F40B79" w:rsidRDefault="00B41A20" w:rsidP="001F6828">
            <w:pPr>
              <w:tabs>
                <w:tab w:val="left" w:pos="272"/>
                <w:tab w:val="left" w:pos="851"/>
              </w:tabs>
              <w:suppressAutoHyphens w:val="0"/>
              <w:spacing w:before="120" w:after="120" w:line="220" w:lineRule="atLeast"/>
              <w:ind w:left="96" w:right="96"/>
              <w:rPr>
                <w:rFonts w:ascii="Arial" w:eastAsia="Times New Roman" w:hAnsi="Arial" w:cs="Times New Roman"/>
                <w:b/>
                <w:bCs/>
                <w:sz w:val="20"/>
                <w:szCs w:val="20"/>
              </w:rPr>
            </w:pPr>
            <w:r w:rsidRPr="00F40B79">
              <w:rPr>
                <w:rFonts w:ascii="Arial" w:eastAsia="Times New Roman" w:hAnsi="Arial" w:cs="Times New Roman"/>
                <w:b/>
                <w:bCs/>
                <w:sz w:val="20"/>
                <w:szCs w:val="20"/>
              </w:rPr>
              <w:t>Operative date</w:t>
            </w:r>
          </w:p>
        </w:tc>
        <w:tc>
          <w:tcPr>
            <w:tcW w:w="896" w:type="pct"/>
            <w:shd w:val="clear" w:color="auto" w:fill="56C2BE" w:themeFill="accent1" w:themeFillShade="BF"/>
            <w:vAlign w:val="center"/>
          </w:tcPr>
          <w:p w14:paraId="599F4456" w14:textId="7CEEE8FA" w:rsidR="00B41A20" w:rsidRPr="00F40B79" w:rsidRDefault="00B41A20" w:rsidP="001F6828">
            <w:pPr>
              <w:tabs>
                <w:tab w:val="left" w:pos="272"/>
                <w:tab w:val="left" w:pos="851"/>
              </w:tabs>
              <w:suppressAutoHyphens w:val="0"/>
              <w:spacing w:before="120" w:after="120" w:line="220" w:lineRule="atLeast"/>
              <w:ind w:left="96" w:right="96"/>
              <w:rPr>
                <w:rFonts w:ascii="Arial" w:eastAsia="Times New Roman" w:hAnsi="Arial" w:cs="Times New Roman"/>
                <w:b/>
                <w:bCs/>
                <w:sz w:val="20"/>
                <w:szCs w:val="20"/>
                <w:vertAlign w:val="superscript"/>
              </w:rPr>
            </w:pPr>
            <w:r w:rsidRPr="00F40B79">
              <w:rPr>
                <w:rFonts w:ascii="Arial" w:eastAsia="Times New Roman" w:hAnsi="Arial" w:cs="Times New Roman"/>
                <w:b/>
                <w:bCs/>
                <w:sz w:val="20"/>
                <w:szCs w:val="20"/>
              </w:rPr>
              <w:t>Likely impact?</w:t>
            </w:r>
            <w:r w:rsidRPr="00F40B79">
              <w:rPr>
                <w:rFonts w:ascii="Arial" w:eastAsia="Times New Roman" w:hAnsi="Arial" w:cs="Times New Roman"/>
                <w:b/>
                <w:bCs/>
                <w:sz w:val="20"/>
                <w:szCs w:val="20"/>
                <w:vertAlign w:val="superscript"/>
              </w:rPr>
              <w:t>1</w:t>
            </w:r>
          </w:p>
        </w:tc>
      </w:tr>
      <w:tr w:rsidR="00B41A20" w:rsidRPr="00EA125B" w14:paraId="764941DC" w14:textId="77777777" w:rsidTr="003115CA">
        <w:trPr>
          <w:trHeight w:val="631"/>
          <w:tblHeader/>
        </w:trPr>
        <w:tc>
          <w:tcPr>
            <w:tcW w:w="836" w:type="pct"/>
            <w:shd w:val="clear" w:color="auto" w:fill="FFFFFF" w:themeFill="background1"/>
            <w:vAlign w:val="center"/>
          </w:tcPr>
          <w:p w14:paraId="0D8CE7B0" w14:textId="438827EA" w:rsidR="00B41A20" w:rsidRPr="003115CA" w:rsidRDefault="00B41A20" w:rsidP="00453C22">
            <w:pPr>
              <w:keepNext/>
              <w:suppressAutoHyphens w:val="0"/>
              <w:spacing w:before="120" w:after="120" w:line="220" w:lineRule="atLeast"/>
              <w:ind w:left="96" w:right="96"/>
              <w:rPr>
                <w:rFonts w:eastAsia="Times New Roman" w:cstheme="minorHAnsi"/>
                <w:sz w:val="18"/>
                <w:szCs w:val="18"/>
              </w:rPr>
            </w:pPr>
            <w:r w:rsidRPr="003115CA">
              <w:rPr>
                <w:rFonts w:eastAsia="Arial" w:cstheme="minorHAnsi"/>
                <w:sz w:val="18"/>
                <w:szCs w:val="18"/>
              </w:rPr>
              <w:t>AASB</w:t>
            </w:r>
            <w:r w:rsidRPr="003115CA">
              <w:rPr>
                <w:rFonts w:eastAsia="Times New Roman" w:cstheme="minorHAnsi"/>
                <w:sz w:val="18"/>
                <w:szCs w:val="18"/>
              </w:rPr>
              <w:t xml:space="preserve"> 17</w:t>
            </w:r>
            <w:r w:rsidRPr="003115CA">
              <w:rPr>
                <w:rFonts w:eastAsia="Times New Roman" w:cstheme="minorHAnsi"/>
                <w:sz w:val="18"/>
                <w:szCs w:val="18"/>
                <w:vertAlign w:val="superscript"/>
              </w:rPr>
              <w:t>2</w:t>
            </w:r>
          </w:p>
        </w:tc>
        <w:tc>
          <w:tcPr>
            <w:tcW w:w="2372" w:type="pct"/>
            <w:shd w:val="clear" w:color="auto" w:fill="FFFFFF" w:themeFill="background1"/>
            <w:vAlign w:val="center"/>
          </w:tcPr>
          <w:p w14:paraId="71A1157D" w14:textId="597026A1" w:rsidR="00B41A20" w:rsidRPr="003115CA" w:rsidRDefault="00B41A20" w:rsidP="00453C22">
            <w:pPr>
              <w:keepNext/>
              <w:suppressAutoHyphens w:val="0"/>
              <w:spacing w:before="120" w:after="120" w:line="220" w:lineRule="atLeast"/>
              <w:ind w:left="96" w:right="96"/>
              <w:rPr>
                <w:rFonts w:eastAsia="Times New Roman" w:cstheme="minorHAnsi"/>
                <w:sz w:val="18"/>
                <w:szCs w:val="18"/>
              </w:rPr>
            </w:pPr>
            <w:r w:rsidRPr="003115CA">
              <w:rPr>
                <w:rFonts w:eastAsia="Times New Roman" w:cstheme="minorHAnsi"/>
                <w:i/>
                <w:iCs/>
                <w:sz w:val="18"/>
                <w:szCs w:val="18"/>
              </w:rPr>
              <w:t>Insurance Contracts</w:t>
            </w:r>
          </w:p>
        </w:tc>
        <w:tc>
          <w:tcPr>
            <w:tcW w:w="896" w:type="pct"/>
            <w:shd w:val="clear" w:color="auto" w:fill="FFFFFF" w:themeFill="background1"/>
            <w:vAlign w:val="center"/>
          </w:tcPr>
          <w:p w14:paraId="4BC25259" w14:textId="3E86DA89" w:rsidR="00B41A20" w:rsidRPr="003115CA" w:rsidRDefault="00B41A20" w:rsidP="00453C22">
            <w:pPr>
              <w:tabs>
                <w:tab w:val="left" w:pos="272"/>
                <w:tab w:val="left" w:pos="851"/>
              </w:tabs>
              <w:suppressAutoHyphens w:val="0"/>
              <w:spacing w:before="120" w:after="120" w:line="220" w:lineRule="atLeast"/>
              <w:ind w:left="96" w:right="96"/>
              <w:rPr>
                <w:rFonts w:eastAsia="Times New Roman" w:cstheme="minorHAnsi"/>
                <w:sz w:val="18"/>
                <w:szCs w:val="18"/>
              </w:rPr>
            </w:pPr>
            <w:r w:rsidRPr="003115CA">
              <w:rPr>
                <w:rFonts w:eastAsia="Times New Roman" w:cstheme="minorHAnsi"/>
                <w:sz w:val="18"/>
                <w:szCs w:val="18"/>
              </w:rPr>
              <w:t>1 Jul 2026</w:t>
            </w:r>
          </w:p>
        </w:tc>
        <w:tc>
          <w:tcPr>
            <w:tcW w:w="896" w:type="pct"/>
            <w:shd w:val="clear" w:color="auto" w:fill="FFFFFF" w:themeFill="background1"/>
            <w:vAlign w:val="center"/>
          </w:tcPr>
          <w:p w14:paraId="78DDF692" w14:textId="5373A5F6" w:rsidR="00B41A20" w:rsidRPr="003115CA" w:rsidRDefault="00EE7977"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rFonts w:ascii="Arial" w:eastAsia="Times New Roman" w:hAnsi="Arial" w:cs="Times New Roman"/>
                <w:sz w:val="18"/>
                <w:szCs w:val="18"/>
              </w:rPr>
              <w:t>No</w:t>
            </w:r>
          </w:p>
        </w:tc>
      </w:tr>
      <w:tr w:rsidR="00B41A20" w:rsidRPr="00EA125B" w14:paraId="7B6CB336" w14:textId="77777777" w:rsidTr="003115CA">
        <w:trPr>
          <w:trHeight w:val="99"/>
          <w:tblHeader/>
        </w:trPr>
        <w:tc>
          <w:tcPr>
            <w:tcW w:w="836" w:type="pct"/>
            <w:shd w:val="clear" w:color="auto" w:fill="FFFFFF" w:themeFill="background1"/>
            <w:vAlign w:val="center"/>
          </w:tcPr>
          <w:p w14:paraId="21C249F4" w14:textId="567A90C3" w:rsidR="00B41A20" w:rsidRPr="003115CA" w:rsidRDefault="00B41A20" w:rsidP="00453C22">
            <w:pPr>
              <w:keepNext/>
              <w:suppressAutoHyphens w:val="0"/>
              <w:spacing w:before="120" w:after="120" w:line="220" w:lineRule="atLeast"/>
              <w:ind w:left="96" w:right="96"/>
              <w:rPr>
                <w:rFonts w:eastAsia="Times New Roman" w:cstheme="minorHAnsi"/>
                <w:sz w:val="18"/>
                <w:szCs w:val="18"/>
              </w:rPr>
            </w:pPr>
            <w:r w:rsidRPr="003115CA">
              <w:rPr>
                <w:rFonts w:eastAsia="Arial" w:cstheme="minorHAnsi"/>
                <w:sz w:val="18"/>
                <w:szCs w:val="18"/>
              </w:rPr>
              <w:t>AASB 18</w:t>
            </w:r>
            <w:r w:rsidRPr="003115CA">
              <w:rPr>
                <w:rFonts w:eastAsia="Arial" w:cstheme="minorHAnsi"/>
                <w:sz w:val="18"/>
                <w:szCs w:val="18"/>
                <w:vertAlign w:val="superscript"/>
              </w:rPr>
              <w:t>3</w:t>
            </w:r>
          </w:p>
        </w:tc>
        <w:tc>
          <w:tcPr>
            <w:tcW w:w="2372" w:type="pct"/>
            <w:shd w:val="clear" w:color="auto" w:fill="FFFFFF" w:themeFill="background1"/>
            <w:vAlign w:val="center"/>
          </w:tcPr>
          <w:p w14:paraId="359BEA63" w14:textId="37105E42" w:rsidR="00B41A20" w:rsidRPr="003115CA" w:rsidRDefault="00B41A20" w:rsidP="00453C22">
            <w:pPr>
              <w:keepNext/>
              <w:suppressAutoHyphens w:val="0"/>
              <w:spacing w:before="120" w:after="120" w:line="220" w:lineRule="atLeast"/>
              <w:ind w:left="96" w:right="96"/>
              <w:rPr>
                <w:rFonts w:eastAsia="Times New Roman" w:cstheme="minorHAnsi"/>
                <w:sz w:val="18"/>
                <w:szCs w:val="18"/>
              </w:rPr>
            </w:pPr>
            <w:r w:rsidRPr="003115CA">
              <w:rPr>
                <w:rFonts w:eastAsia="Times New Roman" w:cstheme="minorHAnsi"/>
                <w:i/>
                <w:iCs/>
                <w:sz w:val="18"/>
                <w:szCs w:val="18"/>
              </w:rPr>
              <w:t>Presentation and Disclosure in Financial Statements</w:t>
            </w:r>
          </w:p>
        </w:tc>
        <w:tc>
          <w:tcPr>
            <w:tcW w:w="896" w:type="pct"/>
            <w:shd w:val="clear" w:color="auto" w:fill="FFFFFF" w:themeFill="background1"/>
            <w:vAlign w:val="center"/>
          </w:tcPr>
          <w:p w14:paraId="397B9C26" w14:textId="09FCE684" w:rsidR="00B41A20" w:rsidRPr="003115CA" w:rsidRDefault="00B41A20" w:rsidP="00453C22">
            <w:pPr>
              <w:tabs>
                <w:tab w:val="left" w:pos="272"/>
                <w:tab w:val="left" w:pos="851"/>
              </w:tabs>
              <w:suppressAutoHyphens w:val="0"/>
              <w:spacing w:before="120" w:after="120" w:line="220" w:lineRule="atLeast"/>
              <w:ind w:left="96" w:right="96"/>
              <w:rPr>
                <w:rFonts w:eastAsia="Times New Roman" w:cstheme="minorHAnsi"/>
                <w:sz w:val="18"/>
                <w:szCs w:val="18"/>
              </w:rPr>
            </w:pPr>
            <w:r w:rsidRPr="003115CA">
              <w:rPr>
                <w:rFonts w:eastAsia="Times New Roman" w:cstheme="minorHAnsi"/>
                <w:sz w:val="18"/>
                <w:szCs w:val="18"/>
              </w:rPr>
              <w:t>1 Jan 2028</w:t>
            </w:r>
          </w:p>
        </w:tc>
        <w:tc>
          <w:tcPr>
            <w:tcW w:w="896" w:type="pct"/>
            <w:shd w:val="clear" w:color="auto" w:fill="FFFFFF" w:themeFill="background1"/>
            <w:vAlign w:val="center"/>
          </w:tcPr>
          <w:p w14:paraId="562242E2" w14:textId="005DE98A" w:rsidR="00EE7977" w:rsidRPr="003115CA" w:rsidRDefault="00EE7977"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rFonts w:ascii="Arial" w:eastAsia="Times New Roman" w:hAnsi="Arial" w:cs="Times New Roman"/>
                <w:sz w:val="18"/>
                <w:szCs w:val="18"/>
              </w:rPr>
              <w:t>Yes</w:t>
            </w:r>
          </w:p>
        </w:tc>
      </w:tr>
      <w:tr w:rsidR="00B41A20" w:rsidRPr="00EA125B" w14:paraId="07918434" w14:textId="77777777" w:rsidTr="003115CA">
        <w:trPr>
          <w:trHeight w:val="335"/>
          <w:tblHeader/>
        </w:trPr>
        <w:tc>
          <w:tcPr>
            <w:tcW w:w="836" w:type="pct"/>
            <w:shd w:val="clear" w:color="auto" w:fill="FFFFFF" w:themeFill="background1"/>
            <w:vAlign w:val="center"/>
          </w:tcPr>
          <w:p w14:paraId="198B3028" w14:textId="462415F1" w:rsidR="00B41A20" w:rsidRPr="003115CA" w:rsidRDefault="00B41A20" w:rsidP="00453C22">
            <w:pPr>
              <w:keepNext/>
              <w:suppressAutoHyphens w:val="0"/>
              <w:spacing w:before="120" w:after="120" w:line="220" w:lineRule="atLeast"/>
              <w:ind w:left="96" w:right="96"/>
              <w:rPr>
                <w:rFonts w:eastAsia="Times New Roman" w:cstheme="minorHAnsi"/>
                <w:sz w:val="18"/>
                <w:szCs w:val="18"/>
              </w:rPr>
            </w:pPr>
            <w:r w:rsidRPr="003115CA">
              <w:rPr>
                <w:rFonts w:eastAsia="Arial" w:cstheme="minorHAnsi"/>
                <w:sz w:val="18"/>
                <w:szCs w:val="18"/>
              </w:rPr>
              <w:t>AASB 1061</w:t>
            </w:r>
          </w:p>
        </w:tc>
        <w:tc>
          <w:tcPr>
            <w:tcW w:w="2372" w:type="pct"/>
            <w:shd w:val="clear" w:color="auto" w:fill="FFFFFF" w:themeFill="background1"/>
            <w:vAlign w:val="center"/>
          </w:tcPr>
          <w:p w14:paraId="0BC31B91" w14:textId="716A9D08" w:rsidR="00B41A20" w:rsidRPr="003115CA" w:rsidRDefault="00B41A20" w:rsidP="00453C22">
            <w:pPr>
              <w:keepNext/>
              <w:suppressAutoHyphens w:val="0"/>
              <w:spacing w:before="120" w:after="120" w:line="220" w:lineRule="atLeast"/>
              <w:ind w:left="96" w:right="96"/>
              <w:rPr>
                <w:rFonts w:eastAsia="Times New Roman" w:cstheme="minorHAnsi"/>
                <w:sz w:val="18"/>
                <w:szCs w:val="18"/>
              </w:rPr>
            </w:pPr>
            <w:r w:rsidRPr="003115CA">
              <w:rPr>
                <w:rFonts w:eastAsia="Times New Roman" w:cstheme="minorHAnsi"/>
                <w:i/>
                <w:iCs/>
                <w:sz w:val="18"/>
                <w:szCs w:val="18"/>
              </w:rPr>
              <w:t>General Purpose Financial Statements – Not-for-Profit Private Sector Tier 3 Entities</w:t>
            </w:r>
          </w:p>
        </w:tc>
        <w:tc>
          <w:tcPr>
            <w:tcW w:w="896" w:type="pct"/>
            <w:shd w:val="clear" w:color="auto" w:fill="FFFFFF" w:themeFill="background1"/>
            <w:vAlign w:val="center"/>
          </w:tcPr>
          <w:p w14:paraId="57054385" w14:textId="22173DFC" w:rsidR="00B41A20" w:rsidRPr="003115CA" w:rsidRDefault="00B41A20" w:rsidP="00453C22">
            <w:pPr>
              <w:tabs>
                <w:tab w:val="left" w:pos="272"/>
                <w:tab w:val="left" w:pos="851"/>
              </w:tabs>
              <w:suppressAutoHyphens w:val="0"/>
              <w:spacing w:before="120" w:after="120" w:line="220" w:lineRule="atLeast"/>
              <w:ind w:left="96" w:right="96"/>
              <w:rPr>
                <w:rFonts w:eastAsia="Times New Roman" w:cstheme="minorHAnsi"/>
                <w:sz w:val="18"/>
                <w:szCs w:val="18"/>
              </w:rPr>
            </w:pPr>
            <w:r w:rsidRPr="003115CA">
              <w:rPr>
                <w:rFonts w:eastAsia="Times New Roman" w:cstheme="minorHAnsi"/>
                <w:sz w:val="18"/>
                <w:szCs w:val="18"/>
              </w:rPr>
              <w:t>1 Jul 2029</w:t>
            </w:r>
          </w:p>
        </w:tc>
        <w:tc>
          <w:tcPr>
            <w:tcW w:w="896" w:type="pct"/>
            <w:shd w:val="clear" w:color="auto" w:fill="FFFFFF" w:themeFill="background1"/>
            <w:vAlign w:val="center"/>
          </w:tcPr>
          <w:p w14:paraId="7FFC27D8" w14:textId="0A4D244B" w:rsidR="00B41A20" w:rsidRPr="003115CA" w:rsidRDefault="00EE7977"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rFonts w:ascii="Arial" w:eastAsia="Times New Roman" w:hAnsi="Arial" w:cs="Times New Roman"/>
                <w:sz w:val="18"/>
                <w:szCs w:val="18"/>
              </w:rPr>
              <w:t>No</w:t>
            </w:r>
          </w:p>
        </w:tc>
      </w:tr>
    </w:tbl>
    <w:p w14:paraId="607E45AF" w14:textId="77777777" w:rsidR="00EE7977" w:rsidRPr="00135C57" w:rsidRDefault="00EE7977" w:rsidP="003115CA">
      <w:pPr>
        <w:spacing w:after="120"/>
        <w:rPr>
          <w:b/>
          <w:bCs/>
        </w:rPr>
      </w:pPr>
      <w:r w:rsidRPr="007074AB">
        <w:rPr>
          <w:b/>
          <w:bCs/>
        </w:rPr>
        <w:t>Amending Pronouncements</w:t>
      </w:r>
    </w:p>
    <w:tbl>
      <w:tblPr>
        <w:tblStyle w:val="TableGrid2"/>
        <w:tblW w:w="5000" w:type="pct"/>
        <w:tblLook w:val="04A0" w:firstRow="1" w:lastRow="0" w:firstColumn="1" w:lastColumn="0" w:noHBand="0" w:noVBand="1"/>
      </w:tblPr>
      <w:tblGrid>
        <w:gridCol w:w="1514"/>
        <w:gridCol w:w="4298"/>
        <w:gridCol w:w="1624"/>
        <w:gridCol w:w="1624"/>
      </w:tblGrid>
      <w:tr w:rsidR="00EE7977" w:rsidRPr="00EA125B" w14:paraId="21AA9198" w14:textId="77777777" w:rsidTr="001F6828">
        <w:trPr>
          <w:trHeight w:val="511"/>
          <w:tblHeader/>
        </w:trPr>
        <w:tc>
          <w:tcPr>
            <w:tcW w:w="836" w:type="pct"/>
            <w:shd w:val="clear" w:color="auto" w:fill="56C2BE" w:themeFill="accent1" w:themeFillShade="BF"/>
          </w:tcPr>
          <w:p w14:paraId="40B92CC5" w14:textId="77777777" w:rsidR="00EE7977" w:rsidRPr="00F40B79" w:rsidRDefault="00EE7977" w:rsidP="001F6828">
            <w:pPr>
              <w:keepNext/>
              <w:suppressAutoHyphens w:val="0"/>
              <w:spacing w:before="120" w:after="120" w:line="220" w:lineRule="atLeast"/>
              <w:ind w:left="96" w:right="96"/>
              <w:rPr>
                <w:rFonts w:ascii="Arial" w:eastAsia="Times New Roman" w:hAnsi="Arial" w:cs="Times New Roman"/>
                <w:b/>
                <w:bCs/>
                <w:sz w:val="20"/>
                <w:szCs w:val="20"/>
              </w:rPr>
            </w:pPr>
            <w:r w:rsidRPr="00F40B79">
              <w:rPr>
                <w:rFonts w:ascii="Arial" w:eastAsia="Times New Roman" w:hAnsi="Arial" w:cs="Times New Roman"/>
                <w:b/>
                <w:bCs/>
                <w:sz w:val="20"/>
                <w:szCs w:val="20"/>
              </w:rPr>
              <w:t>AASB No.</w:t>
            </w:r>
          </w:p>
        </w:tc>
        <w:tc>
          <w:tcPr>
            <w:tcW w:w="2372" w:type="pct"/>
            <w:shd w:val="clear" w:color="auto" w:fill="56C2BE" w:themeFill="accent1" w:themeFillShade="BF"/>
          </w:tcPr>
          <w:p w14:paraId="1AF75A49" w14:textId="77777777" w:rsidR="00EE7977" w:rsidRPr="00F40B79" w:rsidRDefault="00EE7977" w:rsidP="001F6828">
            <w:pPr>
              <w:keepNext/>
              <w:suppressAutoHyphens w:val="0"/>
              <w:spacing w:before="120" w:after="120" w:line="220" w:lineRule="atLeast"/>
              <w:ind w:left="96" w:right="96"/>
              <w:rPr>
                <w:rFonts w:ascii="Arial" w:eastAsia="Times New Roman" w:hAnsi="Arial" w:cs="Times New Roman"/>
                <w:b/>
                <w:bCs/>
                <w:sz w:val="17"/>
                <w:szCs w:val="24"/>
              </w:rPr>
            </w:pPr>
            <w:r w:rsidRPr="00F40B79">
              <w:rPr>
                <w:rFonts w:ascii="Arial" w:eastAsia="Times New Roman" w:hAnsi="Arial" w:cs="Times New Roman"/>
                <w:b/>
                <w:bCs/>
                <w:sz w:val="20"/>
                <w:szCs w:val="20"/>
              </w:rPr>
              <w:t>New/amending pronouncement title</w:t>
            </w:r>
          </w:p>
        </w:tc>
        <w:tc>
          <w:tcPr>
            <w:tcW w:w="896" w:type="pct"/>
            <w:shd w:val="clear" w:color="auto" w:fill="56C2BE" w:themeFill="accent1" w:themeFillShade="BF"/>
          </w:tcPr>
          <w:p w14:paraId="1E4F5865" w14:textId="77777777" w:rsidR="00EE7977" w:rsidRPr="00F40B79" w:rsidRDefault="00EE7977" w:rsidP="001F6828">
            <w:pPr>
              <w:tabs>
                <w:tab w:val="left" w:pos="272"/>
                <w:tab w:val="left" w:pos="851"/>
              </w:tabs>
              <w:suppressAutoHyphens w:val="0"/>
              <w:spacing w:before="120" w:after="120" w:line="220" w:lineRule="atLeast"/>
              <w:ind w:left="96" w:right="96"/>
              <w:rPr>
                <w:rFonts w:ascii="Arial" w:eastAsia="Times New Roman" w:hAnsi="Arial" w:cs="Times New Roman"/>
                <w:b/>
                <w:bCs/>
                <w:sz w:val="20"/>
                <w:szCs w:val="20"/>
              </w:rPr>
            </w:pPr>
            <w:r w:rsidRPr="00F40B79">
              <w:rPr>
                <w:rFonts w:ascii="Arial" w:eastAsia="Times New Roman" w:hAnsi="Arial" w:cs="Times New Roman"/>
                <w:b/>
                <w:bCs/>
                <w:sz w:val="20"/>
                <w:szCs w:val="20"/>
              </w:rPr>
              <w:t>Operative date</w:t>
            </w:r>
          </w:p>
        </w:tc>
        <w:tc>
          <w:tcPr>
            <w:tcW w:w="896" w:type="pct"/>
            <w:shd w:val="clear" w:color="auto" w:fill="56C2BE" w:themeFill="accent1" w:themeFillShade="BF"/>
          </w:tcPr>
          <w:p w14:paraId="64FEE52B" w14:textId="04D31A42" w:rsidR="00EE7977" w:rsidRPr="00F40B79" w:rsidRDefault="00EE7977" w:rsidP="001F6828">
            <w:pPr>
              <w:tabs>
                <w:tab w:val="left" w:pos="272"/>
                <w:tab w:val="left" w:pos="851"/>
              </w:tabs>
              <w:suppressAutoHyphens w:val="0"/>
              <w:spacing w:before="120" w:after="120" w:line="220" w:lineRule="atLeast"/>
              <w:ind w:left="96" w:right="96"/>
              <w:rPr>
                <w:rFonts w:ascii="Arial" w:eastAsia="Times New Roman" w:hAnsi="Arial" w:cs="Times New Roman"/>
                <w:b/>
                <w:bCs/>
                <w:sz w:val="20"/>
                <w:szCs w:val="20"/>
                <w:vertAlign w:val="superscript"/>
              </w:rPr>
            </w:pPr>
            <w:r w:rsidRPr="00F40B79">
              <w:rPr>
                <w:rFonts w:ascii="Arial" w:eastAsia="Times New Roman" w:hAnsi="Arial" w:cs="Times New Roman"/>
                <w:b/>
                <w:bCs/>
                <w:sz w:val="20"/>
                <w:szCs w:val="20"/>
              </w:rPr>
              <w:t>Likely impact?</w:t>
            </w:r>
            <w:r w:rsidR="00A80BC8" w:rsidRPr="00F40B79">
              <w:rPr>
                <w:rFonts w:ascii="Arial" w:eastAsia="Times New Roman" w:hAnsi="Arial" w:cs="Times New Roman"/>
                <w:b/>
                <w:bCs/>
                <w:sz w:val="20"/>
                <w:szCs w:val="20"/>
                <w:vertAlign w:val="superscript"/>
              </w:rPr>
              <w:t xml:space="preserve"> 1</w:t>
            </w:r>
          </w:p>
        </w:tc>
      </w:tr>
      <w:tr w:rsidR="00BB40E0" w:rsidRPr="00EA125B" w14:paraId="0A7189F1" w14:textId="77777777" w:rsidTr="003115CA">
        <w:trPr>
          <w:trHeight w:val="749"/>
        </w:trPr>
        <w:tc>
          <w:tcPr>
            <w:tcW w:w="836" w:type="pct"/>
            <w:shd w:val="clear" w:color="auto" w:fill="FFFFFF" w:themeFill="background1"/>
            <w:vAlign w:val="center"/>
          </w:tcPr>
          <w:p w14:paraId="27A02812" w14:textId="6B8A5A41" w:rsidR="00BB40E0" w:rsidRPr="003115CA" w:rsidRDefault="00BB40E0" w:rsidP="00966F20">
            <w:pPr>
              <w:keepNext/>
              <w:suppressAutoHyphens w:val="0"/>
              <w:spacing w:before="120" w:after="120" w:line="220" w:lineRule="atLeast"/>
              <w:ind w:right="96"/>
              <w:rPr>
                <w:rFonts w:ascii="Arial" w:eastAsia="Times New Roman" w:hAnsi="Arial" w:cs="Times New Roman"/>
                <w:sz w:val="18"/>
                <w:szCs w:val="18"/>
              </w:rPr>
            </w:pPr>
            <w:r w:rsidRPr="003115CA">
              <w:rPr>
                <w:rFonts w:ascii="Arial" w:eastAsia="Arial" w:hAnsi="Arial" w:cs="Arial"/>
                <w:sz w:val="18"/>
                <w:szCs w:val="18"/>
              </w:rPr>
              <w:t>AASB 18 (FP) Appendix D</w:t>
            </w:r>
          </w:p>
        </w:tc>
        <w:tc>
          <w:tcPr>
            <w:tcW w:w="2372" w:type="pct"/>
            <w:shd w:val="clear" w:color="auto" w:fill="FFFFFF" w:themeFill="background1"/>
            <w:vAlign w:val="center"/>
          </w:tcPr>
          <w:p w14:paraId="462E08B0" w14:textId="0ACC2B0E" w:rsidR="00BB40E0" w:rsidRPr="003115CA" w:rsidRDefault="00BB40E0" w:rsidP="00453C22">
            <w:pPr>
              <w:keepNext/>
              <w:suppressAutoHyphens w:val="0"/>
              <w:spacing w:before="120" w:after="120" w:line="220" w:lineRule="atLeast"/>
              <w:ind w:left="96" w:right="96"/>
              <w:rPr>
                <w:rFonts w:ascii="Arial" w:eastAsia="Times New Roman" w:hAnsi="Arial" w:cs="Times New Roman"/>
                <w:sz w:val="18"/>
                <w:szCs w:val="18"/>
              </w:rPr>
            </w:pPr>
            <w:r w:rsidRPr="003115CA">
              <w:rPr>
                <w:rFonts w:ascii="Arial" w:eastAsia="Arial" w:hAnsi="Arial" w:cs="Arial"/>
                <w:i/>
                <w:iCs/>
                <w:sz w:val="18"/>
                <w:szCs w:val="18"/>
              </w:rPr>
              <w:t>Amendments to Other Australian Accounting Standards [for for-profit entities]</w:t>
            </w:r>
          </w:p>
        </w:tc>
        <w:tc>
          <w:tcPr>
            <w:tcW w:w="896" w:type="pct"/>
            <w:shd w:val="clear" w:color="auto" w:fill="FFFFFF" w:themeFill="background1"/>
            <w:vAlign w:val="center"/>
          </w:tcPr>
          <w:p w14:paraId="6F103315" w14:textId="6E1656A0"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rFonts w:ascii="Arial" w:eastAsia="Arial" w:hAnsi="Arial" w:cs="Arial"/>
                <w:sz w:val="18"/>
                <w:szCs w:val="18"/>
              </w:rPr>
              <w:t>1 Jan 2027</w:t>
            </w:r>
          </w:p>
        </w:tc>
        <w:tc>
          <w:tcPr>
            <w:tcW w:w="896" w:type="pct"/>
            <w:shd w:val="clear" w:color="auto" w:fill="FFFFFF" w:themeFill="background1"/>
            <w:vAlign w:val="center"/>
          </w:tcPr>
          <w:p w14:paraId="5B84A317" w14:textId="77777777"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rFonts w:ascii="Arial" w:eastAsia="Times New Roman" w:hAnsi="Arial" w:cs="Times New Roman"/>
                <w:sz w:val="18"/>
                <w:szCs w:val="18"/>
              </w:rPr>
              <w:t>No</w:t>
            </w:r>
          </w:p>
        </w:tc>
      </w:tr>
      <w:tr w:rsidR="00BB40E0" w:rsidRPr="00EA125B" w14:paraId="36C0679E" w14:textId="77777777" w:rsidTr="003115CA">
        <w:trPr>
          <w:trHeight w:val="749"/>
        </w:trPr>
        <w:tc>
          <w:tcPr>
            <w:tcW w:w="836" w:type="pct"/>
            <w:shd w:val="clear" w:color="auto" w:fill="FFFFFF" w:themeFill="background1"/>
            <w:vAlign w:val="center"/>
          </w:tcPr>
          <w:p w14:paraId="40C59B32" w14:textId="2460F256" w:rsidR="00BB40E0" w:rsidRPr="003115CA" w:rsidRDefault="00BB40E0" w:rsidP="00966F20">
            <w:pPr>
              <w:spacing w:before="120" w:after="120"/>
              <w:rPr>
                <w:rFonts w:ascii="Arial" w:eastAsia="Times New Roman" w:hAnsi="Arial" w:cs="Times New Roman"/>
                <w:sz w:val="18"/>
                <w:szCs w:val="18"/>
              </w:rPr>
            </w:pPr>
            <w:r w:rsidRPr="003115CA">
              <w:rPr>
                <w:rFonts w:ascii="Arial" w:eastAsia="Arial" w:hAnsi="Arial" w:cs="Arial"/>
                <w:sz w:val="18"/>
                <w:szCs w:val="18"/>
              </w:rPr>
              <w:t>AASB 18 (NFP/super)</w:t>
            </w:r>
            <w:r w:rsidR="00966F20">
              <w:rPr>
                <w:rFonts w:ascii="Arial" w:eastAsia="Arial" w:hAnsi="Arial" w:cs="Arial"/>
                <w:sz w:val="18"/>
                <w:szCs w:val="18"/>
              </w:rPr>
              <w:t xml:space="preserve"> </w:t>
            </w:r>
            <w:r w:rsidRPr="003115CA">
              <w:rPr>
                <w:rFonts w:ascii="Arial" w:eastAsia="Arial" w:hAnsi="Arial" w:cs="Arial"/>
                <w:sz w:val="18"/>
                <w:szCs w:val="18"/>
              </w:rPr>
              <w:t>Appendix D</w:t>
            </w:r>
          </w:p>
        </w:tc>
        <w:tc>
          <w:tcPr>
            <w:tcW w:w="2372" w:type="pct"/>
            <w:shd w:val="clear" w:color="auto" w:fill="FFFFFF" w:themeFill="background1"/>
            <w:vAlign w:val="center"/>
          </w:tcPr>
          <w:p w14:paraId="77DFB34A" w14:textId="08C26AB0" w:rsidR="00BB40E0" w:rsidRPr="003115CA" w:rsidRDefault="00BB40E0" w:rsidP="00453C22">
            <w:pPr>
              <w:keepNext/>
              <w:suppressAutoHyphens w:val="0"/>
              <w:spacing w:before="120" w:after="120" w:line="220" w:lineRule="atLeast"/>
              <w:ind w:left="96" w:right="96"/>
              <w:rPr>
                <w:rFonts w:ascii="Arial" w:eastAsia="Times New Roman" w:hAnsi="Arial" w:cs="Times New Roman"/>
                <w:sz w:val="18"/>
                <w:szCs w:val="18"/>
              </w:rPr>
            </w:pPr>
            <w:r w:rsidRPr="003115CA">
              <w:rPr>
                <w:rFonts w:ascii="Arial" w:eastAsia="Arial" w:hAnsi="Arial" w:cs="Arial"/>
                <w:i/>
                <w:iCs/>
                <w:sz w:val="18"/>
                <w:szCs w:val="18"/>
              </w:rPr>
              <w:t>Amendments to Other Australian Accounting Standards [for not-for-profit and superannuation entities]</w:t>
            </w:r>
          </w:p>
        </w:tc>
        <w:tc>
          <w:tcPr>
            <w:tcW w:w="896" w:type="pct"/>
            <w:shd w:val="clear" w:color="auto" w:fill="FFFFFF" w:themeFill="background1"/>
            <w:vAlign w:val="center"/>
          </w:tcPr>
          <w:p w14:paraId="5BEE0DD3" w14:textId="42DA02C2"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rFonts w:eastAsia="Times New Roman" w:cstheme="minorHAnsi"/>
                <w:sz w:val="18"/>
                <w:szCs w:val="18"/>
              </w:rPr>
              <w:t>1 Jan 2028</w:t>
            </w:r>
          </w:p>
        </w:tc>
        <w:tc>
          <w:tcPr>
            <w:tcW w:w="896" w:type="pct"/>
            <w:shd w:val="clear" w:color="auto" w:fill="FFFFFF" w:themeFill="background1"/>
            <w:vAlign w:val="center"/>
          </w:tcPr>
          <w:p w14:paraId="56953FE0" w14:textId="77777777"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rFonts w:ascii="Arial" w:eastAsia="Times New Roman" w:hAnsi="Arial" w:cs="Times New Roman"/>
                <w:sz w:val="18"/>
                <w:szCs w:val="18"/>
              </w:rPr>
              <w:t>Yes</w:t>
            </w:r>
          </w:p>
        </w:tc>
      </w:tr>
      <w:tr w:rsidR="00BB40E0" w:rsidRPr="00EA125B" w14:paraId="792F9CF1" w14:textId="77777777" w:rsidTr="003115CA">
        <w:trPr>
          <w:trHeight w:val="864"/>
        </w:trPr>
        <w:tc>
          <w:tcPr>
            <w:tcW w:w="836" w:type="pct"/>
            <w:shd w:val="clear" w:color="auto" w:fill="FFFFFF" w:themeFill="background1"/>
            <w:vAlign w:val="center"/>
          </w:tcPr>
          <w:p w14:paraId="6D37ABD4" w14:textId="7E7FB964" w:rsidR="00BB40E0" w:rsidRPr="003115CA" w:rsidRDefault="00BB40E0" w:rsidP="00453C22">
            <w:pPr>
              <w:spacing w:before="120" w:after="120"/>
              <w:rPr>
                <w:rFonts w:ascii="Arial" w:eastAsia="Arial" w:hAnsi="Arial" w:cs="Arial"/>
                <w:sz w:val="18"/>
                <w:szCs w:val="18"/>
              </w:rPr>
            </w:pPr>
            <w:r w:rsidRPr="003115CA">
              <w:rPr>
                <w:rFonts w:ascii="Arial" w:eastAsia="Arial" w:hAnsi="Arial" w:cs="Arial"/>
                <w:sz w:val="18"/>
                <w:szCs w:val="18"/>
              </w:rPr>
              <w:t>AASB 2014-10</w:t>
            </w:r>
          </w:p>
        </w:tc>
        <w:tc>
          <w:tcPr>
            <w:tcW w:w="2372" w:type="pct"/>
            <w:shd w:val="clear" w:color="auto" w:fill="FFFFFF" w:themeFill="background1"/>
            <w:vAlign w:val="center"/>
          </w:tcPr>
          <w:p w14:paraId="0BC7CD71" w14:textId="04F82F49" w:rsidR="00BB40E0" w:rsidRPr="003115CA" w:rsidRDefault="00BB40E0" w:rsidP="00453C22">
            <w:pPr>
              <w:keepNext/>
              <w:suppressAutoHyphens w:val="0"/>
              <w:spacing w:before="120" w:after="120" w:line="220" w:lineRule="atLeast"/>
              <w:ind w:left="96" w:right="96"/>
              <w:rPr>
                <w:rFonts w:ascii="Arial" w:eastAsia="Arial" w:hAnsi="Arial" w:cs="Arial"/>
                <w:i/>
                <w:iCs/>
                <w:sz w:val="18"/>
                <w:szCs w:val="18"/>
              </w:rPr>
            </w:pPr>
            <w:r w:rsidRPr="003115CA">
              <w:rPr>
                <w:rFonts w:ascii="Arial" w:eastAsia="Arial" w:hAnsi="Arial" w:cs="Arial"/>
                <w:i/>
                <w:iCs/>
                <w:sz w:val="18"/>
                <w:szCs w:val="18"/>
              </w:rPr>
              <w:t>Amendments to Australian Accounting Standards – Sale or Contribution of Assets between an Investor and its Associate or Joint Venture</w:t>
            </w:r>
          </w:p>
        </w:tc>
        <w:tc>
          <w:tcPr>
            <w:tcW w:w="896" w:type="pct"/>
            <w:shd w:val="clear" w:color="auto" w:fill="FFFFFF" w:themeFill="background1"/>
            <w:vAlign w:val="center"/>
          </w:tcPr>
          <w:p w14:paraId="0B213169" w14:textId="403AC408" w:rsidR="00BB40E0" w:rsidRPr="003115CA" w:rsidRDefault="00BB40E0" w:rsidP="00453C22">
            <w:pPr>
              <w:tabs>
                <w:tab w:val="left" w:pos="272"/>
                <w:tab w:val="left" w:pos="851"/>
              </w:tabs>
              <w:suppressAutoHyphens w:val="0"/>
              <w:spacing w:before="120" w:after="120" w:line="220" w:lineRule="atLeast"/>
              <w:ind w:left="96" w:right="96"/>
              <w:rPr>
                <w:rFonts w:eastAsia="Times New Roman" w:cstheme="minorHAnsi"/>
                <w:sz w:val="18"/>
                <w:szCs w:val="18"/>
              </w:rPr>
            </w:pPr>
            <w:r w:rsidRPr="003115CA">
              <w:rPr>
                <w:rFonts w:ascii="Arial" w:eastAsia="Arial" w:hAnsi="Arial" w:cs="Arial"/>
                <w:sz w:val="18"/>
                <w:szCs w:val="18"/>
              </w:rPr>
              <w:t>1 Jan 2028</w:t>
            </w:r>
          </w:p>
        </w:tc>
        <w:tc>
          <w:tcPr>
            <w:tcW w:w="896" w:type="pct"/>
            <w:shd w:val="clear" w:color="auto" w:fill="FFFFFF" w:themeFill="background1"/>
            <w:vAlign w:val="center"/>
          </w:tcPr>
          <w:p w14:paraId="137135F4" w14:textId="3DF1AAAB"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sz w:val="18"/>
                <w:szCs w:val="18"/>
              </w:rPr>
              <w:t>No</w:t>
            </w:r>
          </w:p>
        </w:tc>
      </w:tr>
      <w:tr w:rsidR="00BB40E0" w:rsidRPr="00EA125B" w14:paraId="7B8D15C4" w14:textId="77777777" w:rsidTr="003115CA">
        <w:trPr>
          <w:trHeight w:val="580"/>
        </w:trPr>
        <w:tc>
          <w:tcPr>
            <w:tcW w:w="836" w:type="pct"/>
            <w:shd w:val="clear" w:color="auto" w:fill="FFFFFF" w:themeFill="background1"/>
            <w:vAlign w:val="center"/>
          </w:tcPr>
          <w:p w14:paraId="32A4B872" w14:textId="297F4FCF" w:rsidR="00BB40E0" w:rsidRPr="003115CA" w:rsidRDefault="00BB40E0" w:rsidP="00453C22">
            <w:pPr>
              <w:spacing w:before="120" w:after="120"/>
              <w:rPr>
                <w:rFonts w:ascii="Arial" w:eastAsia="Arial" w:hAnsi="Arial" w:cs="Arial"/>
                <w:sz w:val="18"/>
                <w:szCs w:val="18"/>
              </w:rPr>
            </w:pPr>
            <w:r w:rsidRPr="003115CA">
              <w:rPr>
                <w:rFonts w:ascii="Arial" w:eastAsia="Arial" w:hAnsi="Arial" w:cs="Arial"/>
                <w:sz w:val="18"/>
                <w:szCs w:val="18"/>
              </w:rPr>
              <w:t>AASB 2022-9</w:t>
            </w:r>
          </w:p>
        </w:tc>
        <w:tc>
          <w:tcPr>
            <w:tcW w:w="2372" w:type="pct"/>
            <w:shd w:val="clear" w:color="auto" w:fill="FFFFFF" w:themeFill="background1"/>
            <w:vAlign w:val="center"/>
          </w:tcPr>
          <w:p w14:paraId="7444C0A8" w14:textId="14257711" w:rsidR="00BB40E0" w:rsidRPr="003115CA" w:rsidRDefault="00BB40E0" w:rsidP="00453C22">
            <w:pPr>
              <w:keepNext/>
              <w:suppressAutoHyphens w:val="0"/>
              <w:spacing w:before="120" w:after="120" w:line="220" w:lineRule="atLeast"/>
              <w:ind w:left="96" w:right="96"/>
              <w:rPr>
                <w:rFonts w:ascii="Arial" w:eastAsia="Arial" w:hAnsi="Arial" w:cs="Arial"/>
                <w:i/>
                <w:iCs/>
                <w:sz w:val="18"/>
                <w:szCs w:val="18"/>
              </w:rPr>
            </w:pPr>
            <w:r w:rsidRPr="003115CA">
              <w:rPr>
                <w:rFonts w:ascii="Arial" w:eastAsia="Arial" w:hAnsi="Arial" w:cs="Arial"/>
                <w:i/>
                <w:iCs/>
                <w:sz w:val="18"/>
                <w:szCs w:val="18"/>
              </w:rPr>
              <w:t>Amendments to Australian Accounting Standards – Insurance Contracts in the Public Sector</w:t>
            </w:r>
          </w:p>
        </w:tc>
        <w:tc>
          <w:tcPr>
            <w:tcW w:w="896" w:type="pct"/>
            <w:shd w:val="clear" w:color="auto" w:fill="FFFFFF" w:themeFill="background1"/>
            <w:vAlign w:val="center"/>
          </w:tcPr>
          <w:p w14:paraId="0C9FE5AB" w14:textId="7C5589DC" w:rsidR="00BB40E0" w:rsidRPr="003115CA" w:rsidRDefault="00BB40E0" w:rsidP="00453C22">
            <w:pPr>
              <w:tabs>
                <w:tab w:val="left" w:pos="272"/>
                <w:tab w:val="left" w:pos="851"/>
              </w:tabs>
              <w:suppressAutoHyphens w:val="0"/>
              <w:spacing w:before="120" w:after="120" w:line="220" w:lineRule="atLeast"/>
              <w:ind w:left="96" w:right="96"/>
              <w:rPr>
                <w:rFonts w:eastAsia="Times New Roman" w:cstheme="minorHAnsi"/>
                <w:sz w:val="18"/>
                <w:szCs w:val="18"/>
              </w:rPr>
            </w:pPr>
            <w:r w:rsidRPr="003115CA">
              <w:rPr>
                <w:rFonts w:ascii="Arial" w:eastAsia="Arial" w:hAnsi="Arial" w:cs="Arial"/>
                <w:sz w:val="18"/>
                <w:szCs w:val="18"/>
              </w:rPr>
              <w:t>1 Jul 2026</w:t>
            </w:r>
          </w:p>
        </w:tc>
        <w:tc>
          <w:tcPr>
            <w:tcW w:w="896" w:type="pct"/>
            <w:shd w:val="clear" w:color="auto" w:fill="FFFFFF" w:themeFill="background1"/>
            <w:vAlign w:val="center"/>
          </w:tcPr>
          <w:p w14:paraId="6D3A95AE" w14:textId="7B2D3C8E"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sz w:val="18"/>
                <w:szCs w:val="18"/>
              </w:rPr>
              <w:t>No</w:t>
            </w:r>
          </w:p>
        </w:tc>
      </w:tr>
      <w:tr w:rsidR="00BB40E0" w:rsidRPr="00EA125B" w14:paraId="2FA1579D" w14:textId="77777777" w:rsidTr="003115CA">
        <w:trPr>
          <w:trHeight w:val="749"/>
        </w:trPr>
        <w:tc>
          <w:tcPr>
            <w:tcW w:w="836" w:type="pct"/>
            <w:shd w:val="clear" w:color="auto" w:fill="FFFFFF" w:themeFill="background1"/>
            <w:vAlign w:val="center"/>
          </w:tcPr>
          <w:p w14:paraId="19AE9D54" w14:textId="7896B015" w:rsidR="00BB40E0" w:rsidRPr="003115CA" w:rsidRDefault="00BB40E0" w:rsidP="00453C22">
            <w:pPr>
              <w:spacing w:before="120" w:after="120"/>
              <w:rPr>
                <w:rFonts w:ascii="Arial" w:eastAsia="Arial" w:hAnsi="Arial" w:cs="Arial"/>
                <w:sz w:val="18"/>
                <w:szCs w:val="18"/>
              </w:rPr>
            </w:pPr>
            <w:r w:rsidRPr="003115CA">
              <w:rPr>
                <w:rFonts w:ascii="Arial" w:eastAsia="Arial" w:hAnsi="Arial" w:cs="Arial"/>
                <w:sz w:val="18"/>
                <w:szCs w:val="18"/>
              </w:rPr>
              <w:t>AASB 2024-2</w:t>
            </w:r>
          </w:p>
        </w:tc>
        <w:tc>
          <w:tcPr>
            <w:tcW w:w="2372" w:type="pct"/>
            <w:shd w:val="clear" w:color="auto" w:fill="FFFFFF" w:themeFill="background1"/>
            <w:vAlign w:val="center"/>
          </w:tcPr>
          <w:p w14:paraId="5AD657C9" w14:textId="47EE1CE0" w:rsidR="00BB40E0" w:rsidRPr="003115CA" w:rsidRDefault="00BB40E0" w:rsidP="00453C22">
            <w:pPr>
              <w:keepNext/>
              <w:suppressAutoHyphens w:val="0"/>
              <w:spacing w:before="120" w:after="120" w:line="220" w:lineRule="atLeast"/>
              <w:ind w:left="96" w:right="96"/>
              <w:rPr>
                <w:rFonts w:ascii="Arial" w:eastAsia="Arial" w:hAnsi="Arial" w:cs="Arial"/>
                <w:i/>
                <w:iCs/>
                <w:sz w:val="18"/>
                <w:szCs w:val="18"/>
              </w:rPr>
            </w:pPr>
            <w:r w:rsidRPr="003115CA">
              <w:rPr>
                <w:rFonts w:ascii="Arial" w:eastAsia="Arial" w:hAnsi="Arial" w:cs="Arial"/>
                <w:i/>
                <w:iCs/>
                <w:sz w:val="18"/>
                <w:szCs w:val="18"/>
              </w:rPr>
              <w:t>Amendments to Australian Accounting Standards – Classification and Measurement of Financial Instruments</w:t>
            </w:r>
          </w:p>
        </w:tc>
        <w:tc>
          <w:tcPr>
            <w:tcW w:w="896" w:type="pct"/>
            <w:shd w:val="clear" w:color="auto" w:fill="FFFFFF" w:themeFill="background1"/>
            <w:vAlign w:val="center"/>
          </w:tcPr>
          <w:p w14:paraId="6BF2A3AB" w14:textId="14D691F9" w:rsidR="00BB40E0" w:rsidRPr="003115CA" w:rsidRDefault="00BB40E0" w:rsidP="00453C22">
            <w:pPr>
              <w:tabs>
                <w:tab w:val="left" w:pos="272"/>
                <w:tab w:val="left" w:pos="851"/>
              </w:tabs>
              <w:suppressAutoHyphens w:val="0"/>
              <w:spacing w:before="120" w:after="120" w:line="220" w:lineRule="atLeast"/>
              <w:ind w:left="96" w:right="96"/>
              <w:rPr>
                <w:rFonts w:eastAsia="Times New Roman" w:cstheme="minorHAnsi"/>
                <w:sz w:val="18"/>
                <w:szCs w:val="18"/>
              </w:rPr>
            </w:pPr>
            <w:r w:rsidRPr="003115CA">
              <w:rPr>
                <w:rFonts w:ascii="Arial" w:eastAsia="Arial" w:hAnsi="Arial" w:cs="Arial"/>
                <w:sz w:val="18"/>
                <w:szCs w:val="18"/>
              </w:rPr>
              <w:t>1 Jan 2026</w:t>
            </w:r>
          </w:p>
        </w:tc>
        <w:tc>
          <w:tcPr>
            <w:tcW w:w="896" w:type="pct"/>
            <w:shd w:val="clear" w:color="auto" w:fill="FFFFFF" w:themeFill="background1"/>
            <w:vAlign w:val="center"/>
          </w:tcPr>
          <w:p w14:paraId="567DB54E" w14:textId="11791D02"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sz w:val="18"/>
                <w:szCs w:val="18"/>
              </w:rPr>
              <w:t>No</w:t>
            </w:r>
          </w:p>
        </w:tc>
      </w:tr>
      <w:tr w:rsidR="00BB40E0" w:rsidRPr="00EA125B" w14:paraId="60C8FC35" w14:textId="77777777" w:rsidTr="003115CA">
        <w:trPr>
          <w:trHeight w:val="749"/>
        </w:trPr>
        <w:tc>
          <w:tcPr>
            <w:tcW w:w="836" w:type="pct"/>
            <w:shd w:val="clear" w:color="auto" w:fill="FFFFFF" w:themeFill="background1"/>
            <w:vAlign w:val="center"/>
          </w:tcPr>
          <w:p w14:paraId="5BAAF98D" w14:textId="06AAB3B5" w:rsidR="00BB40E0" w:rsidRPr="003115CA" w:rsidRDefault="00BB40E0" w:rsidP="00453C22">
            <w:pPr>
              <w:spacing w:before="120" w:after="120"/>
              <w:rPr>
                <w:rFonts w:ascii="Arial" w:eastAsia="Arial" w:hAnsi="Arial" w:cs="Arial"/>
                <w:sz w:val="18"/>
                <w:szCs w:val="18"/>
              </w:rPr>
            </w:pPr>
            <w:r w:rsidRPr="003115CA">
              <w:rPr>
                <w:rFonts w:ascii="Arial" w:eastAsia="Arial" w:hAnsi="Arial" w:cs="Arial"/>
                <w:sz w:val="18"/>
                <w:szCs w:val="18"/>
              </w:rPr>
              <w:t>AASB 2024-3</w:t>
            </w:r>
          </w:p>
        </w:tc>
        <w:tc>
          <w:tcPr>
            <w:tcW w:w="2372" w:type="pct"/>
            <w:shd w:val="clear" w:color="auto" w:fill="FFFFFF" w:themeFill="background1"/>
            <w:vAlign w:val="center"/>
          </w:tcPr>
          <w:p w14:paraId="4934760E" w14:textId="5DBCEDB6" w:rsidR="00BB40E0" w:rsidRPr="003115CA" w:rsidRDefault="00BB40E0" w:rsidP="00453C22">
            <w:pPr>
              <w:keepNext/>
              <w:suppressAutoHyphens w:val="0"/>
              <w:spacing w:before="120" w:after="120" w:line="220" w:lineRule="atLeast"/>
              <w:ind w:left="96" w:right="96"/>
              <w:rPr>
                <w:rFonts w:ascii="Arial" w:eastAsia="Arial" w:hAnsi="Arial" w:cs="Arial"/>
                <w:i/>
                <w:iCs/>
                <w:sz w:val="18"/>
                <w:szCs w:val="18"/>
              </w:rPr>
            </w:pPr>
            <w:r w:rsidRPr="003115CA">
              <w:rPr>
                <w:rFonts w:ascii="Arial" w:eastAsia="Arial" w:hAnsi="Arial" w:cs="Arial"/>
                <w:i/>
                <w:iCs/>
                <w:sz w:val="18"/>
                <w:szCs w:val="18"/>
              </w:rPr>
              <w:t>Amendments to Australian Accounting Standards – Annual Improvements Volume 11</w:t>
            </w:r>
          </w:p>
        </w:tc>
        <w:tc>
          <w:tcPr>
            <w:tcW w:w="896" w:type="pct"/>
            <w:shd w:val="clear" w:color="auto" w:fill="FFFFFF" w:themeFill="background1"/>
            <w:vAlign w:val="center"/>
          </w:tcPr>
          <w:p w14:paraId="7CA1DD23" w14:textId="33F8397B" w:rsidR="00BB40E0" w:rsidRPr="003115CA" w:rsidRDefault="00BB40E0" w:rsidP="00453C22">
            <w:pPr>
              <w:tabs>
                <w:tab w:val="left" w:pos="272"/>
                <w:tab w:val="left" w:pos="851"/>
              </w:tabs>
              <w:suppressAutoHyphens w:val="0"/>
              <w:spacing w:before="120" w:after="120" w:line="220" w:lineRule="atLeast"/>
              <w:ind w:left="96" w:right="96"/>
              <w:rPr>
                <w:rFonts w:eastAsia="Times New Roman" w:cstheme="minorHAnsi"/>
                <w:sz w:val="18"/>
                <w:szCs w:val="18"/>
              </w:rPr>
            </w:pPr>
            <w:r w:rsidRPr="003115CA">
              <w:rPr>
                <w:rFonts w:ascii="Arial" w:eastAsia="Arial" w:hAnsi="Arial" w:cs="Arial"/>
                <w:sz w:val="18"/>
                <w:szCs w:val="18"/>
              </w:rPr>
              <w:t>1 Jan 2026</w:t>
            </w:r>
          </w:p>
        </w:tc>
        <w:tc>
          <w:tcPr>
            <w:tcW w:w="896" w:type="pct"/>
            <w:shd w:val="clear" w:color="auto" w:fill="FFFFFF" w:themeFill="background1"/>
            <w:vAlign w:val="center"/>
          </w:tcPr>
          <w:p w14:paraId="68AD70B0" w14:textId="6E5A8E4C"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sz w:val="18"/>
                <w:szCs w:val="18"/>
              </w:rPr>
              <w:t>No</w:t>
            </w:r>
          </w:p>
        </w:tc>
      </w:tr>
      <w:tr w:rsidR="00BB40E0" w:rsidRPr="00EA125B" w14:paraId="019690F7" w14:textId="77777777" w:rsidTr="003115CA">
        <w:trPr>
          <w:trHeight w:val="749"/>
        </w:trPr>
        <w:tc>
          <w:tcPr>
            <w:tcW w:w="836" w:type="pct"/>
            <w:shd w:val="clear" w:color="auto" w:fill="FFFFFF" w:themeFill="background1"/>
            <w:vAlign w:val="center"/>
          </w:tcPr>
          <w:p w14:paraId="19806927" w14:textId="54C1FFC5" w:rsidR="00BB40E0" w:rsidRPr="003115CA" w:rsidRDefault="00BB40E0" w:rsidP="00453C22">
            <w:pPr>
              <w:spacing w:before="120" w:after="120"/>
              <w:rPr>
                <w:rFonts w:ascii="Arial" w:eastAsia="Arial" w:hAnsi="Arial" w:cs="Arial"/>
                <w:sz w:val="18"/>
                <w:szCs w:val="18"/>
              </w:rPr>
            </w:pPr>
            <w:r w:rsidRPr="003115CA">
              <w:rPr>
                <w:rFonts w:ascii="Arial" w:eastAsia="Arial" w:hAnsi="Arial" w:cs="Arial"/>
                <w:sz w:val="18"/>
                <w:szCs w:val="18"/>
              </w:rPr>
              <w:t>AASB 2024-4b</w:t>
            </w:r>
          </w:p>
        </w:tc>
        <w:tc>
          <w:tcPr>
            <w:tcW w:w="2372" w:type="pct"/>
            <w:shd w:val="clear" w:color="auto" w:fill="FFFFFF" w:themeFill="background1"/>
            <w:vAlign w:val="center"/>
          </w:tcPr>
          <w:p w14:paraId="6E4EC638" w14:textId="317E0B79" w:rsidR="00BB40E0" w:rsidRPr="003115CA" w:rsidRDefault="00BB40E0" w:rsidP="00453C22">
            <w:pPr>
              <w:keepNext/>
              <w:suppressAutoHyphens w:val="0"/>
              <w:spacing w:before="120" w:after="120" w:line="220" w:lineRule="atLeast"/>
              <w:ind w:left="96" w:right="96"/>
              <w:rPr>
                <w:rFonts w:ascii="Arial" w:eastAsia="Arial" w:hAnsi="Arial" w:cs="Arial"/>
                <w:i/>
                <w:iCs/>
                <w:sz w:val="18"/>
                <w:szCs w:val="18"/>
              </w:rPr>
            </w:pPr>
            <w:r w:rsidRPr="003115CA">
              <w:rPr>
                <w:rFonts w:ascii="Arial" w:eastAsia="Arial" w:hAnsi="Arial" w:cs="Arial"/>
                <w:i/>
                <w:iCs/>
                <w:sz w:val="18"/>
                <w:szCs w:val="18"/>
              </w:rPr>
              <w:t>Amendments to Australian Accounting Standards – Effective Date of Amendments to AASB 10 and AASB 128</w:t>
            </w:r>
          </w:p>
        </w:tc>
        <w:tc>
          <w:tcPr>
            <w:tcW w:w="896" w:type="pct"/>
            <w:shd w:val="clear" w:color="auto" w:fill="FFFFFF" w:themeFill="background1"/>
            <w:vAlign w:val="center"/>
          </w:tcPr>
          <w:p w14:paraId="5F17565E" w14:textId="4B8AF1CE" w:rsidR="00BB40E0" w:rsidRPr="003115CA" w:rsidRDefault="00BB40E0" w:rsidP="00453C22">
            <w:pPr>
              <w:tabs>
                <w:tab w:val="left" w:pos="272"/>
                <w:tab w:val="left" w:pos="851"/>
              </w:tabs>
              <w:suppressAutoHyphens w:val="0"/>
              <w:spacing w:before="120" w:after="120" w:line="220" w:lineRule="atLeast"/>
              <w:ind w:left="96" w:right="96"/>
              <w:rPr>
                <w:rFonts w:eastAsia="Times New Roman" w:cstheme="minorHAnsi"/>
                <w:sz w:val="18"/>
                <w:szCs w:val="18"/>
              </w:rPr>
            </w:pPr>
            <w:r w:rsidRPr="003115CA">
              <w:rPr>
                <w:rFonts w:ascii="Arial" w:eastAsia="Arial" w:hAnsi="Arial" w:cs="Arial"/>
                <w:sz w:val="18"/>
                <w:szCs w:val="18"/>
              </w:rPr>
              <w:t>1 Jan 2028</w:t>
            </w:r>
          </w:p>
        </w:tc>
        <w:tc>
          <w:tcPr>
            <w:tcW w:w="896" w:type="pct"/>
            <w:shd w:val="clear" w:color="auto" w:fill="FFFFFF" w:themeFill="background1"/>
            <w:vAlign w:val="center"/>
          </w:tcPr>
          <w:p w14:paraId="1D593017" w14:textId="2311D8C5"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sz w:val="18"/>
                <w:szCs w:val="18"/>
              </w:rPr>
              <w:t>No</w:t>
            </w:r>
          </w:p>
        </w:tc>
      </w:tr>
      <w:tr w:rsidR="00BB40E0" w:rsidRPr="00EA125B" w14:paraId="14D4987F" w14:textId="77777777" w:rsidTr="003115CA">
        <w:trPr>
          <w:trHeight w:val="749"/>
        </w:trPr>
        <w:tc>
          <w:tcPr>
            <w:tcW w:w="836" w:type="pct"/>
            <w:shd w:val="clear" w:color="auto" w:fill="FFFFFF" w:themeFill="background1"/>
            <w:vAlign w:val="center"/>
          </w:tcPr>
          <w:p w14:paraId="08440676" w14:textId="2C6B454D" w:rsidR="00BB40E0" w:rsidRPr="003115CA" w:rsidRDefault="00BB40E0" w:rsidP="00453C22">
            <w:pPr>
              <w:spacing w:before="120" w:after="120"/>
              <w:rPr>
                <w:rFonts w:ascii="Arial" w:eastAsia="Arial" w:hAnsi="Arial" w:cs="Arial"/>
                <w:sz w:val="18"/>
                <w:szCs w:val="18"/>
              </w:rPr>
            </w:pPr>
            <w:r w:rsidRPr="003115CA">
              <w:rPr>
                <w:rFonts w:ascii="Arial" w:eastAsia="Arial" w:hAnsi="Arial" w:cs="Arial"/>
                <w:sz w:val="18"/>
                <w:szCs w:val="18"/>
              </w:rPr>
              <w:t>AASB 2025-1</w:t>
            </w:r>
          </w:p>
        </w:tc>
        <w:tc>
          <w:tcPr>
            <w:tcW w:w="2372" w:type="pct"/>
            <w:shd w:val="clear" w:color="auto" w:fill="FFFFFF" w:themeFill="background1"/>
            <w:vAlign w:val="center"/>
          </w:tcPr>
          <w:p w14:paraId="34B88F39" w14:textId="2A4E702B" w:rsidR="00BB40E0" w:rsidRPr="003115CA" w:rsidRDefault="00BB40E0" w:rsidP="00453C22">
            <w:pPr>
              <w:keepNext/>
              <w:suppressAutoHyphens w:val="0"/>
              <w:spacing w:before="120" w:after="120" w:line="220" w:lineRule="atLeast"/>
              <w:ind w:left="96" w:right="96"/>
              <w:rPr>
                <w:rFonts w:ascii="Arial" w:eastAsia="Arial" w:hAnsi="Arial" w:cs="Arial"/>
                <w:i/>
                <w:iCs/>
                <w:sz w:val="18"/>
                <w:szCs w:val="18"/>
              </w:rPr>
            </w:pPr>
            <w:r w:rsidRPr="003115CA">
              <w:rPr>
                <w:rFonts w:ascii="Arial" w:eastAsia="Arial" w:hAnsi="Arial" w:cs="Arial"/>
                <w:i/>
                <w:iCs/>
                <w:sz w:val="18"/>
                <w:szCs w:val="18"/>
              </w:rPr>
              <w:t>Amendments to Australian Accounting Standards – Contracts Referencing Nature-dependent Electricity</w:t>
            </w:r>
          </w:p>
        </w:tc>
        <w:tc>
          <w:tcPr>
            <w:tcW w:w="896" w:type="pct"/>
            <w:shd w:val="clear" w:color="auto" w:fill="FFFFFF" w:themeFill="background1"/>
            <w:vAlign w:val="center"/>
          </w:tcPr>
          <w:p w14:paraId="275B3F15" w14:textId="1E31E941" w:rsidR="00BB40E0" w:rsidRPr="003115CA" w:rsidRDefault="00BB40E0" w:rsidP="00453C22">
            <w:pPr>
              <w:tabs>
                <w:tab w:val="left" w:pos="272"/>
                <w:tab w:val="left" w:pos="851"/>
              </w:tabs>
              <w:suppressAutoHyphens w:val="0"/>
              <w:spacing w:before="120" w:after="120" w:line="220" w:lineRule="atLeast"/>
              <w:ind w:left="96" w:right="96"/>
              <w:rPr>
                <w:rFonts w:eastAsia="Times New Roman" w:cstheme="minorHAnsi"/>
                <w:sz w:val="18"/>
                <w:szCs w:val="18"/>
              </w:rPr>
            </w:pPr>
            <w:r w:rsidRPr="003115CA">
              <w:rPr>
                <w:rFonts w:ascii="Arial" w:eastAsia="Arial" w:hAnsi="Arial" w:cs="Arial"/>
                <w:sz w:val="18"/>
                <w:szCs w:val="18"/>
              </w:rPr>
              <w:t>1 Jan 2026</w:t>
            </w:r>
          </w:p>
        </w:tc>
        <w:tc>
          <w:tcPr>
            <w:tcW w:w="896" w:type="pct"/>
            <w:shd w:val="clear" w:color="auto" w:fill="FFFFFF" w:themeFill="background1"/>
            <w:vAlign w:val="center"/>
          </w:tcPr>
          <w:p w14:paraId="728FE1C1" w14:textId="7EB5CB6A"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sz w:val="18"/>
                <w:szCs w:val="18"/>
              </w:rPr>
              <w:t>No</w:t>
            </w:r>
          </w:p>
        </w:tc>
      </w:tr>
      <w:tr w:rsidR="00BB40E0" w:rsidRPr="00EA125B" w14:paraId="093B928D" w14:textId="77777777" w:rsidTr="003115CA">
        <w:trPr>
          <w:trHeight w:val="749"/>
        </w:trPr>
        <w:tc>
          <w:tcPr>
            <w:tcW w:w="836" w:type="pct"/>
            <w:shd w:val="clear" w:color="auto" w:fill="FFFFFF" w:themeFill="background1"/>
            <w:vAlign w:val="center"/>
          </w:tcPr>
          <w:p w14:paraId="061C3DD6" w14:textId="7BCE2EF6" w:rsidR="00BB40E0" w:rsidRPr="003115CA" w:rsidRDefault="00BB40E0" w:rsidP="00453C22">
            <w:pPr>
              <w:spacing w:before="120" w:after="120"/>
              <w:rPr>
                <w:rFonts w:ascii="Arial" w:eastAsia="Arial" w:hAnsi="Arial" w:cs="Arial"/>
                <w:sz w:val="18"/>
                <w:szCs w:val="18"/>
              </w:rPr>
            </w:pPr>
            <w:r w:rsidRPr="003115CA">
              <w:rPr>
                <w:rFonts w:ascii="Arial" w:eastAsia="Arial" w:hAnsi="Arial" w:cs="Arial"/>
                <w:sz w:val="18"/>
                <w:szCs w:val="18"/>
              </w:rPr>
              <w:t>AASB 2025-2</w:t>
            </w:r>
          </w:p>
        </w:tc>
        <w:tc>
          <w:tcPr>
            <w:tcW w:w="2372" w:type="pct"/>
            <w:shd w:val="clear" w:color="auto" w:fill="FFFFFF" w:themeFill="background1"/>
            <w:vAlign w:val="center"/>
          </w:tcPr>
          <w:p w14:paraId="047CFFE8" w14:textId="2FEC9718" w:rsidR="00BB40E0" w:rsidRPr="003115CA" w:rsidRDefault="00BB40E0" w:rsidP="00453C22">
            <w:pPr>
              <w:keepNext/>
              <w:suppressAutoHyphens w:val="0"/>
              <w:spacing w:before="120" w:after="120" w:line="220" w:lineRule="atLeast"/>
              <w:ind w:left="96" w:right="96"/>
              <w:rPr>
                <w:rFonts w:ascii="Arial" w:eastAsia="Arial" w:hAnsi="Arial" w:cs="Arial"/>
                <w:i/>
                <w:iCs/>
                <w:sz w:val="18"/>
                <w:szCs w:val="18"/>
              </w:rPr>
            </w:pPr>
            <w:r w:rsidRPr="003115CA">
              <w:rPr>
                <w:rFonts w:ascii="Arial" w:eastAsia="Arial" w:hAnsi="Arial" w:cs="Arial"/>
                <w:i/>
                <w:iCs/>
                <w:sz w:val="18"/>
                <w:szCs w:val="18"/>
              </w:rPr>
              <w:t>Amendments to Australian Accounting Standards – Classification and Measurement of Financial Instruments: Tier 2 Disclosures</w:t>
            </w:r>
          </w:p>
        </w:tc>
        <w:tc>
          <w:tcPr>
            <w:tcW w:w="896" w:type="pct"/>
            <w:shd w:val="clear" w:color="auto" w:fill="FFFFFF" w:themeFill="background1"/>
            <w:vAlign w:val="center"/>
          </w:tcPr>
          <w:p w14:paraId="4A720D7F" w14:textId="226D33C9" w:rsidR="00BB40E0" w:rsidRPr="003115CA" w:rsidRDefault="00BB40E0" w:rsidP="00453C22">
            <w:pPr>
              <w:tabs>
                <w:tab w:val="left" w:pos="272"/>
                <w:tab w:val="left" w:pos="851"/>
              </w:tabs>
              <w:suppressAutoHyphens w:val="0"/>
              <w:spacing w:before="120" w:after="120" w:line="220" w:lineRule="atLeast"/>
              <w:ind w:left="96" w:right="96"/>
              <w:rPr>
                <w:rFonts w:eastAsia="Times New Roman" w:cstheme="minorHAnsi"/>
                <w:sz w:val="18"/>
                <w:szCs w:val="18"/>
              </w:rPr>
            </w:pPr>
            <w:r w:rsidRPr="003115CA">
              <w:rPr>
                <w:rFonts w:ascii="Arial" w:eastAsia="Arial" w:hAnsi="Arial" w:cs="Arial"/>
                <w:sz w:val="18"/>
                <w:szCs w:val="18"/>
              </w:rPr>
              <w:t>1 Jan 2026</w:t>
            </w:r>
          </w:p>
        </w:tc>
        <w:tc>
          <w:tcPr>
            <w:tcW w:w="896" w:type="pct"/>
            <w:shd w:val="clear" w:color="auto" w:fill="FFFFFF" w:themeFill="background1"/>
            <w:vAlign w:val="center"/>
          </w:tcPr>
          <w:p w14:paraId="147C8D0B" w14:textId="1F499726"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sz w:val="18"/>
                <w:szCs w:val="18"/>
              </w:rPr>
              <w:t>No</w:t>
            </w:r>
          </w:p>
        </w:tc>
      </w:tr>
      <w:tr w:rsidR="00BB40E0" w:rsidRPr="00EA125B" w14:paraId="38B7ADEE" w14:textId="77777777" w:rsidTr="003115CA">
        <w:trPr>
          <w:trHeight w:val="749"/>
        </w:trPr>
        <w:tc>
          <w:tcPr>
            <w:tcW w:w="836" w:type="pct"/>
            <w:shd w:val="clear" w:color="auto" w:fill="FFFFFF" w:themeFill="background1"/>
            <w:vAlign w:val="center"/>
          </w:tcPr>
          <w:p w14:paraId="4D71DD80" w14:textId="5268651C" w:rsidR="00BB40E0" w:rsidRPr="003115CA" w:rsidRDefault="00BB40E0" w:rsidP="00453C22">
            <w:pPr>
              <w:spacing w:before="120" w:after="120"/>
              <w:rPr>
                <w:rFonts w:ascii="Arial" w:eastAsia="Arial" w:hAnsi="Arial" w:cs="Arial"/>
                <w:sz w:val="18"/>
                <w:szCs w:val="18"/>
              </w:rPr>
            </w:pPr>
            <w:r w:rsidRPr="003115CA">
              <w:rPr>
                <w:rFonts w:ascii="Arial" w:eastAsia="Arial" w:hAnsi="Arial" w:cs="Arial"/>
                <w:sz w:val="18"/>
                <w:szCs w:val="18"/>
              </w:rPr>
              <w:lastRenderedPageBreak/>
              <w:t>AASB 2025-3</w:t>
            </w:r>
          </w:p>
        </w:tc>
        <w:tc>
          <w:tcPr>
            <w:tcW w:w="2372" w:type="pct"/>
            <w:shd w:val="clear" w:color="auto" w:fill="FFFFFF" w:themeFill="background1"/>
            <w:vAlign w:val="center"/>
          </w:tcPr>
          <w:p w14:paraId="244B4CC5" w14:textId="09FBBAC4" w:rsidR="00BB40E0" w:rsidRPr="003115CA" w:rsidRDefault="00BB40E0" w:rsidP="00453C22">
            <w:pPr>
              <w:keepNext/>
              <w:suppressAutoHyphens w:val="0"/>
              <w:spacing w:before="120" w:after="120" w:line="220" w:lineRule="atLeast"/>
              <w:ind w:left="96" w:right="96"/>
              <w:rPr>
                <w:rFonts w:ascii="Arial" w:eastAsia="Arial" w:hAnsi="Arial" w:cs="Arial"/>
                <w:i/>
                <w:iCs/>
                <w:sz w:val="18"/>
                <w:szCs w:val="18"/>
              </w:rPr>
            </w:pPr>
            <w:r w:rsidRPr="003115CA">
              <w:rPr>
                <w:rFonts w:ascii="Arial" w:eastAsia="Arial" w:hAnsi="Arial" w:cs="Arial"/>
                <w:i/>
                <w:iCs/>
                <w:sz w:val="18"/>
                <w:szCs w:val="18"/>
              </w:rPr>
              <w:t>Amendments to Australian Accounting Standards – Contracts Referencing Nature-dependent Electricity: Tier 2 Disclosures -- August 2025</w:t>
            </w:r>
          </w:p>
        </w:tc>
        <w:tc>
          <w:tcPr>
            <w:tcW w:w="896" w:type="pct"/>
            <w:shd w:val="clear" w:color="auto" w:fill="FFFFFF" w:themeFill="background1"/>
            <w:vAlign w:val="center"/>
          </w:tcPr>
          <w:p w14:paraId="77CCF02A" w14:textId="1938B1A5" w:rsidR="00BB40E0" w:rsidRPr="003115CA" w:rsidRDefault="00BB40E0" w:rsidP="00453C22">
            <w:pPr>
              <w:tabs>
                <w:tab w:val="left" w:pos="272"/>
                <w:tab w:val="left" w:pos="851"/>
              </w:tabs>
              <w:suppressAutoHyphens w:val="0"/>
              <w:spacing w:before="120" w:after="120" w:line="220" w:lineRule="atLeast"/>
              <w:ind w:left="96" w:right="96"/>
              <w:rPr>
                <w:rFonts w:eastAsia="Times New Roman" w:cstheme="minorHAnsi"/>
                <w:sz w:val="18"/>
                <w:szCs w:val="18"/>
              </w:rPr>
            </w:pPr>
            <w:r w:rsidRPr="003115CA">
              <w:rPr>
                <w:rFonts w:ascii="Arial" w:eastAsia="Arial" w:hAnsi="Arial" w:cs="Arial"/>
                <w:sz w:val="18"/>
                <w:szCs w:val="18"/>
              </w:rPr>
              <w:t>1 Jan 2026</w:t>
            </w:r>
          </w:p>
        </w:tc>
        <w:tc>
          <w:tcPr>
            <w:tcW w:w="896" w:type="pct"/>
            <w:shd w:val="clear" w:color="auto" w:fill="FFFFFF" w:themeFill="background1"/>
            <w:vAlign w:val="center"/>
          </w:tcPr>
          <w:p w14:paraId="0C2669DB" w14:textId="6538472C"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sz w:val="18"/>
                <w:szCs w:val="18"/>
              </w:rPr>
              <w:t>No</w:t>
            </w:r>
          </w:p>
        </w:tc>
      </w:tr>
      <w:tr w:rsidR="00BB40E0" w:rsidRPr="00EA125B" w14:paraId="3E6CFC5D" w14:textId="77777777" w:rsidTr="003115CA">
        <w:trPr>
          <w:trHeight w:val="749"/>
        </w:trPr>
        <w:tc>
          <w:tcPr>
            <w:tcW w:w="836" w:type="pct"/>
            <w:shd w:val="clear" w:color="auto" w:fill="FFFFFF" w:themeFill="background1"/>
            <w:vAlign w:val="center"/>
          </w:tcPr>
          <w:p w14:paraId="79986637" w14:textId="2F03C283" w:rsidR="00BB40E0" w:rsidRPr="003115CA" w:rsidRDefault="00BB40E0" w:rsidP="00453C22">
            <w:pPr>
              <w:spacing w:before="120" w:after="120"/>
              <w:rPr>
                <w:rFonts w:ascii="Arial" w:eastAsia="Arial" w:hAnsi="Arial" w:cs="Arial"/>
                <w:sz w:val="18"/>
                <w:szCs w:val="18"/>
              </w:rPr>
            </w:pPr>
            <w:r w:rsidRPr="003115CA">
              <w:rPr>
                <w:rFonts w:ascii="Arial" w:eastAsia="Arial" w:hAnsi="Arial" w:cs="Arial"/>
                <w:sz w:val="18"/>
                <w:szCs w:val="18"/>
              </w:rPr>
              <w:t>AASB 2025-4</w:t>
            </w:r>
          </w:p>
        </w:tc>
        <w:tc>
          <w:tcPr>
            <w:tcW w:w="2372" w:type="pct"/>
            <w:shd w:val="clear" w:color="auto" w:fill="FFFFFF" w:themeFill="background1"/>
            <w:vAlign w:val="center"/>
          </w:tcPr>
          <w:p w14:paraId="66963541" w14:textId="3E49DE93" w:rsidR="00BB40E0" w:rsidRPr="003115CA" w:rsidRDefault="00BB40E0" w:rsidP="00453C22">
            <w:pPr>
              <w:keepNext/>
              <w:suppressAutoHyphens w:val="0"/>
              <w:spacing w:before="120" w:after="120" w:line="220" w:lineRule="atLeast"/>
              <w:ind w:left="96" w:right="96"/>
              <w:rPr>
                <w:rFonts w:ascii="Arial" w:eastAsia="Arial" w:hAnsi="Arial" w:cs="Arial"/>
                <w:i/>
                <w:iCs/>
                <w:sz w:val="18"/>
                <w:szCs w:val="18"/>
              </w:rPr>
            </w:pPr>
            <w:r w:rsidRPr="003115CA">
              <w:rPr>
                <w:rFonts w:ascii="Arial" w:eastAsia="Arial" w:hAnsi="Arial" w:cs="Arial"/>
                <w:i/>
                <w:iCs/>
                <w:sz w:val="18"/>
                <w:szCs w:val="18"/>
              </w:rPr>
              <w:t>Amendments to Australian Accounting Standards – Translation to a Hyperinflationary Presentation Currency</w:t>
            </w:r>
          </w:p>
        </w:tc>
        <w:tc>
          <w:tcPr>
            <w:tcW w:w="896" w:type="pct"/>
            <w:shd w:val="clear" w:color="auto" w:fill="FFFFFF" w:themeFill="background1"/>
            <w:vAlign w:val="center"/>
          </w:tcPr>
          <w:p w14:paraId="2B85E065" w14:textId="32EC9614" w:rsidR="00BB40E0" w:rsidRPr="003115CA" w:rsidRDefault="00BB40E0" w:rsidP="00453C22">
            <w:pPr>
              <w:tabs>
                <w:tab w:val="left" w:pos="272"/>
                <w:tab w:val="left" w:pos="851"/>
              </w:tabs>
              <w:suppressAutoHyphens w:val="0"/>
              <w:spacing w:before="120" w:after="120" w:line="220" w:lineRule="atLeast"/>
              <w:ind w:left="96" w:right="96"/>
              <w:rPr>
                <w:rFonts w:eastAsia="Times New Roman" w:cstheme="minorHAnsi"/>
                <w:sz w:val="18"/>
                <w:szCs w:val="18"/>
              </w:rPr>
            </w:pPr>
            <w:r w:rsidRPr="003115CA">
              <w:rPr>
                <w:rFonts w:ascii="Arial" w:eastAsia="Arial" w:hAnsi="Arial" w:cs="Arial"/>
                <w:sz w:val="18"/>
                <w:szCs w:val="18"/>
              </w:rPr>
              <w:t>1 Jan 2027</w:t>
            </w:r>
          </w:p>
        </w:tc>
        <w:tc>
          <w:tcPr>
            <w:tcW w:w="896" w:type="pct"/>
            <w:shd w:val="clear" w:color="auto" w:fill="FFFFFF" w:themeFill="background1"/>
            <w:vAlign w:val="center"/>
          </w:tcPr>
          <w:p w14:paraId="49FE5E1B" w14:textId="3B0F4FEE"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sz w:val="18"/>
                <w:szCs w:val="18"/>
              </w:rPr>
              <w:t>No</w:t>
            </w:r>
          </w:p>
        </w:tc>
      </w:tr>
      <w:tr w:rsidR="00BB40E0" w:rsidRPr="00EA125B" w14:paraId="0A7ABEAA" w14:textId="77777777" w:rsidTr="003115CA">
        <w:trPr>
          <w:trHeight w:val="914"/>
        </w:trPr>
        <w:tc>
          <w:tcPr>
            <w:tcW w:w="836" w:type="pct"/>
            <w:shd w:val="clear" w:color="auto" w:fill="FFFFFF" w:themeFill="background1"/>
            <w:vAlign w:val="center"/>
          </w:tcPr>
          <w:p w14:paraId="761A4B5B" w14:textId="39464D97" w:rsidR="00BB40E0" w:rsidRPr="003115CA" w:rsidRDefault="00BB40E0" w:rsidP="00453C22">
            <w:pPr>
              <w:spacing w:before="120" w:after="120"/>
              <w:rPr>
                <w:rFonts w:ascii="Arial" w:eastAsia="Arial" w:hAnsi="Arial" w:cs="Arial"/>
                <w:sz w:val="18"/>
                <w:szCs w:val="18"/>
              </w:rPr>
            </w:pPr>
            <w:r w:rsidRPr="003115CA">
              <w:rPr>
                <w:rFonts w:ascii="Arial" w:eastAsia="Arial" w:hAnsi="Arial" w:cs="Arial"/>
                <w:sz w:val="18"/>
                <w:szCs w:val="18"/>
              </w:rPr>
              <w:t>AASB 2026-2</w:t>
            </w:r>
          </w:p>
        </w:tc>
        <w:tc>
          <w:tcPr>
            <w:tcW w:w="2372" w:type="pct"/>
            <w:shd w:val="clear" w:color="auto" w:fill="FFFFFF" w:themeFill="background1"/>
            <w:vAlign w:val="center"/>
          </w:tcPr>
          <w:p w14:paraId="69C9DE83" w14:textId="591B68E7" w:rsidR="00BB40E0" w:rsidRPr="003115CA" w:rsidRDefault="00BB40E0" w:rsidP="00453C22">
            <w:pPr>
              <w:keepNext/>
              <w:suppressAutoHyphens w:val="0"/>
              <w:spacing w:before="120" w:after="120" w:line="220" w:lineRule="atLeast"/>
              <w:ind w:left="96" w:right="96"/>
              <w:rPr>
                <w:rFonts w:ascii="Arial" w:eastAsia="Arial" w:hAnsi="Arial" w:cs="Arial"/>
                <w:i/>
                <w:iCs/>
                <w:sz w:val="18"/>
                <w:szCs w:val="18"/>
              </w:rPr>
            </w:pPr>
            <w:r w:rsidRPr="003115CA">
              <w:rPr>
                <w:rFonts w:ascii="Arial" w:eastAsia="Arial" w:hAnsi="Arial" w:cs="Arial"/>
                <w:i/>
                <w:iCs/>
                <w:sz w:val="18"/>
                <w:szCs w:val="18"/>
              </w:rPr>
              <w:t>Amendments to Australian Accounting Standards – Extending the Application of the Conceptual Framework and Limiting the Ability of Not-for-Profit Entities to Prepare Special Purpose Financial Statements</w:t>
            </w:r>
          </w:p>
        </w:tc>
        <w:tc>
          <w:tcPr>
            <w:tcW w:w="896" w:type="pct"/>
            <w:shd w:val="clear" w:color="auto" w:fill="FFFFFF" w:themeFill="background1"/>
            <w:vAlign w:val="center"/>
          </w:tcPr>
          <w:p w14:paraId="006A3C8F" w14:textId="0B9457F6" w:rsidR="00BB40E0" w:rsidRPr="003115CA" w:rsidRDefault="00BB40E0" w:rsidP="00453C22">
            <w:pPr>
              <w:tabs>
                <w:tab w:val="left" w:pos="272"/>
                <w:tab w:val="left" w:pos="851"/>
              </w:tabs>
              <w:suppressAutoHyphens w:val="0"/>
              <w:spacing w:before="120" w:after="120" w:line="220" w:lineRule="atLeast"/>
              <w:ind w:left="96" w:right="96"/>
              <w:rPr>
                <w:rFonts w:eastAsia="Times New Roman" w:cstheme="minorHAnsi"/>
                <w:sz w:val="18"/>
                <w:szCs w:val="18"/>
              </w:rPr>
            </w:pPr>
            <w:r w:rsidRPr="003115CA">
              <w:rPr>
                <w:rFonts w:eastAsia="Times New Roman" w:cstheme="minorHAnsi"/>
                <w:sz w:val="18"/>
                <w:szCs w:val="18"/>
              </w:rPr>
              <w:t>1 Jul 2029</w:t>
            </w:r>
          </w:p>
        </w:tc>
        <w:tc>
          <w:tcPr>
            <w:tcW w:w="896" w:type="pct"/>
            <w:shd w:val="clear" w:color="auto" w:fill="FFFFFF" w:themeFill="background1"/>
            <w:vAlign w:val="center"/>
          </w:tcPr>
          <w:p w14:paraId="06A1DBD2" w14:textId="557A3B58" w:rsidR="00BB40E0" w:rsidRPr="003115CA" w:rsidRDefault="00BB40E0" w:rsidP="00453C22">
            <w:pPr>
              <w:tabs>
                <w:tab w:val="left" w:pos="272"/>
                <w:tab w:val="left" w:pos="851"/>
              </w:tabs>
              <w:suppressAutoHyphens w:val="0"/>
              <w:spacing w:before="120" w:after="120" w:line="220" w:lineRule="atLeast"/>
              <w:ind w:left="96" w:right="96"/>
              <w:rPr>
                <w:rFonts w:ascii="Arial" w:eastAsia="Times New Roman" w:hAnsi="Arial" w:cs="Times New Roman"/>
                <w:sz w:val="18"/>
                <w:szCs w:val="18"/>
              </w:rPr>
            </w:pPr>
            <w:r w:rsidRPr="003115CA">
              <w:rPr>
                <w:sz w:val="18"/>
                <w:szCs w:val="18"/>
              </w:rPr>
              <w:t>No</w:t>
            </w:r>
          </w:p>
        </w:tc>
      </w:tr>
    </w:tbl>
    <w:p w14:paraId="4DDAF3C4" w14:textId="77777777" w:rsidR="0075187C" w:rsidRDefault="0075187C" w:rsidP="0075187C">
      <w:pPr>
        <w:spacing w:before="120" w:after="0"/>
        <w:rPr>
          <w:sz w:val="16"/>
          <w:szCs w:val="16"/>
        </w:rPr>
      </w:pPr>
      <w:r w:rsidRPr="00EA125B">
        <w:rPr>
          <w:sz w:val="16"/>
          <w:szCs w:val="16"/>
          <w:vertAlign w:val="superscript"/>
        </w:rPr>
        <w:t xml:space="preserve">1 </w:t>
      </w:r>
      <w:r w:rsidRPr="00EA125B">
        <w:rPr>
          <w:sz w:val="16"/>
          <w:szCs w:val="16"/>
        </w:rPr>
        <w:t>Items with likely impact marked as ‘</w:t>
      </w:r>
      <w:r>
        <w:rPr>
          <w:sz w:val="16"/>
          <w:szCs w:val="16"/>
        </w:rPr>
        <w:t>N</w:t>
      </w:r>
      <w:r w:rsidRPr="00EA125B">
        <w:rPr>
          <w:sz w:val="16"/>
          <w:szCs w:val="16"/>
        </w:rPr>
        <w:t xml:space="preserve">o’ are those items that the Department of Finance would regard as unlikely to have an impact on most public sector entities. However, entities must consider how changes to standards impact on their business operations and take into consideration their </w:t>
      </w:r>
      <w:proofErr w:type="gramStart"/>
      <w:r w:rsidRPr="00EA125B">
        <w:rPr>
          <w:sz w:val="16"/>
          <w:szCs w:val="16"/>
        </w:rPr>
        <w:t>particular circumstances</w:t>
      </w:r>
      <w:proofErr w:type="gramEnd"/>
      <w:r w:rsidRPr="00EA125B">
        <w:rPr>
          <w:sz w:val="16"/>
          <w:szCs w:val="16"/>
        </w:rPr>
        <w:t>. Please note the assessment of ‘possible impact’ is broader than the requirements of AASB 108.28-31 as it considers issues such as disclosure requirements and the capturing of financial information.</w:t>
      </w:r>
    </w:p>
    <w:p w14:paraId="63C68DE7" w14:textId="77777777" w:rsidR="0075187C" w:rsidRPr="00EA125B" w:rsidRDefault="0075187C" w:rsidP="0075187C">
      <w:pPr>
        <w:spacing w:before="120" w:after="0"/>
        <w:rPr>
          <w:sz w:val="16"/>
          <w:szCs w:val="16"/>
        </w:rPr>
      </w:pPr>
      <w:r w:rsidRPr="00EA125B">
        <w:rPr>
          <w:sz w:val="16"/>
          <w:szCs w:val="16"/>
          <w:vertAlign w:val="superscript"/>
        </w:rPr>
        <w:t xml:space="preserve">2 </w:t>
      </w:r>
      <w:r w:rsidRPr="00EA125B">
        <w:rPr>
          <w:sz w:val="16"/>
          <w:szCs w:val="16"/>
        </w:rPr>
        <w:t>AASB 17 applies from the 2023–24 reporting period onwards for for-profit entities in the private sector. The AASB has decided to defer the mandatory application date of AASB 17 for public sector entities to the 2026–27 financial year onwards.</w:t>
      </w:r>
    </w:p>
    <w:p w14:paraId="533EBFBE" w14:textId="77777777" w:rsidR="0075187C" w:rsidRPr="00EA125B" w:rsidRDefault="0075187C" w:rsidP="0075187C">
      <w:pPr>
        <w:spacing w:before="120" w:after="0"/>
        <w:rPr>
          <w:sz w:val="16"/>
          <w:szCs w:val="16"/>
        </w:rPr>
      </w:pPr>
      <w:r w:rsidRPr="00EA125B">
        <w:rPr>
          <w:sz w:val="16"/>
          <w:szCs w:val="16"/>
          <w:vertAlign w:val="superscript"/>
        </w:rPr>
        <w:t xml:space="preserve">3 </w:t>
      </w:r>
      <w:r w:rsidRPr="00EA125B">
        <w:rPr>
          <w:sz w:val="16"/>
          <w:szCs w:val="16"/>
        </w:rPr>
        <w:t>Note that AASB 18 applies to annual reporting periods beginning on or after 1 January 2027 for for-profit entities. However, for not-for-profit public sector entities, the Standard applies to the 2028–29 financial year onwards</w:t>
      </w:r>
      <w:r>
        <w:rPr>
          <w:sz w:val="16"/>
          <w:szCs w:val="16"/>
        </w:rPr>
        <w:t>.</w:t>
      </w:r>
    </w:p>
    <w:p w14:paraId="2628430F" w14:textId="2DBC8B82" w:rsidR="0075187C" w:rsidRPr="00EA125B" w:rsidRDefault="0075187C" w:rsidP="00453C22">
      <w:pPr>
        <w:spacing w:before="120" w:after="120"/>
        <w:sectPr w:rsidR="0075187C" w:rsidRPr="00EA125B" w:rsidSect="003E61DB">
          <w:headerReference w:type="default" r:id="rId22"/>
          <w:footerReference w:type="default" r:id="rId23"/>
          <w:pgSz w:w="11906" w:h="16838" w:code="9"/>
          <w:pgMar w:top="1418" w:right="1418" w:bottom="1418" w:left="1418" w:header="567" w:footer="624" w:gutter="0"/>
          <w:cols w:space="708"/>
          <w:docGrid w:linePitch="360"/>
        </w:sectPr>
      </w:pPr>
    </w:p>
    <w:p w14:paraId="52CBAE50" w14:textId="58EB57A6" w:rsidR="00B40764" w:rsidRPr="00291913" w:rsidRDefault="00B40764" w:rsidP="00291913">
      <w:pPr>
        <w:pStyle w:val="Heading2"/>
        <w:spacing w:before="0"/>
        <w:rPr>
          <w:color w:val="auto"/>
        </w:rPr>
      </w:pPr>
      <w:r w:rsidRPr="00291913">
        <w:rPr>
          <w:color w:val="auto"/>
        </w:rPr>
        <w:lastRenderedPageBreak/>
        <w:t>Attachment B</w:t>
      </w:r>
    </w:p>
    <w:p w14:paraId="6AEB246D" w14:textId="097760CD" w:rsidR="00B40764" w:rsidRPr="00291913" w:rsidRDefault="00B40764" w:rsidP="00291913">
      <w:pPr>
        <w:pStyle w:val="Heading3"/>
        <w:rPr>
          <w:color w:val="auto"/>
        </w:rPr>
      </w:pPr>
      <w:r w:rsidRPr="00291913">
        <w:rPr>
          <w:color w:val="auto"/>
        </w:rPr>
        <w:t>Possible impact for Commonwealth reporting entities due to new Australian Accounting Standards (AAS) effective 202</w:t>
      </w:r>
      <w:r w:rsidR="0075186F" w:rsidRPr="00291913">
        <w:rPr>
          <w:color w:val="auto"/>
        </w:rPr>
        <w:t>5</w:t>
      </w:r>
      <w:r w:rsidRPr="00291913">
        <w:rPr>
          <w:color w:val="auto"/>
        </w:rPr>
        <w:t>–‍2</w:t>
      </w:r>
      <w:r w:rsidR="0075186F" w:rsidRPr="00291913">
        <w:rPr>
          <w:color w:val="auto"/>
        </w:rPr>
        <w:t>6</w:t>
      </w:r>
      <w:r w:rsidRPr="00291913">
        <w:rPr>
          <w:color w:val="auto"/>
        </w:rPr>
        <w:t xml:space="preserve"> and future years</w:t>
      </w:r>
    </w:p>
    <w:p w14:paraId="59E162FB" w14:textId="77777777" w:rsidR="00B40764" w:rsidRPr="00EA125B" w:rsidRDefault="00B40764" w:rsidP="00B40764">
      <w:r w:rsidRPr="00EA125B">
        <w:t>Note:</w:t>
      </w:r>
    </w:p>
    <w:p w14:paraId="369F1AEA" w14:textId="77777777" w:rsidR="00B40764" w:rsidRPr="00EA125B" w:rsidRDefault="00B40764" w:rsidP="00B40764">
      <w:pPr>
        <w:pStyle w:val="ListParagraph"/>
        <w:numPr>
          <w:ilvl w:val="0"/>
          <w:numId w:val="24"/>
        </w:numPr>
        <w:spacing w:before="120" w:after="120"/>
        <w:ind w:left="426" w:hanging="284"/>
        <w:contextualSpacing w:val="0"/>
      </w:pPr>
      <w:r w:rsidRPr="00EA125B">
        <w:t>The table below provides guidance on the possible impacts of AAS for Commonwealth entities. Entities must assess the impact of changes to AAS for their own individual circumstances for all standards/interpretations that are issued up until the date that the financial statements are signed.</w:t>
      </w:r>
    </w:p>
    <w:p w14:paraId="10D853C9" w14:textId="77777777" w:rsidR="00B40764" w:rsidRPr="00EA125B" w:rsidRDefault="00B40764" w:rsidP="00B40764">
      <w:pPr>
        <w:pStyle w:val="ListParagraph"/>
        <w:numPr>
          <w:ilvl w:val="0"/>
          <w:numId w:val="24"/>
        </w:numPr>
        <w:spacing w:before="120" w:after="120"/>
        <w:ind w:left="426" w:hanging="284"/>
        <w:contextualSpacing w:val="0"/>
      </w:pPr>
      <w:r w:rsidRPr="00EA125B">
        <w:t>The list does not consider the work that is involved to transition to the new requirements but rather, the possible impacts on the financial statements (for example, the recognition and measurement of items) as per AASB 108.31.</w:t>
      </w:r>
    </w:p>
    <w:p w14:paraId="5612F227" w14:textId="77777777" w:rsidR="00B40764" w:rsidRPr="00EA125B" w:rsidRDefault="00B40764" w:rsidP="00B40764">
      <w:pPr>
        <w:pStyle w:val="ListParagraph"/>
        <w:numPr>
          <w:ilvl w:val="0"/>
          <w:numId w:val="24"/>
        </w:numPr>
        <w:spacing w:before="120" w:after="120"/>
        <w:ind w:left="426" w:hanging="284"/>
        <w:contextualSpacing w:val="0"/>
      </w:pPr>
      <w:r w:rsidRPr="00EA125B">
        <w:t>The entity’s expected initial application date is when the accounting standard becomes operative at the beginning of the entity’s reporting period (e.g. an effective date of 1 January 202X applies to the period beginning 1 July 202X for ‘financial year’ reporting entities, and the period beginning 1 January 202X for ‘calendar year’ reporting entities).</w:t>
      </w:r>
    </w:p>
    <w:p w14:paraId="2FE09B7C" w14:textId="1B7C4613" w:rsidR="00B40764" w:rsidRPr="00EA125B" w:rsidRDefault="00B40764" w:rsidP="00B40764">
      <w:pPr>
        <w:pStyle w:val="ListParagraph"/>
        <w:numPr>
          <w:ilvl w:val="0"/>
          <w:numId w:val="24"/>
        </w:numPr>
        <w:spacing w:before="120" w:after="120"/>
        <w:ind w:left="426" w:hanging="284"/>
        <w:contextualSpacing w:val="0"/>
      </w:pPr>
      <w:r w:rsidRPr="00EA125B">
        <w:t>All AAS applicable to the preparation of the 202</w:t>
      </w:r>
      <w:r w:rsidR="0075186F" w:rsidRPr="00EA125B">
        <w:t>5</w:t>
      </w:r>
      <w:r w:rsidRPr="00EA125B">
        <w:t>–2</w:t>
      </w:r>
      <w:r w:rsidR="0075186F" w:rsidRPr="00EA125B">
        <w:t>6</w:t>
      </w:r>
      <w:r w:rsidRPr="00EA125B">
        <w:t xml:space="preserve"> financial reporting period have been reflected in </w:t>
      </w:r>
      <w:hyperlink r:id="rId24" w:history="1">
        <w:r w:rsidRPr="00EA125B">
          <w:rPr>
            <w:rStyle w:val="Hyperlink"/>
            <w:rFonts w:cstheme="minorBidi"/>
          </w:rPr>
          <w:t>Resource Management Guide (RMG) 125 - Commonwealth Entities Financial Statements Guide</w:t>
        </w:r>
      </w:hyperlink>
      <w:r w:rsidRPr="00EA125B">
        <w:t xml:space="preserve"> and the </w:t>
      </w:r>
      <w:hyperlink r:id="rId25" w:history="1">
        <w:r w:rsidRPr="00EA125B">
          <w:rPr>
            <w:rStyle w:val="Hyperlink"/>
            <w:rFonts w:cstheme="minorBidi"/>
          </w:rPr>
          <w:t>Primary reporting and information management aid (PRIMA) forms</w:t>
        </w:r>
      </w:hyperlink>
      <w:r w:rsidRPr="00EA125B">
        <w:t xml:space="preserve"> both available on the Department of Finance (Finance) website.</w:t>
      </w:r>
    </w:p>
    <w:p w14:paraId="2E3A5465" w14:textId="77777777" w:rsidR="00A7067D" w:rsidRPr="00EA125B" w:rsidRDefault="00A7067D" w:rsidP="00A7067D">
      <w:pPr>
        <w:spacing w:before="120" w:after="120"/>
      </w:pPr>
    </w:p>
    <w:p w14:paraId="20F634D8" w14:textId="77777777" w:rsidR="00A7067D" w:rsidRPr="00EA125B" w:rsidRDefault="00A7067D" w:rsidP="00A7067D">
      <w:pPr>
        <w:spacing w:before="120" w:after="120"/>
      </w:pPr>
    </w:p>
    <w:p w14:paraId="7620E9DF" w14:textId="77777777" w:rsidR="00A7067D" w:rsidRPr="00EA125B" w:rsidRDefault="00A7067D" w:rsidP="00A7067D">
      <w:pPr>
        <w:spacing w:before="120" w:after="120"/>
      </w:pPr>
    </w:p>
    <w:p w14:paraId="00BB8DAB" w14:textId="77777777" w:rsidR="00A7067D" w:rsidRPr="00EA125B" w:rsidRDefault="00A7067D" w:rsidP="00A7067D">
      <w:pPr>
        <w:spacing w:before="120" w:after="120"/>
      </w:pPr>
    </w:p>
    <w:p w14:paraId="312948B2" w14:textId="77777777" w:rsidR="00A7067D" w:rsidRPr="00EA125B" w:rsidRDefault="00A7067D" w:rsidP="00A7067D">
      <w:pPr>
        <w:spacing w:before="120" w:after="120"/>
      </w:pPr>
    </w:p>
    <w:p w14:paraId="645C45A3" w14:textId="77777777" w:rsidR="00A7067D" w:rsidRPr="00EA125B" w:rsidRDefault="00A7067D" w:rsidP="00A7067D">
      <w:pPr>
        <w:spacing w:before="120" w:after="120"/>
      </w:pPr>
    </w:p>
    <w:p w14:paraId="527C928D" w14:textId="77777777" w:rsidR="00A7067D" w:rsidRPr="00EA125B" w:rsidRDefault="00A7067D" w:rsidP="00291913">
      <w:pPr>
        <w:spacing w:before="120" w:after="120"/>
      </w:pPr>
    </w:p>
    <w:p w14:paraId="109E128A" w14:textId="605C6872" w:rsidR="00E94F5E" w:rsidRPr="00291913" w:rsidRDefault="00E94F5E" w:rsidP="002A03B7">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1370"/>
        <w:gridCol w:w="1370"/>
        <w:gridCol w:w="1371"/>
      </w:tblGrid>
      <w:tr w:rsidR="00AD5541" w:rsidRPr="00EA125B" w14:paraId="11CCBEBF" w14:textId="77777777" w:rsidTr="003115CA">
        <w:tc>
          <w:tcPr>
            <w:tcW w:w="2410" w:type="dxa"/>
            <w:shd w:val="clear" w:color="auto" w:fill="FFFFFF" w:themeFill="background1"/>
            <w:vAlign w:val="center"/>
          </w:tcPr>
          <w:p w14:paraId="272F97CB" w14:textId="148F7774" w:rsidR="00AD5541" w:rsidRPr="00291913" w:rsidRDefault="00AD5541" w:rsidP="00944BE9">
            <w:pPr>
              <w:rPr>
                <w:b/>
                <w:bCs/>
              </w:rPr>
            </w:pPr>
            <w:r w:rsidRPr="00291913">
              <w:rPr>
                <w:b/>
                <w:bCs/>
              </w:rPr>
              <w:lastRenderedPageBreak/>
              <w:t>POSSIBLE IMPACT</w:t>
            </w:r>
          </w:p>
        </w:tc>
        <w:tc>
          <w:tcPr>
            <w:tcW w:w="1370" w:type="dxa"/>
            <w:shd w:val="clear" w:color="auto" w:fill="CBCDCB" w:themeFill="background2" w:themeFillShade="E6"/>
            <w:vAlign w:val="center"/>
          </w:tcPr>
          <w:p w14:paraId="254CE63D" w14:textId="76E41612" w:rsidR="00AD5541" w:rsidRPr="00EA125B" w:rsidRDefault="00AD5541" w:rsidP="00291913">
            <w:pPr>
              <w:jc w:val="center"/>
            </w:pPr>
            <w:r w:rsidRPr="00EA125B">
              <w:t>Minimal</w:t>
            </w:r>
          </w:p>
        </w:tc>
        <w:tc>
          <w:tcPr>
            <w:tcW w:w="1370" w:type="dxa"/>
            <w:shd w:val="clear" w:color="auto" w:fill="92D050"/>
            <w:vAlign w:val="center"/>
          </w:tcPr>
          <w:p w14:paraId="12297D04" w14:textId="538056EE" w:rsidR="00AD5541" w:rsidRPr="00EA125B" w:rsidRDefault="00AD5541" w:rsidP="00291913">
            <w:pPr>
              <w:jc w:val="center"/>
            </w:pPr>
            <w:r w:rsidRPr="00EA125B">
              <w:t>Moderate</w:t>
            </w:r>
          </w:p>
        </w:tc>
        <w:tc>
          <w:tcPr>
            <w:tcW w:w="1371" w:type="dxa"/>
            <w:shd w:val="clear" w:color="auto" w:fill="B4B5DF" w:themeFill="accent6"/>
            <w:vAlign w:val="center"/>
          </w:tcPr>
          <w:p w14:paraId="5CADC789" w14:textId="1CBEE378" w:rsidR="00AD5541" w:rsidRPr="00EA125B" w:rsidRDefault="00AD5541" w:rsidP="00291913">
            <w:pPr>
              <w:jc w:val="center"/>
            </w:pPr>
            <w:r w:rsidRPr="00EA125B">
              <w:t>High</w:t>
            </w:r>
          </w:p>
        </w:tc>
      </w:tr>
    </w:tbl>
    <w:p w14:paraId="0DD9D708" w14:textId="77777777" w:rsidR="00A7067D" w:rsidRDefault="00A7067D" w:rsidP="00291913">
      <w:pPr>
        <w:spacing w:before="0" w:after="0"/>
      </w:pPr>
    </w:p>
    <w:p w14:paraId="1E4DD995" w14:textId="42D05EAE" w:rsidR="00AC07C9" w:rsidRPr="003115CA" w:rsidRDefault="00AC07C9" w:rsidP="003115CA">
      <w:pPr>
        <w:spacing w:before="0" w:after="120"/>
        <w:rPr>
          <w:rFonts w:eastAsia="Times New Roman"/>
          <w:b/>
          <w:bCs/>
          <w:i/>
          <w:iCs/>
          <w14:shadow w14:blurRad="50800" w14:dist="50800" w14:dir="5400000" w14:sx="0" w14:sy="0" w14:kx="0" w14:ky="0" w14:algn="ctr">
            <w14:schemeClr w14:val="bg2">
              <w14:lumMod w14:val="75000"/>
            </w14:schemeClr>
          </w14:shadow>
        </w:rPr>
      </w:pPr>
      <w:r w:rsidRPr="003115CA">
        <w:rPr>
          <w:rFonts w:eastAsia="Times New Roman"/>
          <w:b/>
          <w:bCs/>
          <w:i/>
          <w:iCs/>
          <w14:shadow w14:blurRad="50800" w14:dist="50800" w14:dir="5400000" w14:sx="0" w14:sy="0" w14:kx="0" w14:ky="0" w14:algn="ctr">
            <w14:schemeClr w14:val="bg2">
              <w14:lumMod w14:val="75000"/>
            </w14:schemeClr>
          </w14:shadow>
        </w:rPr>
        <w:t>2025–26 Financial Year</w:t>
      </w:r>
    </w:p>
    <w:tbl>
      <w:tblPr>
        <w:tblStyle w:val="TableGrid3"/>
        <w:tblW w:w="5000" w:type="pct"/>
        <w:tblLook w:val="04A0" w:firstRow="1" w:lastRow="0" w:firstColumn="1" w:lastColumn="0" w:noHBand="0" w:noVBand="1"/>
      </w:tblPr>
      <w:tblGrid>
        <w:gridCol w:w="3291"/>
        <w:gridCol w:w="2060"/>
        <w:gridCol w:w="7407"/>
        <w:gridCol w:w="1234"/>
      </w:tblGrid>
      <w:tr w:rsidR="00AC07C9" w:rsidRPr="00EA125B" w14:paraId="4086FD3A" w14:textId="77777777" w:rsidTr="007B231A">
        <w:trPr>
          <w:trHeight w:val="211"/>
          <w:tblHeader/>
        </w:trPr>
        <w:tc>
          <w:tcPr>
            <w:tcW w:w="1176" w:type="pct"/>
            <w:shd w:val="clear" w:color="auto" w:fill="56C2BE" w:themeFill="accent1" w:themeFillShade="BF"/>
          </w:tcPr>
          <w:p w14:paraId="4A2B53D1" w14:textId="77777777" w:rsidR="00AC07C9" w:rsidRPr="003115CA" w:rsidRDefault="00AC07C9" w:rsidP="00F46856">
            <w:pPr>
              <w:suppressAutoHyphens w:val="0"/>
              <w:spacing w:before="0" w:after="120" w:line="240" w:lineRule="auto"/>
              <w:rPr>
                <w:rFonts w:asciiTheme="majorHAnsi" w:eastAsia="Times New Roman" w:hAnsiTheme="majorHAnsi" w:cstheme="majorHAnsi"/>
                <w:b/>
                <w:bCs/>
                <w:sz w:val="20"/>
                <w:szCs w:val="20"/>
              </w:rPr>
            </w:pPr>
            <w:r w:rsidRPr="003115CA">
              <w:rPr>
                <w:rFonts w:asciiTheme="majorHAnsi" w:eastAsia="Times New Roman" w:hAnsiTheme="majorHAnsi" w:cstheme="majorHAnsi"/>
                <w:b/>
                <w:bCs/>
                <w:sz w:val="20"/>
                <w:szCs w:val="20"/>
              </w:rPr>
              <w:t>Accounting Standards or Pronouncements</w:t>
            </w:r>
          </w:p>
        </w:tc>
        <w:tc>
          <w:tcPr>
            <w:tcW w:w="736" w:type="pct"/>
            <w:shd w:val="clear" w:color="auto" w:fill="56C2BE" w:themeFill="accent1" w:themeFillShade="BF"/>
          </w:tcPr>
          <w:p w14:paraId="7B3B5443" w14:textId="77777777" w:rsidR="00AC07C9" w:rsidRPr="003115CA" w:rsidRDefault="00AC07C9" w:rsidP="00F46856">
            <w:pPr>
              <w:suppressAutoHyphens w:val="0"/>
              <w:spacing w:before="0" w:after="120" w:line="240" w:lineRule="auto"/>
              <w:rPr>
                <w:rFonts w:asciiTheme="majorHAnsi" w:eastAsia="Times New Roman" w:hAnsiTheme="majorHAnsi" w:cstheme="majorHAnsi"/>
                <w:b/>
                <w:bCs/>
                <w:sz w:val="20"/>
                <w:szCs w:val="20"/>
              </w:rPr>
            </w:pPr>
            <w:r w:rsidRPr="003115CA">
              <w:rPr>
                <w:rFonts w:asciiTheme="majorHAnsi" w:eastAsia="Times New Roman" w:hAnsiTheme="majorHAnsi" w:cstheme="majorHAnsi"/>
                <w:b/>
                <w:bCs/>
                <w:sz w:val="20"/>
                <w:szCs w:val="20"/>
              </w:rPr>
              <w:t xml:space="preserve">Other standards amended </w:t>
            </w:r>
            <w:proofErr w:type="gramStart"/>
            <w:r w:rsidRPr="003115CA">
              <w:rPr>
                <w:rFonts w:asciiTheme="majorHAnsi" w:eastAsia="Times New Roman" w:hAnsiTheme="majorHAnsi" w:cstheme="majorHAnsi"/>
                <w:b/>
                <w:bCs/>
                <w:sz w:val="20"/>
                <w:szCs w:val="20"/>
              </w:rPr>
              <w:t>as a consequence</w:t>
            </w:r>
            <w:proofErr w:type="gramEnd"/>
          </w:p>
        </w:tc>
        <w:tc>
          <w:tcPr>
            <w:tcW w:w="2647" w:type="pct"/>
            <w:shd w:val="clear" w:color="auto" w:fill="56C2BE" w:themeFill="accent1" w:themeFillShade="BF"/>
          </w:tcPr>
          <w:p w14:paraId="2E1C784A" w14:textId="77777777" w:rsidR="00AC07C9" w:rsidRPr="003115CA" w:rsidRDefault="00AC07C9" w:rsidP="00F46856">
            <w:pPr>
              <w:suppressAutoHyphens w:val="0"/>
              <w:spacing w:before="0" w:after="120" w:line="240" w:lineRule="auto"/>
              <w:rPr>
                <w:rFonts w:asciiTheme="majorHAnsi" w:eastAsia="Times New Roman" w:hAnsiTheme="majorHAnsi" w:cstheme="majorHAnsi"/>
                <w:b/>
                <w:bCs/>
                <w:sz w:val="20"/>
                <w:szCs w:val="20"/>
              </w:rPr>
            </w:pPr>
            <w:r w:rsidRPr="003115CA">
              <w:rPr>
                <w:rFonts w:asciiTheme="majorHAnsi" w:eastAsia="Times New Roman" w:hAnsiTheme="majorHAnsi" w:cstheme="majorHAnsi"/>
                <w:b/>
                <w:bCs/>
                <w:sz w:val="20"/>
                <w:szCs w:val="20"/>
              </w:rPr>
              <w:t>Summary of changes</w:t>
            </w:r>
          </w:p>
        </w:tc>
        <w:tc>
          <w:tcPr>
            <w:tcW w:w="441" w:type="pct"/>
            <w:shd w:val="clear" w:color="auto" w:fill="56C2BE" w:themeFill="accent1" w:themeFillShade="BF"/>
          </w:tcPr>
          <w:p w14:paraId="153F82BB" w14:textId="77777777" w:rsidR="00AC07C9" w:rsidRPr="003115CA" w:rsidRDefault="00AC07C9" w:rsidP="00F46856">
            <w:pPr>
              <w:suppressAutoHyphens w:val="0"/>
              <w:spacing w:before="0" w:after="120" w:line="240" w:lineRule="auto"/>
              <w:rPr>
                <w:rFonts w:asciiTheme="majorHAnsi" w:eastAsia="Times New Roman" w:hAnsiTheme="majorHAnsi" w:cstheme="majorHAnsi"/>
                <w:b/>
                <w:bCs/>
                <w:sz w:val="20"/>
                <w:szCs w:val="20"/>
              </w:rPr>
            </w:pPr>
            <w:r w:rsidRPr="003115CA">
              <w:rPr>
                <w:rFonts w:asciiTheme="majorHAnsi" w:eastAsia="Times New Roman" w:hAnsiTheme="majorHAnsi" w:cstheme="majorHAnsi"/>
                <w:b/>
                <w:bCs/>
                <w:sz w:val="20"/>
                <w:szCs w:val="20"/>
              </w:rPr>
              <w:t xml:space="preserve">Possible impact </w:t>
            </w:r>
          </w:p>
        </w:tc>
      </w:tr>
      <w:tr w:rsidR="00AC07C9" w:rsidRPr="00EA125B" w14:paraId="18492F14" w14:textId="77777777" w:rsidTr="007B231A">
        <w:tblPrEx>
          <w:tblLook w:val="0420" w:firstRow="1" w:lastRow="0" w:firstColumn="0" w:lastColumn="0" w:noHBand="0" w:noVBand="1"/>
        </w:tblPrEx>
        <w:trPr>
          <w:trHeight w:val="73"/>
        </w:trPr>
        <w:tc>
          <w:tcPr>
            <w:tcW w:w="1176" w:type="pct"/>
          </w:tcPr>
          <w:p w14:paraId="15AD63E1" w14:textId="77777777" w:rsidR="00AC07C9" w:rsidRPr="003115CA" w:rsidRDefault="00AC07C9" w:rsidP="00E52806">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 xml:space="preserve">AASB 2023-5 </w:t>
            </w:r>
            <w:r w:rsidRPr="003115CA">
              <w:rPr>
                <w:rFonts w:eastAsia="Times New Roman" w:cstheme="minorHAnsi"/>
                <w:i/>
                <w:sz w:val="18"/>
                <w:szCs w:val="18"/>
              </w:rPr>
              <w:t>Amendments to Australian Accounting Standards – Lack of Exchangeability</w:t>
            </w:r>
            <w:r w:rsidRPr="003115CA">
              <w:rPr>
                <w:rFonts w:eastAsia="Times New Roman" w:cstheme="minorHAnsi"/>
                <w:iCs/>
                <w:sz w:val="18"/>
                <w:szCs w:val="18"/>
              </w:rPr>
              <w:t xml:space="preserve"> </w:t>
            </w:r>
          </w:p>
          <w:p w14:paraId="37DD5EFE" w14:textId="77777777" w:rsidR="00AC07C9" w:rsidRPr="003115CA" w:rsidRDefault="00AC07C9" w:rsidP="00E52806">
            <w:pPr>
              <w:suppressAutoHyphens w:val="0"/>
              <w:spacing w:before="120" w:after="120" w:line="220" w:lineRule="atLeast"/>
              <w:ind w:right="96"/>
              <w:rPr>
                <w:rFonts w:eastAsia="Times New Roman" w:cstheme="minorHAnsi"/>
                <w:i/>
                <w:iCs/>
                <w:sz w:val="18"/>
                <w:szCs w:val="18"/>
              </w:rPr>
            </w:pPr>
            <w:r w:rsidRPr="003115CA">
              <w:rPr>
                <w:rFonts w:eastAsia="Times New Roman" w:cstheme="minorHAnsi"/>
                <w:iCs/>
                <w:sz w:val="18"/>
                <w:szCs w:val="18"/>
              </w:rPr>
              <w:t>(AASB 2023-5)</w:t>
            </w:r>
          </w:p>
        </w:tc>
        <w:tc>
          <w:tcPr>
            <w:tcW w:w="736" w:type="pct"/>
          </w:tcPr>
          <w:p w14:paraId="42920F37" w14:textId="77777777" w:rsidR="00AC07C9" w:rsidRPr="003115CA" w:rsidRDefault="00AC07C9" w:rsidP="00E52806">
            <w:pPr>
              <w:spacing w:before="120" w:after="120"/>
              <w:rPr>
                <w:rFonts w:ascii="Arial" w:eastAsia="Arial" w:hAnsi="Arial" w:cs="Arial"/>
                <w:sz w:val="18"/>
                <w:szCs w:val="18"/>
              </w:rPr>
            </w:pPr>
            <w:r w:rsidRPr="003115CA">
              <w:rPr>
                <w:rFonts w:ascii="Arial" w:eastAsia="Arial" w:hAnsi="Arial" w:cs="Arial"/>
                <w:sz w:val="18"/>
                <w:szCs w:val="18"/>
              </w:rPr>
              <w:t>AASB 1</w:t>
            </w:r>
          </w:p>
          <w:p w14:paraId="785E7BC1" w14:textId="77777777" w:rsidR="00AC07C9" w:rsidRPr="003115CA" w:rsidRDefault="00AC07C9" w:rsidP="00E52806">
            <w:pPr>
              <w:spacing w:before="120" w:after="120"/>
              <w:rPr>
                <w:rFonts w:ascii="Arial" w:eastAsia="Arial" w:hAnsi="Arial" w:cs="Arial"/>
                <w:sz w:val="18"/>
                <w:szCs w:val="18"/>
              </w:rPr>
            </w:pPr>
            <w:r w:rsidRPr="003115CA">
              <w:rPr>
                <w:rFonts w:ascii="Arial" w:eastAsia="Arial" w:hAnsi="Arial" w:cs="Arial"/>
                <w:sz w:val="18"/>
                <w:szCs w:val="18"/>
              </w:rPr>
              <w:t>AASB 121</w:t>
            </w:r>
          </w:p>
          <w:p w14:paraId="5BBEA5F4" w14:textId="77777777" w:rsidR="00AC07C9" w:rsidRPr="003115CA" w:rsidRDefault="00AC07C9" w:rsidP="00E52806">
            <w:pPr>
              <w:suppressAutoHyphens w:val="0"/>
              <w:spacing w:before="120" w:after="120" w:line="220" w:lineRule="atLeast"/>
              <w:ind w:right="96"/>
              <w:rPr>
                <w:rFonts w:asciiTheme="majorHAnsi" w:eastAsia="Times New Roman" w:hAnsiTheme="majorHAnsi" w:cstheme="majorHAnsi"/>
                <w:sz w:val="18"/>
                <w:szCs w:val="18"/>
              </w:rPr>
            </w:pPr>
            <w:r w:rsidRPr="003115CA">
              <w:rPr>
                <w:rFonts w:ascii="Arial" w:eastAsia="Arial" w:hAnsi="Arial" w:cs="Arial"/>
                <w:sz w:val="18"/>
                <w:szCs w:val="18"/>
              </w:rPr>
              <w:t>AASB 1060</w:t>
            </w:r>
          </w:p>
        </w:tc>
        <w:tc>
          <w:tcPr>
            <w:tcW w:w="2647" w:type="pct"/>
          </w:tcPr>
          <w:p w14:paraId="3BF171CF" w14:textId="77777777" w:rsidR="00AC07C9" w:rsidRPr="003115CA" w:rsidRDefault="00AC07C9" w:rsidP="00E52806">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AASB 2023-5 amends AASB 121 and AASB 1 to improve the usefulness of information provided to users of financial statements. The amendments require entities to apply a consistent approach to determining whether a currency is exchangeable into another currency and the spot exchange rate to use when it is not exchangeable.</w:t>
            </w:r>
          </w:p>
          <w:p w14:paraId="38A7E8D1" w14:textId="77777777" w:rsidR="00AC07C9" w:rsidRPr="003115CA" w:rsidRDefault="00AC07C9" w:rsidP="00E52806">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 xml:space="preserve">AASB 2023-5 amends AASB 121 to extend the exemption from complying with the disclosure requirements of AASB 121 for entities that apply AASB 1060 to ensure Tier 2 entities are not required to comply with the new disclosure requirements in AASB 121 when preparing their Tier 2 financial statements. </w:t>
            </w:r>
          </w:p>
          <w:p w14:paraId="1C9B72DE" w14:textId="77777777" w:rsidR="00AC07C9" w:rsidRPr="003115CA" w:rsidRDefault="00AC07C9" w:rsidP="00E52806">
            <w:pPr>
              <w:suppressAutoHyphens w:val="0"/>
              <w:spacing w:before="120" w:after="120" w:line="276" w:lineRule="auto"/>
              <w:ind w:right="96"/>
              <w:rPr>
                <w:rFonts w:asciiTheme="majorHAnsi" w:hAnsiTheme="majorHAnsi" w:cstheme="majorHAnsi"/>
                <w:sz w:val="18"/>
                <w:szCs w:val="18"/>
                <w:lang w:eastAsia="zh-CN"/>
              </w:rPr>
            </w:pPr>
            <w:r w:rsidRPr="003115CA">
              <w:rPr>
                <w:rFonts w:ascii="Arial" w:eastAsia="Arial" w:hAnsi="Arial" w:cs="Arial"/>
                <w:sz w:val="18"/>
                <w:szCs w:val="18"/>
              </w:rPr>
              <w:t xml:space="preserve">AASB 2023-5 applies to annual periods beginning on or after 1 January 2025. </w:t>
            </w:r>
          </w:p>
        </w:tc>
        <w:tc>
          <w:tcPr>
            <w:tcW w:w="441" w:type="pct"/>
            <w:shd w:val="clear" w:color="auto" w:fill="C6C6C6" w:themeFill="text2" w:themeFillTint="40"/>
          </w:tcPr>
          <w:p w14:paraId="1292796E" w14:textId="77777777" w:rsidR="00AC07C9" w:rsidRPr="003115CA" w:rsidRDefault="00AC07C9" w:rsidP="00E52806">
            <w:pPr>
              <w:suppressAutoHyphens w:val="0"/>
              <w:spacing w:before="120" w:after="120" w:line="240" w:lineRule="auto"/>
              <w:rPr>
                <w:rFonts w:asciiTheme="majorHAnsi" w:eastAsia="Times New Roman" w:hAnsiTheme="majorHAnsi" w:cstheme="majorHAnsi"/>
                <w:sz w:val="18"/>
                <w:szCs w:val="18"/>
              </w:rPr>
            </w:pPr>
            <w:r w:rsidRPr="003115CA">
              <w:rPr>
                <w:rFonts w:ascii="Arial" w:eastAsia="Arial" w:hAnsi="Arial" w:cs="Arial"/>
                <w:sz w:val="18"/>
                <w:szCs w:val="18"/>
              </w:rPr>
              <w:t>Minimal</w:t>
            </w:r>
          </w:p>
        </w:tc>
      </w:tr>
      <w:tr w:rsidR="00AC07C9" w:rsidRPr="00EA125B" w14:paraId="102D478C" w14:textId="77777777" w:rsidTr="007B231A">
        <w:tblPrEx>
          <w:tblLook w:val="0420" w:firstRow="1" w:lastRow="0" w:firstColumn="0" w:lastColumn="0" w:noHBand="0" w:noVBand="1"/>
        </w:tblPrEx>
        <w:trPr>
          <w:trHeight w:val="2246"/>
        </w:trPr>
        <w:tc>
          <w:tcPr>
            <w:tcW w:w="1176" w:type="pct"/>
          </w:tcPr>
          <w:p w14:paraId="4A9FDBFF" w14:textId="77777777" w:rsidR="00AC07C9" w:rsidRPr="003115CA" w:rsidRDefault="00AC07C9" w:rsidP="00E52806">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 xml:space="preserve">AASB 2024-4 </w:t>
            </w:r>
            <w:r w:rsidRPr="003115CA">
              <w:rPr>
                <w:rFonts w:eastAsia="Times New Roman" w:cstheme="minorHAnsi"/>
                <w:i/>
                <w:sz w:val="18"/>
                <w:szCs w:val="18"/>
              </w:rPr>
              <w:t>Amendments to Australian Accounting Standards – Effective Date of Amendments to AASB 10 and AASB 128</w:t>
            </w:r>
          </w:p>
          <w:p w14:paraId="71C79548" w14:textId="77777777" w:rsidR="00AC07C9" w:rsidRPr="003115CA" w:rsidRDefault="00AC07C9" w:rsidP="00E52806">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(AASB 2024-4a)</w:t>
            </w:r>
          </w:p>
          <w:p w14:paraId="10B6EE95" w14:textId="77777777" w:rsidR="00AC07C9" w:rsidRPr="003115CA" w:rsidRDefault="00AC07C9" w:rsidP="00E52806">
            <w:pPr>
              <w:suppressAutoHyphens w:val="0"/>
              <w:spacing w:before="120" w:after="120" w:line="220" w:lineRule="atLeast"/>
              <w:ind w:right="96"/>
              <w:rPr>
                <w:rFonts w:eastAsia="Times New Roman" w:cstheme="minorHAnsi"/>
                <w:iCs/>
                <w:sz w:val="18"/>
                <w:szCs w:val="18"/>
              </w:rPr>
            </w:pPr>
          </w:p>
          <w:p w14:paraId="54EB94AE" w14:textId="77777777" w:rsidR="00AC07C9" w:rsidRPr="003115CA" w:rsidRDefault="00AC07C9" w:rsidP="00E52806">
            <w:pPr>
              <w:suppressAutoHyphens w:val="0"/>
              <w:spacing w:before="120" w:after="120" w:line="220" w:lineRule="atLeast"/>
              <w:ind w:right="96"/>
              <w:rPr>
                <w:rFonts w:eastAsia="Times New Roman" w:cstheme="minorHAnsi"/>
                <w:iCs/>
                <w:sz w:val="18"/>
                <w:szCs w:val="18"/>
              </w:rPr>
            </w:pPr>
          </w:p>
          <w:p w14:paraId="6CB3CD25" w14:textId="77777777" w:rsidR="00AC07C9" w:rsidRPr="003115CA" w:rsidRDefault="00AC07C9" w:rsidP="00E52806">
            <w:pPr>
              <w:suppressAutoHyphens w:val="0"/>
              <w:spacing w:before="120" w:after="120" w:line="220" w:lineRule="atLeast"/>
              <w:ind w:right="96"/>
              <w:rPr>
                <w:rFonts w:eastAsia="Times New Roman" w:cstheme="minorHAnsi"/>
                <w:sz w:val="18"/>
                <w:szCs w:val="18"/>
              </w:rPr>
            </w:pPr>
          </w:p>
          <w:p w14:paraId="48D200E6" w14:textId="77777777" w:rsidR="00AC07C9" w:rsidRPr="003115CA" w:rsidRDefault="00AC07C9" w:rsidP="00E52806">
            <w:pPr>
              <w:suppressAutoHyphens w:val="0"/>
              <w:spacing w:before="120" w:after="120" w:line="220" w:lineRule="atLeast"/>
              <w:ind w:right="96"/>
              <w:rPr>
                <w:rFonts w:eastAsia="Times New Roman" w:cstheme="minorHAnsi"/>
                <w:sz w:val="18"/>
                <w:szCs w:val="18"/>
              </w:rPr>
            </w:pPr>
          </w:p>
        </w:tc>
        <w:tc>
          <w:tcPr>
            <w:tcW w:w="736" w:type="pct"/>
          </w:tcPr>
          <w:p w14:paraId="3B794628" w14:textId="77777777" w:rsidR="00AC07C9" w:rsidRPr="003115CA" w:rsidRDefault="00AC07C9" w:rsidP="00E52806">
            <w:pPr>
              <w:suppressAutoHyphens w:val="0"/>
              <w:spacing w:before="120" w:after="120" w:line="220" w:lineRule="atLeast"/>
              <w:ind w:right="96"/>
              <w:rPr>
                <w:rFonts w:asciiTheme="majorHAnsi" w:eastAsia="Times New Roman" w:hAnsiTheme="majorHAnsi" w:cstheme="majorHAnsi"/>
                <w:sz w:val="18"/>
                <w:szCs w:val="18"/>
              </w:rPr>
            </w:pPr>
            <w:r w:rsidRPr="003115CA">
              <w:rPr>
                <w:sz w:val="18"/>
                <w:szCs w:val="18"/>
              </w:rPr>
              <w:t>AASB</w:t>
            </w:r>
            <w:r w:rsidRPr="003115CA">
              <w:rPr>
                <w:rFonts w:asciiTheme="majorHAnsi" w:eastAsia="Times New Roman" w:hAnsiTheme="majorHAnsi" w:cstheme="majorHAnsi"/>
                <w:sz w:val="18"/>
                <w:szCs w:val="18"/>
              </w:rPr>
              <w:t xml:space="preserve"> 10</w:t>
            </w:r>
          </w:p>
          <w:p w14:paraId="368534C3" w14:textId="77777777" w:rsidR="00AC07C9" w:rsidRPr="003115CA" w:rsidRDefault="00AC07C9" w:rsidP="00E52806">
            <w:pPr>
              <w:suppressAutoHyphens w:val="0"/>
              <w:spacing w:before="120" w:after="120" w:line="220" w:lineRule="atLeast"/>
              <w:ind w:right="96"/>
              <w:rPr>
                <w:sz w:val="18"/>
                <w:szCs w:val="18"/>
              </w:rPr>
            </w:pPr>
            <w:r w:rsidRPr="003115CA">
              <w:rPr>
                <w:sz w:val="18"/>
                <w:szCs w:val="18"/>
              </w:rPr>
              <w:t>AASB</w:t>
            </w:r>
            <w:r w:rsidRPr="003115CA">
              <w:rPr>
                <w:rFonts w:asciiTheme="majorHAnsi" w:eastAsia="Times New Roman" w:hAnsiTheme="majorHAnsi" w:cstheme="majorHAnsi"/>
                <w:sz w:val="18"/>
                <w:szCs w:val="18"/>
              </w:rPr>
              <w:t xml:space="preserve"> </w:t>
            </w:r>
            <w:r w:rsidRPr="003115CA">
              <w:rPr>
                <w:sz w:val="18"/>
                <w:szCs w:val="18"/>
              </w:rPr>
              <w:t>128</w:t>
            </w:r>
          </w:p>
        </w:tc>
        <w:tc>
          <w:tcPr>
            <w:tcW w:w="2647" w:type="pct"/>
          </w:tcPr>
          <w:p w14:paraId="2F45FA94" w14:textId="77777777" w:rsidR="00AC07C9" w:rsidRPr="003115CA" w:rsidRDefault="00AC07C9" w:rsidP="00E52806">
            <w:pPr>
              <w:suppressAutoHyphens w:val="0"/>
              <w:spacing w:before="120" w:after="120" w:line="276" w:lineRule="auto"/>
              <w:ind w:right="96"/>
              <w:rPr>
                <w:rFonts w:asciiTheme="majorHAnsi" w:hAnsiTheme="majorHAnsi" w:cstheme="majorHAnsi"/>
                <w:sz w:val="18"/>
                <w:szCs w:val="18"/>
              </w:rPr>
            </w:pPr>
            <w:r w:rsidRPr="003115CA">
              <w:rPr>
                <w:rFonts w:ascii="Arial" w:eastAsia="Arial" w:hAnsi="Arial" w:cs="Arial"/>
                <w:sz w:val="18"/>
                <w:szCs w:val="18"/>
              </w:rPr>
              <w:t>This</w:t>
            </w:r>
            <w:r w:rsidRPr="003115CA">
              <w:rPr>
                <w:rFonts w:asciiTheme="majorHAnsi" w:hAnsiTheme="majorHAnsi" w:cstheme="majorHAnsi"/>
                <w:sz w:val="18"/>
                <w:szCs w:val="18"/>
              </w:rPr>
              <w:t xml:space="preserve"> Standard defers the mandatory application date of amendments to AASB 10 and AASB 128 that were originally made in AASB 2014-10 </w:t>
            </w:r>
            <w:r w:rsidRPr="003115CA">
              <w:rPr>
                <w:rFonts w:asciiTheme="majorHAnsi" w:hAnsiTheme="majorHAnsi" w:cstheme="majorHAnsi"/>
                <w:i/>
                <w:iCs/>
                <w:sz w:val="18"/>
                <w:szCs w:val="18"/>
              </w:rPr>
              <w:t xml:space="preserve">Amendments to Australian Accounting Standards – Sale or Contribution of Assets between an Investor and its Associate or Joint Venture </w:t>
            </w:r>
            <w:r w:rsidRPr="003115CA">
              <w:rPr>
                <w:rFonts w:asciiTheme="majorHAnsi" w:hAnsiTheme="majorHAnsi" w:cstheme="majorHAnsi"/>
                <w:sz w:val="18"/>
                <w:szCs w:val="18"/>
              </w:rPr>
              <w:t xml:space="preserve">so that the amendments are required to be applied for annual reporting periods beginning on or after 1 January 2028 instead of 1 January 2025.  </w:t>
            </w:r>
          </w:p>
          <w:p w14:paraId="2AAABC29" w14:textId="77777777" w:rsidR="00AC07C9" w:rsidRPr="003115CA" w:rsidRDefault="00AC07C9" w:rsidP="00E52806">
            <w:pPr>
              <w:suppressAutoHyphens w:val="0"/>
              <w:spacing w:before="120" w:after="120" w:line="276" w:lineRule="auto"/>
              <w:ind w:right="96"/>
              <w:rPr>
                <w:rFonts w:asciiTheme="majorHAnsi" w:hAnsiTheme="majorHAnsi" w:cstheme="majorHAnsi"/>
                <w:sz w:val="18"/>
                <w:szCs w:val="18"/>
                <w:lang w:eastAsia="zh-CN"/>
              </w:rPr>
            </w:pPr>
            <w:r w:rsidRPr="003115CA">
              <w:rPr>
                <w:rFonts w:asciiTheme="majorHAnsi" w:hAnsiTheme="majorHAnsi" w:cstheme="majorBidi"/>
                <w:sz w:val="18"/>
                <w:szCs w:val="18"/>
              </w:rPr>
              <w:t>This Standard applies to annual periods beginning on or after 1 January 2025, being the date from which the amendments to AASB 10 and AASB 128 were previously to apply mandatorily. Earlier application is permitted.</w:t>
            </w:r>
          </w:p>
        </w:tc>
        <w:tc>
          <w:tcPr>
            <w:tcW w:w="441" w:type="pct"/>
            <w:shd w:val="clear" w:color="auto" w:fill="CBCDCB" w:themeFill="background2" w:themeFillShade="E6"/>
          </w:tcPr>
          <w:p w14:paraId="730133CD" w14:textId="77777777" w:rsidR="00AC07C9" w:rsidRPr="003115CA" w:rsidRDefault="00AC07C9" w:rsidP="00E52806">
            <w:pPr>
              <w:suppressAutoHyphens w:val="0"/>
              <w:spacing w:before="120" w:after="120" w:line="240" w:lineRule="auto"/>
              <w:rPr>
                <w:rFonts w:asciiTheme="majorHAnsi" w:eastAsia="Times New Roman" w:hAnsiTheme="majorHAnsi" w:cstheme="majorHAnsi"/>
                <w:sz w:val="18"/>
                <w:szCs w:val="18"/>
              </w:rPr>
            </w:pPr>
            <w:r w:rsidRPr="003115CA">
              <w:rPr>
                <w:rFonts w:asciiTheme="majorHAnsi" w:eastAsia="Times New Roman" w:hAnsiTheme="majorHAnsi" w:cstheme="majorHAnsi"/>
                <w:sz w:val="18"/>
                <w:szCs w:val="18"/>
              </w:rPr>
              <w:t>Minimal</w:t>
            </w:r>
          </w:p>
        </w:tc>
      </w:tr>
      <w:tr w:rsidR="00AC07C9" w:rsidRPr="00EA125B" w14:paraId="754D0B9A" w14:textId="77777777" w:rsidTr="007B231A">
        <w:tblPrEx>
          <w:tblLook w:val="0420" w:firstRow="1" w:lastRow="0" w:firstColumn="0" w:lastColumn="0" w:noHBand="0" w:noVBand="1"/>
        </w:tblPrEx>
        <w:trPr>
          <w:trHeight w:val="3255"/>
        </w:trPr>
        <w:tc>
          <w:tcPr>
            <w:tcW w:w="1176" w:type="pct"/>
          </w:tcPr>
          <w:p w14:paraId="341E73F1" w14:textId="77777777" w:rsidR="00AC07C9" w:rsidRPr="003115CA" w:rsidRDefault="00AC07C9" w:rsidP="00E52806">
            <w:pPr>
              <w:suppressAutoHyphens w:val="0"/>
              <w:spacing w:before="120" w:after="120" w:line="220" w:lineRule="atLeast"/>
              <w:ind w:right="96"/>
              <w:rPr>
                <w:rFonts w:eastAsia="Times New Roman" w:cstheme="minorHAnsi"/>
                <w:i/>
                <w:sz w:val="18"/>
                <w:szCs w:val="18"/>
              </w:rPr>
            </w:pPr>
            <w:r w:rsidRPr="003115CA">
              <w:rPr>
                <w:rFonts w:eastAsia="Times New Roman" w:cstheme="minorHAnsi"/>
                <w:iCs/>
                <w:sz w:val="18"/>
                <w:szCs w:val="18"/>
              </w:rPr>
              <w:lastRenderedPageBreak/>
              <w:t xml:space="preserve">AASB 2026-1 </w:t>
            </w:r>
            <w:r w:rsidRPr="003115CA">
              <w:rPr>
                <w:rFonts w:eastAsia="Times New Roman" w:cstheme="minorHAnsi"/>
                <w:i/>
                <w:sz w:val="18"/>
                <w:szCs w:val="18"/>
              </w:rPr>
              <w:t>Amendments to Australian Accounting Standards – Disclosures about Uncertainties in the Financial Statements</w:t>
            </w:r>
          </w:p>
          <w:p w14:paraId="0F52B33B" w14:textId="77777777" w:rsidR="00AC07C9" w:rsidRPr="003115CA" w:rsidRDefault="00AC07C9" w:rsidP="00E52806">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(AASB 2026-1)</w:t>
            </w:r>
          </w:p>
        </w:tc>
        <w:tc>
          <w:tcPr>
            <w:tcW w:w="736" w:type="pct"/>
          </w:tcPr>
          <w:p w14:paraId="72B28744" w14:textId="77777777" w:rsidR="00AC07C9" w:rsidRPr="003115CA" w:rsidRDefault="00AC07C9" w:rsidP="00E52806">
            <w:pPr>
              <w:suppressAutoHyphens w:val="0"/>
              <w:spacing w:before="120" w:after="120" w:line="220" w:lineRule="atLeast"/>
              <w:ind w:right="96"/>
              <w:rPr>
                <w:sz w:val="18"/>
                <w:szCs w:val="18"/>
              </w:rPr>
            </w:pPr>
            <w:r w:rsidRPr="003115CA">
              <w:rPr>
                <w:sz w:val="18"/>
                <w:szCs w:val="18"/>
              </w:rPr>
              <w:t>AASB 136</w:t>
            </w:r>
          </w:p>
          <w:p w14:paraId="45FC3BAE" w14:textId="77777777" w:rsidR="00AC07C9" w:rsidRPr="003115CA" w:rsidRDefault="00AC07C9" w:rsidP="00E52806">
            <w:pPr>
              <w:suppressAutoHyphens w:val="0"/>
              <w:spacing w:before="120" w:after="120" w:line="220" w:lineRule="atLeast"/>
              <w:ind w:right="96"/>
              <w:rPr>
                <w:sz w:val="18"/>
                <w:szCs w:val="18"/>
              </w:rPr>
            </w:pPr>
            <w:r w:rsidRPr="003115CA">
              <w:rPr>
                <w:sz w:val="18"/>
                <w:szCs w:val="18"/>
              </w:rPr>
              <w:t>AASB 137</w:t>
            </w:r>
          </w:p>
        </w:tc>
        <w:tc>
          <w:tcPr>
            <w:tcW w:w="2647" w:type="pct"/>
          </w:tcPr>
          <w:p w14:paraId="788A6557" w14:textId="77777777" w:rsidR="00AC07C9" w:rsidRPr="003115CA" w:rsidRDefault="00AC07C9" w:rsidP="00E52806">
            <w:pPr>
              <w:suppressAutoHyphens w:val="0"/>
              <w:spacing w:before="120" w:after="120" w:line="276" w:lineRule="auto"/>
              <w:ind w:right="96"/>
              <w:rPr>
                <w:rFonts w:asciiTheme="majorHAnsi" w:hAnsiTheme="majorHAnsi" w:cstheme="majorHAnsi"/>
                <w:sz w:val="18"/>
                <w:szCs w:val="18"/>
                <w:lang w:eastAsia="zh-CN"/>
              </w:rPr>
            </w:pPr>
            <w:r w:rsidRPr="003115CA">
              <w:rPr>
                <w:rFonts w:eastAsia="Times New Roman" w:cstheme="minorHAnsi"/>
                <w:iCs/>
                <w:sz w:val="18"/>
                <w:szCs w:val="18"/>
              </w:rPr>
              <w:t>AASB 2026-1</w:t>
            </w:r>
            <w:r w:rsidRPr="003115CA">
              <w:rPr>
                <w:rFonts w:asciiTheme="majorHAnsi" w:hAnsiTheme="majorHAnsi" w:cstheme="majorHAnsi"/>
                <w:sz w:val="18"/>
                <w:szCs w:val="18"/>
                <w:lang w:eastAsia="zh-CN"/>
              </w:rPr>
              <w:t xml:space="preserve"> amends AASB 136 and AASB 137 to add additional illustrative examples to their accompanying guidance. The objective of the new examples is to illustrate how an entity applies the requirements of the Standards to report the effects of uncertainties in its financial statements. In particular, the examples demonstrate:</w:t>
            </w:r>
          </w:p>
          <w:p w14:paraId="705EA05B" w14:textId="77777777" w:rsidR="00AC07C9" w:rsidRPr="003115CA" w:rsidRDefault="00AC07C9" w:rsidP="00E52806">
            <w:pPr>
              <w:suppressAutoHyphens w:val="0"/>
              <w:spacing w:before="120" w:after="120" w:line="276" w:lineRule="auto"/>
              <w:ind w:right="96"/>
              <w:rPr>
                <w:rFonts w:asciiTheme="majorHAnsi" w:hAnsiTheme="majorHAnsi" w:cstheme="majorHAnsi"/>
                <w:sz w:val="18"/>
                <w:szCs w:val="18"/>
                <w:lang w:eastAsia="zh-CN"/>
              </w:rPr>
            </w:pPr>
            <w:r w:rsidRPr="003115CA">
              <w:rPr>
                <w:rFonts w:asciiTheme="majorHAnsi" w:hAnsiTheme="majorHAnsi" w:cstheme="majorHAnsi"/>
                <w:sz w:val="18"/>
                <w:szCs w:val="18"/>
                <w:lang w:eastAsia="zh-CN"/>
              </w:rPr>
              <w:t>(a) in relation to AASB 136 – how an entity discloses information about the key assumptions it uses to determine the recoverable amounts of assets; and</w:t>
            </w:r>
          </w:p>
          <w:p w14:paraId="793AB6AB" w14:textId="77777777" w:rsidR="00AC07C9" w:rsidRPr="003115CA" w:rsidRDefault="00AC07C9" w:rsidP="00E52806">
            <w:pPr>
              <w:suppressAutoHyphens w:val="0"/>
              <w:spacing w:before="120" w:after="120" w:line="276" w:lineRule="auto"/>
              <w:ind w:right="96"/>
              <w:rPr>
                <w:rFonts w:asciiTheme="majorHAnsi" w:hAnsiTheme="majorHAnsi" w:cstheme="majorHAnsi"/>
                <w:sz w:val="18"/>
                <w:szCs w:val="18"/>
                <w:lang w:eastAsia="zh-CN"/>
              </w:rPr>
            </w:pPr>
            <w:r w:rsidRPr="003115CA">
              <w:rPr>
                <w:rFonts w:asciiTheme="majorHAnsi" w:hAnsiTheme="majorHAnsi" w:cstheme="majorHAnsi"/>
                <w:sz w:val="18"/>
                <w:szCs w:val="18"/>
                <w:lang w:eastAsia="zh-CN"/>
              </w:rPr>
              <w:t>(b) in relation to AASB 137 – how an entity might disclose information about plant decommissioning and site-restoration obligations even if their effect on the carrying amount of the entity’s plant decommissioning and site-restoration provision is immaterial. </w:t>
            </w:r>
          </w:p>
          <w:p w14:paraId="5C7EC8D0" w14:textId="77777777" w:rsidR="00AC07C9" w:rsidRPr="003115CA" w:rsidRDefault="00AC07C9" w:rsidP="00E52806">
            <w:pPr>
              <w:suppressAutoHyphens w:val="0"/>
              <w:spacing w:before="120" w:after="120" w:line="276" w:lineRule="auto"/>
              <w:ind w:right="96"/>
              <w:rPr>
                <w:rFonts w:asciiTheme="majorHAnsi" w:hAnsiTheme="majorHAnsi" w:cstheme="majorHAnsi"/>
                <w:sz w:val="18"/>
                <w:szCs w:val="18"/>
                <w:lang w:eastAsia="zh-CN"/>
              </w:rPr>
            </w:pPr>
            <w:r w:rsidRPr="003115CA">
              <w:rPr>
                <w:rFonts w:asciiTheme="majorHAnsi" w:hAnsiTheme="majorHAnsi" w:cstheme="majorHAnsi"/>
                <w:sz w:val="18"/>
                <w:szCs w:val="18"/>
                <w:lang w:eastAsia="zh-CN"/>
              </w:rPr>
              <w:t>This Standard applies to annual periods beginning on or after 1 July 2025 that end on or after 28 February 2026. Earlier application is permitted.</w:t>
            </w:r>
          </w:p>
        </w:tc>
        <w:tc>
          <w:tcPr>
            <w:tcW w:w="441" w:type="pct"/>
            <w:shd w:val="clear" w:color="auto" w:fill="92D050"/>
          </w:tcPr>
          <w:p w14:paraId="06EAB5CC" w14:textId="77777777" w:rsidR="00AC07C9" w:rsidRPr="003115CA" w:rsidRDefault="00AC07C9" w:rsidP="00E52806">
            <w:pPr>
              <w:suppressAutoHyphens w:val="0"/>
              <w:spacing w:before="120" w:after="120" w:line="240" w:lineRule="auto"/>
              <w:rPr>
                <w:rFonts w:asciiTheme="majorHAnsi" w:eastAsia="Times New Roman" w:hAnsiTheme="majorHAnsi" w:cstheme="majorHAnsi"/>
                <w:sz w:val="18"/>
                <w:szCs w:val="18"/>
              </w:rPr>
            </w:pPr>
            <w:r w:rsidRPr="003115CA">
              <w:rPr>
                <w:rFonts w:asciiTheme="majorHAnsi" w:eastAsia="Times New Roman" w:hAnsiTheme="majorHAnsi" w:cstheme="majorHAnsi"/>
                <w:sz w:val="18"/>
                <w:szCs w:val="18"/>
              </w:rPr>
              <w:t>Minimal – Moderate</w:t>
            </w:r>
          </w:p>
        </w:tc>
      </w:tr>
    </w:tbl>
    <w:p w14:paraId="3DBFE663" w14:textId="0F7577EE" w:rsidR="00E371B3" w:rsidRDefault="00E371B3" w:rsidP="00291913">
      <w:pPr>
        <w:spacing w:before="0" w:after="0"/>
      </w:pPr>
    </w:p>
    <w:p w14:paraId="0FD7B93D" w14:textId="77777777" w:rsidR="00E371B3" w:rsidRDefault="00E371B3" w:rsidP="00E371B3">
      <w:pPr>
        <w:suppressAutoHyphens w:val="0"/>
        <w:spacing w:before="0" w:after="120" w:line="440" w:lineRule="atLeast"/>
      </w:pPr>
    </w:p>
    <w:p w14:paraId="40C949C9" w14:textId="77777777" w:rsidR="00E371B3" w:rsidRDefault="00E371B3" w:rsidP="00E371B3">
      <w:pPr>
        <w:suppressAutoHyphens w:val="0"/>
        <w:spacing w:before="0" w:after="120" w:line="440" w:lineRule="atLeast"/>
      </w:pPr>
    </w:p>
    <w:p w14:paraId="44EC50D3" w14:textId="77777777" w:rsidR="00E371B3" w:rsidRDefault="00E371B3" w:rsidP="00E371B3">
      <w:pPr>
        <w:suppressAutoHyphens w:val="0"/>
        <w:spacing w:before="0" w:after="120" w:line="440" w:lineRule="atLeast"/>
      </w:pPr>
    </w:p>
    <w:p w14:paraId="7BBF80FA" w14:textId="77777777" w:rsidR="00E371B3" w:rsidRDefault="00E371B3" w:rsidP="00E371B3">
      <w:pPr>
        <w:suppressAutoHyphens w:val="0"/>
        <w:spacing w:before="0" w:after="120" w:line="440" w:lineRule="atLeast"/>
      </w:pPr>
    </w:p>
    <w:p w14:paraId="15B09B2B" w14:textId="77777777" w:rsidR="00E371B3" w:rsidRDefault="00E371B3" w:rsidP="00E371B3">
      <w:pPr>
        <w:suppressAutoHyphens w:val="0"/>
        <w:spacing w:before="0" w:after="120" w:line="440" w:lineRule="atLeast"/>
      </w:pPr>
    </w:p>
    <w:p w14:paraId="4C9086D6" w14:textId="77777777" w:rsidR="00E371B3" w:rsidRDefault="00E371B3" w:rsidP="00E371B3">
      <w:pPr>
        <w:suppressAutoHyphens w:val="0"/>
        <w:spacing w:before="0" w:after="120" w:line="440" w:lineRule="atLeast"/>
      </w:pPr>
    </w:p>
    <w:p w14:paraId="0F29E961" w14:textId="77777777" w:rsidR="00E371B3" w:rsidRDefault="00E371B3" w:rsidP="00E371B3">
      <w:pPr>
        <w:suppressAutoHyphens w:val="0"/>
        <w:spacing w:before="0" w:after="120" w:line="440" w:lineRule="atLeast"/>
      </w:pPr>
    </w:p>
    <w:p w14:paraId="30E40A16" w14:textId="77777777" w:rsidR="00E371B3" w:rsidRDefault="00E371B3" w:rsidP="00E371B3">
      <w:pPr>
        <w:suppressAutoHyphens w:val="0"/>
        <w:spacing w:before="0" w:after="120" w:line="440" w:lineRule="atLeast"/>
      </w:pPr>
    </w:p>
    <w:p w14:paraId="29E2418C" w14:textId="27317F0E" w:rsidR="00AC07C9" w:rsidRPr="00B8177A" w:rsidRDefault="00944BE9" w:rsidP="003115CA">
      <w:pPr>
        <w:suppressAutoHyphens w:val="0"/>
        <w:spacing w:before="0" w:after="120" w:line="440" w:lineRule="atLeast"/>
      </w:pPr>
      <w:r w:rsidRPr="003115CA">
        <w:rPr>
          <w:rFonts w:eastAsia="Times New Roman"/>
          <w:b/>
          <w:bCs/>
          <w:i/>
          <w:iCs/>
          <w14:shadow w14:blurRad="50800" w14:dist="50800" w14:dir="5400000" w14:sx="0" w14:sy="0" w14:kx="0" w14:ky="0" w14:algn="ctr">
            <w14:schemeClr w14:val="bg2">
              <w14:lumMod w14:val="75000"/>
            </w14:schemeClr>
          </w14:shadow>
        </w:rPr>
        <w:lastRenderedPageBreak/>
        <w:t>Future Reporting Periods</w:t>
      </w:r>
    </w:p>
    <w:tbl>
      <w:tblPr>
        <w:tblStyle w:val="TableGrid3"/>
        <w:tblW w:w="5000" w:type="pct"/>
        <w:tblLook w:val="0420" w:firstRow="1" w:lastRow="0" w:firstColumn="0" w:lastColumn="0" w:noHBand="0" w:noVBand="1"/>
      </w:tblPr>
      <w:tblGrid>
        <w:gridCol w:w="3290"/>
        <w:gridCol w:w="1808"/>
        <w:gridCol w:w="7654"/>
        <w:gridCol w:w="1240"/>
      </w:tblGrid>
      <w:tr w:rsidR="002A03B7" w:rsidRPr="00EA125B" w14:paraId="508FF752" w14:textId="77777777" w:rsidTr="00A81442">
        <w:trPr>
          <w:cantSplit/>
          <w:trHeight w:val="300"/>
          <w:tblHeader/>
        </w:trPr>
        <w:tc>
          <w:tcPr>
            <w:tcW w:w="1176" w:type="pct"/>
            <w:shd w:val="clear" w:color="auto" w:fill="56C2BE" w:themeFill="accent1" w:themeFillShade="BF"/>
          </w:tcPr>
          <w:p w14:paraId="52F1982C" w14:textId="77777777" w:rsidR="002A03B7" w:rsidRPr="003115CA" w:rsidRDefault="002A03B7">
            <w:pPr>
              <w:suppressAutoHyphens w:val="0"/>
              <w:spacing w:before="0" w:after="120" w:line="240" w:lineRule="auto"/>
              <w:rPr>
                <w:rFonts w:asciiTheme="majorHAnsi" w:eastAsia="Times New Roman" w:hAnsiTheme="majorHAnsi" w:cstheme="majorHAnsi"/>
                <w:b/>
                <w:bCs/>
                <w:sz w:val="20"/>
                <w:szCs w:val="20"/>
              </w:rPr>
            </w:pPr>
            <w:r w:rsidRPr="003115CA">
              <w:rPr>
                <w:rFonts w:asciiTheme="majorHAnsi" w:eastAsia="Times New Roman" w:hAnsiTheme="majorHAnsi" w:cstheme="majorHAnsi"/>
                <w:b/>
                <w:bCs/>
                <w:sz w:val="20"/>
                <w:szCs w:val="20"/>
              </w:rPr>
              <w:t>Accounting Standards</w:t>
            </w:r>
          </w:p>
        </w:tc>
        <w:tc>
          <w:tcPr>
            <w:tcW w:w="646" w:type="pct"/>
            <w:shd w:val="clear" w:color="auto" w:fill="56C2BE" w:themeFill="accent1" w:themeFillShade="BF"/>
          </w:tcPr>
          <w:p w14:paraId="19679EF6" w14:textId="77777777" w:rsidR="002A03B7" w:rsidRPr="003115CA" w:rsidRDefault="002A03B7">
            <w:pPr>
              <w:suppressAutoHyphens w:val="0"/>
              <w:spacing w:before="0" w:after="120" w:line="240" w:lineRule="auto"/>
              <w:rPr>
                <w:rFonts w:asciiTheme="majorHAnsi" w:eastAsia="Times New Roman" w:hAnsiTheme="majorHAnsi" w:cstheme="majorHAnsi"/>
                <w:b/>
                <w:bCs/>
                <w:sz w:val="20"/>
                <w:szCs w:val="20"/>
              </w:rPr>
            </w:pPr>
            <w:r w:rsidRPr="003115CA">
              <w:rPr>
                <w:rFonts w:asciiTheme="majorHAnsi" w:eastAsia="Times New Roman" w:hAnsiTheme="majorHAnsi" w:cstheme="majorHAnsi"/>
                <w:b/>
                <w:bCs/>
                <w:sz w:val="20"/>
                <w:szCs w:val="20"/>
              </w:rPr>
              <w:t xml:space="preserve">Other standards amended </w:t>
            </w:r>
            <w:proofErr w:type="gramStart"/>
            <w:r w:rsidRPr="003115CA">
              <w:rPr>
                <w:rFonts w:asciiTheme="majorHAnsi" w:eastAsia="Times New Roman" w:hAnsiTheme="majorHAnsi" w:cstheme="majorHAnsi"/>
                <w:b/>
                <w:bCs/>
                <w:sz w:val="20"/>
                <w:szCs w:val="20"/>
              </w:rPr>
              <w:t>as a consequence</w:t>
            </w:r>
            <w:proofErr w:type="gramEnd"/>
          </w:p>
        </w:tc>
        <w:tc>
          <w:tcPr>
            <w:tcW w:w="2735" w:type="pct"/>
            <w:shd w:val="clear" w:color="auto" w:fill="56C2BE" w:themeFill="accent1" w:themeFillShade="BF"/>
          </w:tcPr>
          <w:p w14:paraId="374A0814" w14:textId="77777777" w:rsidR="002A03B7" w:rsidRPr="003115CA" w:rsidRDefault="002A03B7">
            <w:pPr>
              <w:suppressAutoHyphens w:val="0"/>
              <w:spacing w:before="0" w:after="120" w:line="240" w:lineRule="auto"/>
              <w:rPr>
                <w:rFonts w:asciiTheme="majorHAnsi" w:eastAsia="Times New Roman" w:hAnsiTheme="majorHAnsi" w:cstheme="majorHAnsi"/>
                <w:b/>
                <w:bCs/>
                <w:sz w:val="20"/>
                <w:szCs w:val="20"/>
              </w:rPr>
            </w:pPr>
            <w:r w:rsidRPr="003115CA">
              <w:rPr>
                <w:rFonts w:asciiTheme="majorHAnsi" w:eastAsia="Times New Roman" w:hAnsiTheme="majorHAnsi" w:cstheme="majorHAnsi"/>
                <w:b/>
                <w:bCs/>
                <w:sz w:val="20"/>
                <w:szCs w:val="20"/>
              </w:rPr>
              <w:t>Summary of changes</w:t>
            </w:r>
          </w:p>
        </w:tc>
        <w:tc>
          <w:tcPr>
            <w:tcW w:w="443" w:type="pct"/>
            <w:shd w:val="clear" w:color="auto" w:fill="56C2BE" w:themeFill="accent1" w:themeFillShade="BF"/>
          </w:tcPr>
          <w:p w14:paraId="2E24B066" w14:textId="77777777" w:rsidR="002A03B7" w:rsidRPr="003115CA" w:rsidRDefault="002A03B7">
            <w:pPr>
              <w:suppressAutoHyphens w:val="0"/>
              <w:spacing w:before="0" w:after="120" w:line="240" w:lineRule="auto"/>
              <w:rPr>
                <w:rFonts w:asciiTheme="majorHAnsi" w:eastAsia="Times New Roman" w:hAnsiTheme="majorHAnsi" w:cstheme="majorHAnsi"/>
                <w:b/>
                <w:bCs/>
                <w:sz w:val="20"/>
                <w:szCs w:val="20"/>
              </w:rPr>
            </w:pPr>
            <w:r w:rsidRPr="003115CA">
              <w:rPr>
                <w:rFonts w:asciiTheme="majorHAnsi" w:eastAsia="Times New Roman" w:hAnsiTheme="majorHAnsi" w:cstheme="majorHAnsi"/>
                <w:b/>
                <w:bCs/>
                <w:sz w:val="20"/>
                <w:szCs w:val="20"/>
              </w:rPr>
              <w:t xml:space="preserve">Possible impact </w:t>
            </w:r>
          </w:p>
        </w:tc>
      </w:tr>
      <w:tr w:rsidR="00A81442" w:rsidRPr="00E371B3" w14:paraId="43B8B8FA" w14:textId="77777777" w:rsidTr="00A81442">
        <w:tblPrEx>
          <w:tblLook w:val="04A0" w:firstRow="1" w:lastRow="0" w:firstColumn="1" w:lastColumn="0" w:noHBand="0" w:noVBand="1"/>
        </w:tblPrEx>
        <w:trPr>
          <w:trHeight w:val="2144"/>
        </w:trPr>
        <w:tc>
          <w:tcPr>
            <w:tcW w:w="1176" w:type="pct"/>
          </w:tcPr>
          <w:p w14:paraId="28FE53D8" w14:textId="77777777" w:rsidR="00A81442" w:rsidRPr="003115CA" w:rsidRDefault="00A81442" w:rsidP="00A81442">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 xml:space="preserve">AASB 17 </w:t>
            </w:r>
            <w:r w:rsidRPr="003115CA">
              <w:rPr>
                <w:rFonts w:eastAsia="Times New Roman" w:cstheme="minorHAnsi"/>
                <w:i/>
                <w:sz w:val="18"/>
                <w:szCs w:val="18"/>
              </w:rPr>
              <w:t>Insurance Contracts</w:t>
            </w:r>
          </w:p>
          <w:p w14:paraId="7357963F" w14:textId="3FE33BA4" w:rsidR="00A81442" w:rsidRPr="003115CA" w:rsidRDefault="00A81442" w:rsidP="00A81442">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(AASB 17)</w:t>
            </w:r>
          </w:p>
        </w:tc>
        <w:tc>
          <w:tcPr>
            <w:tcW w:w="646" w:type="pct"/>
          </w:tcPr>
          <w:p w14:paraId="022BD4DE" w14:textId="0B73E8EF" w:rsidR="00A81442" w:rsidRPr="003115CA" w:rsidRDefault="00A81442" w:rsidP="00A81442">
            <w:pPr>
              <w:suppressAutoHyphens w:val="0"/>
              <w:spacing w:before="120" w:after="120" w:line="220" w:lineRule="atLeast"/>
              <w:ind w:right="96"/>
              <w:rPr>
                <w:rFonts w:ascii="Arial" w:eastAsia="Arial" w:hAnsi="Arial" w:cs="Arial"/>
                <w:sz w:val="18"/>
                <w:szCs w:val="18"/>
              </w:rPr>
            </w:pPr>
            <w:r w:rsidRPr="003115CA">
              <w:rPr>
                <w:rFonts w:ascii="Arial" w:eastAsia="Arial" w:hAnsi="Arial" w:cs="Arial"/>
                <w:sz w:val="18"/>
                <w:szCs w:val="18"/>
              </w:rPr>
              <w:t>AASB 17</w:t>
            </w:r>
          </w:p>
        </w:tc>
        <w:tc>
          <w:tcPr>
            <w:tcW w:w="2735" w:type="pct"/>
          </w:tcPr>
          <w:p w14:paraId="78BBD0F1" w14:textId="77777777" w:rsidR="00A81442" w:rsidRPr="003115CA" w:rsidRDefault="00A81442" w:rsidP="00A81442">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 xml:space="preserve">AASB 17 will replace AASB 4 </w:t>
            </w:r>
            <w:r w:rsidRPr="003115CA">
              <w:rPr>
                <w:rFonts w:ascii="Arial" w:eastAsia="Arial" w:hAnsi="Arial" w:cs="Arial"/>
                <w:i/>
                <w:iCs/>
                <w:sz w:val="18"/>
                <w:szCs w:val="18"/>
              </w:rPr>
              <w:t>Insurance Contracts</w:t>
            </w:r>
            <w:r w:rsidRPr="003115CA">
              <w:rPr>
                <w:rFonts w:ascii="Arial" w:eastAsia="Arial" w:hAnsi="Arial" w:cs="Arial"/>
                <w:sz w:val="18"/>
                <w:szCs w:val="18"/>
              </w:rPr>
              <w:t xml:space="preserve"> and AASB 1023 </w:t>
            </w:r>
            <w:r w:rsidRPr="003115CA">
              <w:rPr>
                <w:rFonts w:ascii="Arial" w:eastAsia="Arial" w:hAnsi="Arial" w:cs="Arial"/>
                <w:i/>
                <w:iCs/>
                <w:sz w:val="18"/>
                <w:szCs w:val="18"/>
              </w:rPr>
              <w:t>General Insurance Contracts</w:t>
            </w:r>
            <w:r w:rsidRPr="003115CA">
              <w:rPr>
                <w:rFonts w:ascii="Arial" w:eastAsia="Arial" w:hAnsi="Arial" w:cs="Arial"/>
                <w:sz w:val="18"/>
                <w:szCs w:val="18"/>
              </w:rPr>
              <w:t xml:space="preserve">, which currently permits a wide variety of insurance accounting practices. AASB 17 will fundamentally change the accounting by all entities that issue insurance contracts and investment contracts with discretionary participation features. </w:t>
            </w:r>
          </w:p>
          <w:p w14:paraId="584BAFA0" w14:textId="77777777" w:rsidR="00A81442" w:rsidRPr="003115CA" w:rsidRDefault="00A81442" w:rsidP="00A81442">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 xml:space="preserve">AASB 2022-8 </w:t>
            </w:r>
            <w:r w:rsidRPr="003115CA">
              <w:rPr>
                <w:rFonts w:ascii="Arial" w:eastAsia="Arial" w:hAnsi="Arial" w:cs="Arial"/>
                <w:i/>
                <w:iCs/>
                <w:sz w:val="18"/>
                <w:szCs w:val="18"/>
              </w:rPr>
              <w:t>Amendments to Australian Accounting Standards – Insurance Contracts: Consequential Amendments</w:t>
            </w:r>
            <w:r w:rsidRPr="003115CA">
              <w:rPr>
                <w:rFonts w:ascii="Arial" w:eastAsia="Arial" w:hAnsi="Arial" w:cs="Arial"/>
                <w:sz w:val="18"/>
                <w:szCs w:val="18"/>
              </w:rPr>
              <w:t xml:space="preserve"> further deferred the mandatory application date of AASB 17 for </w:t>
            </w:r>
            <w:r w:rsidRPr="003115CA">
              <w:rPr>
                <w:rFonts w:ascii="Arial" w:eastAsia="Arial" w:hAnsi="Arial" w:cs="Arial"/>
                <w:sz w:val="18"/>
                <w:szCs w:val="18"/>
                <w:u w:val="single"/>
              </w:rPr>
              <w:t xml:space="preserve">public sector entities </w:t>
            </w:r>
            <w:r w:rsidRPr="003115CA">
              <w:rPr>
                <w:rFonts w:ascii="Arial" w:eastAsia="Arial" w:hAnsi="Arial" w:cs="Arial"/>
                <w:sz w:val="18"/>
                <w:szCs w:val="18"/>
              </w:rPr>
              <w:t xml:space="preserve">to annual periods beginning on or after 1 July 2026. </w:t>
            </w:r>
          </w:p>
          <w:p w14:paraId="6692045D" w14:textId="6A9D738D" w:rsidR="00A81442" w:rsidRPr="003115CA" w:rsidRDefault="00A81442" w:rsidP="00A81442">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Public sector entities are permitted to continue to apply AASB 4 and AASB 1023 to annual periods beginning on or after 1 January 2023 but before 1 July 2026.</w:t>
            </w:r>
            <w:r w:rsidRPr="003115CA" w:rsidDel="00802685">
              <w:rPr>
                <w:rFonts w:ascii="Arial" w:eastAsia="Arial" w:hAnsi="Arial" w:cs="Arial"/>
                <w:sz w:val="18"/>
                <w:szCs w:val="18"/>
              </w:rPr>
              <w:t xml:space="preserve"> </w:t>
            </w:r>
          </w:p>
        </w:tc>
        <w:tc>
          <w:tcPr>
            <w:tcW w:w="443" w:type="pct"/>
            <w:shd w:val="clear" w:color="auto" w:fill="C6C6C6" w:themeFill="text2" w:themeFillTint="40"/>
          </w:tcPr>
          <w:p w14:paraId="0ABE5B14" w14:textId="3566CDAD" w:rsidR="00A81442" w:rsidRPr="003115CA" w:rsidRDefault="00A81442" w:rsidP="00A81442">
            <w:pPr>
              <w:spacing w:before="120" w:after="120"/>
              <w:rPr>
                <w:rFonts w:ascii="Arial" w:eastAsia="Arial" w:hAnsi="Arial" w:cs="Arial"/>
                <w:sz w:val="18"/>
                <w:szCs w:val="18"/>
              </w:rPr>
            </w:pPr>
            <w:r w:rsidRPr="003115CA">
              <w:rPr>
                <w:rFonts w:ascii="Arial" w:eastAsia="Arial" w:hAnsi="Arial" w:cs="Arial"/>
                <w:sz w:val="18"/>
                <w:szCs w:val="18"/>
              </w:rPr>
              <w:t>Minimal</w:t>
            </w:r>
          </w:p>
        </w:tc>
      </w:tr>
      <w:tr w:rsidR="00F360CA" w:rsidRPr="00E371B3" w14:paraId="089A6B61" w14:textId="77777777" w:rsidTr="002B5C23">
        <w:tblPrEx>
          <w:tblLook w:val="04A0" w:firstRow="1" w:lastRow="0" w:firstColumn="1" w:lastColumn="0" w:noHBand="0" w:noVBand="1"/>
        </w:tblPrEx>
        <w:trPr>
          <w:trHeight w:val="166"/>
        </w:trPr>
        <w:tc>
          <w:tcPr>
            <w:tcW w:w="1176" w:type="pct"/>
          </w:tcPr>
          <w:p w14:paraId="5600E12C" w14:textId="77777777" w:rsidR="00F360CA" w:rsidRPr="003115CA" w:rsidRDefault="00F360CA" w:rsidP="00F360CA">
            <w:pPr>
              <w:suppressAutoHyphens w:val="0"/>
              <w:spacing w:before="120" w:after="120" w:line="220" w:lineRule="atLeast"/>
              <w:ind w:right="96"/>
              <w:rPr>
                <w:rFonts w:eastAsia="Times New Roman" w:cstheme="minorHAnsi"/>
                <w:i/>
                <w:sz w:val="18"/>
                <w:szCs w:val="18"/>
              </w:rPr>
            </w:pPr>
            <w:r w:rsidRPr="003115CA">
              <w:rPr>
                <w:rFonts w:eastAsia="Times New Roman" w:cstheme="minorHAnsi"/>
                <w:iCs/>
                <w:sz w:val="18"/>
                <w:szCs w:val="18"/>
              </w:rPr>
              <w:t xml:space="preserve">AASB 18 </w:t>
            </w:r>
            <w:r w:rsidRPr="003115CA">
              <w:rPr>
                <w:rFonts w:eastAsia="Times New Roman" w:cstheme="minorHAnsi"/>
                <w:i/>
                <w:sz w:val="18"/>
                <w:szCs w:val="18"/>
              </w:rPr>
              <w:t xml:space="preserve">Presentation and Disclosure in Financial Statements </w:t>
            </w:r>
          </w:p>
          <w:p w14:paraId="7ACB2681" w14:textId="77777777" w:rsidR="00F360CA" w:rsidRPr="003115CA" w:rsidRDefault="00F360CA" w:rsidP="00F360CA">
            <w:pPr>
              <w:suppressAutoHyphens w:val="0"/>
              <w:spacing w:before="120" w:after="120" w:line="220" w:lineRule="atLeast"/>
              <w:ind w:right="96"/>
              <w:rPr>
                <w:rFonts w:cstheme="minorHAnsi"/>
                <w:iCs/>
                <w:sz w:val="18"/>
                <w:szCs w:val="18"/>
                <w:lang w:eastAsia="zh-CN"/>
              </w:rPr>
            </w:pPr>
            <w:r w:rsidRPr="003115CA">
              <w:rPr>
                <w:rFonts w:ascii="Arial" w:eastAsia="Arial" w:hAnsi="Arial" w:cs="Arial"/>
                <w:sz w:val="18"/>
                <w:szCs w:val="18"/>
              </w:rPr>
              <w:t xml:space="preserve">AASB 18 </w:t>
            </w:r>
            <w:r w:rsidRPr="003115CA">
              <w:rPr>
                <w:rFonts w:ascii="Arial" w:eastAsia="Arial" w:hAnsi="Arial" w:cs="Arial"/>
                <w:i/>
                <w:iCs/>
                <w:sz w:val="18"/>
                <w:szCs w:val="18"/>
              </w:rPr>
              <w:t>(NFP/super) Appendix D Amendments to Other Australian Accounting Standards</w:t>
            </w:r>
          </w:p>
          <w:p w14:paraId="4D9B8317" w14:textId="5E9114AE"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cstheme="minorHAnsi"/>
                <w:iCs/>
                <w:sz w:val="18"/>
                <w:szCs w:val="18"/>
                <w:lang w:eastAsia="zh-CN"/>
              </w:rPr>
              <w:t>(</w:t>
            </w:r>
            <w:r w:rsidRPr="003115CA">
              <w:rPr>
                <w:rFonts w:eastAsia="Times New Roman" w:cstheme="minorHAnsi"/>
                <w:iCs/>
                <w:sz w:val="18"/>
                <w:szCs w:val="18"/>
              </w:rPr>
              <w:t>AASB 18</w:t>
            </w:r>
            <w:r w:rsidRPr="003115CA">
              <w:rPr>
                <w:rFonts w:cstheme="minorHAnsi"/>
                <w:iCs/>
                <w:sz w:val="18"/>
                <w:szCs w:val="18"/>
                <w:lang w:eastAsia="zh-CN"/>
              </w:rPr>
              <w:t>)</w:t>
            </w:r>
          </w:p>
        </w:tc>
        <w:tc>
          <w:tcPr>
            <w:tcW w:w="646" w:type="pct"/>
          </w:tcPr>
          <w:p w14:paraId="7ED32DC0" w14:textId="77777777" w:rsidR="00F360CA" w:rsidRPr="003115CA" w:rsidRDefault="00F360CA" w:rsidP="00F360CA">
            <w:pPr>
              <w:suppressAutoHyphens w:val="0"/>
              <w:spacing w:before="120" w:after="120" w:line="220" w:lineRule="atLeast"/>
              <w:ind w:right="96"/>
              <w:rPr>
                <w:rFonts w:ascii="Arial" w:eastAsia="Arial" w:hAnsi="Arial" w:cs="Arial"/>
                <w:sz w:val="18"/>
                <w:szCs w:val="18"/>
              </w:rPr>
            </w:pPr>
            <w:r w:rsidRPr="003115CA">
              <w:rPr>
                <w:rFonts w:ascii="Arial" w:eastAsia="Arial" w:hAnsi="Arial" w:cs="Arial"/>
                <w:sz w:val="18"/>
                <w:szCs w:val="18"/>
              </w:rPr>
              <w:t>AASB 18</w:t>
            </w:r>
          </w:p>
          <w:p w14:paraId="6200E31E" w14:textId="068F1717" w:rsidR="00F360CA" w:rsidRPr="003115CA" w:rsidRDefault="00F360CA" w:rsidP="00F360CA">
            <w:pPr>
              <w:suppressAutoHyphens w:val="0"/>
              <w:spacing w:before="120" w:after="120" w:line="220" w:lineRule="atLeast"/>
              <w:ind w:right="96"/>
              <w:rPr>
                <w:rFonts w:ascii="Arial" w:eastAsia="Arial" w:hAnsi="Arial" w:cs="Arial"/>
                <w:sz w:val="18"/>
                <w:szCs w:val="18"/>
              </w:rPr>
            </w:pPr>
            <w:r w:rsidRPr="003115CA">
              <w:rPr>
                <w:rFonts w:ascii="Arial" w:eastAsia="Arial" w:hAnsi="Arial" w:cs="Arial"/>
                <w:sz w:val="18"/>
                <w:szCs w:val="18"/>
              </w:rPr>
              <w:t>Various Australian Accounting standards amended in Appendix D</w:t>
            </w:r>
          </w:p>
        </w:tc>
        <w:tc>
          <w:tcPr>
            <w:tcW w:w="2735" w:type="pct"/>
          </w:tcPr>
          <w:p w14:paraId="3A75760B" w14:textId="77777777" w:rsidR="00F360CA" w:rsidRPr="003115CA" w:rsidRDefault="00F360CA" w:rsidP="00F360CA">
            <w:pPr>
              <w:suppressAutoHyphens w:val="0"/>
              <w:spacing w:before="120" w:after="120" w:line="276" w:lineRule="auto"/>
              <w:ind w:right="96"/>
              <w:rPr>
                <w:sz w:val="18"/>
                <w:szCs w:val="18"/>
              </w:rPr>
            </w:pPr>
            <w:r w:rsidRPr="003115CA">
              <w:rPr>
                <w:sz w:val="18"/>
                <w:szCs w:val="18"/>
              </w:rPr>
              <w:t xml:space="preserve">AASB 18 will replace AASB 101 </w:t>
            </w:r>
            <w:r w:rsidRPr="003115CA">
              <w:rPr>
                <w:i/>
                <w:iCs/>
                <w:sz w:val="18"/>
                <w:szCs w:val="18"/>
              </w:rPr>
              <w:t>Presentation of Financial Statements</w:t>
            </w:r>
            <w:r w:rsidRPr="003115CA">
              <w:rPr>
                <w:sz w:val="18"/>
                <w:szCs w:val="18"/>
              </w:rPr>
              <w:t xml:space="preserve">. As a result, the requirements in AASB 101 will be: </w:t>
            </w:r>
          </w:p>
          <w:p w14:paraId="473E4FAC" w14:textId="77777777" w:rsidR="00F360CA" w:rsidRPr="003115CA" w:rsidRDefault="00F360CA" w:rsidP="00F360CA">
            <w:pPr>
              <w:pStyle w:val="ListParagraph"/>
              <w:numPr>
                <w:ilvl w:val="0"/>
                <w:numId w:val="26"/>
              </w:numPr>
              <w:suppressAutoHyphens w:val="0"/>
              <w:spacing w:before="120" w:after="120" w:line="276" w:lineRule="auto"/>
              <w:ind w:right="96"/>
              <w:rPr>
                <w:sz w:val="18"/>
                <w:szCs w:val="18"/>
              </w:rPr>
            </w:pPr>
            <w:r w:rsidRPr="003115CA">
              <w:rPr>
                <w:sz w:val="18"/>
                <w:szCs w:val="18"/>
              </w:rPr>
              <w:t xml:space="preserve">replaced by new requirements in AASB 18; </w:t>
            </w:r>
          </w:p>
          <w:p w14:paraId="3C8364DB" w14:textId="77777777" w:rsidR="00F360CA" w:rsidRPr="003115CA" w:rsidRDefault="00F360CA" w:rsidP="00F360CA">
            <w:pPr>
              <w:pStyle w:val="ListParagraph"/>
              <w:numPr>
                <w:ilvl w:val="0"/>
                <w:numId w:val="26"/>
              </w:numPr>
              <w:suppressAutoHyphens w:val="0"/>
              <w:spacing w:before="120" w:after="120" w:line="276" w:lineRule="auto"/>
              <w:ind w:right="96"/>
              <w:rPr>
                <w:sz w:val="18"/>
                <w:szCs w:val="18"/>
              </w:rPr>
            </w:pPr>
            <w:r w:rsidRPr="003115CA">
              <w:rPr>
                <w:sz w:val="18"/>
                <w:szCs w:val="18"/>
              </w:rPr>
              <w:t>transferred to AASB 18 with only limited wording changes; or</w:t>
            </w:r>
          </w:p>
          <w:p w14:paraId="17C10A91" w14:textId="77777777" w:rsidR="00F360CA" w:rsidRPr="003115CA" w:rsidRDefault="00F360CA" w:rsidP="00F360CA">
            <w:pPr>
              <w:pStyle w:val="ListParagraph"/>
              <w:numPr>
                <w:ilvl w:val="0"/>
                <w:numId w:val="26"/>
              </w:numPr>
              <w:suppressAutoHyphens w:val="0"/>
              <w:spacing w:before="120" w:after="120" w:line="276" w:lineRule="auto"/>
              <w:ind w:right="96"/>
              <w:rPr>
                <w:sz w:val="18"/>
                <w:szCs w:val="18"/>
              </w:rPr>
            </w:pPr>
            <w:r w:rsidRPr="003115CA">
              <w:rPr>
                <w:sz w:val="18"/>
                <w:szCs w:val="18"/>
              </w:rPr>
              <w:t xml:space="preserve">moved to AASB 108 </w:t>
            </w:r>
            <w:r w:rsidRPr="003115CA">
              <w:rPr>
                <w:i/>
                <w:iCs/>
                <w:sz w:val="18"/>
                <w:szCs w:val="18"/>
              </w:rPr>
              <w:t>Basis of Preparation of Financial Statements</w:t>
            </w:r>
            <w:r w:rsidRPr="003115CA">
              <w:rPr>
                <w:sz w:val="18"/>
                <w:szCs w:val="18"/>
              </w:rPr>
              <w:t xml:space="preserve"> or AASB 7 </w:t>
            </w:r>
            <w:r w:rsidRPr="003115CA">
              <w:rPr>
                <w:i/>
                <w:iCs/>
                <w:sz w:val="18"/>
                <w:szCs w:val="18"/>
              </w:rPr>
              <w:t>Financial Instruments: Disclosures</w:t>
            </w:r>
            <w:r w:rsidRPr="003115CA">
              <w:rPr>
                <w:sz w:val="18"/>
                <w:szCs w:val="18"/>
              </w:rPr>
              <w:t xml:space="preserve"> with only limited wording changes. </w:t>
            </w:r>
          </w:p>
          <w:p w14:paraId="63BF0A75" w14:textId="77777777" w:rsidR="00F360CA" w:rsidRPr="003115CA" w:rsidRDefault="00F360CA" w:rsidP="00F360CA">
            <w:pPr>
              <w:suppressAutoHyphens w:val="0"/>
              <w:spacing w:before="120" w:after="120" w:line="276" w:lineRule="auto"/>
              <w:ind w:right="96"/>
              <w:rPr>
                <w:sz w:val="18"/>
                <w:szCs w:val="18"/>
              </w:rPr>
            </w:pPr>
            <w:r w:rsidRPr="003115CA">
              <w:rPr>
                <w:sz w:val="18"/>
                <w:szCs w:val="18"/>
              </w:rPr>
              <w:t xml:space="preserve">AASB 18 has also introduced changes to AASB 107 </w:t>
            </w:r>
            <w:r w:rsidRPr="003115CA">
              <w:rPr>
                <w:i/>
                <w:iCs/>
                <w:sz w:val="18"/>
                <w:szCs w:val="18"/>
              </w:rPr>
              <w:t>Statement of Cash Flows</w:t>
            </w:r>
            <w:r w:rsidRPr="003115CA">
              <w:rPr>
                <w:sz w:val="18"/>
                <w:szCs w:val="18"/>
              </w:rPr>
              <w:t xml:space="preserve">, AASB 133 </w:t>
            </w:r>
            <w:r w:rsidRPr="003115CA">
              <w:rPr>
                <w:i/>
                <w:iCs/>
                <w:sz w:val="18"/>
                <w:szCs w:val="18"/>
              </w:rPr>
              <w:t>Earnings per Share</w:t>
            </w:r>
            <w:r w:rsidRPr="003115CA">
              <w:rPr>
                <w:sz w:val="18"/>
                <w:szCs w:val="18"/>
              </w:rPr>
              <w:t xml:space="preserve"> and AASB 134 </w:t>
            </w:r>
            <w:r w:rsidRPr="003115CA">
              <w:rPr>
                <w:i/>
                <w:iCs/>
                <w:sz w:val="18"/>
                <w:szCs w:val="18"/>
              </w:rPr>
              <w:t>Interim Financial Reporting</w:t>
            </w:r>
            <w:r w:rsidRPr="003115CA">
              <w:rPr>
                <w:sz w:val="18"/>
                <w:szCs w:val="18"/>
              </w:rPr>
              <w:t xml:space="preserve">. </w:t>
            </w:r>
          </w:p>
          <w:p w14:paraId="330103AB" w14:textId="77777777" w:rsidR="00F360CA" w:rsidRPr="003115CA" w:rsidRDefault="00F360CA" w:rsidP="00F360CA">
            <w:pPr>
              <w:suppressAutoHyphens w:val="0"/>
              <w:spacing w:before="120" w:after="120" w:line="276" w:lineRule="auto"/>
              <w:ind w:right="96"/>
              <w:rPr>
                <w:sz w:val="18"/>
                <w:szCs w:val="18"/>
              </w:rPr>
            </w:pPr>
            <w:r w:rsidRPr="003115CA">
              <w:rPr>
                <w:sz w:val="18"/>
                <w:szCs w:val="18"/>
              </w:rPr>
              <w:t xml:space="preserve">For for-profit entities, AASB 18 applies to annual reporting periods beginning on or after 1 January 2027. For not-for-profit public sector entities, AASB 18 applies to annual reporting periods beginning on or after 1 January 2028. Early adoption requires delegate approval as prescribed in the </w:t>
            </w:r>
            <w:hyperlink r:id="rId26" w:history="1">
              <w:r w:rsidRPr="003115CA">
                <w:rPr>
                  <w:rStyle w:val="Hyperlink"/>
                  <w:rFonts w:cstheme="minorBidi"/>
                  <w:sz w:val="18"/>
                  <w:szCs w:val="18"/>
                </w:rPr>
                <w:t>Financial Reporting Rule</w:t>
              </w:r>
            </w:hyperlink>
            <w:r w:rsidRPr="003115CA">
              <w:rPr>
                <w:sz w:val="18"/>
                <w:szCs w:val="18"/>
              </w:rPr>
              <w:t xml:space="preserve">.  </w:t>
            </w:r>
          </w:p>
          <w:p w14:paraId="48F696CE" w14:textId="77777777" w:rsidR="00F360CA" w:rsidRPr="003115CA" w:rsidRDefault="00F360CA" w:rsidP="00F360CA">
            <w:pPr>
              <w:suppressAutoHyphens w:val="0"/>
              <w:spacing w:before="120" w:after="120" w:line="276" w:lineRule="auto"/>
              <w:ind w:right="96"/>
              <w:rPr>
                <w:sz w:val="18"/>
                <w:szCs w:val="18"/>
              </w:rPr>
            </w:pPr>
            <w:r w:rsidRPr="003115CA">
              <w:rPr>
                <w:sz w:val="18"/>
                <w:szCs w:val="18"/>
              </w:rPr>
              <w:t xml:space="preserve">Disclosure requirements under Tier 2 will be determined through a separate due process with amendments being made subsequently to AASB 1060 </w:t>
            </w:r>
            <w:r w:rsidRPr="003115CA">
              <w:rPr>
                <w:i/>
                <w:iCs/>
                <w:sz w:val="18"/>
                <w:szCs w:val="18"/>
              </w:rPr>
              <w:t>General Purpose Financial Statements – Simplified Disclosures for For-Profit and Not-For-Profit Tier 2 Entities</w:t>
            </w:r>
            <w:r w:rsidRPr="003115CA">
              <w:rPr>
                <w:sz w:val="18"/>
                <w:szCs w:val="18"/>
              </w:rPr>
              <w:t xml:space="preserve"> as required.</w:t>
            </w:r>
          </w:p>
          <w:p w14:paraId="5715E6F7" w14:textId="370434F4"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 xml:space="preserve">The pronouncement, AASB 18 (NFP/super) Appendix D Amendments to Other Australian Accounting Standards, forms part of Appendix D and implements consequential </w:t>
            </w:r>
            <w:r w:rsidRPr="003115CA">
              <w:rPr>
                <w:rFonts w:ascii="Arial" w:eastAsia="Arial" w:hAnsi="Arial" w:cs="Arial"/>
                <w:sz w:val="18"/>
                <w:szCs w:val="18"/>
              </w:rPr>
              <w:lastRenderedPageBreak/>
              <w:t>amendments to other AAS to ensure consistency with the AASB 18 framework, including tailored amendments for not</w:t>
            </w:r>
            <w:r w:rsidRPr="003115CA">
              <w:rPr>
                <w:rFonts w:ascii="Cambria Math" w:eastAsia="Arial" w:hAnsi="Cambria Math" w:cs="Cambria Math"/>
                <w:sz w:val="18"/>
                <w:szCs w:val="18"/>
              </w:rPr>
              <w:t>‑</w:t>
            </w:r>
            <w:r w:rsidRPr="003115CA">
              <w:rPr>
                <w:rFonts w:ascii="Arial" w:eastAsia="Arial" w:hAnsi="Arial" w:cs="Arial"/>
                <w:sz w:val="18"/>
                <w:szCs w:val="18"/>
              </w:rPr>
              <w:t>for</w:t>
            </w:r>
            <w:r w:rsidRPr="003115CA">
              <w:rPr>
                <w:rFonts w:ascii="Cambria Math" w:eastAsia="Arial" w:hAnsi="Cambria Math" w:cs="Cambria Math"/>
                <w:sz w:val="18"/>
                <w:szCs w:val="18"/>
              </w:rPr>
              <w:t>‑</w:t>
            </w:r>
            <w:r w:rsidRPr="003115CA">
              <w:rPr>
                <w:rFonts w:ascii="Arial" w:eastAsia="Arial" w:hAnsi="Arial" w:cs="Arial"/>
                <w:sz w:val="18"/>
                <w:szCs w:val="18"/>
              </w:rPr>
              <w:t>profit and superannuation entities.</w:t>
            </w:r>
          </w:p>
        </w:tc>
        <w:tc>
          <w:tcPr>
            <w:tcW w:w="443" w:type="pct"/>
            <w:shd w:val="clear" w:color="auto" w:fill="B4B5DF" w:themeFill="accent6"/>
          </w:tcPr>
          <w:p w14:paraId="7E4A6F3D" w14:textId="37703F7F" w:rsidR="00F360CA" w:rsidRPr="003115CA" w:rsidRDefault="00F360CA" w:rsidP="00F360CA">
            <w:pPr>
              <w:spacing w:before="120" w:after="120"/>
              <w:rPr>
                <w:rFonts w:ascii="Arial" w:eastAsia="Arial" w:hAnsi="Arial" w:cs="Arial"/>
                <w:sz w:val="18"/>
                <w:szCs w:val="18"/>
              </w:rPr>
            </w:pPr>
            <w:r w:rsidRPr="003115CA">
              <w:rPr>
                <w:sz w:val="18"/>
                <w:szCs w:val="18"/>
              </w:rPr>
              <w:lastRenderedPageBreak/>
              <w:t xml:space="preserve">Moderate - High </w:t>
            </w:r>
          </w:p>
        </w:tc>
      </w:tr>
      <w:tr w:rsidR="00F360CA" w:rsidRPr="00E371B3" w14:paraId="15F0D1F4" w14:textId="77777777" w:rsidTr="00A81442">
        <w:trPr>
          <w:cantSplit/>
          <w:trHeight w:val="300"/>
        </w:trPr>
        <w:tc>
          <w:tcPr>
            <w:tcW w:w="1176" w:type="pct"/>
          </w:tcPr>
          <w:p w14:paraId="47F0CB89" w14:textId="77777777" w:rsidR="00F360CA" w:rsidRPr="003115CA" w:rsidRDefault="00F360CA" w:rsidP="00F360CA">
            <w:pPr>
              <w:suppressAutoHyphens w:val="0"/>
              <w:spacing w:before="120" w:after="120" w:line="220" w:lineRule="atLeast"/>
              <w:ind w:right="96"/>
              <w:rPr>
                <w:rFonts w:eastAsia="Times New Roman" w:cstheme="minorHAnsi"/>
                <w:i/>
                <w:iCs/>
                <w:sz w:val="18"/>
                <w:szCs w:val="18"/>
              </w:rPr>
            </w:pPr>
            <w:r w:rsidRPr="003115CA">
              <w:rPr>
                <w:rFonts w:eastAsia="Times New Roman" w:cstheme="minorHAnsi"/>
                <w:sz w:val="18"/>
                <w:szCs w:val="18"/>
              </w:rPr>
              <w:t xml:space="preserve">AASB 1061 </w:t>
            </w:r>
            <w:r w:rsidRPr="003115CA">
              <w:rPr>
                <w:rFonts w:eastAsia="Times New Roman" w:cstheme="minorHAnsi"/>
                <w:i/>
                <w:iCs/>
                <w:sz w:val="18"/>
                <w:szCs w:val="18"/>
              </w:rPr>
              <w:t>General Purpose Financial Statements – Not-for-Profit Private Sector Tier 3 Entities</w:t>
            </w:r>
          </w:p>
          <w:p w14:paraId="26B1E00A" w14:textId="26C61082" w:rsidR="00F360CA" w:rsidRPr="003115CA" w:rsidRDefault="00F360CA" w:rsidP="00F360CA">
            <w:pPr>
              <w:suppressAutoHyphens w:val="0"/>
              <w:spacing w:before="120" w:after="120" w:line="220" w:lineRule="atLeast"/>
              <w:ind w:right="96"/>
              <w:rPr>
                <w:rFonts w:eastAsia="Times New Roman" w:cstheme="minorHAnsi"/>
                <w:sz w:val="18"/>
                <w:szCs w:val="18"/>
              </w:rPr>
            </w:pPr>
            <w:r w:rsidRPr="003115CA">
              <w:rPr>
                <w:rFonts w:eastAsia="Times New Roman" w:cstheme="minorHAnsi"/>
                <w:sz w:val="18"/>
                <w:szCs w:val="18"/>
              </w:rPr>
              <w:t>(AASB 1061)</w:t>
            </w:r>
          </w:p>
        </w:tc>
        <w:tc>
          <w:tcPr>
            <w:tcW w:w="646" w:type="pct"/>
          </w:tcPr>
          <w:p w14:paraId="10ECB91A" w14:textId="0C3A3D31" w:rsidR="00F360CA" w:rsidRPr="003115CA" w:rsidRDefault="00F360CA" w:rsidP="00F360CA">
            <w:pPr>
              <w:suppressAutoHyphens w:val="0"/>
              <w:spacing w:before="120" w:after="120" w:line="220" w:lineRule="atLeast"/>
              <w:ind w:left="96" w:right="96"/>
              <w:rPr>
                <w:sz w:val="18"/>
                <w:szCs w:val="18"/>
              </w:rPr>
            </w:pPr>
            <w:r w:rsidRPr="003115CA">
              <w:rPr>
                <w:sz w:val="18"/>
                <w:szCs w:val="18"/>
              </w:rPr>
              <w:t>AASB 1061</w:t>
            </w:r>
          </w:p>
        </w:tc>
        <w:tc>
          <w:tcPr>
            <w:tcW w:w="2735" w:type="pct"/>
          </w:tcPr>
          <w:p w14:paraId="2C5E6A72" w14:textId="140E8215" w:rsidR="00F360CA" w:rsidRPr="003115CA" w:rsidRDefault="00F360CA" w:rsidP="00F360CA">
            <w:pPr>
              <w:suppressAutoHyphens w:val="0"/>
              <w:spacing w:before="120" w:after="120" w:line="276" w:lineRule="auto"/>
              <w:ind w:right="96"/>
              <w:rPr>
                <w:rFonts w:asciiTheme="majorHAnsi" w:eastAsia="Times New Roman" w:hAnsiTheme="majorHAnsi" w:cstheme="majorHAnsi"/>
                <w:sz w:val="18"/>
                <w:szCs w:val="18"/>
              </w:rPr>
            </w:pPr>
            <w:r w:rsidRPr="003115CA">
              <w:rPr>
                <w:rFonts w:asciiTheme="majorHAnsi" w:eastAsia="Times New Roman" w:hAnsiTheme="majorHAnsi" w:cstheme="majorHAnsi"/>
                <w:sz w:val="18"/>
                <w:szCs w:val="18"/>
              </w:rPr>
              <w:t xml:space="preserve">AASB 1061 sets out new, separate recognition (recording), measurement, presentation and disclosure requirements for a new tier of reporting requirements (Tier 3), which is applicable to certain not-for-profit private sector entities. This Standard has been developed through applying a new approach and principles based on considering preparer costs and the information needs of users of </w:t>
            </w:r>
            <w:proofErr w:type="gramStart"/>
            <w:r w:rsidRPr="003115CA">
              <w:rPr>
                <w:rFonts w:asciiTheme="majorHAnsi" w:eastAsia="Times New Roman" w:hAnsiTheme="majorHAnsi" w:cstheme="majorHAnsi"/>
                <w:sz w:val="18"/>
                <w:szCs w:val="18"/>
              </w:rPr>
              <w:t>general purpose</w:t>
            </w:r>
            <w:proofErr w:type="gramEnd"/>
            <w:r w:rsidRPr="003115CA">
              <w:rPr>
                <w:rFonts w:asciiTheme="majorHAnsi" w:eastAsia="Times New Roman" w:hAnsiTheme="majorHAnsi" w:cstheme="majorHAnsi"/>
                <w:sz w:val="18"/>
                <w:szCs w:val="18"/>
              </w:rPr>
              <w:t xml:space="preserve"> financial statements to determine the modified recognition, measurement, presentation and disclosure requirements that are appropriate for Tier 3 entities. Tier 3 entities are </w:t>
            </w:r>
            <w:proofErr w:type="spellStart"/>
            <w:r w:rsidRPr="003115CA">
              <w:rPr>
                <w:rFonts w:asciiTheme="majorHAnsi" w:eastAsia="Times New Roman" w:hAnsiTheme="majorHAnsi" w:cstheme="majorHAnsi"/>
                <w:sz w:val="18"/>
                <w:szCs w:val="18"/>
              </w:rPr>
              <w:t>notfor</w:t>
            </w:r>
            <w:proofErr w:type="spellEnd"/>
            <w:r w:rsidRPr="003115CA">
              <w:rPr>
                <w:rFonts w:asciiTheme="majorHAnsi" w:eastAsia="Times New Roman" w:hAnsiTheme="majorHAnsi" w:cstheme="majorHAnsi"/>
                <w:sz w:val="18"/>
                <w:szCs w:val="18"/>
              </w:rPr>
              <w:t>-profit private sector entities that are not publicly accountable and are not prohibited from applying this Standard by legislation or their constituting document or another document.</w:t>
            </w:r>
          </w:p>
          <w:p w14:paraId="6485C946" w14:textId="37EE5987" w:rsidR="00F360CA" w:rsidRPr="003115CA" w:rsidRDefault="00F360CA" w:rsidP="00F360CA">
            <w:pPr>
              <w:suppressAutoHyphens w:val="0"/>
              <w:spacing w:before="120" w:after="120" w:line="276" w:lineRule="auto"/>
              <w:ind w:right="96"/>
              <w:rPr>
                <w:rFonts w:asciiTheme="majorHAnsi" w:eastAsia="Times New Roman" w:hAnsiTheme="majorHAnsi" w:cstheme="majorHAnsi"/>
                <w:sz w:val="18"/>
                <w:szCs w:val="18"/>
              </w:rPr>
            </w:pPr>
            <w:r w:rsidRPr="003115CA">
              <w:rPr>
                <w:rFonts w:asciiTheme="majorHAnsi" w:eastAsia="Times New Roman" w:hAnsiTheme="majorHAnsi" w:cstheme="majorHAnsi"/>
                <w:sz w:val="18"/>
                <w:szCs w:val="18"/>
              </w:rPr>
              <w:t>AASB 1061 applies to annual reporting periods beginning on or after 1 July 2029. Earlier application is permitted.</w:t>
            </w:r>
          </w:p>
        </w:tc>
        <w:tc>
          <w:tcPr>
            <w:tcW w:w="443" w:type="pct"/>
            <w:tcBorders>
              <w:bottom w:val="single" w:sz="4" w:space="0" w:color="auto"/>
            </w:tcBorders>
            <w:shd w:val="clear" w:color="auto" w:fill="C6C6C6" w:themeFill="text2" w:themeFillTint="40"/>
          </w:tcPr>
          <w:p w14:paraId="7B87706C" w14:textId="7042889F" w:rsidR="00F360CA" w:rsidRPr="003115CA" w:rsidRDefault="00F360CA" w:rsidP="00F360CA">
            <w:pPr>
              <w:suppressAutoHyphens w:val="0"/>
              <w:spacing w:before="120" w:after="120" w:line="240" w:lineRule="auto"/>
              <w:rPr>
                <w:rFonts w:asciiTheme="majorHAnsi" w:eastAsia="Times New Roman" w:hAnsiTheme="majorHAnsi" w:cstheme="majorHAnsi"/>
                <w:bCs/>
                <w:sz w:val="18"/>
                <w:szCs w:val="18"/>
              </w:rPr>
            </w:pPr>
            <w:r w:rsidRPr="003115CA">
              <w:rPr>
                <w:rFonts w:asciiTheme="majorHAnsi" w:eastAsia="Times New Roman" w:hAnsiTheme="majorHAnsi" w:cstheme="majorHAnsi"/>
                <w:bCs/>
                <w:sz w:val="18"/>
                <w:szCs w:val="18"/>
              </w:rPr>
              <w:t>Minimal</w:t>
            </w:r>
          </w:p>
        </w:tc>
      </w:tr>
      <w:tr w:rsidR="00F360CA" w:rsidRPr="00E371B3" w14:paraId="5973E8AB" w14:textId="77777777" w:rsidTr="00A81442">
        <w:trPr>
          <w:cantSplit/>
          <w:trHeight w:val="300"/>
        </w:trPr>
        <w:tc>
          <w:tcPr>
            <w:tcW w:w="1176" w:type="pct"/>
          </w:tcPr>
          <w:p w14:paraId="08CC3775" w14:textId="77777777"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sz w:val="18"/>
                <w:szCs w:val="18"/>
              </w:rPr>
              <w:t xml:space="preserve">AASB 2014-10 </w:t>
            </w:r>
            <w:r w:rsidRPr="003115CA">
              <w:rPr>
                <w:rFonts w:eastAsia="Times New Roman" w:cstheme="minorHAnsi"/>
                <w:i/>
                <w:sz w:val="18"/>
                <w:szCs w:val="18"/>
              </w:rPr>
              <w:t>Amendments to Australian Accounting Standards – Sale or Contribution of Assets between an Investor and its Associate or Joint Venture</w:t>
            </w:r>
          </w:p>
          <w:p w14:paraId="1D7846DE" w14:textId="77777777" w:rsidR="00F360CA" w:rsidRPr="003115CA" w:rsidRDefault="00F360CA" w:rsidP="00F360CA">
            <w:pPr>
              <w:suppressAutoHyphens w:val="0"/>
              <w:spacing w:before="120" w:after="120" w:line="220" w:lineRule="atLeast"/>
              <w:ind w:right="96"/>
              <w:rPr>
                <w:rFonts w:eastAsia="Times New Roman" w:cstheme="minorHAnsi"/>
                <w:sz w:val="18"/>
                <w:szCs w:val="18"/>
              </w:rPr>
            </w:pPr>
            <w:r w:rsidRPr="003115CA">
              <w:rPr>
                <w:rFonts w:eastAsia="Times New Roman" w:cstheme="minorHAnsi"/>
                <w:iCs/>
                <w:sz w:val="18"/>
                <w:szCs w:val="18"/>
              </w:rPr>
              <w:t>(AASB 2014-10)</w:t>
            </w:r>
          </w:p>
        </w:tc>
        <w:tc>
          <w:tcPr>
            <w:tcW w:w="646" w:type="pct"/>
          </w:tcPr>
          <w:p w14:paraId="2A437CF1" w14:textId="77777777" w:rsidR="00F360CA" w:rsidRPr="003115CA" w:rsidRDefault="00F360CA" w:rsidP="00F360CA">
            <w:pPr>
              <w:suppressAutoHyphens w:val="0"/>
              <w:spacing w:before="120" w:after="120" w:line="220" w:lineRule="atLeast"/>
              <w:ind w:left="96" w:right="96"/>
              <w:rPr>
                <w:sz w:val="18"/>
                <w:szCs w:val="18"/>
              </w:rPr>
            </w:pPr>
            <w:r w:rsidRPr="003115CA">
              <w:rPr>
                <w:sz w:val="18"/>
                <w:szCs w:val="18"/>
              </w:rPr>
              <w:t xml:space="preserve">AASB 10 </w:t>
            </w:r>
          </w:p>
          <w:p w14:paraId="7A1CF3EA" w14:textId="77777777" w:rsidR="00F360CA" w:rsidRPr="003115CA" w:rsidRDefault="00F360CA" w:rsidP="00F360CA">
            <w:pPr>
              <w:suppressAutoHyphens w:val="0"/>
              <w:spacing w:before="120" w:after="120" w:line="220" w:lineRule="atLeast"/>
              <w:ind w:left="96" w:right="96"/>
              <w:rPr>
                <w:rFonts w:asciiTheme="majorHAnsi" w:eastAsia="Times New Roman" w:hAnsiTheme="majorHAnsi" w:cstheme="majorHAnsi"/>
                <w:sz w:val="18"/>
                <w:szCs w:val="18"/>
              </w:rPr>
            </w:pPr>
            <w:r w:rsidRPr="003115CA">
              <w:rPr>
                <w:sz w:val="18"/>
                <w:szCs w:val="18"/>
              </w:rPr>
              <w:t>AASB 128</w:t>
            </w:r>
            <w:r w:rsidRPr="003115CA" w:rsidDel="00554241">
              <w:rPr>
                <w:sz w:val="18"/>
                <w:szCs w:val="18"/>
              </w:rPr>
              <w:t xml:space="preserve"> </w:t>
            </w:r>
          </w:p>
        </w:tc>
        <w:tc>
          <w:tcPr>
            <w:tcW w:w="2735" w:type="pct"/>
          </w:tcPr>
          <w:p w14:paraId="43C64FB5" w14:textId="77777777" w:rsidR="00F360CA" w:rsidRPr="003115CA" w:rsidRDefault="00F360CA" w:rsidP="00F360CA">
            <w:pPr>
              <w:suppressAutoHyphens w:val="0"/>
              <w:spacing w:before="120" w:after="120" w:line="276" w:lineRule="auto"/>
              <w:ind w:right="96"/>
              <w:rPr>
                <w:rFonts w:asciiTheme="majorHAnsi" w:eastAsia="Times New Roman" w:hAnsiTheme="majorHAnsi" w:cstheme="majorHAnsi"/>
                <w:sz w:val="18"/>
                <w:szCs w:val="18"/>
              </w:rPr>
            </w:pPr>
            <w:r w:rsidRPr="003115CA">
              <w:rPr>
                <w:rFonts w:asciiTheme="majorHAnsi" w:eastAsia="Times New Roman" w:hAnsiTheme="majorHAnsi" w:cstheme="majorHAnsi"/>
                <w:sz w:val="18"/>
                <w:szCs w:val="18"/>
              </w:rPr>
              <w:t xml:space="preserve">AASB 2014-10 amends AASB 10 and AASB 128 to address inconsistencies between AASB 10 and AASB 128 in dealing with the sale or contribution of assets between an investor and its associate or joint venture. The two main requirements of the amendment include: </w:t>
            </w:r>
          </w:p>
          <w:p w14:paraId="29ECA002" w14:textId="77777777" w:rsidR="00F360CA" w:rsidRPr="003115CA" w:rsidRDefault="00F360CA" w:rsidP="00F360CA">
            <w:pPr>
              <w:pStyle w:val="ListParagraph"/>
              <w:numPr>
                <w:ilvl w:val="0"/>
                <w:numId w:val="27"/>
              </w:numPr>
              <w:spacing w:before="120" w:after="120"/>
              <w:rPr>
                <w:rFonts w:asciiTheme="majorHAnsi" w:eastAsia="Times New Roman" w:hAnsiTheme="majorHAnsi" w:cstheme="majorHAnsi"/>
                <w:sz w:val="18"/>
                <w:szCs w:val="18"/>
              </w:rPr>
            </w:pPr>
            <w:r w:rsidRPr="003115CA">
              <w:rPr>
                <w:rFonts w:asciiTheme="majorHAnsi" w:eastAsia="Times New Roman" w:hAnsiTheme="majorHAnsi" w:cstheme="majorHAnsi"/>
                <w:sz w:val="18"/>
                <w:szCs w:val="18"/>
              </w:rPr>
              <w:t>a full gain or loss to be recognised when a transaction involves a business (whether it is housed in a subsidiary or not), and</w:t>
            </w:r>
          </w:p>
          <w:p w14:paraId="75C32A9D" w14:textId="77777777" w:rsidR="00F360CA" w:rsidRPr="003115CA" w:rsidRDefault="00F360CA" w:rsidP="00F360CA">
            <w:pPr>
              <w:pStyle w:val="ListParagraph"/>
              <w:numPr>
                <w:ilvl w:val="0"/>
                <w:numId w:val="27"/>
              </w:numPr>
              <w:suppressAutoHyphens w:val="0"/>
              <w:spacing w:before="120" w:after="120" w:line="276" w:lineRule="auto"/>
              <w:ind w:right="96"/>
              <w:rPr>
                <w:rFonts w:asciiTheme="majorHAnsi" w:eastAsia="Times New Roman" w:hAnsiTheme="majorHAnsi" w:cstheme="majorHAnsi"/>
                <w:sz w:val="18"/>
                <w:szCs w:val="18"/>
              </w:rPr>
            </w:pPr>
            <w:r w:rsidRPr="003115CA">
              <w:rPr>
                <w:rFonts w:asciiTheme="majorHAnsi" w:eastAsia="Times New Roman" w:hAnsiTheme="majorHAnsi" w:cstheme="majorHAnsi"/>
                <w:sz w:val="18"/>
                <w:szCs w:val="18"/>
              </w:rPr>
              <w:t xml:space="preserve">a partial gain or loss to be recognised when a transaction involves assets that do not constitute a business, even if these assets are housed in a subsidiary. </w:t>
            </w:r>
          </w:p>
          <w:p w14:paraId="5B46CA96" w14:textId="77777777" w:rsidR="00F360CA" w:rsidRPr="003115CA" w:rsidRDefault="00F360CA" w:rsidP="00F360CA">
            <w:pPr>
              <w:spacing w:before="120" w:after="120"/>
              <w:rPr>
                <w:sz w:val="18"/>
                <w:szCs w:val="18"/>
              </w:rPr>
            </w:pPr>
            <w:r w:rsidRPr="003115CA">
              <w:rPr>
                <w:rFonts w:asciiTheme="majorHAnsi" w:eastAsia="Times New Roman" w:hAnsiTheme="majorHAnsi" w:cstheme="majorHAnsi"/>
                <w:sz w:val="18"/>
                <w:szCs w:val="18"/>
              </w:rPr>
              <w:t xml:space="preserve">The effective date of this amending pronouncement has been deferred to annual periods beginning on or after 1 January 2028 (see AASB 2024-4). </w:t>
            </w:r>
          </w:p>
        </w:tc>
        <w:tc>
          <w:tcPr>
            <w:tcW w:w="443" w:type="pct"/>
            <w:tcBorders>
              <w:bottom w:val="single" w:sz="4" w:space="0" w:color="auto"/>
            </w:tcBorders>
            <w:shd w:val="clear" w:color="auto" w:fill="C6C6C6" w:themeFill="text2" w:themeFillTint="40"/>
          </w:tcPr>
          <w:p w14:paraId="45D6B894" w14:textId="77777777" w:rsidR="00F360CA" w:rsidRPr="003115CA" w:rsidRDefault="00F360CA" w:rsidP="00F360CA">
            <w:pPr>
              <w:suppressAutoHyphens w:val="0"/>
              <w:spacing w:before="120" w:after="120" w:line="240" w:lineRule="auto"/>
              <w:rPr>
                <w:rFonts w:asciiTheme="majorHAnsi" w:eastAsia="Times New Roman" w:hAnsiTheme="majorHAnsi" w:cstheme="majorHAnsi"/>
                <w:bCs/>
                <w:sz w:val="18"/>
                <w:szCs w:val="18"/>
              </w:rPr>
            </w:pPr>
            <w:r w:rsidRPr="003115CA">
              <w:rPr>
                <w:rFonts w:asciiTheme="majorHAnsi" w:eastAsia="Times New Roman" w:hAnsiTheme="majorHAnsi" w:cstheme="majorHAnsi"/>
                <w:bCs/>
                <w:sz w:val="18"/>
                <w:szCs w:val="18"/>
              </w:rPr>
              <w:t>Minimal</w:t>
            </w:r>
          </w:p>
        </w:tc>
      </w:tr>
      <w:tr w:rsidR="00F360CA" w:rsidRPr="00E371B3" w14:paraId="379DF76F" w14:textId="77777777" w:rsidTr="00A81442">
        <w:trPr>
          <w:cantSplit/>
          <w:trHeight w:val="97"/>
        </w:trPr>
        <w:tc>
          <w:tcPr>
            <w:tcW w:w="1176" w:type="pct"/>
          </w:tcPr>
          <w:p w14:paraId="695B8516" w14:textId="77777777"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lastRenderedPageBreak/>
              <w:t xml:space="preserve">AASB 2022-9 </w:t>
            </w:r>
            <w:r w:rsidRPr="003115CA">
              <w:rPr>
                <w:rFonts w:eastAsia="Times New Roman" w:cstheme="minorHAnsi"/>
                <w:i/>
                <w:sz w:val="18"/>
                <w:szCs w:val="18"/>
              </w:rPr>
              <w:t>Amendments to Australian Accounting Standards – Insurance Contracts in the Public Sector</w:t>
            </w:r>
            <w:r w:rsidRPr="003115CA">
              <w:rPr>
                <w:rFonts w:eastAsia="Times New Roman" w:cstheme="minorHAnsi"/>
                <w:iCs/>
                <w:sz w:val="18"/>
                <w:szCs w:val="18"/>
              </w:rPr>
              <w:t xml:space="preserve"> </w:t>
            </w:r>
          </w:p>
          <w:p w14:paraId="7BBD3AF4" w14:textId="41FF3E4C"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(AASB 2022-9)</w:t>
            </w:r>
          </w:p>
          <w:p w14:paraId="790FC8EB" w14:textId="77777777" w:rsidR="00F360CA" w:rsidRPr="003115CA" w:rsidRDefault="00F360CA" w:rsidP="00F360CA">
            <w:pPr>
              <w:spacing w:before="120" w:after="120"/>
              <w:rPr>
                <w:rFonts w:eastAsia="Arial" w:cstheme="minorHAnsi"/>
                <w:sz w:val="18"/>
                <w:szCs w:val="18"/>
              </w:rPr>
            </w:pPr>
          </w:p>
          <w:p w14:paraId="1069B5BE" w14:textId="77777777" w:rsidR="00F360CA" w:rsidRPr="003115CA" w:rsidRDefault="00F360CA" w:rsidP="00F360CA">
            <w:pPr>
              <w:spacing w:before="120" w:after="120"/>
              <w:rPr>
                <w:rFonts w:eastAsia="Arial" w:cstheme="minorHAnsi"/>
                <w:sz w:val="18"/>
                <w:szCs w:val="18"/>
              </w:rPr>
            </w:pPr>
          </w:p>
          <w:p w14:paraId="0CAAAB48" w14:textId="77777777" w:rsidR="00F360CA" w:rsidRPr="003115CA" w:rsidRDefault="00F360CA" w:rsidP="00F360CA">
            <w:pPr>
              <w:spacing w:before="120" w:after="120"/>
              <w:rPr>
                <w:rFonts w:eastAsia="Arial" w:cstheme="minorHAnsi"/>
                <w:sz w:val="18"/>
                <w:szCs w:val="18"/>
              </w:rPr>
            </w:pPr>
          </w:p>
          <w:p w14:paraId="5A716C75" w14:textId="77777777" w:rsidR="00F360CA" w:rsidRPr="003115CA" w:rsidRDefault="00F360CA" w:rsidP="00F360CA">
            <w:pPr>
              <w:spacing w:before="120" w:after="120"/>
              <w:rPr>
                <w:rFonts w:eastAsia="Times New Roman" w:cstheme="minorHAnsi"/>
                <w:sz w:val="18"/>
                <w:szCs w:val="18"/>
              </w:rPr>
            </w:pPr>
          </w:p>
          <w:p w14:paraId="675B93C8" w14:textId="77777777" w:rsidR="00F360CA" w:rsidRPr="003115CA" w:rsidRDefault="00F360CA" w:rsidP="00F360CA">
            <w:pPr>
              <w:spacing w:before="120" w:after="120"/>
              <w:rPr>
                <w:rFonts w:eastAsia="Times New Roman" w:cstheme="minorHAnsi"/>
                <w:sz w:val="18"/>
                <w:szCs w:val="18"/>
              </w:rPr>
            </w:pPr>
          </w:p>
          <w:p w14:paraId="499171E5" w14:textId="77777777" w:rsidR="00F360CA" w:rsidRPr="003115CA" w:rsidRDefault="00F360CA" w:rsidP="00F360CA">
            <w:pPr>
              <w:spacing w:before="120" w:after="120"/>
              <w:rPr>
                <w:rFonts w:eastAsia="Times New Roman" w:cstheme="minorHAnsi"/>
                <w:sz w:val="18"/>
                <w:szCs w:val="18"/>
              </w:rPr>
            </w:pPr>
          </w:p>
          <w:p w14:paraId="52CB1E0B" w14:textId="77777777" w:rsidR="00F360CA" w:rsidRPr="003115CA" w:rsidRDefault="00F360CA" w:rsidP="00F360CA">
            <w:pPr>
              <w:spacing w:before="120" w:after="120"/>
              <w:rPr>
                <w:rFonts w:eastAsia="Times New Roman" w:cstheme="minorHAnsi"/>
                <w:sz w:val="18"/>
                <w:szCs w:val="18"/>
              </w:rPr>
            </w:pPr>
          </w:p>
          <w:p w14:paraId="72300EC7" w14:textId="77777777" w:rsidR="00F360CA" w:rsidRPr="003115CA" w:rsidRDefault="00F360CA" w:rsidP="00F360CA">
            <w:pPr>
              <w:spacing w:before="120" w:after="120"/>
              <w:rPr>
                <w:rFonts w:eastAsia="Times New Roman" w:cstheme="minorHAnsi"/>
                <w:sz w:val="18"/>
                <w:szCs w:val="18"/>
              </w:rPr>
            </w:pPr>
          </w:p>
          <w:p w14:paraId="072CB551" w14:textId="77777777" w:rsidR="00F360CA" w:rsidRPr="003115CA" w:rsidRDefault="00F360CA" w:rsidP="00F360CA">
            <w:pPr>
              <w:spacing w:before="120" w:after="120"/>
              <w:rPr>
                <w:rFonts w:eastAsia="Arial" w:cstheme="minorHAnsi"/>
                <w:sz w:val="18"/>
                <w:szCs w:val="18"/>
              </w:rPr>
            </w:pPr>
          </w:p>
          <w:p w14:paraId="770D8C08" w14:textId="77777777" w:rsidR="00F360CA" w:rsidRPr="003115CA" w:rsidRDefault="00F360CA" w:rsidP="00F360CA">
            <w:pPr>
              <w:spacing w:before="120" w:after="120"/>
              <w:rPr>
                <w:rFonts w:eastAsia="Arial" w:cstheme="minorHAnsi"/>
                <w:sz w:val="18"/>
                <w:szCs w:val="18"/>
              </w:rPr>
            </w:pPr>
          </w:p>
        </w:tc>
        <w:tc>
          <w:tcPr>
            <w:tcW w:w="646" w:type="pct"/>
          </w:tcPr>
          <w:p w14:paraId="5DC21673"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17</w:t>
            </w:r>
          </w:p>
          <w:p w14:paraId="79E42A3E"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1050</w:t>
            </w:r>
          </w:p>
          <w:p w14:paraId="41357F04"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w:t>
            </w:r>
          </w:p>
          <w:p w14:paraId="3C5684E9"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3</w:t>
            </w:r>
          </w:p>
          <w:p w14:paraId="5E35AAEC"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5</w:t>
            </w:r>
          </w:p>
          <w:p w14:paraId="4BEAF620"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7</w:t>
            </w:r>
          </w:p>
          <w:p w14:paraId="0FF11407"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9</w:t>
            </w:r>
          </w:p>
          <w:p w14:paraId="2E9A0153"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15</w:t>
            </w:r>
          </w:p>
          <w:p w14:paraId="65318A24"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119</w:t>
            </w:r>
          </w:p>
          <w:p w14:paraId="388D81BD"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132</w:t>
            </w:r>
          </w:p>
          <w:p w14:paraId="27B6F066"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136</w:t>
            </w:r>
          </w:p>
          <w:p w14:paraId="3031507F"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137</w:t>
            </w:r>
          </w:p>
          <w:p w14:paraId="6EE9F100"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138</w:t>
            </w:r>
          </w:p>
          <w:p w14:paraId="1FCF772D"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1057</w:t>
            </w:r>
          </w:p>
          <w:p w14:paraId="751BBBA8"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1058</w:t>
            </w:r>
          </w:p>
        </w:tc>
        <w:tc>
          <w:tcPr>
            <w:tcW w:w="2735" w:type="pct"/>
          </w:tcPr>
          <w:p w14:paraId="43FB12B8" w14:textId="77777777"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 xml:space="preserve">AASB 2022-9 amends AASB 17 </w:t>
            </w:r>
            <w:r w:rsidRPr="003115CA">
              <w:rPr>
                <w:rFonts w:ascii="Arial" w:eastAsia="Arial" w:hAnsi="Arial" w:cs="Arial"/>
                <w:i/>
                <w:iCs/>
                <w:sz w:val="18"/>
                <w:szCs w:val="18"/>
              </w:rPr>
              <w:t>Insurance Contracts</w:t>
            </w:r>
            <w:r w:rsidRPr="003115CA">
              <w:rPr>
                <w:rFonts w:ascii="Arial" w:eastAsia="Arial" w:hAnsi="Arial" w:cs="Arial"/>
                <w:sz w:val="18"/>
                <w:szCs w:val="18"/>
              </w:rPr>
              <w:t xml:space="preserve"> to include modifications that apply to public sector entities. AASB 17 will apply to annual periods beginning on or after 1 July 2026.</w:t>
            </w:r>
          </w:p>
          <w:p w14:paraId="1209EBE5" w14:textId="64F52C9C"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 xml:space="preserve">AASB 2022-9 also amends AASB 1050 to provide an accounting policy choice for government departments to apply either AASB 17 or AASB 137 </w:t>
            </w:r>
            <w:r w:rsidRPr="003115CA">
              <w:rPr>
                <w:rFonts w:ascii="Arial" w:eastAsia="Arial" w:hAnsi="Arial" w:cs="Arial"/>
                <w:i/>
                <w:iCs/>
                <w:sz w:val="18"/>
                <w:szCs w:val="18"/>
              </w:rPr>
              <w:t>Provisions, Contingent Liabilities and Contingent Assets</w:t>
            </w:r>
            <w:r w:rsidRPr="003115CA">
              <w:rPr>
                <w:rFonts w:ascii="Arial" w:eastAsia="Arial" w:hAnsi="Arial" w:cs="Arial"/>
                <w:sz w:val="18"/>
                <w:szCs w:val="18"/>
              </w:rPr>
              <w:t xml:space="preserve"> when determining the information to be disclosed about administered captive insurer activities. </w:t>
            </w:r>
          </w:p>
          <w:p w14:paraId="4ABBDF05" w14:textId="52462F30"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 xml:space="preserve">AASB 2022-9 applies to annual periods beginning on or after 1 July 2026. </w:t>
            </w:r>
          </w:p>
        </w:tc>
        <w:tc>
          <w:tcPr>
            <w:tcW w:w="443" w:type="pct"/>
            <w:shd w:val="clear" w:color="auto" w:fill="CBCDCB" w:themeFill="background2" w:themeFillShade="E6"/>
          </w:tcPr>
          <w:p w14:paraId="2467A7D2"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Minimal</w:t>
            </w:r>
          </w:p>
        </w:tc>
      </w:tr>
      <w:tr w:rsidR="00F360CA" w:rsidRPr="00E371B3" w14:paraId="2CDCDBE8" w14:textId="77777777" w:rsidTr="00A81442">
        <w:trPr>
          <w:cantSplit/>
          <w:trHeight w:val="300"/>
        </w:trPr>
        <w:tc>
          <w:tcPr>
            <w:tcW w:w="1176" w:type="pct"/>
            <w:shd w:val="clear" w:color="auto" w:fill="FFFFFF" w:themeFill="background1"/>
          </w:tcPr>
          <w:p w14:paraId="08C05BF0" w14:textId="77777777"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lastRenderedPageBreak/>
              <w:t xml:space="preserve">AASB 2024-2 </w:t>
            </w:r>
            <w:r w:rsidRPr="003115CA">
              <w:rPr>
                <w:rFonts w:eastAsia="Times New Roman" w:cstheme="minorHAnsi"/>
                <w:i/>
                <w:sz w:val="18"/>
                <w:szCs w:val="18"/>
              </w:rPr>
              <w:t>Amendments to Australian Accounting Standards – Classification and Measurement of Financial Instruments</w:t>
            </w:r>
            <w:r w:rsidRPr="003115CA" w:rsidDel="00EF26F4">
              <w:rPr>
                <w:rFonts w:eastAsia="Times New Roman" w:cstheme="minorHAnsi"/>
                <w:iCs/>
                <w:sz w:val="18"/>
                <w:szCs w:val="18"/>
              </w:rPr>
              <w:t xml:space="preserve"> </w:t>
            </w:r>
          </w:p>
          <w:p w14:paraId="5693C919" w14:textId="77777777"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(AASB 2024-2)</w:t>
            </w:r>
          </w:p>
        </w:tc>
        <w:tc>
          <w:tcPr>
            <w:tcW w:w="646" w:type="pct"/>
            <w:shd w:val="clear" w:color="auto" w:fill="FFFFFF" w:themeFill="background1"/>
          </w:tcPr>
          <w:p w14:paraId="7E96A5C9"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7</w:t>
            </w:r>
          </w:p>
          <w:p w14:paraId="74630AD3"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9</w:t>
            </w:r>
          </w:p>
        </w:tc>
        <w:tc>
          <w:tcPr>
            <w:tcW w:w="2735" w:type="pct"/>
            <w:shd w:val="clear" w:color="auto" w:fill="FFFFFF" w:themeFill="background1"/>
          </w:tcPr>
          <w:p w14:paraId="16A335C5" w14:textId="77777777"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AASB 2024-2 amends AASB 7 </w:t>
            </w:r>
            <w:r w:rsidRPr="003115CA">
              <w:rPr>
                <w:rFonts w:ascii="Arial" w:eastAsia="Arial" w:hAnsi="Arial" w:cs="Arial"/>
                <w:i/>
                <w:iCs/>
                <w:sz w:val="18"/>
                <w:szCs w:val="18"/>
              </w:rPr>
              <w:t>Financial Instruments: Disclosures</w:t>
            </w:r>
            <w:r w:rsidRPr="003115CA">
              <w:rPr>
                <w:rFonts w:ascii="Arial" w:eastAsia="Arial" w:hAnsi="Arial" w:cs="Arial"/>
                <w:sz w:val="18"/>
                <w:szCs w:val="18"/>
              </w:rPr>
              <w:t> and AASB 9 </w:t>
            </w:r>
            <w:r w:rsidRPr="003115CA">
              <w:rPr>
                <w:rFonts w:ascii="Arial" w:eastAsia="Arial" w:hAnsi="Arial" w:cs="Arial"/>
                <w:i/>
                <w:iCs/>
                <w:sz w:val="18"/>
                <w:szCs w:val="18"/>
              </w:rPr>
              <w:t>Financial Instruments</w:t>
            </w:r>
            <w:r w:rsidRPr="003115CA">
              <w:rPr>
                <w:rFonts w:ascii="Arial" w:eastAsia="Arial" w:hAnsi="Arial" w:cs="Arial"/>
                <w:sz w:val="18"/>
                <w:szCs w:val="18"/>
              </w:rPr>
              <w:t xml:space="preserve"> in relation to the classification and measurement requirements in AASB 9 and related requirements in AASB 7.</w:t>
            </w:r>
          </w:p>
          <w:p w14:paraId="0E527673" w14:textId="7E33C9D2" w:rsidR="00F360CA" w:rsidRPr="003115CA" w:rsidRDefault="00F360CA" w:rsidP="00F360CA">
            <w:pPr>
              <w:suppressAutoHyphens w:val="0"/>
              <w:spacing w:before="120" w:after="120" w:line="276" w:lineRule="auto"/>
              <w:ind w:right="96"/>
              <w:rPr>
                <w:rFonts w:ascii="Arial" w:eastAsia="Arial" w:hAnsi="Arial" w:cs="Arial"/>
                <w:sz w:val="18"/>
                <w:szCs w:val="18"/>
              </w:rPr>
            </w:pPr>
            <w:proofErr w:type="gramStart"/>
            <w:r w:rsidRPr="003115CA">
              <w:rPr>
                <w:rFonts w:ascii="Arial" w:eastAsia="Arial" w:hAnsi="Arial" w:cs="Arial"/>
                <w:sz w:val="18"/>
                <w:szCs w:val="18"/>
              </w:rPr>
              <w:t>This Standard amends requirements</w:t>
            </w:r>
            <w:proofErr w:type="gramEnd"/>
            <w:r w:rsidRPr="003115CA">
              <w:rPr>
                <w:rFonts w:ascii="Arial" w:eastAsia="Arial" w:hAnsi="Arial" w:cs="Arial"/>
                <w:sz w:val="18"/>
                <w:szCs w:val="18"/>
              </w:rPr>
              <w:t xml:space="preserve"> related to:</w:t>
            </w:r>
          </w:p>
          <w:p w14:paraId="0C96CFE1" w14:textId="77777777" w:rsidR="00F360CA" w:rsidRPr="003115CA" w:rsidRDefault="00F360CA" w:rsidP="00F360CA">
            <w:pPr>
              <w:pStyle w:val="ListParagraph"/>
              <w:numPr>
                <w:ilvl w:val="0"/>
                <w:numId w:val="28"/>
              </w:num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settling financial liabilities using an electronic payment system; and</w:t>
            </w:r>
          </w:p>
          <w:p w14:paraId="10B1A3C3" w14:textId="77777777" w:rsidR="00F360CA" w:rsidRPr="003115CA" w:rsidRDefault="00F360CA" w:rsidP="00F360CA">
            <w:pPr>
              <w:numPr>
                <w:ilvl w:val="0"/>
                <w:numId w:val="28"/>
              </w:numPr>
              <w:tabs>
                <w:tab w:val="num" w:pos="720"/>
              </w:tabs>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assessing contractual cash flow characteristics of financial assets with environmental, social and corporate governance (ESG) and similar features.</w:t>
            </w:r>
          </w:p>
          <w:p w14:paraId="09E42C16" w14:textId="77777777"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This Standard also amends disclosure requirements relating to investments in equity instruments designated at fair value through other comprehensive income and adds disclosure requirements for financial instruments with contingent features that do not relate directly to basic lending risks and costs.</w:t>
            </w:r>
          </w:p>
          <w:p w14:paraId="117BFCF8" w14:textId="77777777"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AASB 2024-2 applies to annual periods beginning on or after 1 January 2026. </w:t>
            </w:r>
          </w:p>
        </w:tc>
        <w:tc>
          <w:tcPr>
            <w:tcW w:w="443" w:type="pct"/>
            <w:shd w:val="clear" w:color="auto" w:fill="C6C6C6" w:themeFill="text2" w:themeFillTint="40"/>
          </w:tcPr>
          <w:p w14:paraId="5CA479AD"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Minimal</w:t>
            </w:r>
          </w:p>
        </w:tc>
      </w:tr>
      <w:tr w:rsidR="00F360CA" w:rsidRPr="00E371B3" w14:paraId="26C0A110" w14:textId="77777777" w:rsidTr="00A81442">
        <w:trPr>
          <w:cantSplit/>
          <w:trHeight w:val="300"/>
        </w:trPr>
        <w:tc>
          <w:tcPr>
            <w:tcW w:w="1176" w:type="pct"/>
            <w:shd w:val="clear" w:color="auto" w:fill="FFFFFF" w:themeFill="background1"/>
          </w:tcPr>
          <w:p w14:paraId="2FED2900" w14:textId="77777777"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 xml:space="preserve">AASB 2024-3 </w:t>
            </w:r>
            <w:r w:rsidRPr="003115CA">
              <w:rPr>
                <w:rFonts w:eastAsia="Times New Roman" w:cstheme="minorHAnsi"/>
                <w:i/>
                <w:sz w:val="18"/>
                <w:szCs w:val="18"/>
              </w:rPr>
              <w:t>Amendments to Australian Accounting Standards – Annual Improvements Volume 11</w:t>
            </w:r>
          </w:p>
          <w:p w14:paraId="384AB70C" w14:textId="77777777"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(AASB 2024-3)</w:t>
            </w:r>
          </w:p>
        </w:tc>
        <w:tc>
          <w:tcPr>
            <w:tcW w:w="646" w:type="pct"/>
            <w:shd w:val="clear" w:color="auto" w:fill="FFFFFF" w:themeFill="background1"/>
          </w:tcPr>
          <w:p w14:paraId="255D1D3B"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w:t>
            </w:r>
          </w:p>
          <w:p w14:paraId="00371A0F"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7</w:t>
            </w:r>
          </w:p>
          <w:p w14:paraId="5CEF58B6"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9</w:t>
            </w:r>
          </w:p>
          <w:p w14:paraId="652B1ED9"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 xml:space="preserve">AASB 10 </w:t>
            </w:r>
          </w:p>
          <w:p w14:paraId="424B662A" w14:textId="77777777" w:rsidR="00F360CA" w:rsidRPr="003115CA" w:rsidDel="00EF26F4"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107</w:t>
            </w:r>
          </w:p>
        </w:tc>
        <w:tc>
          <w:tcPr>
            <w:tcW w:w="2735" w:type="pct"/>
            <w:shd w:val="clear" w:color="auto" w:fill="FFFFFF" w:themeFill="background1"/>
          </w:tcPr>
          <w:p w14:paraId="619B3259" w14:textId="77777777"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AASB 2024-3 makes minor amendments to AASB 1 </w:t>
            </w:r>
            <w:r w:rsidRPr="003115CA">
              <w:rPr>
                <w:rFonts w:ascii="Arial" w:eastAsia="Arial" w:hAnsi="Arial" w:cs="Arial"/>
                <w:i/>
                <w:iCs/>
                <w:sz w:val="18"/>
                <w:szCs w:val="18"/>
              </w:rPr>
              <w:t>First-time Adoption of Australian Accounting Standards</w:t>
            </w:r>
            <w:r w:rsidRPr="003115CA">
              <w:rPr>
                <w:rFonts w:ascii="Arial" w:eastAsia="Arial" w:hAnsi="Arial" w:cs="Arial"/>
                <w:sz w:val="18"/>
                <w:szCs w:val="18"/>
              </w:rPr>
              <w:t>, AASB 7 </w:t>
            </w:r>
            <w:r w:rsidRPr="003115CA">
              <w:rPr>
                <w:rFonts w:ascii="Arial" w:eastAsia="Arial" w:hAnsi="Arial" w:cs="Arial"/>
                <w:i/>
                <w:iCs/>
                <w:sz w:val="18"/>
                <w:szCs w:val="18"/>
              </w:rPr>
              <w:t>Financial Instruments: Disclosures</w:t>
            </w:r>
            <w:r w:rsidRPr="003115CA">
              <w:rPr>
                <w:rFonts w:ascii="Arial" w:eastAsia="Arial" w:hAnsi="Arial" w:cs="Arial"/>
                <w:sz w:val="18"/>
                <w:szCs w:val="18"/>
              </w:rPr>
              <w:t>, AASB 9 </w:t>
            </w:r>
            <w:r w:rsidRPr="003115CA">
              <w:rPr>
                <w:rFonts w:ascii="Arial" w:eastAsia="Arial" w:hAnsi="Arial" w:cs="Arial"/>
                <w:i/>
                <w:iCs/>
                <w:sz w:val="18"/>
                <w:szCs w:val="18"/>
              </w:rPr>
              <w:t>Financial Instruments</w:t>
            </w:r>
            <w:r w:rsidRPr="003115CA">
              <w:rPr>
                <w:rFonts w:ascii="Arial" w:eastAsia="Arial" w:hAnsi="Arial" w:cs="Arial"/>
                <w:sz w:val="18"/>
                <w:szCs w:val="18"/>
              </w:rPr>
              <w:t>, AASB 10 </w:t>
            </w:r>
            <w:r w:rsidRPr="003115CA">
              <w:rPr>
                <w:rFonts w:ascii="Arial" w:eastAsia="Arial" w:hAnsi="Arial" w:cs="Arial"/>
                <w:i/>
                <w:iCs/>
                <w:sz w:val="18"/>
                <w:szCs w:val="18"/>
              </w:rPr>
              <w:t>Consolidated Financial Statements </w:t>
            </w:r>
            <w:r w:rsidRPr="003115CA">
              <w:rPr>
                <w:rFonts w:ascii="Arial" w:eastAsia="Arial" w:hAnsi="Arial" w:cs="Arial"/>
                <w:sz w:val="18"/>
                <w:szCs w:val="18"/>
              </w:rPr>
              <w:t>and AASB 107 </w:t>
            </w:r>
            <w:r w:rsidRPr="003115CA">
              <w:rPr>
                <w:rFonts w:ascii="Arial" w:eastAsia="Arial" w:hAnsi="Arial" w:cs="Arial"/>
                <w:i/>
                <w:iCs/>
                <w:sz w:val="18"/>
                <w:szCs w:val="18"/>
              </w:rPr>
              <w:t>Statement of Cash Flows</w:t>
            </w:r>
            <w:r w:rsidRPr="003115CA">
              <w:rPr>
                <w:rFonts w:ascii="Arial" w:eastAsia="Arial" w:hAnsi="Arial" w:cs="Arial"/>
                <w:sz w:val="18"/>
                <w:szCs w:val="18"/>
              </w:rPr>
              <w:t xml:space="preserve"> to address inconsistencies or to clarify requirements.</w:t>
            </w:r>
          </w:p>
          <w:p w14:paraId="19E7590D" w14:textId="77777777" w:rsidR="00F360CA" w:rsidRPr="003115CA" w:rsidDel="00EF26F4"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The Standard applies to annual periods beginning on or after 1 January 2026.</w:t>
            </w:r>
          </w:p>
        </w:tc>
        <w:tc>
          <w:tcPr>
            <w:tcW w:w="443" w:type="pct"/>
            <w:shd w:val="clear" w:color="auto" w:fill="CBCDCB" w:themeFill="background2" w:themeFillShade="E6"/>
          </w:tcPr>
          <w:p w14:paraId="5B4FFD98" w14:textId="77777777" w:rsidR="00F360CA" w:rsidRPr="003115CA" w:rsidDel="00EF26F4"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Minimal</w:t>
            </w:r>
          </w:p>
        </w:tc>
      </w:tr>
      <w:tr w:rsidR="00F360CA" w:rsidRPr="00E371B3" w14:paraId="6DAF53C1" w14:textId="77777777" w:rsidTr="00A81442">
        <w:trPr>
          <w:cantSplit/>
          <w:trHeight w:val="300"/>
        </w:trPr>
        <w:tc>
          <w:tcPr>
            <w:tcW w:w="1176" w:type="pct"/>
          </w:tcPr>
          <w:p w14:paraId="0DB78370" w14:textId="77777777"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 xml:space="preserve">AASB 2024-4 </w:t>
            </w:r>
            <w:r w:rsidRPr="003115CA">
              <w:rPr>
                <w:rFonts w:eastAsia="Times New Roman" w:cstheme="minorHAnsi"/>
                <w:i/>
                <w:sz w:val="18"/>
                <w:szCs w:val="18"/>
              </w:rPr>
              <w:t>Amendments to Australian Accounting Standards – Effective Date of Amendments to AASB 10 and AASB 128</w:t>
            </w:r>
          </w:p>
          <w:p w14:paraId="543A09B9" w14:textId="267B4EB1" w:rsidR="00F360CA" w:rsidRPr="003115CA" w:rsidRDefault="00F360CA" w:rsidP="00F360CA">
            <w:pPr>
              <w:suppressAutoHyphens w:val="0"/>
              <w:spacing w:before="120" w:after="120" w:line="220" w:lineRule="atLeast"/>
              <w:ind w:right="96"/>
              <w:rPr>
                <w:rFonts w:eastAsia="Times New Roman" w:cstheme="minorHAnsi"/>
                <w:sz w:val="18"/>
                <w:szCs w:val="18"/>
              </w:rPr>
            </w:pPr>
            <w:r w:rsidRPr="003115CA">
              <w:rPr>
                <w:rFonts w:eastAsia="Times New Roman" w:cstheme="minorHAnsi"/>
                <w:iCs/>
                <w:sz w:val="18"/>
                <w:szCs w:val="18"/>
              </w:rPr>
              <w:t>(AASB 2024-4b)</w:t>
            </w:r>
          </w:p>
        </w:tc>
        <w:tc>
          <w:tcPr>
            <w:tcW w:w="646" w:type="pct"/>
          </w:tcPr>
          <w:p w14:paraId="5193D439" w14:textId="77777777" w:rsidR="00F360CA" w:rsidRPr="003115CA" w:rsidRDefault="00F360CA" w:rsidP="00F360CA">
            <w:pPr>
              <w:suppressAutoHyphens w:val="0"/>
              <w:spacing w:before="120" w:after="120" w:line="220" w:lineRule="atLeast"/>
              <w:ind w:right="96"/>
              <w:rPr>
                <w:rFonts w:asciiTheme="majorHAnsi" w:eastAsia="Times New Roman" w:hAnsiTheme="majorHAnsi" w:cstheme="majorHAnsi"/>
                <w:sz w:val="18"/>
                <w:szCs w:val="18"/>
              </w:rPr>
            </w:pPr>
            <w:r w:rsidRPr="003115CA">
              <w:rPr>
                <w:sz w:val="18"/>
                <w:szCs w:val="18"/>
              </w:rPr>
              <w:t>AASB</w:t>
            </w:r>
            <w:r w:rsidRPr="003115CA">
              <w:rPr>
                <w:rFonts w:asciiTheme="majorHAnsi" w:eastAsia="Times New Roman" w:hAnsiTheme="majorHAnsi" w:cstheme="majorHAnsi"/>
                <w:sz w:val="18"/>
                <w:szCs w:val="18"/>
              </w:rPr>
              <w:t xml:space="preserve"> 10</w:t>
            </w:r>
          </w:p>
          <w:p w14:paraId="2F417CA1" w14:textId="77777777" w:rsidR="00F360CA" w:rsidRPr="003115CA" w:rsidRDefault="00F360CA" w:rsidP="00F360CA">
            <w:pPr>
              <w:suppressAutoHyphens w:val="0"/>
              <w:spacing w:before="120" w:after="120" w:line="220" w:lineRule="atLeast"/>
              <w:ind w:right="96"/>
              <w:rPr>
                <w:sz w:val="18"/>
                <w:szCs w:val="18"/>
              </w:rPr>
            </w:pPr>
            <w:r w:rsidRPr="003115CA">
              <w:rPr>
                <w:sz w:val="18"/>
                <w:szCs w:val="18"/>
              </w:rPr>
              <w:t>AASB</w:t>
            </w:r>
            <w:r w:rsidRPr="003115CA">
              <w:rPr>
                <w:rFonts w:asciiTheme="majorHAnsi" w:eastAsia="Times New Roman" w:hAnsiTheme="majorHAnsi" w:cstheme="majorHAnsi"/>
                <w:sz w:val="18"/>
                <w:szCs w:val="18"/>
              </w:rPr>
              <w:t xml:space="preserve"> </w:t>
            </w:r>
            <w:r w:rsidRPr="003115CA">
              <w:rPr>
                <w:sz w:val="18"/>
                <w:szCs w:val="18"/>
              </w:rPr>
              <w:t>128</w:t>
            </w:r>
          </w:p>
        </w:tc>
        <w:tc>
          <w:tcPr>
            <w:tcW w:w="2735" w:type="pct"/>
          </w:tcPr>
          <w:p w14:paraId="7E56F1DE" w14:textId="77777777" w:rsidR="00F360CA" w:rsidRPr="003115CA" w:rsidRDefault="00F360CA" w:rsidP="00F360CA">
            <w:pPr>
              <w:suppressAutoHyphens w:val="0"/>
              <w:spacing w:before="120" w:after="120" w:line="276" w:lineRule="auto"/>
              <w:ind w:right="96"/>
              <w:rPr>
                <w:rFonts w:asciiTheme="majorHAnsi" w:hAnsiTheme="majorHAnsi" w:cstheme="majorHAnsi"/>
                <w:sz w:val="18"/>
                <w:szCs w:val="18"/>
              </w:rPr>
            </w:pPr>
            <w:r w:rsidRPr="003115CA">
              <w:rPr>
                <w:rFonts w:ascii="Arial" w:eastAsia="Arial" w:hAnsi="Arial" w:cs="Arial"/>
                <w:sz w:val="18"/>
                <w:szCs w:val="18"/>
              </w:rPr>
              <w:t>This</w:t>
            </w:r>
            <w:r w:rsidRPr="003115CA">
              <w:rPr>
                <w:rFonts w:asciiTheme="majorHAnsi" w:hAnsiTheme="majorHAnsi" w:cstheme="majorHAnsi"/>
                <w:sz w:val="18"/>
                <w:szCs w:val="18"/>
              </w:rPr>
              <w:t xml:space="preserve"> Standard defers the mandatory application date of amendments to AASB 10 and AASB 128 that were originally made in AASB 2014-10 </w:t>
            </w:r>
            <w:r w:rsidRPr="003115CA">
              <w:rPr>
                <w:rFonts w:asciiTheme="majorHAnsi" w:hAnsiTheme="majorHAnsi" w:cstheme="majorHAnsi"/>
                <w:i/>
                <w:iCs/>
                <w:sz w:val="18"/>
                <w:szCs w:val="18"/>
              </w:rPr>
              <w:t xml:space="preserve">Amendments to Australian Accounting Standards – Sale or Contribution of Assets between an Investor and its Associate or Joint Venture </w:t>
            </w:r>
            <w:r w:rsidRPr="003115CA">
              <w:rPr>
                <w:rFonts w:asciiTheme="majorHAnsi" w:hAnsiTheme="majorHAnsi" w:cstheme="majorHAnsi"/>
                <w:sz w:val="18"/>
                <w:szCs w:val="18"/>
              </w:rPr>
              <w:t xml:space="preserve">so that the amendments are required to be applied for annual reporting periods beginning on or after 1 January 2028 instead of 1 January 2025.  </w:t>
            </w:r>
          </w:p>
          <w:p w14:paraId="6889D97E" w14:textId="77777777" w:rsidR="00F360CA" w:rsidRPr="003115CA" w:rsidRDefault="00F360CA" w:rsidP="00F360CA">
            <w:pPr>
              <w:suppressAutoHyphens w:val="0"/>
              <w:spacing w:before="120" w:after="120" w:line="276" w:lineRule="auto"/>
              <w:ind w:right="96"/>
              <w:rPr>
                <w:rFonts w:asciiTheme="majorHAnsi" w:hAnsiTheme="majorHAnsi" w:cstheme="majorHAnsi"/>
                <w:sz w:val="18"/>
                <w:szCs w:val="18"/>
                <w:lang w:eastAsia="zh-CN"/>
              </w:rPr>
            </w:pPr>
            <w:r w:rsidRPr="003115CA">
              <w:rPr>
                <w:rFonts w:asciiTheme="majorHAnsi" w:hAnsiTheme="majorHAnsi" w:cstheme="majorBidi"/>
                <w:sz w:val="18"/>
                <w:szCs w:val="18"/>
              </w:rPr>
              <w:t>Earlier application of this Standard is permitted.</w:t>
            </w:r>
          </w:p>
        </w:tc>
        <w:tc>
          <w:tcPr>
            <w:tcW w:w="443" w:type="pct"/>
            <w:shd w:val="clear" w:color="auto" w:fill="CBCDCB" w:themeFill="background2" w:themeFillShade="E6"/>
          </w:tcPr>
          <w:p w14:paraId="0B699CC1" w14:textId="77777777" w:rsidR="00F360CA" w:rsidRPr="003115CA" w:rsidRDefault="00F360CA" w:rsidP="00F360CA">
            <w:pPr>
              <w:suppressAutoHyphens w:val="0"/>
              <w:spacing w:before="120" w:after="120" w:line="240" w:lineRule="auto"/>
              <w:rPr>
                <w:rFonts w:ascii="Arial" w:hAnsi="Arial" w:cs="Arial"/>
                <w:sz w:val="18"/>
                <w:szCs w:val="18"/>
                <w:lang w:eastAsia="zh-CN"/>
              </w:rPr>
            </w:pPr>
            <w:r w:rsidRPr="003115CA">
              <w:rPr>
                <w:rFonts w:asciiTheme="majorHAnsi" w:eastAsia="Times New Roman" w:hAnsiTheme="majorHAnsi" w:cstheme="majorHAnsi"/>
                <w:sz w:val="18"/>
                <w:szCs w:val="18"/>
              </w:rPr>
              <w:t>Minimal</w:t>
            </w:r>
          </w:p>
        </w:tc>
      </w:tr>
      <w:tr w:rsidR="00F360CA" w:rsidRPr="00E371B3" w14:paraId="7734A5FF" w14:textId="77777777" w:rsidTr="00A81442">
        <w:trPr>
          <w:cantSplit/>
          <w:trHeight w:val="300"/>
        </w:trPr>
        <w:tc>
          <w:tcPr>
            <w:tcW w:w="1176" w:type="pct"/>
            <w:shd w:val="clear" w:color="auto" w:fill="FFFFFF" w:themeFill="background1"/>
          </w:tcPr>
          <w:p w14:paraId="46EFAB6B" w14:textId="77777777"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lastRenderedPageBreak/>
              <w:t xml:space="preserve">AASB 2025-1 </w:t>
            </w:r>
            <w:r w:rsidRPr="003115CA">
              <w:rPr>
                <w:rFonts w:eastAsia="Times New Roman" w:cstheme="minorHAnsi"/>
                <w:i/>
                <w:sz w:val="18"/>
                <w:szCs w:val="18"/>
              </w:rPr>
              <w:t>Amendments to Australian Accounting Standards – Contracts Referencing Nature-dependent Electricity</w:t>
            </w:r>
          </w:p>
          <w:p w14:paraId="73900215" w14:textId="77777777" w:rsidR="00F360CA" w:rsidRPr="003115CA" w:rsidRDefault="00F360CA" w:rsidP="00F360CA">
            <w:pPr>
              <w:tabs>
                <w:tab w:val="left" w:pos="2061"/>
              </w:tabs>
              <w:suppressAutoHyphens w:val="0"/>
              <w:spacing w:before="120" w:after="120" w:line="220" w:lineRule="atLeast"/>
              <w:ind w:right="96"/>
              <w:rPr>
                <w:rFonts w:eastAsia="Times New Roman" w:cstheme="minorHAnsi"/>
                <w:iCs/>
                <w:sz w:val="18"/>
                <w:szCs w:val="18"/>
                <w:vertAlign w:val="superscript"/>
              </w:rPr>
            </w:pPr>
            <w:r w:rsidRPr="003115CA">
              <w:rPr>
                <w:rFonts w:eastAsia="Times New Roman" w:cstheme="minorHAnsi"/>
                <w:iCs/>
                <w:sz w:val="18"/>
                <w:szCs w:val="18"/>
              </w:rPr>
              <w:t>(AASB 2025-1)</w:t>
            </w:r>
          </w:p>
        </w:tc>
        <w:tc>
          <w:tcPr>
            <w:tcW w:w="646" w:type="pct"/>
            <w:shd w:val="clear" w:color="auto" w:fill="FFFFFF" w:themeFill="background1"/>
          </w:tcPr>
          <w:p w14:paraId="76ACD424"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7</w:t>
            </w:r>
          </w:p>
          <w:p w14:paraId="5F53544D" w14:textId="77777777" w:rsidR="00F360CA" w:rsidRPr="003115CA" w:rsidDel="00EF26F4"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9</w:t>
            </w:r>
          </w:p>
        </w:tc>
        <w:tc>
          <w:tcPr>
            <w:tcW w:w="2735" w:type="pct"/>
            <w:shd w:val="clear" w:color="auto" w:fill="FFFFFF" w:themeFill="background1"/>
          </w:tcPr>
          <w:p w14:paraId="1AD5E51E" w14:textId="77777777"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cstheme="minorHAnsi"/>
                <w:sz w:val="18"/>
                <w:szCs w:val="18"/>
              </w:rPr>
              <w:t>AASB 2025-1</w:t>
            </w:r>
            <w:r w:rsidRPr="003115CA">
              <w:rPr>
                <w:rFonts w:eastAsia="Arial" w:cstheme="minorHAnsi"/>
                <w:sz w:val="18"/>
                <w:szCs w:val="18"/>
              </w:rPr>
              <w:t> amends</w:t>
            </w:r>
            <w:r w:rsidRPr="003115CA">
              <w:rPr>
                <w:rFonts w:ascii="Arial" w:eastAsia="Arial" w:hAnsi="Arial" w:cs="Arial"/>
                <w:sz w:val="18"/>
                <w:szCs w:val="18"/>
              </w:rPr>
              <w:t xml:space="preserve"> AASB 7 </w:t>
            </w:r>
            <w:r w:rsidRPr="003115CA">
              <w:rPr>
                <w:rFonts w:ascii="Arial" w:eastAsia="Arial" w:hAnsi="Arial" w:cs="Arial"/>
                <w:i/>
                <w:iCs/>
                <w:sz w:val="18"/>
                <w:szCs w:val="18"/>
              </w:rPr>
              <w:t>Financial Instruments: Disclosures</w:t>
            </w:r>
            <w:r w:rsidRPr="003115CA">
              <w:rPr>
                <w:rFonts w:ascii="Arial" w:eastAsia="Arial" w:hAnsi="Arial" w:cs="Arial"/>
                <w:sz w:val="18"/>
                <w:szCs w:val="18"/>
              </w:rPr>
              <w:t> and AASB 9 </w:t>
            </w:r>
            <w:r w:rsidRPr="003115CA">
              <w:rPr>
                <w:rFonts w:ascii="Arial" w:eastAsia="Arial" w:hAnsi="Arial" w:cs="Arial"/>
                <w:i/>
                <w:iCs/>
                <w:sz w:val="18"/>
                <w:szCs w:val="18"/>
              </w:rPr>
              <w:t>Financial Instruments</w:t>
            </w:r>
            <w:r w:rsidRPr="003115CA">
              <w:rPr>
                <w:rFonts w:ascii="Arial" w:eastAsia="Arial" w:hAnsi="Arial" w:cs="Arial"/>
                <w:sz w:val="18"/>
                <w:szCs w:val="18"/>
              </w:rPr>
              <w:t> to allow entities to better reflect contracts referencing nature-dependent electricity in the financial statements. The amendments:</w:t>
            </w:r>
          </w:p>
          <w:p w14:paraId="1AC36CE5" w14:textId="77777777" w:rsidR="00F360CA" w:rsidRPr="003115CA" w:rsidRDefault="00F360CA" w:rsidP="00F360CA">
            <w:pPr>
              <w:pStyle w:val="ListParagraph"/>
              <w:numPr>
                <w:ilvl w:val="0"/>
                <w:numId w:val="29"/>
              </w:num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clarify the application of the ‘own-use’ criteria to nature-dependent electricity contracts;</w:t>
            </w:r>
          </w:p>
          <w:p w14:paraId="56353B1F" w14:textId="77777777" w:rsidR="00F360CA" w:rsidRPr="003115CA" w:rsidRDefault="00F360CA" w:rsidP="00F360CA">
            <w:pPr>
              <w:pStyle w:val="ListParagraph"/>
              <w:numPr>
                <w:ilvl w:val="0"/>
                <w:numId w:val="29"/>
              </w:num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permit hedge accounting if these contracts are used as hedging instruments; and</w:t>
            </w:r>
          </w:p>
          <w:p w14:paraId="5329FB5D" w14:textId="77777777" w:rsidR="00F360CA" w:rsidRPr="003115CA" w:rsidRDefault="00F360CA" w:rsidP="00F360CA">
            <w:pPr>
              <w:pStyle w:val="ListParagraph"/>
              <w:numPr>
                <w:ilvl w:val="0"/>
                <w:numId w:val="29"/>
              </w:num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add new disclosure requirements to enable users of financial statements to better understand the effect of these contracts on an entity’s financial performance and cash flows.</w:t>
            </w:r>
          </w:p>
          <w:p w14:paraId="0C9CF63B" w14:textId="77777777" w:rsidR="00F360CA" w:rsidRPr="003115CA" w:rsidDel="00EF26F4"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AASB 2025-1 applies to annual periods beginning on or after 1 January 2026.</w:t>
            </w:r>
          </w:p>
        </w:tc>
        <w:tc>
          <w:tcPr>
            <w:tcW w:w="443" w:type="pct"/>
            <w:shd w:val="clear" w:color="auto" w:fill="CBCDCB" w:themeFill="background2" w:themeFillShade="E6"/>
          </w:tcPr>
          <w:p w14:paraId="7C9EE7EF" w14:textId="77777777" w:rsidR="00F360CA" w:rsidRPr="003115CA" w:rsidDel="00EF26F4"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Minimal</w:t>
            </w:r>
          </w:p>
        </w:tc>
      </w:tr>
      <w:tr w:rsidR="00F360CA" w:rsidRPr="00E371B3" w14:paraId="67C15136" w14:textId="77777777" w:rsidTr="00A81442">
        <w:trPr>
          <w:cantSplit/>
          <w:trHeight w:val="300"/>
        </w:trPr>
        <w:tc>
          <w:tcPr>
            <w:tcW w:w="1176" w:type="pct"/>
            <w:shd w:val="clear" w:color="auto" w:fill="FFFFFF" w:themeFill="background1"/>
          </w:tcPr>
          <w:p w14:paraId="39D11050" w14:textId="77777777"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 xml:space="preserve">AASB 2025-2 </w:t>
            </w:r>
            <w:r w:rsidRPr="003115CA">
              <w:rPr>
                <w:rFonts w:eastAsia="Times New Roman" w:cstheme="minorHAnsi"/>
                <w:i/>
                <w:sz w:val="18"/>
                <w:szCs w:val="18"/>
              </w:rPr>
              <w:t>Amendments to Australian Accounting Standards – Classification and Measurement of Financial Instruments: Tier 2 Disclosures</w:t>
            </w:r>
          </w:p>
          <w:p w14:paraId="246B9D76" w14:textId="77777777"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(AASB 2025-2)</w:t>
            </w:r>
          </w:p>
        </w:tc>
        <w:tc>
          <w:tcPr>
            <w:tcW w:w="646" w:type="pct"/>
            <w:shd w:val="clear" w:color="auto" w:fill="FFFFFF" w:themeFill="background1"/>
          </w:tcPr>
          <w:p w14:paraId="4F848DE2" w14:textId="77777777" w:rsidR="00F360CA" w:rsidRPr="003115CA" w:rsidDel="00EF26F4"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1060</w:t>
            </w:r>
          </w:p>
        </w:tc>
        <w:tc>
          <w:tcPr>
            <w:tcW w:w="2735" w:type="pct"/>
            <w:shd w:val="clear" w:color="auto" w:fill="FFFFFF" w:themeFill="background1"/>
          </w:tcPr>
          <w:p w14:paraId="2B440506" w14:textId="77777777"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 xml:space="preserve">AASB 2025-2 amends AASB 1060 </w:t>
            </w:r>
            <w:r w:rsidRPr="003115CA">
              <w:rPr>
                <w:rFonts w:ascii="Arial" w:eastAsia="Arial" w:hAnsi="Arial" w:cs="Arial"/>
                <w:i/>
                <w:iCs/>
                <w:sz w:val="18"/>
                <w:szCs w:val="18"/>
              </w:rPr>
              <w:t>General Purpose Financial Statements –Simplified Disclosures for For-Profit and Not-for-Profit Tier 2 Entities.</w:t>
            </w:r>
          </w:p>
          <w:p w14:paraId="6B817C90" w14:textId="77777777"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The amendments require a Tier 2 entity to disclose information related to financial instruments with contractual terms that could change the amount of the contractual cash flows based on the occurrence or non-occurrence of a contingent event. Such an event must not relate directly to changes in basic lending risks and costs. For example, the terms of a financial liability could specify changes in the cash flows if the entity reduces its carbon emissions.</w:t>
            </w:r>
          </w:p>
          <w:p w14:paraId="619481CB" w14:textId="77777777" w:rsidR="00F360CA" w:rsidRPr="003115CA" w:rsidDel="00EF26F4"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AASB 2025-2 applies to annual periods beginning on or after 1 January 2026.</w:t>
            </w:r>
          </w:p>
        </w:tc>
        <w:tc>
          <w:tcPr>
            <w:tcW w:w="443" w:type="pct"/>
            <w:shd w:val="clear" w:color="auto" w:fill="CBCDCB" w:themeFill="background2" w:themeFillShade="E6"/>
          </w:tcPr>
          <w:p w14:paraId="19442EBA" w14:textId="77777777" w:rsidR="00F360CA" w:rsidRPr="003115CA" w:rsidDel="00EF26F4"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Minimal</w:t>
            </w:r>
          </w:p>
        </w:tc>
      </w:tr>
      <w:tr w:rsidR="00F360CA" w:rsidRPr="00E371B3" w14:paraId="18492286" w14:textId="77777777" w:rsidTr="00A81442">
        <w:trPr>
          <w:cantSplit/>
          <w:trHeight w:val="300"/>
        </w:trPr>
        <w:tc>
          <w:tcPr>
            <w:tcW w:w="1176" w:type="pct"/>
            <w:shd w:val="clear" w:color="auto" w:fill="FFFFFF" w:themeFill="background1"/>
          </w:tcPr>
          <w:p w14:paraId="3C187A69" w14:textId="77777777" w:rsidR="00F360CA" w:rsidRPr="003115CA" w:rsidRDefault="00F360CA" w:rsidP="00F360CA">
            <w:pPr>
              <w:suppressAutoHyphens w:val="0"/>
              <w:spacing w:before="120" w:after="120" w:line="220" w:lineRule="atLeast"/>
              <w:ind w:right="96"/>
              <w:rPr>
                <w:rFonts w:eastAsia="Times New Roman" w:cstheme="minorHAnsi"/>
                <w:i/>
                <w:sz w:val="18"/>
                <w:szCs w:val="18"/>
              </w:rPr>
            </w:pPr>
            <w:r w:rsidRPr="003115CA">
              <w:rPr>
                <w:rFonts w:eastAsia="Times New Roman" w:cstheme="minorHAnsi"/>
                <w:iCs/>
                <w:sz w:val="18"/>
                <w:szCs w:val="18"/>
              </w:rPr>
              <w:lastRenderedPageBreak/>
              <w:t xml:space="preserve">AASB 2025-3 </w:t>
            </w:r>
            <w:r w:rsidRPr="003115CA">
              <w:rPr>
                <w:rFonts w:eastAsia="Times New Roman" w:cstheme="minorHAnsi"/>
                <w:i/>
                <w:sz w:val="18"/>
                <w:szCs w:val="18"/>
              </w:rPr>
              <w:t>Amendments to Australian Accounting Standards – Contracts Referencing Nature-dependent Electricity: Tier 2 Disclosures</w:t>
            </w:r>
          </w:p>
          <w:p w14:paraId="3EA5909D" w14:textId="2F5C706A"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(AASB 2025-3)</w:t>
            </w:r>
          </w:p>
        </w:tc>
        <w:tc>
          <w:tcPr>
            <w:tcW w:w="646" w:type="pct"/>
            <w:shd w:val="clear" w:color="auto" w:fill="FFFFFF" w:themeFill="background1"/>
          </w:tcPr>
          <w:p w14:paraId="70A9BDAF" w14:textId="7E7ECFC9"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1060</w:t>
            </w:r>
          </w:p>
        </w:tc>
        <w:tc>
          <w:tcPr>
            <w:tcW w:w="2735" w:type="pct"/>
            <w:shd w:val="clear" w:color="auto" w:fill="FFFFFF" w:themeFill="background1"/>
          </w:tcPr>
          <w:p w14:paraId="2DD35A01" w14:textId="50B525DD"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 xml:space="preserve">AASB 2025-3 amends AASB 1060 </w:t>
            </w:r>
            <w:r w:rsidRPr="003115CA">
              <w:rPr>
                <w:rFonts w:ascii="Arial" w:eastAsia="Arial" w:hAnsi="Arial" w:cs="Arial"/>
                <w:i/>
                <w:iCs/>
                <w:sz w:val="18"/>
                <w:szCs w:val="18"/>
              </w:rPr>
              <w:t>General Purpose Financial Statements – Simplified Disclosures for For-Profit and Not-for-Profit Tier 2 Entities</w:t>
            </w:r>
            <w:r w:rsidRPr="003115CA">
              <w:rPr>
                <w:rFonts w:ascii="Arial" w:eastAsia="Arial" w:hAnsi="Arial" w:cs="Arial"/>
                <w:sz w:val="18"/>
                <w:szCs w:val="18"/>
              </w:rPr>
              <w:t xml:space="preserve"> (March 2020) to require a Tier 2 entity to disclose information about nature-dependent electricity contracts that meet the ‘own-use’ criteria and are recognised as procurement contracts. </w:t>
            </w:r>
          </w:p>
          <w:p w14:paraId="57DF7C25" w14:textId="77777777"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This amendment reflects the issuance of AASB 2025-1 Amendments to Australian Accounting Standards – Contracts Referencing Nature-dependent Electricity, which amended AASB 7 Financial Instruments: Disclosures (August 2015) and AASB 9 Financial Instruments (December 2014</w:t>
            </w:r>
            <w:proofErr w:type="gramStart"/>
            <w:r w:rsidRPr="003115CA">
              <w:rPr>
                <w:rFonts w:ascii="Arial" w:eastAsia="Arial" w:hAnsi="Arial" w:cs="Arial"/>
                <w:sz w:val="18"/>
                <w:szCs w:val="18"/>
              </w:rPr>
              <w:t>), and</w:t>
            </w:r>
            <w:proofErr w:type="gramEnd"/>
            <w:r w:rsidRPr="003115CA">
              <w:rPr>
                <w:rFonts w:ascii="Arial" w:eastAsia="Arial" w:hAnsi="Arial" w:cs="Arial"/>
                <w:sz w:val="18"/>
                <w:szCs w:val="18"/>
              </w:rPr>
              <w:t xml:space="preserve"> extends some of the new disclosure requirements to Tier 2 entities.</w:t>
            </w:r>
          </w:p>
          <w:p w14:paraId="3ADEDCEF" w14:textId="7CE9DB6B"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AASB 2025-3 applies to annual periods beginning on or after 1 January 2026. Earlier application is permitted.</w:t>
            </w:r>
          </w:p>
        </w:tc>
        <w:tc>
          <w:tcPr>
            <w:tcW w:w="443" w:type="pct"/>
            <w:shd w:val="clear" w:color="auto" w:fill="CBCDCB" w:themeFill="background2" w:themeFillShade="E6"/>
          </w:tcPr>
          <w:p w14:paraId="12CE8821" w14:textId="41D7F721"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Minimal</w:t>
            </w:r>
          </w:p>
        </w:tc>
      </w:tr>
      <w:tr w:rsidR="00F360CA" w:rsidRPr="00E371B3" w14:paraId="550240E2" w14:textId="77777777" w:rsidTr="00A81442">
        <w:trPr>
          <w:cantSplit/>
          <w:trHeight w:val="300"/>
        </w:trPr>
        <w:tc>
          <w:tcPr>
            <w:tcW w:w="1176" w:type="pct"/>
            <w:shd w:val="clear" w:color="auto" w:fill="FFFFFF" w:themeFill="background1"/>
          </w:tcPr>
          <w:p w14:paraId="64E13273" w14:textId="77777777" w:rsidR="00F360CA" w:rsidRPr="003115CA" w:rsidRDefault="00F360CA" w:rsidP="00F360CA">
            <w:pPr>
              <w:suppressAutoHyphens w:val="0"/>
              <w:spacing w:before="120" w:after="120" w:line="220" w:lineRule="atLeast"/>
              <w:ind w:right="96"/>
              <w:rPr>
                <w:rFonts w:eastAsia="Times New Roman" w:cstheme="minorHAnsi"/>
                <w:i/>
                <w:sz w:val="18"/>
                <w:szCs w:val="18"/>
              </w:rPr>
            </w:pPr>
            <w:r w:rsidRPr="003115CA">
              <w:rPr>
                <w:rFonts w:eastAsia="Times New Roman" w:cstheme="minorHAnsi"/>
                <w:iCs/>
                <w:sz w:val="18"/>
                <w:szCs w:val="18"/>
              </w:rPr>
              <w:t xml:space="preserve">AASB 2025-4 </w:t>
            </w:r>
            <w:r w:rsidRPr="003115CA">
              <w:rPr>
                <w:rFonts w:eastAsia="Times New Roman" w:cstheme="minorHAnsi"/>
                <w:i/>
                <w:sz w:val="18"/>
                <w:szCs w:val="18"/>
              </w:rPr>
              <w:t>Amendments to Australian Accounting Standards – Translation to a Hyperinflationary Presentation Currency</w:t>
            </w:r>
          </w:p>
          <w:p w14:paraId="48BE1B90" w14:textId="00337535"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(AASB 2025-4)</w:t>
            </w:r>
          </w:p>
        </w:tc>
        <w:tc>
          <w:tcPr>
            <w:tcW w:w="646" w:type="pct"/>
            <w:shd w:val="clear" w:color="auto" w:fill="FFFFFF" w:themeFill="background1"/>
          </w:tcPr>
          <w:p w14:paraId="21E142BA" w14:textId="77777777"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121</w:t>
            </w:r>
          </w:p>
          <w:p w14:paraId="40343596" w14:textId="4891F142"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AASB 129</w:t>
            </w:r>
          </w:p>
        </w:tc>
        <w:tc>
          <w:tcPr>
            <w:tcW w:w="2735" w:type="pct"/>
            <w:shd w:val="clear" w:color="auto" w:fill="FFFFFF" w:themeFill="background1"/>
          </w:tcPr>
          <w:p w14:paraId="69E0F565" w14:textId="2CC577A0"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eastAsia="Times New Roman" w:cstheme="minorHAnsi"/>
                <w:iCs/>
                <w:sz w:val="18"/>
                <w:szCs w:val="18"/>
              </w:rPr>
              <w:t xml:space="preserve">AASB 2025-4 </w:t>
            </w:r>
            <w:r w:rsidRPr="003115CA">
              <w:rPr>
                <w:rFonts w:ascii="Arial" w:eastAsia="Arial" w:hAnsi="Arial" w:cs="Arial"/>
                <w:sz w:val="18"/>
                <w:szCs w:val="18"/>
              </w:rPr>
              <w:t>amends AASB 121 and AASB 129 to clarify the translation procedures for an entity whose presentation currency is that of a hyperinflationary economy, in the following circumstances:</w:t>
            </w:r>
          </w:p>
          <w:p w14:paraId="1FD89DB0" w14:textId="19F22102"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(a) the entity’s functional currency is that of a non-hyperinflationary economy and it is translating its results and financial position into the currency of a hyperinflationary economy; and</w:t>
            </w:r>
          </w:p>
          <w:p w14:paraId="5966EEC7" w14:textId="7A02DEDC"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ascii="Arial" w:eastAsia="Arial" w:hAnsi="Arial" w:cs="Arial"/>
                <w:sz w:val="18"/>
                <w:szCs w:val="18"/>
              </w:rPr>
              <w:t>(b) the entity is translating into the currency of a hyperinflationary economy the results and financial position of a foreign operation whose functional currency is that of a non-hyperinflationary economy. </w:t>
            </w:r>
          </w:p>
          <w:p w14:paraId="2DF87FE7" w14:textId="1DB0355D" w:rsidR="00F360CA" w:rsidRPr="003115CA" w:rsidRDefault="00F360CA" w:rsidP="00F360CA">
            <w:pPr>
              <w:suppressAutoHyphens w:val="0"/>
              <w:spacing w:before="120" w:after="120" w:line="276" w:lineRule="auto"/>
              <w:ind w:right="96"/>
              <w:rPr>
                <w:rFonts w:ascii="Arial" w:eastAsia="Arial" w:hAnsi="Arial" w:cs="Arial"/>
                <w:sz w:val="18"/>
                <w:szCs w:val="18"/>
              </w:rPr>
            </w:pPr>
            <w:r w:rsidRPr="003115CA">
              <w:rPr>
                <w:rFonts w:eastAsia="Times New Roman" w:cstheme="minorHAnsi"/>
                <w:iCs/>
                <w:sz w:val="18"/>
                <w:szCs w:val="18"/>
              </w:rPr>
              <w:t xml:space="preserve">AASB 2025-4 </w:t>
            </w:r>
            <w:r w:rsidRPr="003115CA">
              <w:rPr>
                <w:rFonts w:ascii="Arial" w:eastAsia="Arial" w:hAnsi="Arial" w:cs="Arial"/>
                <w:sz w:val="18"/>
                <w:szCs w:val="18"/>
              </w:rPr>
              <w:t>applies to annual periods beginning on or after 1 January 2027. Earlier application is permitted.</w:t>
            </w:r>
          </w:p>
        </w:tc>
        <w:tc>
          <w:tcPr>
            <w:tcW w:w="443" w:type="pct"/>
            <w:shd w:val="clear" w:color="auto" w:fill="CBCDCB" w:themeFill="background2" w:themeFillShade="E6"/>
          </w:tcPr>
          <w:p w14:paraId="314F948A" w14:textId="2938F902"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Minimal</w:t>
            </w:r>
          </w:p>
        </w:tc>
      </w:tr>
      <w:tr w:rsidR="00F360CA" w:rsidRPr="00E371B3" w14:paraId="4DDE668D" w14:textId="77777777" w:rsidTr="00A81442">
        <w:trPr>
          <w:cantSplit/>
          <w:trHeight w:val="300"/>
        </w:trPr>
        <w:tc>
          <w:tcPr>
            <w:tcW w:w="1176" w:type="pct"/>
            <w:shd w:val="clear" w:color="auto" w:fill="FFFFFF" w:themeFill="background1"/>
          </w:tcPr>
          <w:p w14:paraId="7BA5765A" w14:textId="77777777" w:rsidR="00F360CA" w:rsidRPr="003115CA" w:rsidRDefault="00F360CA" w:rsidP="00F360CA">
            <w:pPr>
              <w:suppressAutoHyphens w:val="0"/>
              <w:spacing w:before="120" w:after="120" w:line="220" w:lineRule="atLeast"/>
              <w:ind w:right="96"/>
              <w:rPr>
                <w:rFonts w:eastAsia="Times New Roman" w:cstheme="minorHAnsi"/>
                <w:i/>
                <w:sz w:val="18"/>
                <w:szCs w:val="18"/>
              </w:rPr>
            </w:pPr>
            <w:r w:rsidRPr="003115CA">
              <w:rPr>
                <w:rFonts w:eastAsia="Times New Roman" w:cstheme="minorHAnsi"/>
                <w:iCs/>
                <w:sz w:val="18"/>
                <w:szCs w:val="18"/>
              </w:rPr>
              <w:lastRenderedPageBreak/>
              <w:t xml:space="preserve">AASB 2026-2 </w:t>
            </w:r>
            <w:r w:rsidRPr="003115CA">
              <w:rPr>
                <w:rFonts w:eastAsia="Times New Roman" w:cstheme="minorHAnsi"/>
                <w:i/>
                <w:sz w:val="18"/>
                <w:szCs w:val="18"/>
              </w:rPr>
              <w:t>Amendments to Australian Accounting Standards – Extending the Application of the Conceptual Framework and Limiting the Ability of Not-for-Profit Entities to Prepare Special Purpose Financial Statements</w:t>
            </w:r>
          </w:p>
          <w:p w14:paraId="41E5DF86" w14:textId="5BCDE7D0" w:rsidR="00F360CA" w:rsidRPr="003115CA" w:rsidRDefault="00F360CA" w:rsidP="00F360CA">
            <w:pPr>
              <w:suppressAutoHyphens w:val="0"/>
              <w:spacing w:before="120" w:after="120" w:line="220" w:lineRule="atLeast"/>
              <w:ind w:right="96"/>
              <w:rPr>
                <w:rFonts w:eastAsia="Times New Roman" w:cstheme="minorHAnsi"/>
                <w:iCs/>
                <w:sz w:val="18"/>
                <w:szCs w:val="18"/>
              </w:rPr>
            </w:pPr>
            <w:r w:rsidRPr="003115CA">
              <w:rPr>
                <w:rFonts w:eastAsia="Times New Roman" w:cstheme="minorHAnsi"/>
                <w:iCs/>
                <w:sz w:val="18"/>
                <w:szCs w:val="18"/>
              </w:rPr>
              <w:t>(AASB 2026-2)</w:t>
            </w:r>
          </w:p>
        </w:tc>
        <w:tc>
          <w:tcPr>
            <w:tcW w:w="646" w:type="pct"/>
            <w:shd w:val="clear" w:color="auto" w:fill="FFFFFF" w:themeFill="background1"/>
          </w:tcPr>
          <w:p w14:paraId="2ABCF5B7" w14:textId="6C13C2A2" w:rsidR="00F360CA" w:rsidRPr="003115CA" w:rsidRDefault="00F360CA" w:rsidP="00F360CA">
            <w:pPr>
              <w:spacing w:before="120" w:after="120"/>
              <w:rPr>
                <w:rFonts w:eastAsia="Times New Roman" w:cstheme="minorHAnsi"/>
                <w:iCs/>
                <w:sz w:val="18"/>
                <w:szCs w:val="18"/>
              </w:rPr>
            </w:pPr>
            <w:r w:rsidRPr="003115CA">
              <w:rPr>
                <w:rFonts w:eastAsia="Times New Roman" w:cstheme="minorHAnsi"/>
                <w:iCs/>
                <w:sz w:val="18"/>
                <w:szCs w:val="18"/>
              </w:rPr>
              <w:t>Conceptual Framework for Financial Reporting and various Australian Accounting Standards</w:t>
            </w:r>
          </w:p>
        </w:tc>
        <w:tc>
          <w:tcPr>
            <w:tcW w:w="2735" w:type="pct"/>
            <w:shd w:val="clear" w:color="auto" w:fill="FFFFFF" w:themeFill="background1"/>
          </w:tcPr>
          <w:p w14:paraId="7E8A777B" w14:textId="45301244" w:rsidR="00F360CA" w:rsidRPr="003115CA" w:rsidRDefault="00F360CA" w:rsidP="00F360CA">
            <w:pPr>
              <w:suppressAutoHyphens w:val="0"/>
              <w:spacing w:before="120" w:after="120" w:line="276" w:lineRule="auto"/>
              <w:ind w:right="96"/>
              <w:rPr>
                <w:rFonts w:eastAsia="Times New Roman" w:cstheme="minorHAnsi"/>
                <w:iCs/>
                <w:sz w:val="18"/>
                <w:szCs w:val="18"/>
              </w:rPr>
            </w:pPr>
            <w:r w:rsidRPr="003115CA">
              <w:rPr>
                <w:rFonts w:eastAsia="Times New Roman" w:cstheme="minorHAnsi"/>
                <w:iCs/>
                <w:sz w:val="18"/>
                <w:szCs w:val="18"/>
              </w:rPr>
              <w:t xml:space="preserve">AASB 2026-2 makes amendments to the Conceptual Framework for Financial Reporting (Conceptual Framework) and AASB 1057 Application of Australian Accounting Standards to: </w:t>
            </w:r>
          </w:p>
          <w:p w14:paraId="7CDC62A8" w14:textId="038EFDFA" w:rsidR="00F360CA" w:rsidRPr="003115CA" w:rsidRDefault="00F360CA" w:rsidP="00F360CA">
            <w:pPr>
              <w:suppressAutoHyphens w:val="0"/>
              <w:spacing w:before="120" w:after="120" w:line="276" w:lineRule="auto"/>
              <w:ind w:right="96"/>
              <w:rPr>
                <w:rFonts w:eastAsia="Times New Roman" w:cstheme="minorHAnsi"/>
                <w:iCs/>
                <w:sz w:val="18"/>
                <w:szCs w:val="18"/>
              </w:rPr>
            </w:pPr>
            <w:r w:rsidRPr="003115CA">
              <w:rPr>
                <w:rFonts w:eastAsia="Times New Roman" w:cstheme="minorHAnsi"/>
                <w:iCs/>
                <w:sz w:val="18"/>
                <w:szCs w:val="18"/>
              </w:rPr>
              <w:t xml:space="preserve">(a) extend the application of the Conceptual Framework and Australian Accounting Standards to not-for-profit entities (both private sector and public sector) </w:t>
            </w:r>
          </w:p>
          <w:p w14:paraId="2A6379C7" w14:textId="4C678409" w:rsidR="00F360CA" w:rsidRPr="003115CA" w:rsidRDefault="00F360CA" w:rsidP="00F360CA">
            <w:pPr>
              <w:suppressAutoHyphens w:val="0"/>
              <w:spacing w:before="120" w:after="120" w:line="276" w:lineRule="auto"/>
              <w:ind w:right="96"/>
              <w:rPr>
                <w:rFonts w:eastAsia="Times New Roman" w:cstheme="minorHAnsi"/>
                <w:iCs/>
                <w:sz w:val="18"/>
                <w:szCs w:val="18"/>
              </w:rPr>
            </w:pPr>
            <w:r w:rsidRPr="003115CA">
              <w:rPr>
                <w:rFonts w:eastAsia="Times New Roman" w:cstheme="minorHAnsi"/>
                <w:iCs/>
                <w:sz w:val="18"/>
                <w:szCs w:val="18"/>
              </w:rPr>
              <w:t xml:space="preserve">(b) introduce ‘Aus’ paragraphs to the Conceptual Framework to add Australian-specific guidance for not-for-profit entities. </w:t>
            </w:r>
          </w:p>
          <w:p w14:paraId="4A2E1934" w14:textId="3B5F5750" w:rsidR="00F360CA" w:rsidRPr="003115CA" w:rsidRDefault="00F360CA" w:rsidP="00F360CA">
            <w:pPr>
              <w:suppressAutoHyphens w:val="0"/>
              <w:spacing w:before="120" w:after="120" w:line="276" w:lineRule="auto"/>
              <w:ind w:right="96"/>
              <w:rPr>
                <w:rFonts w:eastAsia="Times New Roman" w:cstheme="minorHAnsi"/>
                <w:iCs/>
                <w:sz w:val="18"/>
                <w:szCs w:val="18"/>
              </w:rPr>
            </w:pPr>
            <w:r w:rsidRPr="003115CA">
              <w:rPr>
                <w:rFonts w:eastAsia="Times New Roman" w:cstheme="minorHAnsi"/>
                <w:iCs/>
                <w:sz w:val="18"/>
                <w:szCs w:val="18"/>
              </w:rPr>
              <w:t>AASB 2026-2 also consequentially amends AASB 1054 Australian Additional Disclosures to revise the set of not-for-profit private sector entities required to provide specified disclosures in special purpose financial statements, where prepared, and to amend the extent of disclosure required.</w:t>
            </w:r>
          </w:p>
          <w:p w14:paraId="25930882" w14:textId="2262BC7D" w:rsidR="00F360CA" w:rsidRPr="003115CA" w:rsidRDefault="00F360CA" w:rsidP="00F360CA">
            <w:pPr>
              <w:suppressAutoHyphens w:val="0"/>
              <w:spacing w:before="120" w:after="120" w:line="276" w:lineRule="auto"/>
              <w:ind w:right="96"/>
              <w:rPr>
                <w:rFonts w:eastAsia="Times New Roman" w:cstheme="minorHAnsi"/>
                <w:iCs/>
                <w:sz w:val="18"/>
                <w:szCs w:val="18"/>
              </w:rPr>
            </w:pPr>
            <w:r w:rsidRPr="003115CA">
              <w:rPr>
                <w:rFonts w:eastAsia="Times New Roman" w:cstheme="minorHAnsi"/>
                <w:iCs/>
                <w:sz w:val="18"/>
                <w:szCs w:val="18"/>
              </w:rPr>
              <w:t>When the amendments are applicable, some not-for-profit entities might need to prepare general purpose financial statements for the first time. AASB 2026-2 amends AASB 1053 Application of Tiers of Australian Accounting Standards to make transitional relief available for those entities preparing general purpose financial statements complying with Tier 2: Australian Accounting Standards – Simplified Disclosures reporting requirements for the first time.</w:t>
            </w:r>
          </w:p>
          <w:p w14:paraId="507E46DA" w14:textId="384BEFA0" w:rsidR="00F360CA" w:rsidRPr="003115CA" w:rsidRDefault="00F360CA" w:rsidP="00F360CA">
            <w:pPr>
              <w:suppressAutoHyphens w:val="0"/>
              <w:spacing w:before="120" w:after="120" w:line="276" w:lineRule="auto"/>
              <w:ind w:right="96"/>
              <w:rPr>
                <w:rFonts w:eastAsia="Times New Roman" w:cstheme="minorHAnsi"/>
                <w:iCs/>
                <w:sz w:val="18"/>
                <w:szCs w:val="18"/>
              </w:rPr>
            </w:pPr>
            <w:r w:rsidRPr="003115CA">
              <w:rPr>
                <w:rFonts w:eastAsia="Times New Roman" w:cstheme="minorHAnsi"/>
                <w:iCs/>
                <w:sz w:val="18"/>
                <w:szCs w:val="18"/>
              </w:rPr>
              <w:t>In addition, AASB 2026-2 also makes consequential amendments to various Australian Accounting Standards resulting from the amendments above, and to the Framework for the Preparation and Presentation of Financial Statements, Statement of Accounting Concepts SAC 1 Definition of the Reporting Entity and AASB Practice Statement 2 Making Materiality Judgements.</w:t>
            </w:r>
          </w:p>
          <w:p w14:paraId="2E2B45BF" w14:textId="762583EB" w:rsidR="00F360CA" w:rsidRPr="003115CA" w:rsidRDefault="00F360CA" w:rsidP="00F360CA">
            <w:pPr>
              <w:suppressAutoHyphens w:val="0"/>
              <w:spacing w:before="120" w:after="120" w:line="276" w:lineRule="auto"/>
              <w:ind w:right="96"/>
              <w:rPr>
                <w:rFonts w:eastAsia="Times New Roman" w:cstheme="minorHAnsi"/>
                <w:iCs/>
                <w:sz w:val="18"/>
                <w:szCs w:val="18"/>
              </w:rPr>
            </w:pPr>
            <w:r w:rsidRPr="003115CA">
              <w:rPr>
                <w:rFonts w:eastAsia="Times New Roman" w:cstheme="minorHAnsi"/>
                <w:iCs/>
                <w:sz w:val="18"/>
                <w:szCs w:val="18"/>
              </w:rPr>
              <w:t>AASB 2026-2 applies to annual periods beginning on or after 1 July 2029. Earlier application is permitted.</w:t>
            </w:r>
          </w:p>
        </w:tc>
        <w:tc>
          <w:tcPr>
            <w:tcW w:w="443" w:type="pct"/>
            <w:shd w:val="clear" w:color="auto" w:fill="CBCDCB" w:themeFill="background2" w:themeFillShade="E6"/>
          </w:tcPr>
          <w:p w14:paraId="4D1F892D" w14:textId="7D38E5E5" w:rsidR="00F360CA" w:rsidRPr="003115CA" w:rsidRDefault="00F360CA" w:rsidP="00F360CA">
            <w:pPr>
              <w:spacing w:before="120" w:after="120"/>
              <w:rPr>
                <w:rFonts w:ascii="Arial" w:eastAsia="Arial" w:hAnsi="Arial" w:cs="Arial"/>
                <w:sz w:val="18"/>
                <w:szCs w:val="18"/>
              </w:rPr>
            </w:pPr>
            <w:r w:rsidRPr="003115CA">
              <w:rPr>
                <w:rFonts w:ascii="Arial" w:eastAsia="Arial" w:hAnsi="Arial" w:cs="Arial"/>
                <w:sz w:val="18"/>
                <w:szCs w:val="18"/>
              </w:rPr>
              <w:t>Minimal</w:t>
            </w:r>
          </w:p>
        </w:tc>
      </w:tr>
      <w:bookmarkEnd w:id="0"/>
      <w:bookmarkEnd w:id="1"/>
    </w:tbl>
    <w:p w14:paraId="287509EC" w14:textId="77777777" w:rsidR="00255695" w:rsidRPr="003115CA" w:rsidRDefault="00255695" w:rsidP="00586DA7">
      <w:pPr>
        <w:spacing w:before="120" w:after="120"/>
        <w:rPr>
          <w:sz w:val="18"/>
          <w:szCs w:val="18"/>
        </w:rPr>
      </w:pPr>
    </w:p>
    <w:sectPr w:rsidR="00255695" w:rsidRPr="003115CA" w:rsidSect="0007691A">
      <w:pgSz w:w="16838" w:h="11906" w:orient="landscape"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3D98" w14:textId="77777777" w:rsidR="001D4E5E" w:rsidRDefault="001D4E5E" w:rsidP="00EF4574">
      <w:pPr>
        <w:spacing w:before="0" w:after="0" w:line="240" w:lineRule="auto"/>
      </w:pPr>
      <w:r>
        <w:separator/>
      </w:r>
    </w:p>
    <w:p w14:paraId="171CC0B2" w14:textId="77777777" w:rsidR="001D4E5E" w:rsidRDefault="001D4E5E"/>
  </w:endnote>
  <w:endnote w:type="continuationSeparator" w:id="0">
    <w:p w14:paraId="706B9151" w14:textId="77777777" w:rsidR="001D4E5E" w:rsidRDefault="001D4E5E" w:rsidP="00EF4574">
      <w:pPr>
        <w:spacing w:before="0" w:after="0" w:line="240" w:lineRule="auto"/>
      </w:pPr>
      <w:r>
        <w:continuationSeparator/>
      </w:r>
    </w:p>
    <w:p w14:paraId="69B2BC8C" w14:textId="77777777" w:rsidR="001D4E5E" w:rsidRDefault="001D4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MuseoSans-500">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50FD" w14:textId="76B5B47A" w:rsidR="003E61DB" w:rsidRDefault="001A6A67" w:rsidP="00291913">
    <w:pPr>
      <w:pStyle w:val="Footerstyle"/>
    </w:pPr>
    <w:r>
      <w:t>C</w:t>
    </w:r>
    <w:r w:rsidR="00F55449">
      <w:t xml:space="preserve">hanges to </w:t>
    </w:r>
    <w:r w:rsidR="004C2C34">
      <w:t xml:space="preserve">accounting </w:t>
    </w:r>
    <w:r w:rsidR="00F55449">
      <w:t>standards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9331" w14:textId="77777777" w:rsidR="001D4E5E" w:rsidRDefault="001D4E5E" w:rsidP="0020122A">
      <w:pPr>
        <w:pStyle w:val="FootnoteSeparator"/>
      </w:pPr>
    </w:p>
  </w:footnote>
  <w:footnote w:type="continuationSeparator" w:id="0">
    <w:p w14:paraId="325C281D" w14:textId="77777777" w:rsidR="001D4E5E" w:rsidRDefault="001D4E5E" w:rsidP="00EF4574">
      <w:pPr>
        <w:spacing w:before="0" w:after="0" w:line="240" w:lineRule="auto"/>
      </w:pPr>
      <w:r>
        <w:continuationSeparator/>
      </w:r>
    </w:p>
    <w:p w14:paraId="147BBAD4" w14:textId="77777777" w:rsidR="001D4E5E" w:rsidRDefault="001D4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B47D" w14:textId="1E27C4CD" w:rsidR="003E61DB" w:rsidRPr="00DB6D69" w:rsidRDefault="003E61DB">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64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0B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8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B289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0D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2F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9EA0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B7853"/>
    <w:multiLevelType w:val="multilevel"/>
    <w:tmpl w:val="100C064A"/>
    <w:lvl w:ilvl="0">
      <w:start w:val="1"/>
      <w:numFmt w:val="lowerLetter"/>
      <w:lvlText w:val="%1)"/>
      <w:lvlJc w:val="left"/>
      <w:pPr>
        <w:tabs>
          <w:tab w:val="num" w:pos="360"/>
        </w:tabs>
        <w:ind w:left="360" w:hanging="360"/>
      </w:pPr>
      <w:rPr>
        <w:rFonts w:ascii="Arial" w:eastAsia="Arial" w:hAnsi="Arial"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2D382B"/>
    <w:multiLevelType w:val="hybridMultilevel"/>
    <w:tmpl w:val="F142F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523E0D"/>
    <w:multiLevelType w:val="hybridMultilevel"/>
    <w:tmpl w:val="70D289E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BB47E0A"/>
    <w:multiLevelType w:val="hybridMultilevel"/>
    <w:tmpl w:val="8D2C6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AB620C"/>
    <w:multiLevelType w:val="hybridMultilevel"/>
    <w:tmpl w:val="570CCA3C"/>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34E31F12"/>
    <w:multiLevelType w:val="multilevel"/>
    <w:tmpl w:val="2CF037F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E70443"/>
    <w:multiLevelType w:val="multilevel"/>
    <w:tmpl w:val="100C064A"/>
    <w:lvl w:ilvl="0">
      <w:start w:val="1"/>
      <w:numFmt w:val="lowerLetter"/>
      <w:lvlText w:val="%1)"/>
      <w:lvlJc w:val="left"/>
      <w:pPr>
        <w:tabs>
          <w:tab w:val="num" w:pos="360"/>
        </w:tabs>
        <w:ind w:left="360" w:hanging="360"/>
      </w:pPr>
      <w:rPr>
        <w:rFonts w:ascii="Arial" w:eastAsia="Arial" w:hAnsi="Arial"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2"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6A43889"/>
    <w:multiLevelType w:val="hybridMultilevel"/>
    <w:tmpl w:val="4A8419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3086956">
    <w:abstractNumId w:val="23"/>
  </w:num>
  <w:num w:numId="2" w16cid:durableId="17287237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68285">
    <w:abstractNumId w:val="11"/>
  </w:num>
  <w:num w:numId="4" w16cid:durableId="15622798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632745">
    <w:abstractNumId w:val="17"/>
  </w:num>
  <w:num w:numId="6" w16cid:durableId="3772445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14247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241631">
    <w:abstractNumId w:val="12"/>
  </w:num>
  <w:num w:numId="9" w16cid:durableId="387343305">
    <w:abstractNumId w:val="21"/>
  </w:num>
  <w:num w:numId="10" w16cid:durableId="1466657515">
    <w:abstractNumId w:val="22"/>
  </w:num>
  <w:num w:numId="11" w16cid:durableId="515266657">
    <w:abstractNumId w:val="9"/>
  </w:num>
  <w:num w:numId="12" w16cid:durableId="1491215166">
    <w:abstractNumId w:val="7"/>
  </w:num>
  <w:num w:numId="13" w16cid:durableId="376512941">
    <w:abstractNumId w:val="6"/>
  </w:num>
  <w:num w:numId="14" w16cid:durableId="737439907">
    <w:abstractNumId w:val="5"/>
  </w:num>
  <w:num w:numId="15" w16cid:durableId="607543685">
    <w:abstractNumId w:val="4"/>
  </w:num>
  <w:num w:numId="16" w16cid:durableId="996542678">
    <w:abstractNumId w:val="8"/>
  </w:num>
  <w:num w:numId="17" w16cid:durableId="818113872">
    <w:abstractNumId w:val="3"/>
  </w:num>
  <w:num w:numId="18" w16cid:durableId="512839020">
    <w:abstractNumId w:val="2"/>
  </w:num>
  <w:num w:numId="19" w16cid:durableId="945969257">
    <w:abstractNumId w:val="1"/>
  </w:num>
  <w:num w:numId="20" w16cid:durableId="1971396324">
    <w:abstractNumId w:val="0"/>
  </w:num>
  <w:num w:numId="21" w16cid:durableId="841505170">
    <w:abstractNumId w:val="19"/>
  </w:num>
  <w:num w:numId="22" w16cid:durableId="597327493">
    <w:abstractNumId w:val="13"/>
  </w:num>
  <w:num w:numId="23" w16cid:durableId="237330922">
    <w:abstractNumId w:val="18"/>
  </w:num>
  <w:num w:numId="24" w16cid:durableId="103891014">
    <w:abstractNumId w:val="15"/>
  </w:num>
  <w:num w:numId="25" w16cid:durableId="394355527">
    <w:abstractNumId w:val="24"/>
  </w:num>
  <w:num w:numId="26" w16cid:durableId="667949234">
    <w:abstractNumId w:val="16"/>
  </w:num>
  <w:num w:numId="27" w16cid:durableId="1023243468">
    <w:abstractNumId w:val="14"/>
  </w:num>
  <w:num w:numId="28" w16cid:durableId="233510852">
    <w:abstractNumId w:val="20"/>
  </w:num>
  <w:num w:numId="29" w16cid:durableId="1206286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19"/>
    <w:rsid w:val="00010ED2"/>
    <w:rsid w:val="000116A2"/>
    <w:rsid w:val="00014EBA"/>
    <w:rsid w:val="00015F1B"/>
    <w:rsid w:val="000166F2"/>
    <w:rsid w:val="000211DF"/>
    <w:rsid w:val="0002782F"/>
    <w:rsid w:val="00032CCF"/>
    <w:rsid w:val="00036AAC"/>
    <w:rsid w:val="0004045F"/>
    <w:rsid w:val="00050E05"/>
    <w:rsid w:val="00054E4D"/>
    <w:rsid w:val="00055A45"/>
    <w:rsid w:val="00055DF1"/>
    <w:rsid w:val="00060073"/>
    <w:rsid w:val="000603C7"/>
    <w:rsid w:val="00060488"/>
    <w:rsid w:val="0006519D"/>
    <w:rsid w:val="000715E0"/>
    <w:rsid w:val="0007538C"/>
    <w:rsid w:val="000765AF"/>
    <w:rsid w:val="0007691A"/>
    <w:rsid w:val="00081FBE"/>
    <w:rsid w:val="000820B0"/>
    <w:rsid w:val="000829F4"/>
    <w:rsid w:val="0008479A"/>
    <w:rsid w:val="000907F9"/>
    <w:rsid w:val="00091FFB"/>
    <w:rsid w:val="000924AB"/>
    <w:rsid w:val="00092515"/>
    <w:rsid w:val="000A4B30"/>
    <w:rsid w:val="000A6A34"/>
    <w:rsid w:val="000A6A8B"/>
    <w:rsid w:val="000B60A4"/>
    <w:rsid w:val="000C1BB0"/>
    <w:rsid w:val="000C281A"/>
    <w:rsid w:val="000C2A48"/>
    <w:rsid w:val="000C5F75"/>
    <w:rsid w:val="000D60B1"/>
    <w:rsid w:val="000F0B40"/>
    <w:rsid w:val="000F45DB"/>
    <w:rsid w:val="0010442F"/>
    <w:rsid w:val="00113374"/>
    <w:rsid w:val="001149D6"/>
    <w:rsid w:val="00116398"/>
    <w:rsid w:val="00131EF4"/>
    <w:rsid w:val="0013561E"/>
    <w:rsid w:val="00136530"/>
    <w:rsid w:val="00137266"/>
    <w:rsid w:val="001541EA"/>
    <w:rsid w:val="0015608B"/>
    <w:rsid w:val="001612A4"/>
    <w:rsid w:val="00162C5A"/>
    <w:rsid w:val="00174572"/>
    <w:rsid w:val="00180FF1"/>
    <w:rsid w:val="001835A2"/>
    <w:rsid w:val="001926E9"/>
    <w:rsid w:val="00192BCF"/>
    <w:rsid w:val="001A1883"/>
    <w:rsid w:val="001A1AB5"/>
    <w:rsid w:val="001A3966"/>
    <w:rsid w:val="001A6A67"/>
    <w:rsid w:val="001C000B"/>
    <w:rsid w:val="001C4CE1"/>
    <w:rsid w:val="001D1CCF"/>
    <w:rsid w:val="001D21BF"/>
    <w:rsid w:val="001D45D7"/>
    <w:rsid w:val="001D4643"/>
    <w:rsid w:val="001D4E5E"/>
    <w:rsid w:val="001D53C3"/>
    <w:rsid w:val="001D6813"/>
    <w:rsid w:val="001D7EB4"/>
    <w:rsid w:val="001E0F81"/>
    <w:rsid w:val="001E1DC0"/>
    <w:rsid w:val="001E64C8"/>
    <w:rsid w:val="001E6698"/>
    <w:rsid w:val="001F11F0"/>
    <w:rsid w:val="001F26F8"/>
    <w:rsid w:val="001F2FD6"/>
    <w:rsid w:val="001F6828"/>
    <w:rsid w:val="0020122A"/>
    <w:rsid w:val="00202A4F"/>
    <w:rsid w:val="00210A0E"/>
    <w:rsid w:val="00211755"/>
    <w:rsid w:val="00223400"/>
    <w:rsid w:val="0022374D"/>
    <w:rsid w:val="0022579C"/>
    <w:rsid w:val="00226A05"/>
    <w:rsid w:val="00226EED"/>
    <w:rsid w:val="002322E1"/>
    <w:rsid w:val="002344A0"/>
    <w:rsid w:val="00236772"/>
    <w:rsid w:val="00246F3E"/>
    <w:rsid w:val="002472D3"/>
    <w:rsid w:val="00250B9F"/>
    <w:rsid w:val="00255695"/>
    <w:rsid w:val="002624F3"/>
    <w:rsid w:val="00265A77"/>
    <w:rsid w:val="00273133"/>
    <w:rsid w:val="0028602A"/>
    <w:rsid w:val="00286182"/>
    <w:rsid w:val="00286851"/>
    <w:rsid w:val="00291913"/>
    <w:rsid w:val="00293337"/>
    <w:rsid w:val="002A03B7"/>
    <w:rsid w:val="002A2C9E"/>
    <w:rsid w:val="002A3A0A"/>
    <w:rsid w:val="002B5C23"/>
    <w:rsid w:val="002B7879"/>
    <w:rsid w:val="002C1583"/>
    <w:rsid w:val="002C1F63"/>
    <w:rsid w:val="002D1B4E"/>
    <w:rsid w:val="002D335D"/>
    <w:rsid w:val="002F1E4B"/>
    <w:rsid w:val="002F2882"/>
    <w:rsid w:val="002F343A"/>
    <w:rsid w:val="002F38D1"/>
    <w:rsid w:val="002F5017"/>
    <w:rsid w:val="002F526A"/>
    <w:rsid w:val="002F759E"/>
    <w:rsid w:val="00301144"/>
    <w:rsid w:val="00306364"/>
    <w:rsid w:val="003115CA"/>
    <w:rsid w:val="003148B7"/>
    <w:rsid w:val="003158C3"/>
    <w:rsid w:val="00325DAE"/>
    <w:rsid w:val="003274CD"/>
    <w:rsid w:val="00342D19"/>
    <w:rsid w:val="00345896"/>
    <w:rsid w:val="0035119D"/>
    <w:rsid w:val="00351730"/>
    <w:rsid w:val="00354CBA"/>
    <w:rsid w:val="00355ACE"/>
    <w:rsid w:val="003566DE"/>
    <w:rsid w:val="00361432"/>
    <w:rsid w:val="00363E03"/>
    <w:rsid w:val="003716F1"/>
    <w:rsid w:val="00371FA6"/>
    <w:rsid w:val="00375BD3"/>
    <w:rsid w:val="00375F50"/>
    <w:rsid w:val="00382FAA"/>
    <w:rsid w:val="00384216"/>
    <w:rsid w:val="00386355"/>
    <w:rsid w:val="00386434"/>
    <w:rsid w:val="0039724D"/>
    <w:rsid w:val="003A0B01"/>
    <w:rsid w:val="003A71C5"/>
    <w:rsid w:val="003B101E"/>
    <w:rsid w:val="003B4F12"/>
    <w:rsid w:val="003B6845"/>
    <w:rsid w:val="003C0E5E"/>
    <w:rsid w:val="003C5A45"/>
    <w:rsid w:val="003C7018"/>
    <w:rsid w:val="003E0CFF"/>
    <w:rsid w:val="003E1572"/>
    <w:rsid w:val="003E188F"/>
    <w:rsid w:val="003E2102"/>
    <w:rsid w:val="003E2DFC"/>
    <w:rsid w:val="003E45DE"/>
    <w:rsid w:val="003E61DB"/>
    <w:rsid w:val="003E6335"/>
    <w:rsid w:val="003F0E3E"/>
    <w:rsid w:val="003F10EB"/>
    <w:rsid w:val="003F1B8F"/>
    <w:rsid w:val="003F3A01"/>
    <w:rsid w:val="003F3B77"/>
    <w:rsid w:val="003F4539"/>
    <w:rsid w:val="004007FD"/>
    <w:rsid w:val="00402933"/>
    <w:rsid w:val="00402DFE"/>
    <w:rsid w:val="00404437"/>
    <w:rsid w:val="0040463D"/>
    <w:rsid w:val="00407CB9"/>
    <w:rsid w:val="004172EE"/>
    <w:rsid w:val="00421EA2"/>
    <w:rsid w:val="00422634"/>
    <w:rsid w:val="00423EA4"/>
    <w:rsid w:val="00423F31"/>
    <w:rsid w:val="00424BA1"/>
    <w:rsid w:val="00430CF5"/>
    <w:rsid w:val="00431899"/>
    <w:rsid w:val="00433EF8"/>
    <w:rsid w:val="00436326"/>
    <w:rsid w:val="00437E72"/>
    <w:rsid w:val="00437E87"/>
    <w:rsid w:val="004448E5"/>
    <w:rsid w:val="00445475"/>
    <w:rsid w:val="00453C22"/>
    <w:rsid w:val="00454799"/>
    <w:rsid w:val="0045621F"/>
    <w:rsid w:val="00457676"/>
    <w:rsid w:val="00457ABF"/>
    <w:rsid w:val="0046045E"/>
    <w:rsid w:val="00464026"/>
    <w:rsid w:val="00464539"/>
    <w:rsid w:val="00464FEE"/>
    <w:rsid w:val="004708DE"/>
    <w:rsid w:val="0047373F"/>
    <w:rsid w:val="00483AFF"/>
    <w:rsid w:val="004856E3"/>
    <w:rsid w:val="00486804"/>
    <w:rsid w:val="00491510"/>
    <w:rsid w:val="00492251"/>
    <w:rsid w:val="00493EF8"/>
    <w:rsid w:val="00494F63"/>
    <w:rsid w:val="00495BCE"/>
    <w:rsid w:val="00497ACC"/>
    <w:rsid w:val="004B3775"/>
    <w:rsid w:val="004C2A06"/>
    <w:rsid w:val="004C2C34"/>
    <w:rsid w:val="004D0FD3"/>
    <w:rsid w:val="004D102E"/>
    <w:rsid w:val="004D310C"/>
    <w:rsid w:val="004D6DF9"/>
    <w:rsid w:val="004D79A4"/>
    <w:rsid w:val="004E058F"/>
    <w:rsid w:val="004E3B87"/>
    <w:rsid w:val="004F713B"/>
    <w:rsid w:val="004F72E7"/>
    <w:rsid w:val="0050004D"/>
    <w:rsid w:val="00502F69"/>
    <w:rsid w:val="00506554"/>
    <w:rsid w:val="00506C6D"/>
    <w:rsid w:val="005079A4"/>
    <w:rsid w:val="00510921"/>
    <w:rsid w:val="00510AD3"/>
    <w:rsid w:val="00511B5B"/>
    <w:rsid w:val="00512D79"/>
    <w:rsid w:val="00513348"/>
    <w:rsid w:val="00514138"/>
    <w:rsid w:val="005152A1"/>
    <w:rsid w:val="00530A33"/>
    <w:rsid w:val="00533B5D"/>
    <w:rsid w:val="00534069"/>
    <w:rsid w:val="00534833"/>
    <w:rsid w:val="005409E2"/>
    <w:rsid w:val="00542986"/>
    <w:rsid w:val="0054373B"/>
    <w:rsid w:val="00553E40"/>
    <w:rsid w:val="005570E8"/>
    <w:rsid w:val="00561415"/>
    <w:rsid w:val="00564090"/>
    <w:rsid w:val="00570143"/>
    <w:rsid w:val="00571A5E"/>
    <w:rsid w:val="005725D0"/>
    <w:rsid w:val="005748FA"/>
    <w:rsid w:val="00576566"/>
    <w:rsid w:val="00586669"/>
    <w:rsid w:val="00586DA7"/>
    <w:rsid w:val="00591246"/>
    <w:rsid w:val="005912DB"/>
    <w:rsid w:val="00591938"/>
    <w:rsid w:val="00593FFB"/>
    <w:rsid w:val="005970EA"/>
    <w:rsid w:val="00597A3B"/>
    <w:rsid w:val="005A479F"/>
    <w:rsid w:val="005A66B2"/>
    <w:rsid w:val="005B6D67"/>
    <w:rsid w:val="005C3001"/>
    <w:rsid w:val="005C37F0"/>
    <w:rsid w:val="005C725A"/>
    <w:rsid w:val="005D2D36"/>
    <w:rsid w:val="005D3E0C"/>
    <w:rsid w:val="005E16F2"/>
    <w:rsid w:val="005F552D"/>
    <w:rsid w:val="006031F5"/>
    <w:rsid w:val="00604673"/>
    <w:rsid w:val="00607DA1"/>
    <w:rsid w:val="00611454"/>
    <w:rsid w:val="0061304B"/>
    <w:rsid w:val="0062053A"/>
    <w:rsid w:val="00621FF6"/>
    <w:rsid w:val="00623BA1"/>
    <w:rsid w:val="00626DF0"/>
    <w:rsid w:val="00630758"/>
    <w:rsid w:val="0063238B"/>
    <w:rsid w:val="006346BC"/>
    <w:rsid w:val="00635549"/>
    <w:rsid w:val="00645300"/>
    <w:rsid w:val="00650CA0"/>
    <w:rsid w:val="00654460"/>
    <w:rsid w:val="00660739"/>
    <w:rsid w:val="006608C2"/>
    <w:rsid w:val="00664882"/>
    <w:rsid w:val="006658FD"/>
    <w:rsid w:val="00665EBF"/>
    <w:rsid w:val="00666291"/>
    <w:rsid w:val="0066652A"/>
    <w:rsid w:val="006677DA"/>
    <w:rsid w:val="006755AA"/>
    <w:rsid w:val="00677E81"/>
    <w:rsid w:val="00680A64"/>
    <w:rsid w:val="00682167"/>
    <w:rsid w:val="00684634"/>
    <w:rsid w:val="0069086C"/>
    <w:rsid w:val="00697193"/>
    <w:rsid w:val="006A439B"/>
    <w:rsid w:val="006A756C"/>
    <w:rsid w:val="006B0EA4"/>
    <w:rsid w:val="006B3A5A"/>
    <w:rsid w:val="006B485B"/>
    <w:rsid w:val="006B4B92"/>
    <w:rsid w:val="006B56F7"/>
    <w:rsid w:val="006C0337"/>
    <w:rsid w:val="006C42AF"/>
    <w:rsid w:val="006C4DD1"/>
    <w:rsid w:val="006C70B4"/>
    <w:rsid w:val="006D295A"/>
    <w:rsid w:val="006D5FF9"/>
    <w:rsid w:val="006E2EA2"/>
    <w:rsid w:val="006E47F2"/>
    <w:rsid w:val="006E71A0"/>
    <w:rsid w:val="006F05A6"/>
    <w:rsid w:val="006F20B3"/>
    <w:rsid w:val="007020FD"/>
    <w:rsid w:val="007074AB"/>
    <w:rsid w:val="00710E4D"/>
    <w:rsid w:val="00711D8E"/>
    <w:rsid w:val="00712672"/>
    <w:rsid w:val="00712DFD"/>
    <w:rsid w:val="00715A93"/>
    <w:rsid w:val="007173E5"/>
    <w:rsid w:val="007223D7"/>
    <w:rsid w:val="007305CA"/>
    <w:rsid w:val="00730B03"/>
    <w:rsid w:val="007330D1"/>
    <w:rsid w:val="00734753"/>
    <w:rsid w:val="00734E3F"/>
    <w:rsid w:val="00735364"/>
    <w:rsid w:val="00736985"/>
    <w:rsid w:val="007375E8"/>
    <w:rsid w:val="00737A13"/>
    <w:rsid w:val="00743173"/>
    <w:rsid w:val="0075186F"/>
    <w:rsid w:val="0075187C"/>
    <w:rsid w:val="007538F4"/>
    <w:rsid w:val="00755521"/>
    <w:rsid w:val="0076021A"/>
    <w:rsid w:val="0076139D"/>
    <w:rsid w:val="00763052"/>
    <w:rsid w:val="00767E23"/>
    <w:rsid w:val="007755EF"/>
    <w:rsid w:val="00777422"/>
    <w:rsid w:val="007857FE"/>
    <w:rsid w:val="00786180"/>
    <w:rsid w:val="00786C95"/>
    <w:rsid w:val="00797873"/>
    <w:rsid w:val="007A2A83"/>
    <w:rsid w:val="007A3373"/>
    <w:rsid w:val="007A54F9"/>
    <w:rsid w:val="007B04E4"/>
    <w:rsid w:val="007B231A"/>
    <w:rsid w:val="007B3F83"/>
    <w:rsid w:val="007B6200"/>
    <w:rsid w:val="007C320B"/>
    <w:rsid w:val="007C4884"/>
    <w:rsid w:val="007C6377"/>
    <w:rsid w:val="007C64E7"/>
    <w:rsid w:val="007C7641"/>
    <w:rsid w:val="007D112B"/>
    <w:rsid w:val="007D1613"/>
    <w:rsid w:val="007D20CE"/>
    <w:rsid w:val="007D29D9"/>
    <w:rsid w:val="007D2BEA"/>
    <w:rsid w:val="007D37F0"/>
    <w:rsid w:val="007D4B06"/>
    <w:rsid w:val="007E0B3E"/>
    <w:rsid w:val="007E580E"/>
    <w:rsid w:val="007E6B15"/>
    <w:rsid w:val="007F0661"/>
    <w:rsid w:val="007F0F22"/>
    <w:rsid w:val="007F53C6"/>
    <w:rsid w:val="007F5496"/>
    <w:rsid w:val="007F571F"/>
    <w:rsid w:val="00801B9F"/>
    <w:rsid w:val="00804A18"/>
    <w:rsid w:val="0080787C"/>
    <w:rsid w:val="00812047"/>
    <w:rsid w:val="00812053"/>
    <w:rsid w:val="008127CC"/>
    <w:rsid w:val="00814658"/>
    <w:rsid w:val="00815CC9"/>
    <w:rsid w:val="00820CFF"/>
    <w:rsid w:val="00821108"/>
    <w:rsid w:val="00823BEA"/>
    <w:rsid w:val="0082589D"/>
    <w:rsid w:val="008258C9"/>
    <w:rsid w:val="00827F86"/>
    <w:rsid w:val="0083062B"/>
    <w:rsid w:val="0083329C"/>
    <w:rsid w:val="008341D2"/>
    <w:rsid w:val="00836022"/>
    <w:rsid w:val="0083612C"/>
    <w:rsid w:val="0084083E"/>
    <w:rsid w:val="00845FF7"/>
    <w:rsid w:val="00847931"/>
    <w:rsid w:val="00861805"/>
    <w:rsid w:val="008626D4"/>
    <w:rsid w:val="008626E1"/>
    <w:rsid w:val="00865208"/>
    <w:rsid w:val="008656E6"/>
    <w:rsid w:val="00867A57"/>
    <w:rsid w:val="00875FD0"/>
    <w:rsid w:val="0087706B"/>
    <w:rsid w:val="00877CAE"/>
    <w:rsid w:val="00877DC4"/>
    <w:rsid w:val="00880B3F"/>
    <w:rsid w:val="00881A19"/>
    <w:rsid w:val="00884041"/>
    <w:rsid w:val="008873CA"/>
    <w:rsid w:val="008937AC"/>
    <w:rsid w:val="00895CA3"/>
    <w:rsid w:val="00896ECB"/>
    <w:rsid w:val="008A49D6"/>
    <w:rsid w:val="008A4B60"/>
    <w:rsid w:val="008A73D2"/>
    <w:rsid w:val="008B1379"/>
    <w:rsid w:val="008B62C7"/>
    <w:rsid w:val="008C0B65"/>
    <w:rsid w:val="008C2BD2"/>
    <w:rsid w:val="008C3106"/>
    <w:rsid w:val="008C3676"/>
    <w:rsid w:val="008D4A99"/>
    <w:rsid w:val="008E3569"/>
    <w:rsid w:val="008F0678"/>
    <w:rsid w:val="008F2CBC"/>
    <w:rsid w:val="008F4933"/>
    <w:rsid w:val="008F5C5B"/>
    <w:rsid w:val="0090309A"/>
    <w:rsid w:val="0090322E"/>
    <w:rsid w:val="00906D83"/>
    <w:rsid w:val="00910823"/>
    <w:rsid w:val="009110B3"/>
    <w:rsid w:val="009151A9"/>
    <w:rsid w:val="00920BDA"/>
    <w:rsid w:val="00920DD6"/>
    <w:rsid w:val="00924E23"/>
    <w:rsid w:val="0092714A"/>
    <w:rsid w:val="00927D90"/>
    <w:rsid w:val="009303C6"/>
    <w:rsid w:val="00944BE9"/>
    <w:rsid w:val="00946AE0"/>
    <w:rsid w:val="00946D8A"/>
    <w:rsid w:val="009471F1"/>
    <w:rsid w:val="00947759"/>
    <w:rsid w:val="00947A4F"/>
    <w:rsid w:val="009535FB"/>
    <w:rsid w:val="00955695"/>
    <w:rsid w:val="00965313"/>
    <w:rsid w:val="00966F20"/>
    <w:rsid w:val="00982038"/>
    <w:rsid w:val="009872FC"/>
    <w:rsid w:val="009966E5"/>
    <w:rsid w:val="009A1025"/>
    <w:rsid w:val="009A2DA7"/>
    <w:rsid w:val="009A2E31"/>
    <w:rsid w:val="009A5B2A"/>
    <w:rsid w:val="009B1F5C"/>
    <w:rsid w:val="009B4D3B"/>
    <w:rsid w:val="009B7F04"/>
    <w:rsid w:val="009C3258"/>
    <w:rsid w:val="009C3ACA"/>
    <w:rsid w:val="009D0CC3"/>
    <w:rsid w:val="009D3268"/>
    <w:rsid w:val="009D3677"/>
    <w:rsid w:val="009D5634"/>
    <w:rsid w:val="009D7407"/>
    <w:rsid w:val="009D7F3C"/>
    <w:rsid w:val="009E0418"/>
    <w:rsid w:val="009E0866"/>
    <w:rsid w:val="009F409F"/>
    <w:rsid w:val="009F7A87"/>
    <w:rsid w:val="00A0285D"/>
    <w:rsid w:val="00A03879"/>
    <w:rsid w:val="00A04278"/>
    <w:rsid w:val="00A11375"/>
    <w:rsid w:val="00A15780"/>
    <w:rsid w:val="00A2072D"/>
    <w:rsid w:val="00A20E8E"/>
    <w:rsid w:val="00A2449B"/>
    <w:rsid w:val="00A24A62"/>
    <w:rsid w:val="00A25A6C"/>
    <w:rsid w:val="00A31C9F"/>
    <w:rsid w:val="00A35D75"/>
    <w:rsid w:val="00A370A2"/>
    <w:rsid w:val="00A371E4"/>
    <w:rsid w:val="00A40E86"/>
    <w:rsid w:val="00A42139"/>
    <w:rsid w:val="00A455DE"/>
    <w:rsid w:val="00A503A7"/>
    <w:rsid w:val="00A50B46"/>
    <w:rsid w:val="00A52DFA"/>
    <w:rsid w:val="00A52E63"/>
    <w:rsid w:val="00A54C28"/>
    <w:rsid w:val="00A57A97"/>
    <w:rsid w:val="00A621CD"/>
    <w:rsid w:val="00A65CAB"/>
    <w:rsid w:val="00A67D84"/>
    <w:rsid w:val="00A7067D"/>
    <w:rsid w:val="00A7593C"/>
    <w:rsid w:val="00A80BC8"/>
    <w:rsid w:val="00A81442"/>
    <w:rsid w:val="00A816C1"/>
    <w:rsid w:val="00A81E86"/>
    <w:rsid w:val="00A837CD"/>
    <w:rsid w:val="00A85CDC"/>
    <w:rsid w:val="00A86460"/>
    <w:rsid w:val="00A913D6"/>
    <w:rsid w:val="00A96211"/>
    <w:rsid w:val="00AA2373"/>
    <w:rsid w:val="00AA78D8"/>
    <w:rsid w:val="00AB19CF"/>
    <w:rsid w:val="00AB373B"/>
    <w:rsid w:val="00AB433C"/>
    <w:rsid w:val="00AB527C"/>
    <w:rsid w:val="00AC05F8"/>
    <w:rsid w:val="00AC07C9"/>
    <w:rsid w:val="00AC09E1"/>
    <w:rsid w:val="00AC0BC9"/>
    <w:rsid w:val="00AC164A"/>
    <w:rsid w:val="00AC1E69"/>
    <w:rsid w:val="00AC38AF"/>
    <w:rsid w:val="00AC46FC"/>
    <w:rsid w:val="00AC53BF"/>
    <w:rsid w:val="00AC7A01"/>
    <w:rsid w:val="00AD411F"/>
    <w:rsid w:val="00AD5541"/>
    <w:rsid w:val="00AD745A"/>
    <w:rsid w:val="00AE3223"/>
    <w:rsid w:val="00AE7F74"/>
    <w:rsid w:val="00AF2050"/>
    <w:rsid w:val="00AF60AB"/>
    <w:rsid w:val="00AF793D"/>
    <w:rsid w:val="00B0001D"/>
    <w:rsid w:val="00B02EAF"/>
    <w:rsid w:val="00B0575D"/>
    <w:rsid w:val="00B061A4"/>
    <w:rsid w:val="00B16380"/>
    <w:rsid w:val="00B22F82"/>
    <w:rsid w:val="00B273BF"/>
    <w:rsid w:val="00B31F30"/>
    <w:rsid w:val="00B35494"/>
    <w:rsid w:val="00B40764"/>
    <w:rsid w:val="00B41A20"/>
    <w:rsid w:val="00B44104"/>
    <w:rsid w:val="00B450C9"/>
    <w:rsid w:val="00B45708"/>
    <w:rsid w:val="00B475A5"/>
    <w:rsid w:val="00B4781B"/>
    <w:rsid w:val="00B50730"/>
    <w:rsid w:val="00B54312"/>
    <w:rsid w:val="00B56378"/>
    <w:rsid w:val="00B60352"/>
    <w:rsid w:val="00B60724"/>
    <w:rsid w:val="00B61D54"/>
    <w:rsid w:val="00B61DCC"/>
    <w:rsid w:val="00B6557F"/>
    <w:rsid w:val="00B7368F"/>
    <w:rsid w:val="00B76CA9"/>
    <w:rsid w:val="00B770C4"/>
    <w:rsid w:val="00B8077B"/>
    <w:rsid w:val="00B8177A"/>
    <w:rsid w:val="00B864C3"/>
    <w:rsid w:val="00B90424"/>
    <w:rsid w:val="00B945DD"/>
    <w:rsid w:val="00B971D0"/>
    <w:rsid w:val="00BA7C6B"/>
    <w:rsid w:val="00BB052F"/>
    <w:rsid w:val="00BB16F1"/>
    <w:rsid w:val="00BB26C5"/>
    <w:rsid w:val="00BB3DA9"/>
    <w:rsid w:val="00BB40E0"/>
    <w:rsid w:val="00BB4D93"/>
    <w:rsid w:val="00BB5843"/>
    <w:rsid w:val="00BC0054"/>
    <w:rsid w:val="00BC10E8"/>
    <w:rsid w:val="00BC4CDB"/>
    <w:rsid w:val="00BC560A"/>
    <w:rsid w:val="00BD0186"/>
    <w:rsid w:val="00BD01CD"/>
    <w:rsid w:val="00BE2C3C"/>
    <w:rsid w:val="00BF076C"/>
    <w:rsid w:val="00BF4DE6"/>
    <w:rsid w:val="00BF57B2"/>
    <w:rsid w:val="00BF7FF5"/>
    <w:rsid w:val="00C05CBD"/>
    <w:rsid w:val="00C05F88"/>
    <w:rsid w:val="00C0745B"/>
    <w:rsid w:val="00C108B5"/>
    <w:rsid w:val="00C10AB1"/>
    <w:rsid w:val="00C14360"/>
    <w:rsid w:val="00C15E6F"/>
    <w:rsid w:val="00C17E28"/>
    <w:rsid w:val="00C24207"/>
    <w:rsid w:val="00C27965"/>
    <w:rsid w:val="00C304B3"/>
    <w:rsid w:val="00C31ABE"/>
    <w:rsid w:val="00C332F9"/>
    <w:rsid w:val="00C34220"/>
    <w:rsid w:val="00C42CDE"/>
    <w:rsid w:val="00C43215"/>
    <w:rsid w:val="00C43440"/>
    <w:rsid w:val="00C43528"/>
    <w:rsid w:val="00C437A0"/>
    <w:rsid w:val="00C45E12"/>
    <w:rsid w:val="00C51F02"/>
    <w:rsid w:val="00C6184B"/>
    <w:rsid w:val="00C66229"/>
    <w:rsid w:val="00C747FC"/>
    <w:rsid w:val="00C813F4"/>
    <w:rsid w:val="00C83AA2"/>
    <w:rsid w:val="00C86592"/>
    <w:rsid w:val="00C91B56"/>
    <w:rsid w:val="00C93D25"/>
    <w:rsid w:val="00C959B0"/>
    <w:rsid w:val="00C9674D"/>
    <w:rsid w:val="00C974E0"/>
    <w:rsid w:val="00CA37B1"/>
    <w:rsid w:val="00CA5CBD"/>
    <w:rsid w:val="00CA65DF"/>
    <w:rsid w:val="00CA754C"/>
    <w:rsid w:val="00CB1959"/>
    <w:rsid w:val="00CC32AF"/>
    <w:rsid w:val="00CC32B7"/>
    <w:rsid w:val="00CC4F30"/>
    <w:rsid w:val="00CD60F9"/>
    <w:rsid w:val="00CD7300"/>
    <w:rsid w:val="00CE43FC"/>
    <w:rsid w:val="00CE5B8E"/>
    <w:rsid w:val="00CE7931"/>
    <w:rsid w:val="00CF2808"/>
    <w:rsid w:val="00CF2986"/>
    <w:rsid w:val="00CF40DE"/>
    <w:rsid w:val="00CF4D93"/>
    <w:rsid w:val="00D0296C"/>
    <w:rsid w:val="00D04318"/>
    <w:rsid w:val="00D07887"/>
    <w:rsid w:val="00D11F73"/>
    <w:rsid w:val="00D2253C"/>
    <w:rsid w:val="00D22869"/>
    <w:rsid w:val="00D319EC"/>
    <w:rsid w:val="00D333DB"/>
    <w:rsid w:val="00D34958"/>
    <w:rsid w:val="00D350F9"/>
    <w:rsid w:val="00D451D4"/>
    <w:rsid w:val="00D46D82"/>
    <w:rsid w:val="00D4740E"/>
    <w:rsid w:val="00D65B24"/>
    <w:rsid w:val="00D65BF5"/>
    <w:rsid w:val="00D71ED3"/>
    <w:rsid w:val="00D839A6"/>
    <w:rsid w:val="00D83B63"/>
    <w:rsid w:val="00D84042"/>
    <w:rsid w:val="00D84E36"/>
    <w:rsid w:val="00D87E3C"/>
    <w:rsid w:val="00D91422"/>
    <w:rsid w:val="00DA3598"/>
    <w:rsid w:val="00DA3D3B"/>
    <w:rsid w:val="00DA5669"/>
    <w:rsid w:val="00DB3BCA"/>
    <w:rsid w:val="00DB6D69"/>
    <w:rsid w:val="00DC430B"/>
    <w:rsid w:val="00DC5FB4"/>
    <w:rsid w:val="00DD0DA7"/>
    <w:rsid w:val="00DD125F"/>
    <w:rsid w:val="00DD2B31"/>
    <w:rsid w:val="00DD2BEF"/>
    <w:rsid w:val="00DD346B"/>
    <w:rsid w:val="00DE33C0"/>
    <w:rsid w:val="00DE5F3D"/>
    <w:rsid w:val="00DE72FA"/>
    <w:rsid w:val="00DF25F7"/>
    <w:rsid w:val="00DF7CB7"/>
    <w:rsid w:val="00E04016"/>
    <w:rsid w:val="00E046EA"/>
    <w:rsid w:val="00E05D27"/>
    <w:rsid w:val="00E1451B"/>
    <w:rsid w:val="00E25EC4"/>
    <w:rsid w:val="00E27BC2"/>
    <w:rsid w:val="00E304A4"/>
    <w:rsid w:val="00E3142D"/>
    <w:rsid w:val="00E353A8"/>
    <w:rsid w:val="00E357B7"/>
    <w:rsid w:val="00E36583"/>
    <w:rsid w:val="00E371B3"/>
    <w:rsid w:val="00E4268B"/>
    <w:rsid w:val="00E449FE"/>
    <w:rsid w:val="00E44D53"/>
    <w:rsid w:val="00E50BE2"/>
    <w:rsid w:val="00E52806"/>
    <w:rsid w:val="00E53800"/>
    <w:rsid w:val="00E566D7"/>
    <w:rsid w:val="00E6081F"/>
    <w:rsid w:val="00E6108A"/>
    <w:rsid w:val="00E65378"/>
    <w:rsid w:val="00E6643B"/>
    <w:rsid w:val="00E710BC"/>
    <w:rsid w:val="00E9231C"/>
    <w:rsid w:val="00E94F5E"/>
    <w:rsid w:val="00E963A2"/>
    <w:rsid w:val="00EA04B2"/>
    <w:rsid w:val="00EA09D1"/>
    <w:rsid w:val="00EA125B"/>
    <w:rsid w:val="00EA20F3"/>
    <w:rsid w:val="00EA3D18"/>
    <w:rsid w:val="00EA4B94"/>
    <w:rsid w:val="00EB5721"/>
    <w:rsid w:val="00EB6069"/>
    <w:rsid w:val="00EB64C0"/>
    <w:rsid w:val="00EB67C1"/>
    <w:rsid w:val="00EC0C56"/>
    <w:rsid w:val="00EC4031"/>
    <w:rsid w:val="00ED3C27"/>
    <w:rsid w:val="00ED43D1"/>
    <w:rsid w:val="00ED72B4"/>
    <w:rsid w:val="00ED74BE"/>
    <w:rsid w:val="00EE09BF"/>
    <w:rsid w:val="00EE4EE1"/>
    <w:rsid w:val="00EE728E"/>
    <w:rsid w:val="00EE7977"/>
    <w:rsid w:val="00EF33F1"/>
    <w:rsid w:val="00EF4574"/>
    <w:rsid w:val="00F02A0D"/>
    <w:rsid w:val="00F02ED7"/>
    <w:rsid w:val="00F112AC"/>
    <w:rsid w:val="00F24E3C"/>
    <w:rsid w:val="00F2684E"/>
    <w:rsid w:val="00F276D3"/>
    <w:rsid w:val="00F360CA"/>
    <w:rsid w:val="00F40B79"/>
    <w:rsid w:val="00F4175E"/>
    <w:rsid w:val="00F41BB7"/>
    <w:rsid w:val="00F42EF0"/>
    <w:rsid w:val="00F46856"/>
    <w:rsid w:val="00F47211"/>
    <w:rsid w:val="00F477DC"/>
    <w:rsid w:val="00F50AF0"/>
    <w:rsid w:val="00F54013"/>
    <w:rsid w:val="00F55449"/>
    <w:rsid w:val="00F609C6"/>
    <w:rsid w:val="00F67917"/>
    <w:rsid w:val="00F729EF"/>
    <w:rsid w:val="00F74E9A"/>
    <w:rsid w:val="00F76DD3"/>
    <w:rsid w:val="00F77CAE"/>
    <w:rsid w:val="00F8229A"/>
    <w:rsid w:val="00F82400"/>
    <w:rsid w:val="00F83183"/>
    <w:rsid w:val="00F95A26"/>
    <w:rsid w:val="00F96BB9"/>
    <w:rsid w:val="00FA0C9A"/>
    <w:rsid w:val="00FA3A87"/>
    <w:rsid w:val="00FA5C0D"/>
    <w:rsid w:val="00FB44AA"/>
    <w:rsid w:val="00FB4DCC"/>
    <w:rsid w:val="00FB75C9"/>
    <w:rsid w:val="00FC1C33"/>
    <w:rsid w:val="00FC5DBD"/>
    <w:rsid w:val="00FC60DE"/>
    <w:rsid w:val="00FD0464"/>
    <w:rsid w:val="00FD421F"/>
    <w:rsid w:val="00FD716B"/>
    <w:rsid w:val="00FE6D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92156"/>
  <w15:docId w15:val="{46FDDD8F-A3D9-4743-A70F-CD4826E9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18"/>
    <w:pPr>
      <w:suppressAutoHyphens/>
      <w:spacing w:before="180" w:after="60" w:line="280" w:lineRule="atLeast"/>
    </w:pPr>
    <w:rPr>
      <w:rFonts w:eastAsiaTheme="minorEastAsia"/>
    </w:rPr>
  </w:style>
  <w:style w:type="paragraph" w:styleId="Heading1">
    <w:name w:val="heading 1"/>
    <w:basedOn w:val="Normal"/>
    <w:next w:val="Normal"/>
    <w:link w:val="Heading1Char"/>
    <w:autoRedefine/>
    <w:uiPriority w:val="9"/>
    <w:qFormat/>
    <w:rsid w:val="00375BD3"/>
    <w:pPr>
      <w:keepNext/>
      <w:keepLines/>
      <w:spacing w:before="360" w:after="120" w:line="460" w:lineRule="atLeast"/>
      <w:contextualSpacing/>
      <w:outlineLvl w:val="0"/>
    </w:pPr>
    <w:rPr>
      <w:rFonts w:asciiTheme="majorHAnsi" w:eastAsiaTheme="majorEastAsia" w:hAnsiTheme="majorHAnsi" w:cstheme="majorBidi"/>
      <w:bCs/>
      <w:color w:val="008672" w:themeColor="accent3"/>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BD3"/>
    <w:rPr>
      <w:rFonts w:asciiTheme="majorHAnsi" w:eastAsiaTheme="majorEastAsia" w:hAnsiTheme="majorHAnsi" w:cstheme="majorBidi"/>
      <w:bCs/>
      <w:color w:val="008672" w:themeColor="accent3"/>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0211DF"/>
    <w:pPr>
      <w:spacing w:before="720"/>
    </w:pPr>
    <w:rPr>
      <w:color w:val="auto"/>
    </w:rPr>
  </w:style>
  <w:style w:type="character" w:customStyle="1" w:styleId="TitleChar">
    <w:name w:val="Title Char"/>
    <w:basedOn w:val="DefaultParagraphFont"/>
    <w:link w:val="Title"/>
    <w:uiPriority w:val="10"/>
    <w:rsid w:val="000211DF"/>
    <w:rPr>
      <w:rFonts w:asciiTheme="majorHAnsi" w:eastAsiaTheme="majorEastAsia" w:hAnsiTheme="majorHAnsi" w:cstheme="majorBidi"/>
      <w:bCs/>
      <w:sz w:val="40"/>
      <w:szCs w:val="28"/>
    </w:rPr>
  </w:style>
  <w:style w:type="paragraph" w:styleId="Subtitle">
    <w:name w:val="Subtitle"/>
    <w:basedOn w:val="Title"/>
    <w:next w:val="Normal"/>
    <w:link w:val="SubtitleChar"/>
    <w:uiPriority w:val="11"/>
    <w:qFormat/>
    <w:rsid w:val="005409E2"/>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5409E2"/>
    <w:rPr>
      <w:rFonts w:asciiTheme="majorHAnsi" w:eastAsiaTheme="majorEastAsia" w:hAnsiTheme="majorHAnsi" w:cstheme="majorBidi"/>
      <w:b/>
      <w:bCs/>
      <w:iCs/>
      <w:sz w:val="24"/>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008672" w:themeColor="accent3"/>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9CDBD9"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375BD3"/>
    <w:rPr>
      <w:rFonts w:asciiTheme="majorHAnsi" w:eastAsiaTheme="majorEastAsia" w:hAnsiTheme="majorHAnsi" w:cstheme="majorBidi"/>
      <w:bCs/>
      <w:i/>
      <w:iCs/>
      <w:color w:val="008672"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8C3676"/>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9CDBD9"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9CDBD9" w:themeColor="accent1"/>
        <w:bottom w:val="single" w:sz="4" w:space="10" w:color="9CDBD9" w:themeColor="accent1"/>
      </w:pBdr>
      <w:spacing w:before="360" w:after="360"/>
      <w:ind w:left="864" w:right="864"/>
      <w:jc w:val="center"/>
    </w:pPr>
    <w:rPr>
      <w:i/>
      <w:iCs/>
      <w:color w:val="008672" w:themeColor="accent3"/>
    </w:rPr>
  </w:style>
  <w:style w:type="character" w:customStyle="1" w:styleId="IntenseQuoteChar">
    <w:name w:val="Intense Quote Char"/>
    <w:basedOn w:val="DefaultParagraphFont"/>
    <w:link w:val="IntenseQuote"/>
    <w:uiPriority w:val="30"/>
    <w:rsid w:val="00375BD3"/>
    <w:rPr>
      <w:i/>
      <w:iCs/>
      <w:color w:val="008672" w:themeColor="accent3"/>
    </w:rPr>
  </w:style>
  <w:style w:type="character" w:styleId="IntenseReference">
    <w:name w:val="Intense Reference"/>
    <w:basedOn w:val="DefaultParagraphFont"/>
    <w:uiPriority w:val="32"/>
    <w:qFormat/>
    <w:rsid w:val="00DD0DA7"/>
    <w:rPr>
      <w:b/>
      <w:bCs/>
      <w:smallCaps/>
      <w:color w:val="008672" w:themeColor="accent3"/>
      <w:spacing w:val="5"/>
    </w:rPr>
  </w:style>
  <w:style w:type="paragraph" w:customStyle="1" w:styleId="Footerstyle">
    <w:name w:val="Footer style"/>
    <w:basedOn w:val="Footer"/>
    <w:link w:val="FooterstyleChar"/>
    <w:qFormat/>
    <w:rsid w:val="00D91422"/>
    <w:pPr>
      <w:pBdr>
        <w:top w:val="single" w:sz="4" w:space="8" w:color="9CDBD9"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DOFBullet1">
    <w:name w:val="DOF_Bullet 1"/>
    <w:basedOn w:val="Normal"/>
    <w:rsid w:val="00B7368F"/>
    <w:pPr>
      <w:spacing w:before="120"/>
    </w:pPr>
  </w:style>
  <w:style w:type="paragraph" w:customStyle="1" w:styleId="DOFBullet2">
    <w:name w:val="DOF_Bullet 2"/>
    <w:basedOn w:val="DOFBullet1"/>
    <w:rsid w:val="00B7368F"/>
    <w:pPr>
      <w:numPr>
        <w:ilvl w:val="1"/>
      </w:numPr>
    </w:pPr>
  </w:style>
  <w:style w:type="paragraph" w:customStyle="1" w:styleId="DOFBullet3">
    <w:name w:val="DOF_Bullet 3"/>
    <w:basedOn w:val="DOFBullet2"/>
    <w:rsid w:val="00B7368F"/>
    <w:pPr>
      <w:numPr>
        <w:ilvl w:val="2"/>
      </w:numPr>
    </w:pPr>
  </w:style>
  <w:style w:type="paragraph" w:customStyle="1" w:styleId="DOFHeading1Numbered">
    <w:name w:val="DOF_Heading 1 Numbered"/>
    <w:basedOn w:val="Heading1"/>
    <w:next w:val="Normal"/>
    <w:rsid w:val="00B7368F"/>
  </w:style>
  <w:style w:type="paragraph" w:customStyle="1" w:styleId="DOFHeading2Numbered">
    <w:name w:val="DOF_Heading 2 Numbered"/>
    <w:basedOn w:val="Heading2"/>
    <w:next w:val="Normal"/>
    <w:rsid w:val="00B7368F"/>
    <w:rPr>
      <w:bCs/>
    </w:rPr>
  </w:style>
  <w:style w:type="paragraph" w:customStyle="1" w:styleId="DOFHeading3Numbered">
    <w:name w:val="DOF_Heading 3 Numbered"/>
    <w:basedOn w:val="Heading3"/>
    <w:next w:val="Normal"/>
    <w:rsid w:val="00B7368F"/>
    <w:rPr>
      <w:szCs w:val="22"/>
    </w:rPr>
  </w:style>
  <w:style w:type="paragraph" w:customStyle="1" w:styleId="DOFBoxedText1">
    <w:name w:val="DOF_Boxed Text 1"/>
    <w:basedOn w:val="Normal"/>
    <w:rsid w:val="00B7368F"/>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B7368F"/>
    <w:rPr>
      <w:b/>
      <w:sz w:val="24"/>
    </w:rPr>
  </w:style>
  <w:style w:type="paragraph" w:customStyle="1" w:styleId="DOFBoxedText2">
    <w:name w:val="DOF_Boxed Text 2"/>
    <w:basedOn w:val="DOFBoxedText1"/>
    <w:rsid w:val="00B7368F"/>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B7368F"/>
    <w:rPr>
      <w:b/>
      <w:sz w:val="24"/>
    </w:rPr>
  </w:style>
  <w:style w:type="paragraph" w:customStyle="1" w:styleId="Bullet">
    <w:name w:val="Bullet"/>
    <w:basedOn w:val="Normal"/>
    <w:link w:val="BulletChar"/>
    <w:rsid w:val="00286182"/>
    <w:pPr>
      <w:numPr>
        <w:numId w:val="23"/>
      </w:numPr>
    </w:pPr>
    <w:rPr>
      <w:i/>
      <w:iCs/>
    </w:rPr>
  </w:style>
  <w:style w:type="character" w:customStyle="1" w:styleId="BulletChar">
    <w:name w:val="Bullet Char"/>
    <w:basedOn w:val="DefaultParagraphFont"/>
    <w:link w:val="Bullet"/>
    <w:rsid w:val="00286182"/>
    <w:rPr>
      <w:rFonts w:eastAsiaTheme="minorEastAsia"/>
      <w:i/>
      <w:iCs/>
    </w:rPr>
  </w:style>
  <w:style w:type="paragraph" w:customStyle="1" w:styleId="Dash">
    <w:name w:val="Dash"/>
    <w:basedOn w:val="Normal"/>
    <w:link w:val="DashChar"/>
    <w:rsid w:val="00286182"/>
    <w:pPr>
      <w:numPr>
        <w:ilvl w:val="1"/>
        <w:numId w:val="23"/>
      </w:numPr>
    </w:pPr>
    <w:rPr>
      <w:i/>
      <w:iCs/>
    </w:rPr>
  </w:style>
  <w:style w:type="character" w:customStyle="1" w:styleId="DashChar">
    <w:name w:val="Dash Char"/>
    <w:basedOn w:val="DefaultParagraphFont"/>
    <w:link w:val="Dash"/>
    <w:rsid w:val="00286182"/>
    <w:rPr>
      <w:rFonts w:eastAsiaTheme="minorEastAsia"/>
      <w:i/>
      <w:iCs/>
    </w:rPr>
  </w:style>
  <w:style w:type="paragraph" w:customStyle="1" w:styleId="DoubleDot">
    <w:name w:val="Double Dot"/>
    <w:basedOn w:val="Normal"/>
    <w:rsid w:val="00286182"/>
    <w:pPr>
      <w:numPr>
        <w:ilvl w:val="2"/>
        <w:numId w:val="23"/>
      </w:numPr>
    </w:pPr>
    <w:rPr>
      <w:i/>
      <w:iCs/>
    </w:rPr>
  </w:style>
  <w:style w:type="table" w:customStyle="1" w:styleId="TableGrid2">
    <w:name w:val="Table Grid2"/>
    <w:basedOn w:val="TableNormal"/>
    <w:next w:val="TableGrid"/>
    <w:rsid w:val="003E61D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A03B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5FB4"/>
    <w:pPr>
      <w:spacing w:after="0" w:line="240" w:lineRule="auto"/>
    </w:pPr>
    <w:rPr>
      <w:rFonts w:eastAsiaTheme="minorEastAsia"/>
    </w:rPr>
  </w:style>
  <w:style w:type="character" w:styleId="FollowedHyperlink">
    <w:name w:val="FollowedHyperlink"/>
    <w:basedOn w:val="DefaultParagraphFont"/>
    <w:uiPriority w:val="99"/>
    <w:semiHidden/>
    <w:unhideWhenUsed/>
    <w:rsid w:val="00AC0BC9"/>
    <w:rPr>
      <w:color w:val="008672" w:themeColor="followedHyperlink"/>
      <w:u w:val="single"/>
    </w:rPr>
  </w:style>
  <w:style w:type="character" w:styleId="UnresolvedMention">
    <w:name w:val="Unresolved Mention"/>
    <w:basedOn w:val="DefaultParagraphFont"/>
    <w:uiPriority w:val="99"/>
    <w:semiHidden/>
    <w:unhideWhenUsed/>
    <w:rsid w:val="00B0575D"/>
    <w:rPr>
      <w:color w:val="605E5C"/>
      <w:shd w:val="clear" w:color="auto" w:fill="E1DFDD"/>
    </w:rPr>
  </w:style>
  <w:style w:type="paragraph" w:styleId="EndnoteText">
    <w:name w:val="endnote text"/>
    <w:basedOn w:val="Normal"/>
    <w:link w:val="EndnoteTextChar"/>
    <w:uiPriority w:val="99"/>
    <w:semiHidden/>
    <w:unhideWhenUsed/>
    <w:rsid w:val="0007538C"/>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7538C"/>
    <w:rPr>
      <w:rFonts w:eastAsiaTheme="minorEastAsia"/>
      <w:sz w:val="20"/>
      <w:szCs w:val="20"/>
    </w:rPr>
  </w:style>
  <w:style w:type="character" w:styleId="EndnoteReference">
    <w:name w:val="endnote reference"/>
    <w:basedOn w:val="DefaultParagraphFont"/>
    <w:uiPriority w:val="99"/>
    <w:semiHidden/>
    <w:unhideWhenUsed/>
    <w:rsid w:val="000753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finance.gov.au/government/climate-action-government-operations/commonwealth-climate-disclosure" TargetMode="External"/><Relationship Id="rId26" Type="http://schemas.openxmlformats.org/officeDocument/2006/relationships/hyperlink" Target="https://www.legislation.gov.au/F2015L00131/latest/versions" TargetMode="External"/><Relationship Id="rId3" Type="http://schemas.openxmlformats.org/officeDocument/2006/relationships/customXml" Target="../customXml/item3.xml"/><Relationship Id="rId21" Type="http://schemas.openxmlformats.org/officeDocument/2006/relationships/hyperlink" Target="https://www.legislation.gov.au/F2015L00131/latest/vers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ance.gov.au/government/climate-action-government-operations/commonwealth-climate-disclosure" TargetMode="External"/><Relationship Id="rId25" Type="http://schemas.openxmlformats.org/officeDocument/2006/relationships/hyperlink" Target="https://www.finance.gov.au/government/financial-reporting-accounting-policy/financial-reporting-commonwealth-entities" TargetMode="External"/><Relationship Id="rId2" Type="http://schemas.openxmlformats.org/officeDocument/2006/relationships/customXml" Target="../customXml/item2.xml"/><Relationship Id="rId16" Type="http://schemas.openxmlformats.org/officeDocument/2006/relationships/hyperlink" Target="https://financegovau.sharepoint.com/sites/M365_DoF_50033504/TBF/Financial%20Reporting/Changes%20in%20accounting%20standards/2024-25/Commonwealth%20Climate%20Disclosure%20Policy" TargetMode="External"/><Relationship Id="rId20" Type="http://schemas.openxmlformats.org/officeDocument/2006/relationships/hyperlink" Target="mailto:accountingpolicy@finance.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inance.gov.au/government/managing-commonwealth-resources/commonwealth-entities-financial-statements-guide-rmg-125" TargetMode="External"/><Relationship Id="rId5" Type="http://schemas.openxmlformats.org/officeDocument/2006/relationships/customXml" Target="../customXml/item5.xml"/><Relationship Id="rId15" Type="http://schemas.openxmlformats.org/officeDocument/2006/relationships/hyperlink" Target="http://www.aasb.gov.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climateaction@finance.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asb.gov.au/News.aspx"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YUNZ\AppData\Local\Temp\MicrosoftEdgeDownloads\9b784151-78d1-44c1-8018-8794d5acc8e2\Short_Word_Template%201_Teal-Purple.dotx" TargetMode="External"/></Relationships>
</file>

<file path=word/theme/theme1.xml><?xml version="1.0" encoding="utf-8"?>
<a:theme xmlns:a="http://schemas.openxmlformats.org/drawingml/2006/main" name="Finance 1 Blue">
  <a:themeElements>
    <a:clrScheme name="Finance Teal">
      <a:dk1>
        <a:sysClr val="windowText" lastClr="000000"/>
      </a:dk1>
      <a:lt1>
        <a:sysClr val="window" lastClr="FFFFFF"/>
      </a:lt1>
      <a:dk2>
        <a:srgbClr val="1C1C1C"/>
      </a:dk2>
      <a:lt2>
        <a:srgbClr val="E2E3E2"/>
      </a:lt2>
      <a:accent1>
        <a:srgbClr val="9CDBD9"/>
      </a:accent1>
      <a:accent2>
        <a:srgbClr val="64CCC9"/>
      </a:accent2>
      <a:accent3>
        <a:srgbClr val="008672"/>
      </a:accent3>
      <a:accent4>
        <a:srgbClr val="F6EB61"/>
      </a:accent4>
      <a:accent5>
        <a:srgbClr val="85CAF0"/>
      </a:accent5>
      <a:accent6>
        <a:srgbClr val="B4B5DF"/>
      </a:accent6>
      <a:hlink>
        <a:srgbClr val="008672"/>
      </a:hlink>
      <a:folHlink>
        <a:srgbClr val="0086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56E4B63DA7C60E4FB865DA55A9025C19" ma:contentTypeVersion="37" ma:contentTypeDescription="Create a new document." ma:contentTypeScope="" ma:versionID="ea88a2e49036bed376caefc7082fb33f">
  <xsd:schema xmlns:xsd="http://www.w3.org/2001/XMLSchema" xmlns:xs="http://www.w3.org/2001/XMLSchema" xmlns:p="http://schemas.microsoft.com/office/2006/metadata/properties" xmlns:ns1="http://schemas.microsoft.com/sharepoint/v3" xmlns:ns2="a334ba3b-e131-42d3-95f3-2728f5a41884" xmlns:ns3="6a7e9632-768a-49bf-85ac-c69233ab2a52" xmlns:ns4="6f76d6a1-ce98-4a01-b99b-f2aa06952a0d" targetNamespace="http://schemas.microsoft.com/office/2006/metadata/properties" ma:root="true" ma:fieldsID="baa342c6f1ae8a048cbc29e7fe5617cf" ns1:_="" ns2:_="" ns3:_="" ns4:_="">
    <xsd:import namespace="http://schemas.microsoft.com/sharepoint/v3"/>
    <xsd:import namespace="a334ba3b-e131-42d3-95f3-2728f5a41884"/>
    <xsd:import namespace="6a7e9632-768a-49bf-85ac-c69233ab2a52"/>
    <xsd:import namespace="6f76d6a1-ce98-4a01-b99b-f2aa06952a0d"/>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MediaServiceGenerationTime" minOccurs="0"/>
                <xsd:element ref="ns4:MediaServiceEventHashCode" minOccurs="0"/>
                <xsd:element ref="ns1:_ip_UnifiedCompliancePolicyProperties" minOccurs="0"/>
                <xsd:element ref="ns1:_ip_UnifiedCompliancePolicyUIAction"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2141ea2a-3c96-46ca-8683-48bf94d5695b}"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Accounting and Framework|05436862-e97f-4424-a21d-d4053053aa0f"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2141ea2a-3c96-46ca-8683-48bf94d5695b}"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76d6a1-ce98-4a01-b99b-f2aa06952a0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FIN33504-1449590144-41195</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6f76d6a1-ce98-4a01-b99b-f2aa06952a0d">
      <Terms xmlns="http://schemas.microsoft.com/office/infopath/2007/PartnerControls"/>
    </lcf76f155ced4ddcb4097134ff3c332f>
    <TaxCatchAll xmlns="a334ba3b-e131-42d3-95f3-2728f5a41884">
      <Value>71</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Accounting and Framework</TermName>
          <TermId xmlns="http://schemas.microsoft.com/office/infopath/2007/PartnerControls">05436862-e97f-4424-a21d-d4053053aa0f</TermId>
        </TermInfo>
      </Terms>
    </e0fcb3f570964638902a63147cd98219>
    <Security_x0020_Classification xmlns="a334ba3b-e131-42d3-95f3-2728f5a41884">OFFICIAL</Security_x0020_Classification>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Url xmlns="6a7e9632-768a-49bf-85ac-c69233ab2a52">
      <Url>https://financegovau.sharepoint.com/sites/M365_DoF_50033504/_layouts/15/DocIdRedir.aspx?ID=FIN33504-1449590144-41195</Url>
      <Description>FIN33504-1449590144-41195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75ABD891-A05C-4629-95BD-1324C7FB3601}">
  <ds:schemaRefs>
    <ds:schemaRef ds:uri="http://schemas.microsoft.com/sharepoint/events"/>
  </ds:schemaRefs>
</ds:datastoreItem>
</file>

<file path=customXml/itemProps2.xml><?xml version="1.0" encoding="utf-8"?>
<ds:datastoreItem xmlns:ds="http://schemas.openxmlformats.org/officeDocument/2006/customXml" ds:itemID="{7FA64290-135D-47E7-9669-66AE6CA63321}">
  <ds:schemaRefs>
    <ds:schemaRef ds:uri="http://schemas.microsoft.com/sharepoint/v3/contenttype/forms"/>
  </ds:schemaRefs>
</ds:datastoreItem>
</file>

<file path=customXml/itemProps3.xml><?xml version="1.0" encoding="utf-8"?>
<ds:datastoreItem xmlns:ds="http://schemas.openxmlformats.org/officeDocument/2006/customXml" ds:itemID="{2A3596B3-BC1F-4752-800C-D9232553F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6f76d6a1-ce98-4a01-b99b-f2aa06952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992CB-FBA6-46BC-862E-E9177E30A158}">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6f76d6a1-ce98-4a01-b99b-f2aa06952a0d"/>
  </ds:schemaRefs>
</ds:datastoreItem>
</file>

<file path=customXml/itemProps5.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6.xml><?xml version="1.0" encoding="utf-8"?>
<ds:datastoreItem xmlns:ds="http://schemas.openxmlformats.org/officeDocument/2006/customXml" ds:itemID="{5204F431-F38D-4547-ABA0-610C4AF180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Short_Word_Template 1_Teal-Purple.dotx</Template>
  <TotalTime>785</TotalTime>
  <Pages>15</Pages>
  <Words>3768</Words>
  <Characters>21850</Characters>
  <Application>Microsoft Office Word</Application>
  <DocSecurity>0</DocSecurity>
  <Lines>610</Lines>
  <Paragraphs>301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25403</CharactersWithSpaces>
  <SharedDoc>false</SharedDoc>
  <HLinks>
    <vt:vector size="66" baseType="variant">
      <vt:variant>
        <vt:i4>3407921</vt:i4>
      </vt:variant>
      <vt:variant>
        <vt:i4>30</vt:i4>
      </vt:variant>
      <vt:variant>
        <vt:i4>0</vt:i4>
      </vt:variant>
      <vt:variant>
        <vt:i4>5</vt:i4>
      </vt:variant>
      <vt:variant>
        <vt:lpwstr>https://www.legislation.gov.au/F2015L00131/latest/versions</vt:lpwstr>
      </vt:variant>
      <vt:variant>
        <vt:lpwstr/>
      </vt:variant>
      <vt:variant>
        <vt:i4>4653078</vt:i4>
      </vt:variant>
      <vt:variant>
        <vt:i4>27</vt:i4>
      </vt:variant>
      <vt:variant>
        <vt:i4>0</vt:i4>
      </vt:variant>
      <vt:variant>
        <vt:i4>5</vt:i4>
      </vt:variant>
      <vt:variant>
        <vt:lpwstr>https://www.finance.gov.au/government/financial-reporting-accounting-policy/financial-reporting-commonwealth-entities</vt:lpwstr>
      </vt:variant>
      <vt:variant>
        <vt:lpwstr/>
      </vt:variant>
      <vt:variant>
        <vt:i4>6881394</vt:i4>
      </vt:variant>
      <vt:variant>
        <vt:i4>24</vt:i4>
      </vt:variant>
      <vt:variant>
        <vt:i4>0</vt:i4>
      </vt:variant>
      <vt:variant>
        <vt:i4>5</vt:i4>
      </vt:variant>
      <vt:variant>
        <vt:lpwstr>https://www.finance.gov.au/government/managing-commonwealth-resources/commonwealth-entities-financial-statements-guide-rmg-125</vt:lpwstr>
      </vt:variant>
      <vt:variant>
        <vt:lpwstr/>
      </vt:variant>
      <vt:variant>
        <vt:i4>3407921</vt:i4>
      </vt:variant>
      <vt:variant>
        <vt:i4>21</vt:i4>
      </vt:variant>
      <vt:variant>
        <vt:i4>0</vt:i4>
      </vt:variant>
      <vt:variant>
        <vt:i4>5</vt:i4>
      </vt:variant>
      <vt:variant>
        <vt:lpwstr>https://www.legislation.gov.au/F2015L00131/latest/versions</vt:lpwstr>
      </vt:variant>
      <vt:variant>
        <vt:lpwstr/>
      </vt:variant>
      <vt:variant>
        <vt:i4>4259882</vt:i4>
      </vt:variant>
      <vt:variant>
        <vt:i4>18</vt:i4>
      </vt:variant>
      <vt:variant>
        <vt:i4>0</vt:i4>
      </vt:variant>
      <vt:variant>
        <vt:i4>5</vt:i4>
      </vt:variant>
      <vt:variant>
        <vt:lpwstr>mailto:accountingpolicy@finance.gov.au</vt:lpwstr>
      </vt:variant>
      <vt:variant>
        <vt:lpwstr/>
      </vt:variant>
      <vt:variant>
        <vt:i4>8060929</vt:i4>
      </vt:variant>
      <vt:variant>
        <vt:i4>15</vt:i4>
      </vt:variant>
      <vt:variant>
        <vt:i4>0</vt:i4>
      </vt:variant>
      <vt:variant>
        <vt:i4>5</vt:i4>
      </vt:variant>
      <vt:variant>
        <vt:lpwstr>mailto:climateaction@finance.gov.au</vt:lpwstr>
      </vt:variant>
      <vt:variant>
        <vt:lpwstr/>
      </vt:variant>
      <vt:variant>
        <vt:i4>7209087</vt:i4>
      </vt:variant>
      <vt:variant>
        <vt:i4>12</vt:i4>
      </vt:variant>
      <vt:variant>
        <vt:i4>0</vt:i4>
      </vt:variant>
      <vt:variant>
        <vt:i4>5</vt:i4>
      </vt:variant>
      <vt:variant>
        <vt:lpwstr>https://www.finance.gov.au/government/climate-action-government-operations/commonwealth-climate-disclosure</vt:lpwstr>
      </vt:variant>
      <vt:variant>
        <vt:lpwstr/>
      </vt:variant>
      <vt:variant>
        <vt:i4>7209087</vt:i4>
      </vt:variant>
      <vt:variant>
        <vt:i4>9</vt:i4>
      </vt:variant>
      <vt:variant>
        <vt:i4>0</vt:i4>
      </vt:variant>
      <vt:variant>
        <vt:i4>5</vt:i4>
      </vt:variant>
      <vt:variant>
        <vt:lpwstr>https://www.finance.gov.au/government/climate-action-government-operations/commonwealth-climate-disclosure</vt:lpwstr>
      </vt:variant>
      <vt:variant>
        <vt:lpwstr/>
      </vt:variant>
      <vt:variant>
        <vt:i4>4128887</vt:i4>
      </vt:variant>
      <vt:variant>
        <vt:i4>6</vt:i4>
      </vt:variant>
      <vt:variant>
        <vt:i4>0</vt:i4>
      </vt:variant>
      <vt:variant>
        <vt:i4>5</vt:i4>
      </vt:variant>
      <vt:variant>
        <vt:lpwstr>https://financegovau.sharepoint.com/sites/M365_DoF_50033504/TBF/Financial Reporting/Changes in accounting standards/2024-25/Commonwealth Climate Disclosure Policy</vt:lpwstr>
      </vt:variant>
      <vt:variant>
        <vt:lpwstr/>
      </vt:variant>
      <vt:variant>
        <vt:i4>2293795</vt:i4>
      </vt:variant>
      <vt:variant>
        <vt:i4>3</vt:i4>
      </vt:variant>
      <vt:variant>
        <vt:i4>0</vt:i4>
      </vt:variant>
      <vt:variant>
        <vt:i4>5</vt:i4>
      </vt:variant>
      <vt:variant>
        <vt:lpwstr>http://www.aasb.gov.au/</vt:lpwstr>
      </vt:variant>
      <vt:variant>
        <vt:lpwstr/>
      </vt:variant>
      <vt:variant>
        <vt:i4>1245196</vt:i4>
      </vt:variant>
      <vt:variant>
        <vt:i4>0</vt:i4>
      </vt:variant>
      <vt:variant>
        <vt:i4>0</vt:i4>
      </vt:variant>
      <vt:variant>
        <vt:i4>5</vt:i4>
      </vt:variant>
      <vt:variant>
        <vt:lpwstr>https://www.aasb.gov.au/News.aspx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 Betty</dc:creator>
  <cp:keywords>[SEC=UNOFFICIAL]</cp:keywords>
  <dc:description/>
  <cp:lastModifiedBy>Bi, Betty</cp:lastModifiedBy>
  <cp:revision>192</cp:revision>
  <cp:lastPrinted>2026-06-26T19:03:00Z</cp:lastPrinted>
  <dcterms:created xsi:type="dcterms:W3CDTF">2026-06-14T02:41:00Z</dcterms:created>
  <dcterms:modified xsi:type="dcterms:W3CDTF">2026-07-01T23:26:00Z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6af89f2f-9671-4583-84ec-9b406935fc32_SetDate">
    <vt:lpwstr>2024-11-15T05:17:42Z</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6af89f2f-9671-4583-84ec-9b406935fc32_Name">
    <vt:lpwstr>UNOFFICIAL</vt:lpwstr>
  </property>
  <property fmtid="{D5CDD505-2E9C-101B-9397-08002B2CF9AE}" pid="7" name="PM_SecurityClassification">
    <vt:lpwstr>UNOFFICIAL</vt:lpwstr>
  </property>
  <property fmtid="{D5CDD505-2E9C-101B-9397-08002B2CF9AE}" pid="8" name="PMHMAC">
    <vt:lpwstr>v=2022.1;a=SHA256;h=4B4054C40091135B1637F4550ECD593900889CBAB5F8C32EA275EB8961DD8CF8</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Note">
    <vt:lpwstr/>
  </property>
  <property fmtid="{D5CDD505-2E9C-101B-9397-08002B2CF9AE}" pid="12" name="PM_OriginationTimeStamp">
    <vt:lpwstr>2024-11-15T05:17:42Z</vt:lpwstr>
  </property>
  <property fmtid="{D5CDD505-2E9C-101B-9397-08002B2CF9AE}" pid="13" name="PM_ProtectiveMarkingValue_Header">
    <vt:lpwstr>UNOFFICIAL</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MSIP_Label_6af89f2f-9671-4583-84ec-9b406935fc32_Method">
    <vt:lpwstr>Privileged</vt:lpwstr>
  </property>
  <property fmtid="{D5CDD505-2E9C-101B-9397-08002B2CF9AE}" pid="17" name="PM_Display">
    <vt:lpwstr>UNOFFICIAL</vt:lpwstr>
  </property>
  <property fmtid="{D5CDD505-2E9C-101B-9397-08002B2CF9AE}" pid="18" name="MSIP_Label_6af89f2f-9671-4583-84ec-9b406935fc32_ContentBits">
    <vt:lpwstr>3</vt:lpwstr>
  </property>
  <property fmtid="{D5CDD505-2E9C-101B-9397-08002B2CF9AE}" pid="19" name="MSIP_Label_6af89f2f-9671-4583-84ec-9b406935fc32_ActionId">
    <vt:lpwstr>8f0c98cdda824fb881a5926721ce28d7</vt:lpwstr>
  </property>
  <property fmtid="{D5CDD505-2E9C-101B-9397-08002B2CF9AE}" pid="20" name="PM_InsertionValue">
    <vt:lpwstr>UNOFFICIAL</vt:lpwstr>
  </property>
  <property fmtid="{D5CDD505-2E9C-101B-9397-08002B2CF9AE}" pid="21" name="PM_Originator_Hash_SHA1">
    <vt:lpwstr>82E00C5EFC711A179400F79EB95011B288DE0DCA</vt:lpwstr>
  </property>
  <property fmtid="{D5CDD505-2E9C-101B-9397-08002B2CF9AE}" pid="22" name="PM_DisplayValueSecClassificationWithQualifier">
    <vt:lpwstr>UNOFFICIAL</vt:lpwstr>
  </property>
  <property fmtid="{D5CDD505-2E9C-101B-9397-08002B2CF9AE}" pid="23" name="PM_ProtectiveMarkingValue_Footer">
    <vt:lpwstr>UNOFFICIAL</vt:lpwstr>
  </property>
  <property fmtid="{D5CDD505-2E9C-101B-9397-08002B2CF9AE}" pid="24" name="PM_Originating_FileId">
    <vt:lpwstr>B1D716C70F444F8BA1449F99C53FF073</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2A55A6222944FB68D00251057E42430AD76AA30F8681E6C38AA470A4D840442C</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6D2B7B2FDFE26511B0F803C99A1146A6</vt:lpwstr>
  </property>
  <property fmtid="{D5CDD505-2E9C-101B-9397-08002B2CF9AE}" pid="32" name="PM_Hash_Salt">
    <vt:lpwstr>A6B294B039EAED278374CC7B3E151A18</vt:lpwstr>
  </property>
  <property fmtid="{D5CDD505-2E9C-101B-9397-08002B2CF9AE}" pid="33" name="PM_Hash_SHA1">
    <vt:lpwstr>63E0AE44F4166E06C5E02745DAE382D54BC7E9DB</vt:lpwstr>
  </property>
  <property fmtid="{D5CDD505-2E9C-101B-9397-08002B2CF9AE}" pid="34" name="PM_SecurityClassification_Prev">
    <vt:lpwstr>UNOFFICIAL</vt:lpwstr>
  </property>
  <property fmtid="{D5CDD505-2E9C-101B-9397-08002B2CF9AE}" pid="35" name="PM_Qualifier_Prev">
    <vt:lpwstr/>
  </property>
  <property fmtid="{D5CDD505-2E9C-101B-9397-08002B2CF9AE}" pid="36" name="TaxKeyword">
    <vt:lpwstr>71;#[SEC=UNOFFICIAL]|c5095c15-4234-4e92-adf8-afe43cfbe4c5</vt:lpwstr>
  </property>
  <property fmtid="{D5CDD505-2E9C-101B-9397-08002B2CF9AE}" pid="37" name="ContentTypeId">
    <vt:lpwstr>0x010100B7B479F47583304BA8B631462CC772D70056E4B63DA7C60E4FB865DA55A9025C19</vt:lpwstr>
  </property>
  <property fmtid="{D5CDD505-2E9C-101B-9397-08002B2CF9AE}" pid="38" name="Organisation Unit">
    <vt:lpwstr>2;#Accounting and Framework|05436862-e97f-4424-a21d-d4053053aa0f</vt:lpwstr>
  </property>
  <property fmtid="{D5CDD505-2E9C-101B-9397-08002B2CF9AE}" pid="39" name="_dlc_DocIdItemGuid">
    <vt:lpwstr>eca5f9cc-4d0a-4cb8-8c8c-5774e4a83936</vt:lpwstr>
  </property>
  <property fmtid="{D5CDD505-2E9C-101B-9397-08002B2CF9AE}" pid="40" name="About Entity">
    <vt:lpwstr>1;#Department of Finance|fd660e8f-8f31-49bd-92a3-d31d4da31afe</vt:lpwstr>
  </property>
  <property fmtid="{D5CDD505-2E9C-101B-9397-08002B2CF9AE}" pid="41" name="Initiating Entity">
    <vt:lpwstr>1;#Department of Finance|fd660e8f-8f31-49bd-92a3-d31d4da31afe</vt:lpwstr>
  </property>
  <property fmtid="{D5CDD505-2E9C-101B-9397-08002B2CF9AE}" pid="42" name="Organisation_x0020_Unit">
    <vt:lpwstr>2;#Accounting and Framework|05436862-e97f-4424-a21d-d4053053aa0f</vt:lpwstr>
  </property>
  <property fmtid="{D5CDD505-2E9C-101B-9397-08002B2CF9AE}" pid="43" name="MediaServiceImageTags">
    <vt:lpwstr/>
  </property>
  <property fmtid="{D5CDD505-2E9C-101B-9397-08002B2CF9AE}" pid="44" name="About_x0020_Entity">
    <vt:lpwstr>1;#Department of Finance|fd660e8f-8f31-49bd-92a3-d31d4da31afe</vt:lpwstr>
  </property>
  <property fmtid="{D5CDD505-2E9C-101B-9397-08002B2CF9AE}" pid="45" name="Function_x0020_and_x0020_Activity">
    <vt:lpwstr/>
  </property>
  <property fmtid="{D5CDD505-2E9C-101B-9397-08002B2CF9AE}" pid="46" name="Initiating_x0020_Entity">
    <vt:lpwstr>1;#Department of Finance|fd660e8f-8f31-49bd-92a3-d31d4da31afe</vt:lpwstr>
  </property>
  <property fmtid="{D5CDD505-2E9C-101B-9397-08002B2CF9AE}" pid="47" name="Function and Activity">
    <vt:lpwstr/>
  </property>
  <property fmtid="{D5CDD505-2E9C-101B-9397-08002B2CF9AE}" pid="48" name="docLang">
    <vt:lpwstr>en</vt:lpwstr>
  </property>
  <property fmtid="{D5CDD505-2E9C-101B-9397-08002B2CF9AE}" pid="49" name="PM_Expires">
    <vt:lpwstr/>
  </property>
  <property fmtid="{D5CDD505-2E9C-101B-9397-08002B2CF9AE}" pid="50" name="PM_DownTo">
    <vt:lpwstr/>
  </property>
</Properties>
</file>