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EE82" w14:textId="77777777" w:rsidR="00A823A7" w:rsidRPr="00747449" w:rsidRDefault="00A823A7" w:rsidP="00747449">
      <w:pPr>
        <w:pStyle w:val="Title"/>
      </w:pPr>
      <w:r w:rsidRPr="00747449">
        <w:t>Relevant legislation and standards</w:t>
      </w:r>
    </w:p>
    <w:p w14:paraId="7AEFEE83" w14:textId="77777777" w:rsidR="00B8236B" w:rsidRDefault="00B8236B" w:rsidP="00562A5B"/>
    <w:p w14:paraId="7AEFEE84" w14:textId="77777777" w:rsidR="00562A5B" w:rsidRPr="00ED4874" w:rsidRDefault="006146EE" w:rsidP="00562A5B">
      <w:r>
        <w:rPr>
          <w:noProof/>
          <w:lang w:eastAsia="en-AU"/>
        </w:rPr>
        <mc:AlternateContent>
          <mc:Choice Requires="wps">
            <w:drawing>
              <wp:anchor distT="0" distB="0" distL="114300" distR="114300" simplePos="0" relativeHeight="251658242" behindDoc="0" locked="0" layoutInCell="1" allowOverlap="1" wp14:anchorId="7AEFEEFA" wp14:editId="7AEFEEFB">
                <wp:simplePos x="0" y="0"/>
                <wp:positionH relativeFrom="margin">
                  <wp:posOffset>80226</wp:posOffset>
                </wp:positionH>
                <wp:positionV relativeFrom="paragraph">
                  <wp:posOffset>4711787</wp:posOffset>
                </wp:positionV>
                <wp:extent cx="614045" cy="723900"/>
                <wp:effectExtent l="0" t="0" r="14605" b="0"/>
                <wp:wrapNone/>
                <wp:docPr id="14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F10" w14:textId="77777777" w:rsidR="00BC28A9" w:rsidRPr="008C3486" w:rsidRDefault="00BC28A9" w:rsidP="00714A45">
                            <w:pPr>
                              <w:rPr>
                                <w:b/>
                                <w:w w:val="80"/>
                                <w:sz w:val="24"/>
                                <w:szCs w:val="24"/>
                              </w:rPr>
                            </w:pPr>
                            <w:r w:rsidRPr="008C3486">
                              <w:rPr>
                                <w:b/>
                                <w:w w:val="80"/>
                                <w:sz w:val="24"/>
                                <w:szCs w:val="24"/>
                              </w:rPr>
                              <w:t xml:space="preserve">Guidance </w:t>
                            </w:r>
                            <w:r w:rsidRPr="008C3486">
                              <w:rPr>
                                <w:b/>
                                <w:w w:val="80"/>
                                <w:sz w:val="24"/>
                                <w:szCs w:val="24"/>
                              </w:rPr>
                              <w:br/>
                              <w:t xml:space="preserve">and </w:t>
                            </w:r>
                            <w:r w:rsidR="008C3486">
                              <w:rPr>
                                <w:b/>
                                <w:w w:val="80"/>
                                <w:sz w:val="24"/>
                                <w:szCs w:val="24"/>
                              </w:rPr>
                              <w:br/>
                            </w:r>
                            <w:r w:rsidRPr="008C3486">
                              <w:rPr>
                                <w:b/>
                                <w:w w:val="80"/>
                                <w:sz w:val="24"/>
                                <w:szCs w:val="24"/>
                              </w:rPr>
                              <w:t>Advisory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EFEEFA" id="_x0000_t202" coordsize="21600,21600" o:spt="202" path="m,l,21600r21600,l21600,xe">
                <v:stroke joinstyle="miter"/>
                <v:path gradientshapeok="t" o:connecttype="rect"/>
              </v:shapetype>
              <v:shape id="Text Box 62" o:spid="_x0000_s1026" type="#_x0000_t202" style="position:absolute;margin-left:6.3pt;margin-top:371pt;width:48.35pt;height:5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" filled="f" stroked="f">
                <v:textbox inset="0,0,0,0">
                  <w:txbxContent>
                    <w:p w14:paraId="7AEFEF10" w14:textId="77777777" w:rsidR="00BC28A9" w:rsidRPr="008C3486" w:rsidRDefault="00BC28A9" w:rsidP="00714A45">
                      <w:pPr>
                        <w:rPr>
                          <w:b/>
                          <w:w w:val="80"/>
                          <w:sz w:val="24"/>
                          <w:szCs w:val="24"/>
                        </w:rPr>
                      </w:pPr>
                      <w:r w:rsidRPr="008C3486">
                        <w:rPr>
                          <w:b/>
                          <w:w w:val="80"/>
                          <w:sz w:val="24"/>
                          <w:szCs w:val="24"/>
                        </w:rPr>
                        <w:t xml:space="preserve">Guidance </w:t>
                      </w:r>
                      <w:r w:rsidRPr="008C3486">
                        <w:rPr>
                          <w:b/>
                          <w:w w:val="80"/>
                          <w:sz w:val="24"/>
                          <w:szCs w:val="24"/>
                        </w:rPr>
                        <w:br/>
                        <w:t xml:space="preserve">and </w:t>
                      </w:r>
                      <w:r w:rsidR="008C3486">
                        <w:rPr>
                          <w:b/>
                          <w:w w:val="80"/>
                          <w:sz w:val="24"/>
                          <w:szCs w:val="24"/>
                        </w:rPr>
                        <w:br/>
                      </w:r>
                      <w:r w:rsidRPr="008C3486">
                        <w:rPr>
                          <w:b/>
                          <w:w w:val="80"/>
                          <w:sz w:val="24"/>
                          <w:szCs w:val="24"/>
                        </w:rPr>
                        <w:t>Advisory</w:t>
                      </w:r>
                    </w:p>
                  </w:txbxContent>
                </v:textbox>
                <w10:wrap anchorx="margin"/>
              </v:shape>
            </w:pict>
          </mc:Fallback>
        </mc:AlternateContent>
      </w:r>
      <w:r w:rsidR="00DE6681">
        <w:rPr>
          <w:noProof/>
          <w:lang w:eastAsia="en-AU"/>
        </w:rPr>
        <mc:AlternateContent>
          <mc:Choice Requires="wpg">
            <w:drawing>
              <wp:anchor distT="0" distB="0" distL="0" distR="0" simplePos="0" relativeHeight="251658240" behindDoc="0" locked="0" layoutInCell="1" allowOverlap="1" wp14:anchorId="7AEFEEFC" wp14:editId="7AEFEEFD">
                <wp:simplePos x="0" y="0"/>
                <wp:positionH relativeFrom="margin">
                  <wp:align>left</wp:align>
                </wp:positionH>
                <wp:positionV relativeFrom="paragraph">
                  <wp:posOffset>435760</wp:posOffset>
                </wp:positionV>
                <wp:extent cx="5829300" cy="5676265"/>
                <wp:effectExtent l="0" t="0" r="0" b="63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676265"/>
                          <a:chOff x="1947" y="376"/>
                          <a:chExt cx="9010" cy="6724"/>
                        </a:xfrm>
                      </wpg:grpSpPr>
                      <wps:wsp>
                        <wps:cNvPr id="9" name="Rectangle 3"/>
                        <wps:cNvSpPr>
                          <a:spLocks noChangeArrowheads="1"/>
                        </wps:cNvSpPr>
                        <wps:spPr bwMode="auto">
                          <a:xfrm>
                            <a:off x="1947" y="376"/>
                            <a:ext cx="9010" cy="6656"/>
                          </a:xfrm>
                          <a:prstGeom prst="rect">
                            <a:avLst/>
                          </a:prstGeom>
                          <a:solidFill>
                            <a:srgbClr val="F1F2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3"/>
                        <wps:cNvSpPr>
                          <a:spLocks noChangeArrowheads="1"/>
                        </wps:cNvSpPr>
                        <wps:spPr bwMode="auto">
                          <a:xfrm>
                            <a:off x="5441" y="3576"/>
                            <a:ext cx="630" cy="336"/>
                          </a:xfrm>
                          <a:prstGeom prst="rect">
                            <a:avLst/>
                          </a:prstGeom>
                          <a:solidFill>
                            <a:srgbClr val="000000">
                              <a:alpha val="59999"/>
                            </a:srgbClr>
                          </a:solidFill>
                          <a:ln>
                            <a:noFill/>
                          </a:ln>
                          <a:effectLst>
                            <a:innerShdw blurRad="63500" dist="50800" dir="16200000">
                              <a:prstClr val="black">
                                <a:alpha val="50000"/>
                              </a:prstClr>
                            </a:inn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34"/>
                        <wps:cNvCnPr>
                          <a:cxnSpLocks noChangeShapeType="1"/>
                        </wps:cNvCnPr>
                        <wps:spPr bwMode="auto">
                          <a:xfrm>
                            <a:off x="5726" y="3885"/>
                            <a:ext cx="0" cy="0"/>
                          </a:xfrm>
                          <a:prstGeom prst="line">
                            <a:avLst/>
                          </a:prstGeom>
                          <a:noFill/>
                          <a:ln w="37338">
                            <a:solidFill>
                              <a:srgbClr val="FFFFFF"/>
                            </a:solidFill>
                            <a:round/>
                            <a:headEnd/>
                            <a:tailEnd/>
                          </a:ln>
                          <a:extLst>
                            <a:ext uri="{909E8E84-426E-40DD-AFC4-6F175D3DCCD1}">
                              <a14:hiddenFill xmlns:a14="http://schemas.microsoft.com/office/drawing/2010/main">
                                <a:noFill/>
                              </a14:hiddenFill>
                            </a:ext>
                          </a:extLst>
                        </wps:spPr>
                        <wps:bodyPr/>
                      </wps:wsp>
                      <wps:wsp>
                        <wps:cNvPr id="41" name="Freeform 35"/>
                        <wps:cNvSpPr>
                          <a:spLocks/>
                        </wps:cNvSpPr>
                        <wps:spPr bwMode="auto">
                          <a:xfrm>
                            <a:off x="5624" y="3669"/>
                            <a:ext cx="227" cy="122"/>
                          </a:xfrm>
                          <a:custGeom>
                            <a:avLst/>
                            <a:gdLst>
                              <a:gd name="T0" fmla="+- 0 5839 5613"/>
                              <a:gd name="T1" fmla="*/ T0 w 227"/>
                              <a:gd name="T2" fmla="+- 0 3763 3763"/>
                              <a:gd name="T3" fmla="*/ 3763 h 122"/>
                              <a:gd name="T4" fmla="+- 0 5726 5613"/>
                              <a:gd name="T5" fmla="*/ T4 w 227"/>
                              <a:gd name="T6" fmla="+- 0 3885 3763"/>
                              <a:gd name="T7" fmla="*/ 3885 h 122"/>
                              <a:gd name="T8" fmla="+- 0 5613 5613"/>
                              <a:gd name="T9" fmla="*/ T8 w 227"/>
                              <a:gd name="T10" fmla="+- 0 3763 3763"/>
                              <a:gd name="T11" fmla="*/ 3763 h 122"/>
                            </a:gdLst>
                            <a:ahLst/>
                            <a:cxnLst>
                              <a:cxn ang="0">
                                <a:pos x="T1" y="T3"/>
                              </a:cxn>
                              <a:cxn ang="0">
                                <a:pos x="T5" y="T7"/>
                              </a:cxn>
                              <a:cxn ang="0">
                                <a:pos x="T9" y="T11"/>
                              </a:cxn>
                            </a:cxnLst>
                            <a:rect l="0" t="0" r="r" b="b"/>
                            <a:pathLst>
                              <a:path w="227" h="122">
                                <a:moveTo>
                                  <a:pt x="226" y="0"/>
                                </a:moveTo>
                                <a:lnTo>
                                  <a:pt x="113" y="122"/>
                                </a:lnTo>
                                <a:lnTo>
                                  <a:pt x="0" y="0"/>
                                </a:lnTo>
                              </a:path>
                            </a:pathLst>
                          </a:custGeom>
                          <a:noFill/>
                          <a:ln w="373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36"/>
                        <wps:cNvSpPr>
                          <a:spLocks noChangeArrowheads="1"/>
                        </wps:cNvSpPr>
                        <wps:spPr bwMode="auto">
                          <a:xfrm>
                            <a:off x="9098" y="3552"/>
                            <a:ext cx="531" cy="333"/>
                          </a:xfrm>
                          <a:prstGeom prst="rect">
                            <a:avLst/>
                          </a:prstGeom>
                          <a:solidFill>
                            <a:srgbClr val="000000">
                              <a:alpha val="59999"/>
                            </a:srgbClr>
                          </a:solidFill>
                          <a:ln>
                            <a:noFill/>
                          </a:ln>
                          <a:effectLst>
                            <a:innerShdw blurRad="63500" dist="50800" dir="16200000">
                              <a:prstClr val="black">
                                <a:alpha val="50000"/>
                              </a:prstClr>
                            </a:inn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37"/>
                        <wps:cNvCnPr>
                          <a:cxnSpLocks noChangeShapeType="1"/>
                        </wps:cNvCnPr>
                        <wps:spPr bwMode="auto">
                          <a:xfrm>
                            <a:off x="9298" y="3885"/>
                            <a:ext cx="0" cy="0"/>
                          </a:xfrm>
                          <a:prstGeom prst="line">
                            <a:avLst/>
                          </a:prstGeom>
                          <a:noFill/>
                          <a:ln w="37338">
                            <a:solidFill>
                              <a:srgbClr val="FFFFFF"/>
                            </a:solidFill>
                            <a:round/>
                            <a:headEnd/>
                            <a:tailEnd/>
                          </a:ln>
                          <a:extLst>
                            <a:ext uri="{909E8E84-426E-40DD-AFC4-6F175D3DCCD1}">
                              <a14:hiddenFill xmlns:a14="http://schemas.microsoft.com/office/drawing/2010/main">
                                <a:noFill/>
                              </a14:hiddenFill>
                            </a:ext>
                          </a:extLst>
                        </wps:spPr>
                        <wps:bodyPr/>
                      </wps:wsp>
                      <wps:wsp>
                        <wps:cNvPr id="44" name="Freeform 38"/>
                        <wps:cNvSpPr>
                          <a:spLocks/>
                        </wps:cNvSpPr>
                        <wps:spPr bwMode="auto">
                          <a:xfrm>
                            <a:off x="9274" y="3669"/>
                            <a:ext cx="211" cy="133"/>
                          </a:xfrm>
                          <a:custGeom>
                            <a:avLst/>
                            <a:gdLst>
                              <a:gd name="T0" fmla="+- 0 9411 9184"/>
                              <a:gd name="T1" fmla="*/ T0 w 227"/>
                              <a:gd name="T2" fmla="+- 0 3763 3763"/>
                              <a:gd name="T3" fmla="*/ 3763 h 122"/>
                              <a:gd name="T4" fmla="+- 0 9298 9184"/>
                              <a:gd name="T5" fmla="*/ T4 w 227"/>
                              <a:gd name="T6" fmla="+- 0 3885 3763"/>
                              <a:gd name="T7" fmla="*/ 3885 h 122"/>
                              <a:gd name="T8" fmla="+- 0 9184 9184"/>
                              <a:gd name="T9" fmla="*/ T8 w 227"/>
                              <a:gd name="T10" fmla="+- 0 3763 3763"/>
                              <a:gd name="T11" fmla="*/ 3763 h 122"/>
                            </a:gdLst>
                            <a:ahLst/>
                            <a:cxnLst>
                              <a:cxn ang="0">
                                <a:pos x="T1" y="T3"/>
                              </a:cxn>
                              <a:cxn ang="0">
                                <a:pos x="T5" y="T7"/>
                              </a:cxn>
                              <a:cxn ang="0">
                                <a:pos x="T9" y="T11"/>
                              </a:cxn>
                            </a:cxnLst>
                            <a:rect l="0" t="0" r="r" b="b"/>
                            <a:pathLst>
                              <a:path w="227" h="122">
                                <a:moveTo>
                                  <a:pt x="227" y="0"/>
                                </a:moveTo>
                                <a:lnTo>
                                  <a:pt x="114" y="122"/>
                                </a:lnTo>
                                <a:lnTo>
                                  <a:pt x="0" y="0"/>
                                </a:lnTo>
                              </a:path>
                            </a:pathLst>
                          </a:custGeom>
                          <a:noFill/>
                          <a:ln w="373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39"/>
                        <wps:cNvSpPr>
                          <a:spLocks noChangeArrowheads="1"/>
                        </wps:cNvSpPr>
                        <wps:spPr bwMode="auto">
                          <a:xfrm>
                            <a:off x="5441" y="4978"/>
                            <a:ext cx="630" cy="289"/>
                          </a:xfrm>
                          <a:prstGeom prst="rect">
                            <a:avLst/>
                          </a:prstGeom>
                          <a:solidFill>
                            <a:srgbClr val="000000">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40"/>
                        <wps:cNvCnPr>
                          <a:cxnSpLocks noChangeShapeType="1"/>
                        </wps:cNvCnPr>
                        <wps:spPr bwMode="auto">
                          <a:xfrm>
                            <a:off x="5726" y="5245"/>
                            <a:ext cx="0" cy="0"/>
                          </a:xfrm>
                          <a:prstGeom prst="line">
                            <a:avLst/>
                          </a:prstGeom>
                          <a:noFill/>
                          <a:ln w="37338">
                            <a:solidFill>
                              <a:srgbClr val="FFFFFF"/>
                            </a:solidFill>
                            <a:round/>
                            <a:headEnd/>
                            <a:tailEnd/>
                          </a:ln>
                          <a:extLst>
                            <a:ext uri="{909E8E84-426E-40DD-AFC4-6F175D3DCCD1}">
                              <a14:hiddenFill xmlns:a14="http://schemas.microsoft.com/office/drawing/2010/main">
                                <a:noFill/>
                              </a14:hiddenFill>
                            </a:ext>
                          </a:extLst>
                        </wps:spPr>
                        <wps:bodyPr/>
                      </wps:wsp>
                      <wps:wsp>
                        <wps:cNvPr id="47" name="Freeform 41"/>
                        <wps:cNvSpPr>
                          <a:spLocks/>
                        </wps:cNvSpPr>
                        <wps:spPr bwMode="auto">
                          <a:xfrm>
                            <a:off x="5624" y="5045"/>
                            <a:ext cx="227" cy="122"/>
                          </a:xfrm>
                          <a:custGeom>
                            <a:avLst/>
                            <a:gdLst>
                              <a:gd name="T0" fmla="+- 0 5839 5613"/>
                              <a:gd name="T1" fmla="*/ T0 w 227"/>
                              <a:gd name="T2" fmla="+- 0 5123 5123"/>
                              <a:gd name="T3" fmla="*/ 5123 h 122"/>
                              <a:gd name="T4" fmla="+- 0 5726 5613"/>
                              <a:gd name="T5" fmla="*/ T4 w 227"/>
                              <a:gd name="T6" fmla="+- 0 5245 5123"/>
                              <a:gd name="T7" fmla="*/ 5245 h 122"/>
                              <a:gd name="T8" fmla="+- 0 5613 5613"/>
                              <a:gd name="T9" fmla="*/ T8 w 227"/>
                              <a:gd name="T10" fmla="+- 0 5123 5123"/>
                              <a:gd name="T11" fmla="*/ 5123 h 122"/>
                            </a:gdLst>
                            <a:ahLst/>
                            <a:cxnLst>
                              <a:cxn ang="0">
                                <a:pos x="T1" y="T3"/>
                              </a:cxn>
                              <a:cxn ang="0">
                                <a:pos x="T5" y="T7"/>
                              </a:cxn>
                              <a:cxn ang="0">
                                <a:pos x="T9" y="T11"/>
                              </a:cxn>
                            </a:cxnLst>
                            <a:rect l="0" t="0" r="r" b="b"/>
                            <a:pathLst>
                              <a:path w="227" h="122">
                                <a:moveTo>
                                  <a:pt x="226" y="0"/>
                                </a:moveTo>
                                <a:lnTo>
                                  <a:pt x="113" y="122"/>
                                </a:lnTo>
                                <a:lnTo>
                                  <a:pt x="0" y="0"/>
                                </a:lnTo>
                              </a:path>
                            </a:pathLst>
                          </a:custGeom>
                          <a:noFill/>
                          <a:ln w="373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2"/>
                        <wps:cNvSpPr>
                          <a:spLocks noChangeArrowheads="1"/>
                        </wps:cNvSpPr>
                        <wps:spPr bwMode="auto">
                          <a:xfrm>
                            <a:off x="6746" y="2843"/>
                            <a:ext cx="1772" cy="440"/>
                          </a:xfrm>
                          <a:prstGeom prst="rect">
                            <a:avLst/>
                          </a:prstGeom>
                          <a:solidFill>
                            <a:srgbClr val="000000">
                              <a:alpha val="59999"/>
                            </a:srgbClr>
                          </a:solidFill>
                          <a:ln>
                            <a:noFill/>
                          </a:ln>
                          <a:effectLst>
                            <a:innerShdw blurRad="63500" dist="50800" dir="16200000">
                              <a:prstClr val="black">
                                <a:alpha val="50000"/>
                              </a:prstClr>
                            </a:inn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3"/>
                        <wps:cNvCnPr>
                          <a:cxnSpLocks noChangeShapeType="1"/>
                        </wps:cNvCnPr>
                        <wps:spPr bwMode="auto">
                          <a:xfrm>
                            <a:off x="8447" y="3042"/>
                            <a:ext cx="0" cy="0"/>
                          </a:xfrm>
                          <a:prstGeom prst="line">
                            <a:avLst/>
                          </a:prstGeom>
                          <a:noFill/>
                          <a:ln w="37338">
                            <a:solidFill>
                              <a:srgbClr val="FFFFFF"/>
                            </a:solidFill>
                            <a:round/>
                            <a:headEnd/>
                            <a:tailEnd/>
                          </a:ln>
                          <a:extLst>
                            <a:ext uri="{909E8E84-426E-40DD-AFC4-6F175D3DCCD1}">
                              <a14:hiddenFill xmlns:a14="http://schemas.microsoft.com/office/drawing/2010/main">
                                <a:noFill/>
                              </a14:hiddenFill>
                            </a:ext>
                          </a:extLst>
                        </wps:spPr>
                        <wps:bodyPr/>
                      </wps:wsp>
                      <wps:wsp>
                        <wps:cNvPr id="50" name="Freeform 44"/>
                        <wps:cNvSpPr>
                          <a:spLocks/>
                        </wps:cNvSpPr>
                        <wps:spPr bwMode="auto">
                          <a:xfrm>
                            <a:off x="7535" y="2964"/>
                            <a:ext cx="122" cy="227"/>
                          </a:xfrm>
                          <a:custGeom>
                            <a:avLst/>
                            <a:gdLst>
                              <a:gd name="T0" fmla="+- 0 8325 8325"/>
                              <a:gd name="T1" fmla="*/ T0 w 122"/>
                              <a:gd name="T2" fmla="+- 0 2929 2929"/>
                              <a:gd name="T3" fmla="*/ 2929 h 227"/>
                              <a:gd name="T4" fmla="+- 0 8447 8325"/>
                              <a:gd name="T5" fmla="*/ T4 w 122"/>
                              <a:gd name="T6" fmla="+- 0 3042 2929"/>
                              <a:gd name="T7" fmla="*/ 3042 h 227"/>
                              <a:gd name="T8" fmla="+- 0 8325 8325"/>
                              <a:gd name="T9" fmla="*/ T8 w 122"/>
                              <a:gd name="T10" fmla="+- 0 3155 2929"/>
                              <a:gd name="T11" fmla="*/ 3155 h 227"/>
                            </a:gdLst>
                            <a:ahLst/>
                            <a:cxnLst>
                              <a:cxn ang="0">
                                <a:pos x="T1" y="T3"/>
                              </a:cxn>
                              <a:cxn ang="0">
                                <a:pos x="T5" y="T7"/>
                              </a:cxn>
                              <a:cxn ang="0">
                                <a:pos x="T9" y="T11"/>
                              </a:cxn>
                            </a:cxnLst>
                            <a:rect l="0" t="0" r="r" b="b"/>
                            <a:pathLst>
                              <a:path w="122" h="227">
                                <a:moveTo>
                                  <a:pt x="0" y="0"/>
                                </a:moveTo>
                                <a:lnTo>
                                  <a:pt x="122" y="113"/>
                                </a:lnTo>
                                <a:lnTo>
                                  <a:pt x="0" y="226"/>
                                </a:lnTo>
                              </a:path>
                            </a:pathLst>
                          </a:custGeom>
                          <a:noFill/>
                          <a:ln w="373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5"/>
                        <wps:cNvSpPr>
                          <a:spLocks noChangeArrowheads="1"/>
                        </wps:cNvSpPr>
                        <wps:spPr bwMode="auto">
                          <a:xfrm>
                            <a:off x="2071" y="3669"/>
                            <a:ext cx="2002" cy="144"/>
                          </a:xfrm>
                          <a:prstGeom prst="rect">
                            <a:avLst/>
                          </a:prstGeom>
                          <a:solidFill>
                            <a:srgbClr val="000000">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46"/>
                        <wps:cNvCnPr>
                          <a:cxnSpLocks noChangeShapeType="1"/>
                        </wps:cNvCnPr>
                        <wps:spPr bwMode="auto">
                          <a:xfrm>
                            <a:off x="3997" y="3722"/>
                            <a:ext cx="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s:wsp>
                        <wps:cNvPr id="53" name="Rectangle 47"/>
                        <wps:cNvSpPr>
                          <a:spLocks noChangeArrowheads="1"/>
                        </wps:cNvSpPr>
                        <wps:spPr bwMode="auto">
                          <a:xfrm>
                            <a:off x="2045" y="5138"/>
                            <a:ext cx="2002" cy="144"/>
                          </a:xfrm>
                          <a:prstGeom prst="rect">
                            <a:avLst/>
                          </a:prstGeom>
                          <a:solidFill>
                            <a:srgbClr val="000000">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8"/>
                        <wps:cNvCnPr>
                          <a:cxnSpLocks noChangeShapeType="1"/>
                        </wps:cNvCnPr>
                        <wps:spPr bwMode="auto">
                          <a:xfrm>
                            <a:off x="3997" y="5083"/>
                            <a:ext cx="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s:wsp>
                        <wps:cNvPr id="55" name="Rectangle 49"/>
                        <wps:cNvSpPr>
                          <a:spLocks noChangeArrowheads="1"/>
                        </wps:cNvSpPr>
                        <wps:spPr bwMode="auto">
                          <a:xfrm>
                            <a:off x="7405" y="1824"/>
                            <a:ext cx="212" cy="303"/>
                          </a:xfrm>
                          <a:prstGeom prst="rect">
                            <a:avLst/>
                          </a:prstGeom>
                          <a:solidFill>
                            <a:srgbClr val="000000">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50"/>
                        <wps:cNvCnPr>
                          <a:cxnSpLocks noChangeShapeType="1"/>
                          <a:stCxn id="55" idx="0"/>
                        </wps:cNvCnPr>
                        <wps:spPr bwMode="auto">
                          <a:xfrm>
                            <a:off x="7511" y="1824"/>
                            <a:ext cx="2" cy="303"/>
                          </a:xfrm>
                          <a:prstGeom prst="line">
                            <a:avLst/>
                          </a:prstGeom>
                          <a:noFill/>
                          <a:ln w="37338">
                            <a:solidFill>
                              <a:srgbClr val="FFFFFF"/>
                            </a:solidFill>
                            <a:round/>
                            <a:headEnd/>
                            <a:tailEnd/>
                          </a:ln>
                          <a:extLst>
                            <a:ext uri="{909E8E84-426E-40DD-AFC4-6F175D3DCCD1}">
                              <a14:hiddenFill xmlns:a14="http://schemas.microsoft.com/office/drawing/2010/main">
                                <a:noFill/>
                              </a14:hiddenFill>
                            </a:ext>
                          </a:extLst>
                        </wps:spPr>
                        <wps:bodyPr/>
                      </wps:wsp>
                      <wps:wsp>
                        <wps:cNvPr id="57" name="Rectangle 51"/>
                        <wps:cNvSpPr>
                          <a:spLocks noChangeArrowheads="1"/>
                        </wps:cNvSpPr>
                        <wps:spPr bwMode="auto">
                          <a:xfrm>
                            <a:off x="5473" y="2110"/>
                            <a:ext cx="4195" cy="525"/>
                          </a:xfrm>
                          <a:prstGeom prst="rect">
                            <a:avLst/>
                          </a:prstGeom>
                          <a:solidFill>
                            <a:srgbClr val="000000">
                              <a:alpha val="59999"/>
                            </a:srgbClr>
                          </a:solidFill>
                          <a:ln>
                            <a:noFill/>
                          </a:ln>
                          <a:effectLst>
                            <a:innerShdw blurRad="63500" dist="50800" dir="16200000">
                              <a:prstClr val="black">
                                <a:alpha val="50000"/>
                              </a:prstClr>
                            </a:inn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52"/>
                        <wps:cNvSpPr>
                          <a:spLocks/>
                        </wps:cNvSpPr>
                        <wps:spPr bwMode="auto">
                          <a:xfrm>
                            <a:off x="5724" y="2223"/>
                            <a:ext cx="3708" cy="296"/>
                          </a:xfrm>
                          <a:custGeom>
                            <a:avLst/>
                            <a:gdLst>
                              <a:gd name="T0" fmla="+- 0 5725 5725"/>
                              <a:gd name="T1" fmla="*/ T0 w 3572"/>
                              <a:gd name="T2" fmla="+- 0 2531 2235"/>
                              <a:gd name="T3" fmla="*/ 2531 h 296"/>
                              <a:gd name="T4" fmla="+- 0 5725 5725"/>
                              <a:gd name="T5" fmla="*/ T4 w 3572"/>
                              <a:gd name="T6" fmla="+- 0 2235 2235"/>
                              <a:gd name="T7" fmla="*/ 2235 h 296"/>
                              <a:gd name="T8" fmla="+- 0 9296 5725"/>
                              <a:gd name="T9" fmla="*/ T8 w 3572"/>
                              <a:gd name="T10" fmla="+- 0 2235 2235"/>
                              <a:gd name="T11" fmla="*/ 2235 h 296"/>
                              <a:gd name="T12" fmla="+- 0 9296 5725"/>
                              <a:gd name="T13" fmla="*/ T12 w 3572"/>
                              <a:gd name="T14" fmla="+- 0 2531 2235"/>
                              <a:gd name="T15" fmla="*/ 2531 h 296"/>
                            </a:gdLst>
                            <a:ahLst/>
                            <a:cxnLst>
                              <a:cxn ang="0">
                                <a:pos x="T1" y="T3"/>
                              </a:cxn>
                              <a:cxn ang="0">
                                <a:pos x="T5" y="T7"/>
                              </a:cxn>
                              <a:cxn ang="0">
                                <a:pos x="T9" y="T11"/>
                              </a:cxn>
                              <a:cxn ang="0">
                                <a:pos x="T13" y="T15"/>
                              </a:cxn>
                            </a:cxnLst>
                            <a:rect l="0" t="0" r="r" b="b"/>
                            <a:pathLst>
                              <a:path w="3572" h="296">
                                <a:moveTo>
                                  <a:pt x="0" y="296"/>
                                </a:moveTo>
                                <a:lnTo>
                                  <a:pt x="0" y="0"/>
                                </a:lnTo>
                                <a:lnTo>
                                  <a:pt x="3571" y="0"/>
                                </a:lnTo>
                                <a:lnTo>
                                  <a:pt x="3571" y="296"/>
                                </a:lnTo>
                              </a:path>
                            </a:pathLst>
                          </a:custGeom>
                          <a:noFill/>
                          <a:ln w="373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3"/>
                        <wps:cNvSpPr>
                          <a:spLocks/>
                        </wps:cNvSpPr>
                        <wps:spPr bwMode="auto">
                          <a:xfrm>
                            <a:off x="5611" y="2409"/>
                            <a:ext cx="227" cy="122"/>
                          </a:xfrm>
                          <a:custGeom>
                            <a:avLst/>
                            <a:gdLst>
                              <a:gd name="T0" fmla="+- 0 5838 5611"/>
                              <a:gd name="T1" fmla="*/ T0 w 227"/>
                              <a:gd name="T2" fmla="+- 0 2409 2409"/>
                              <a:gd name="T3" fmla="*/ 2409 h 122"/>
                              <a:gd name="T4" fmla="+- 0 5725 5611"/>
                              <a:gd name="T5" fmla="*/ T4 w 227"/>
                              <a:gd name="T6" fmla="+- 0 2531 2409"/>
                              <a:gd name="T7" fmla="*/ 2531 h 122"/>
                              <a:gd name="T8" fmla="+- 0 5611 5611"/>
                              <a:gd name="T9" fmla="*/ T8 w 227"/>
                              <a:gd name="T10" fmla="+- 0 2409 2409"/>
                              <a:gd name="T11" fmla="*/ 2409 h 122"/>
                            </a:gdLst>
                            <a:ahLst/>
                            <a:cxnLst>
                              <a:cxn ang="0">
                                <a:pos x="T1" y="T3"/>
                              </a:cxn>
                              <a:cxn ang="0">
                                <a:pos x="T5" y="T7"/>
                              </a:cxn>
                              <a:cxn ang="0">
                                <a:pos x="T9" y="T11"/>
                              </a:cxn>
                            </a:cxnLst>
                            <a:rect l="0" t="0" r="r" b="b"/>
                            <a:pathLst>
                              <a:path w="227" h="122">
                                <a:moveTo>
                                  <a:pt x="227" y="0"/>
                                </a:moveTo>
                                <a:lnTo>
                                  <a:pt x="114" y="122"/>
                                </a:lnTo>
                                <a:lnTo>
                                  <a:pt x="0" y="0"/>
                                </a:lnTo>
                              </a:path>
                            </a:pathLst>
                          </a:custGeom>
                          <a:noFill/>
                          <a:ln w="373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4"/>
                        <wps:cNvSpPr>
                          <a:spLocks/>
                        </wps:cNvSpPr>
                        <wps:spPr bwMode="auto">
                          <a:xfrm>
                            <a:off x="9308" y="2431"/>
                            <a:ext cx="227" cy="122"/>
                          </a:xfrm>
                          <a:custGeom>
                            <a:avLst/>
                            <a:gdLst>
                              <a:gd name="T0" fmla="+- 0 9410 9183"/>
                              <a:gd name="T1" fmla="*/ T0 w 227"/>
                              <a:gd name="T2" fmla="+- 0 2409 2409"/>
                              <a:gd name="T3" fmla="*/ 2409 h 122"/>
                              <a:gd name="T4" fmla="+- 0 9296 9183"/>
                              <a:gd name="T5" fmla="*/ T4 w 227"/>
                              <a:gd name="T6" fmla="+- 0 2531 2409"/>
                              <a:gd name="T7" fmla="*/ 2531 h 122"/>
                              <a:gd name="T8" fmla="+- 0 9183 9183"/>
                              <a:gd name="T9" fmla="*/ T8 w 227"/>
                              <a:gd name="T10" fmla="+- 0 2409 2409"/>
                              <a:gd name="T11" fmla="*/ 2409 h 122"/>
                            </a:gdLst>
                            <a:ahLst/>
                            <a:cxnLst>
                              <a:cxn ang="0">
                                <a:pos x="T1" y="T3"/>
                              </a:cxn>
                              <a:cxn ang="0">
                                <a:pos x="T5" y="T7"/>
                              </a:cxn>
                              <a:cxn ang="0">
                                <a:pos x="T9" y="T11"/>
                              </a:cxn>
                            </a:cxnLst>
                            <a:rect l="0" t="0" r="r" b="b"/>
                            <a:pathLst>
                              <a:path w="227" h="122">
                                <a:moveTo>
                                  <a:pt x="227" y="0"/>
                                </a:moveTo>
                                <a:lnTo>
                                  <a:pt x="113" y="122"/>
                                </a:lnTo>
                                <a:lnTo>
                                  <a:pt x="0" y="0"/>
                                </a:lnTo>
                              </a:path>
                            </a:pathLst>
                          </a:custGeom>
                          <a:noFill/>
                          <a:ln w="3733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55"/>
                        <wps:cNvSpPr txBox="1">
                          <a:spLocks noChangeArrowheads="1"/>
                        </wps:cNvSpPr>
                        <wps:spPr bwMode="auto">
                          <a:xfrm>
                            <a:off x="2170" y="542"/>
                            <a:ext cx="861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F11" w14:textId="77777777" w:rsidR="00BC28A9" w:rsidRPr="00747449" w:rsidRDefault="00BC28A9" w:rsidP="00747449">
                              <w:pPr>
                                <w:pStyle w:val="Heading2"/>
                                <w:jc w:val="center"/>
                                <w:rPr>
                                  <w:sz w:val="24"/>
                                  <w:szCs w:val="24"/>
                                </w:rPr>
                              </w:pPr>
                              <w:r w:rsidRPr="00747449">
                                <w:rPr>
                                  <w:sz w:val="24"/>
                                  <w:szCs w:val="24"/>
                                </w:rPr>
                                <w:t>Australian Government Financial Reporting Framework (Annual Reporting)</w:t>
                              </w:r>
                            </w:p>
                          </w:txbxContent>
                        </wps:txbx>
                        <wps:bodyPr rot="0" vert="horz" wrap="square" lIns="0" tIns="0" rIns="0" bIns="0" anchor="t" anchorCtr="0" upright="1">
                          <a:noAutofit/>
                        </wps:bodyPr>
                      </wps:wsp>
                      <wps:wsp>
                        <wps:cNvPr id="62" name="Text Box 56"/>
                        <wps:cNvSpPr txBox="1">
                          <a:spLocks noChangeArrowheads="1"/>
                        </wps:cNvSpPr>
                        <wps:spPr bwMode="auto">
                          <a:xfrm>
                            <a:off x="5838" y="1176"/>
                            <a:ext cx="3490" cy="629"/>
                          </a:xfrm>
                          <a:prstGeom prst="rect">
                            <a:avLst/>
                          </a:prstGeom>
                          <a:solidFill>
                            <a:schemeClr val="accent5">
                              <a:lumMod val="5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5"/>
                          </a:fillRef>
                          <a:effectRef idx="1">
                            <a:schemeClr val="accent5"/>
                          </a:effectRef>
                          <a:fontRef idx="minor">
                            <a:schemeClr val="lt1"/>
                          </a:fontRef>
                        </wps:style>
                        <wps:txbx>
                          <w:txbxContent>
                            <w:p w14:paraId="7AEFEF12" w14:textId="77777777" w:rsidR="00BC28A9" w:rsidRPr="009131EB" w:rsidRDefault="00BC28A9" w:rsidP="009131EB">
                              <w:pPr>
                                <w:jc w:val="center"/>
                                <w:rPr>
                                  <w:b/>
                                  <w:sz w:val="28"/>
                                  <w:szCs w:val="28"/>
                                </w:rPr>
                              </w:pPr>
                              <w:r w:rsidRPr="009131EB">
                                <w:rPr>
                                  <w:b/>
                                  <w:w w:val="80"/>
                                  <w:sz w:val="28"/>
                                  <w:szCs w:val="28"/>
                                </w:rPr>
                                <w:t>PGPA Act</w:t>
                              </w:r>
                            </w:p>
                          </w:txbxContent>
                        </wps:txbx>
                        <wps:bodyPr rot="0" vert="horz" wrap="square" lIns="0" tIns="0" rIns="0" bIns="0" anchor="ctr" anchorCtr="0" upright="1">
                          <a:noAutofit/>
                        </wps:bodyPr>
                      </wps:wsp>
                      <wps:wsp>
                        <wps:cNvPr id="63" name="Text Box 57"/>
                        <wps:cNvSpPr txBox="1">
                          <a:spLocks noChangeArrowheads="1"/>
                        </wps:cNvSpPr>
                        <wps:spPr bwMode="auto">
                          <a:xfrm>
                            <a:off x="2154" y="2796"/>
                            <a:ext cx="1792"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F13" w14:textId="77777777" w:rsidR="00BC28A9" w:rsidRPr="00446DD0" w:rsidRDefault="00BC28A9" w:rsidP="00714A45">
                              <w:pPr>
                                <w:rPr>
                                  <w:b/>
                                  <w:sz w:val="24"/>
                                  <w:szCs w:val="24"/>
                                </w:rPr>
                              </w:pPr>
                              <w:r w:rsidRPr="00446DD0">
                                <w:rPr>
                                  <w:b/>
                                  <w:w w:val="80"/>
                                  <w:sz w:val="24"/>
                                  <w:szCs w:val="24"/>
                                </w:rPr>
                                <w:t>Legislation</w:t>
                              </w:r>
                            </w:p>
                          </w:txbxContent>
                        </wps:txbx>
                        <wps:bodyPr rot="0" vert="horz" wrap="square" lIns="0" tIns="0" rIns="0" bIns="0" anchor="ctr" anchorCtr="0" upright="1">
                          <a:noAutofit/>
                        </wps:bodyPr>
                      </wps:wsp>
                      <wps:wsp>
                        <wps:cNvPr id="64" name="Text Box 58"/>
                        <wps:cNvSpPr txBox="1">
                          <a:spLocks noChangeArrowheads="1"/>
                        </wps:cNvSpPr>
                        <wps:spPr bwMode="auto">
                          <a:xfrm>
                            <a:off x="4862" y="2682"/>
                            <a:ext cx="1811" cy="822"/>
                          </a:xfrm>
                          <a:prstGeom prst="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5"/>
                          </a:fillRef>
                          <a:effectRef idx="1">
                            <a:schemeClr val="accent5"/>
                          </a:effectRef>
                          <a:fontRef idx="minor">
                            <a:schemeClr val="lt1"/>
                          </a:fontRef>
                        </wps:style>
                        <wps:txbx>
                          <w:txbxContent>
                            <w:p w14:paraId="7AEFEF14" w14:textId="12E4858D" w:rsidR="00BC28A9" w:rsidRPr="00677DE2" w:rsidRDefault="00BC28A9" w:rsidP="009A4A69">
                              <w:pPr>
                                <w:jc w:val="center"/>
                                <w:rPr>
                                  <w:b/>
                                  <w:w w:val="80"/>
                                </w:rPr>
                              </w:pPr>
                              <w:r w:rsidRPr="00677DE2">
                                <w:rPr>
                                  <w:b/>
                                  <w:w w:val="80"/>
                                </w:rPr>
                                <w:t xml:space="preserve">PGPA </w:t>
                              </w:r>
                              <w:r w:rsidR="005B215F">
                                <w:rPr>
                                  <w:b/>
                                  <w:w w:val="80"/>
                                </w:rPr>
                                <w:t>(</w:t>
                              </w:r>
                              <w:r w:rsidRPr="00677DE2">
                                <w:rPr>
                                  <w:b/>
                                  <w:w w:val="80"/>
                                </w:rPr>
                                <w:t>Financial Reporting</w:t>
                              </w:r>
                              <w:r w:rsidR="005B215F">
                                <w:rPr>
                                  <w:b/>
                                  <w:w w:val="80"/>
                                </w:rPr>
                                <w:t>)</w:t>
                              </w:r>
                              <w:r w:rsidRPr="00677DE2">
                                <w:rPr>
                                  <w:b/>
                                  <w:w w:val="80"/>
                                </w:rPr>
                                <w:t xml:space="preserve"> Rule </w:t>
                              </w:r>
                              <w:r w:rsidR="009C3F77" w:rsidRPr="00677DE2">
                                <w:rPr>
                                  <w:b/>
                                  <w:w w:val="80"/>
                                </w:rPr>
                                <w:br/>
                              </w:r>
                              <w:r w:rsidRPr="00677DE2">
                                <w:rPr>
                                  <w:b/>
                                  <w:w w:val="80"/>
                                </w:rPr>
                                <w:t>(FRR)</w:t>
                              </w:r>
                            </w:p>
                          </w:txbxContent>
                        </wps:txbx>
                        <wps:bodyPr rot="0" vert="horz" wrap="square" lIns="0" tIns="0" rIns="0" bIns="0" anchor="ctr" anchorCtr="0" upright="1">
                          <a:noAutofit/>
                        </wps:bodyPr>
                      </wps:wsp>
                      <wps:wsp>
                        <wps:cNvPr id="66" name="Text Box 60"/>
                        <wps:cNvSpPr txBox="1">
                          <a:spLocks noChangeArrowheads="1"/>
                        </wps:cNvSpPr>
                        <wps:spPr bwMode="auto">
                          <a:xfrm>
                            <a:off x="8607" y="2682"/>
                            <a:ext cx="1879" cy="786"/>
                          </a:xfrm>
                          <a:prstGeom prst="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5"/>
                          </a:fillRef>
                          <a:effectRef idx="1">
                            <a:schemeClr val="accent5"/>
                          </a:effectRef>
                          <a:fontRef idx="minor">
                            <a:schemeClr val="lt1"/>
                          </a:fontRef>
                        </wps:style>
                        <wps:txbx>
                          <w:txbxContent>
                            <w:p w14:paraId="7AEFEF15" w14:textId="77777777" w:rsidR="00BC28A9" w:rsidRPr="00677DE2" w:rsidRDefault="00BC28A9" w:rsidP="009A4A69">
                              <w:pPr>
                                <w:jc w:val="center"/>
                                <w:rPr>
                                  <w:b/>
                                  <w:w w:val="80"/>
                                </w:rPr>
                              </w:pPr>
                              <w:r w:rsidRPr="00677DE2">
                                <w:rPr>
                                  <w:b/>
                                  <w:w w:val="80"/>
                                </w:rPr>
                                <w:t>AAS and</w:t>
                              </w:r>
                            </w:p>
                            <w:p w14:paraId="7AEFEF16" w14:textId="77777777" w:rsidR="00BC28A9" w:rsidRPr="00677DE2" w:rsidRDefault="00BC28A9" w:rsidP="009A4A69">
                              <w:pPr>
                                <w:jc w:val="center"/>
                                <w:rPr>
                                  <w:b/>
                                  <w:w w:val="80"/>
                                </w:rPr>
                              </w:pPr>
                              <w:r w:rsidRPr="00677DE2">
                                <w:rPr>
                                  <w:b/>
                                  <w:w w:val="80"/>
                                </w:rPr>
                                <w:t>Interpretations</w:t>
                              </w:r>
                            </w:p>
                          </w:txbxContent>
                        </wps:txbx>
                        <wps:bodyPr rot="0" vert="horz" wrap="square" lIns="0" tIns="0" rIns="0" bIns="0" anchor="ctr" anchorCtr="0" upright="1">
                          <a:noAutofit/>
                        </wps:bodyPr>
                      </wps:wsp>
                      <wps:wsp>
                        <wps:cNvPr id="68" name="Text Box 62"/>
                        <wps:cNvSpPr txBox="1">
                          <a:spLocks noChangeArrowheads="1"/>
                        </wps:cNvSpPr>
                        <wps:spPr bwMode="auto">
                          <a:xfrm>
                            <a:off x="2167" y="4041"/>
                            <a:ext cx="853"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F17" w14:textId="77777777" w:rsidR="00BC28A9" w:rsidRPr="00446DD0" w:rsidRDefault="00BC28A9" w:rsidP="00714A45">
                              <w:pPr>
                                <w:rPr>
                                  <w:b/>
                                  <w:sz w:val="24"/>
                                  <w:szCs w:val="24"/>
                                </w:rPr>
                              </w:pPr>
                              <w:r w:rsidRPr="00446DD0">
                                <w:rPr>
                                  <w:b/>
                                  <w:w w:val="80"/>
                                  <w:sz w:val="24"/>
                                  <w:szCs w:val="24"/>
                                </w:rPr>
                                <w:t>Policy</w:t>
                              </w:r>
                            </w:p>
                          </w:txbxContent>
                        </wps:txbx>
                        <wps:bodyPr rot="0" vert="horz" wrap="square" lIns="0" tIns="0" rIns="0" bIns="0" anchor="ctr" anchorCtr="0" upright="1">
                          <a:noAutofit/>
                        </wps:bodyPr>
                      </wps:wsp>
                      <wps:wsp>
                        <wps:cNvPr id="69" name="Text Box 63"/>
                        <wps:cNvSpPr txBox="1">
                          <a:spLocks noChangeArrowheads="1"/>
                        </wps:cNvSpPr>
                        <wps:spPr bwMode="auto">
                          <a:xfrm>
                            <a:off x="3255" y="3975"/>
                            <a:ext cx="1528" cy="914"/>
                          </a:xfrm>
                          <a:prstGeom prst="rect">
                            <a:avLst/>
                          </a:prstGeom>
                          <a:solidFill>
                            <a:schemeClr val="accent6">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6"/>
                          </a:fillRef>
                          <a:effectRef idx="1">
                            <a:schemeClr val="accent6"/>
                          </a:effectRef>
                          <a:fontRef idx="minor">
                            <a:schemeClr val="lt1"/>
                          </a:fontRef>
                        </wps:style>
                        <wps:txbx>
                          <w:txbxContent>
                            <w:p w14:paraId="7AEFEF18" w14:textId="77777777" w:rsidR="00BC28A9" w:rsidRPr="00677DE2" w:rsidRDefault="00BC28A9" w:rsidP="009A4A69">
                              <w:pPr>
                                <w:jc w:val="center"/>
                                <w:rPr>
                                  <w:b/>
                                  <w:w w:val="80"/>
                                </w:rPr>
                              </w:pPr>
                              <w:r w:rsidRPr="00677DE2">
                                <w:rPr>
                                  <w:b/>
                                  <w:w w:val="80"/>
                                </w:rPr>
                                <w:t xml:space="preserve">*Resource Management </w:t>
                              </w:r>
                              <w:r w:rsidR="009A4A69" w:rsidRPr="00677DE2">
                                <w:rPr>
                                  <w:b/>
                                  <w:w w:val="80"/>
                                </w:rPr>
                                <w:br/>
                              </w:r>
                              <w:r w:rsidRPr="00677DE2">
                                <w:rPr>
                                  <w:b/>
                                  <w:w w:val="80"/>
                                </w:rPr>
                                <w:t>Guides (RMGs)</w:t>
                              </w:r>
                            </w:p>
                          </w:txbxContent>
                        </wps:txbx>
                        <wps:bodyPr rot="0" vert="horz" wrap="square" lIns="0" tIns="0" rIns="0" bIns="0" anchor="ctr" anchorCtr="0" upright="1">
                          <a:noAutofit/>
                        </wps:bodyPr>
                      </wps:wsp>
                      <wps:wsp>
                        <wps:cNvPr id="72" name="Text Box 66"/>
                        <wps:cNvSpPr txBox="1">
                          <a:spLocks noChangeArrowheads="1"/>
                        </wps:cNvSpPr>
                        <wps:spPr bwMode="auto">
                          <a:xfrm>
                            <a:off x="6772" y="3960"/>
                            <a:ext cx="1675" cy="929"/>
                          </a:xfrm>
                          <a:prstGeom prst="rect">
                            <a:avLst/>
                          </a:prstGeom>
                          <a:solidFill>
                            <a:schemeClr val="accent6">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6"/>
                          </a:fillRef>
                          <a:effectRef idx="1">
                            <a:schemeClr val="accent6"/>
                          </a:effectRef>
                          <a:fontRef idx="minor">
                            <a:schemeClr val="lt1"/>
                          </a:fontRef>
                        </wps:style>
                        <wps:txbx>
                          <w:txbxContent>
                            <w:p w14:paraId="7AEFEF19" w14:textId="77777777" w:rsidR="00BC28A9" w:rsidRPr="00677DE2" w:rsidRDefault="00BC28A9" w:rsidP="00446DD0">
                              <w:pPr>
                                <w:jc w:val="center"/>
                                <w:rPr>
                                  <w:b/>
                                  <w:w w:val="80"/>
                                </w:rPr>
                              </w:pPr>
                              <w:r w:rsidRPr="00677DE2">
                                <w:rPr>
                                  <w:b/>
                                  <w:w w:val="80"/>
                                </w:rPr>
                                <w:t>Estimates</w:t>
                              </w:r>
                            </w:p>
                            <w:p w14:paraId="7AEFEF1A" w14:textId="1E7114DD" w:rsidR="00BC28A9" w:rsidRPr="00677DE2" w:rsidRDefault="00BC28A9" w:rsidP="00446DD0">
                              <w:pPr>
                                <w:jc w:val="center"/>
                                <w:rPr>
                                  <w:b/>
                                  <w:w w:val="80"/>
                                </w:rPr>
                              </w:pPr>
                              <w:r w:rsidRPr="00677DE2">
                                <w:rPr>
                                  <w:b/>
                                  <w:w w:val="80"/>
                                </w:rPr>
                                <w:t>Memorand</w:t>
                              </w:r>
                              <w:r w:rsidR="00D01807">
                                <w:rPr>
                                  <w:b/>
                                  <w:w w:val="80"/>
                                </w:rPr>
                                <w:t>a</w:t>
                              </w:r>
                            </w:p>
                            <w:p w14:paraId="7AEFEF1B" w14:textId="77777777" w:rsidR="00BC28A9" w:rsidRDefault="00BC28A9" w:rsidP="00714A45"/>
                          </w:txbxContent>
                        </wps:txbx>
                        <wps:bodyPr rot="0" vert="horz" wrap="square" lIns="0" tIns="0" rIns="0" bIns="0" anchor="ctr" anchorCtr="0" upright="1">
                          <a:noAutofit/>
                        </wps:bodyPr>
                      </wps:wsp>
                      <wps:wsp>
                        <wps:cNvPr id="75" name="Text Box 69"/>
                        <wps:cNvSpPr txBox="1">
                          <a:spLocks noChangeArrowheads="1"/>
                        </wps:cNvSpPr>
                        <wps:spPr bwMode="auto">
                          <a:xfrm flipH="1" flipV="1">
                            <a:off x="3216" y="5378"/>
                            <a:ext cx="1554" cy="921"/>
                          </a:xfrm>
                          <a:prstGeom prst="rect">
                            <a:avLst/>
                          </a:prstGeom>
                          <a:solidFill>
                            <a:schemeClr val="accent6">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6"/>
                          </a:fillRef>
                          <a:effectRef idx="1">
                            <a:schemeClr val="accent6"/>
                          </a:effectRef>
                          <a:fontRef idx="minor">
                            <a:schemeClr val="lt1"/>
                          </a:fontRef>
                        </wps:style>
                        <wps:txbx>
                          <w:txbxContent>
                            <w:p w14:paraId="7AEFEF1C" w14:textId="77777777" w:rsidR="00BC28A9" w:rsidRPr="00677DE2" w:rsidRDefault="00BC28A9" w:rsidP="009A4A69">
                              <w:pPr>
                                <w:jc w:val="center"/>
                                <w:rPr>
                                  <w:b/>
                                  <w:w w:val="80"/>
                                </w:rPr>
                              </w:pPr>
                              <w:r w:rsidRPr="00677DE2">
                                <w:rPr>
                                  <w:b/>
                                  <w:w w:val="80"/>
                                </w:rPr>
                                <w:t>*RMGs</w:t>
                              </w:r>
                            </w:p>
                          </w:txbxContent>
                        </wps:txbx>
                        <wps:bodyPr rot="0" vert="horz" wrap="square" lIns="0" tIns="0" rIns="0" bIns="0" anchor="ctr" anchorCtr="0" upright="1">
                          <a:noAutofit/>
                        </wps:bodyPr>
                      </wps:wsp>
                      <wps:wsp>
                        <wps:cNvPr id="76" name="Text Box 70"/>
                        <wps:cNvSpPr txBox="1">
                          <a:spLocks noChangeArrowheads="1"/>
                        </wps:cNvSpPr>
                        <wps:spPr bwMode="auto">
                          <a:xfrm>
                            <a:off x="4966" y="5378"/>
                            <a:ext cx="1609" cy="932"/>
                          </a:xfrm>
                          <a:prstGeom prst="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6"/>
                          </a:fillRef>
                          <a:effectRef idx="1">
                            <a:schemeClr val="accent6"/>
                          </a:effectRef>
                          <a:fontRef idx="minor">
                            <a:schemeClr val="lt1"/>
                          </a:fontRef>
                        </wps:style>
                        <wps:txbx>
                          <w:txbxContent>
                            <w:p w14:paraId="7AEFEF1D" w14:textId="77777777" w:rsidR="00434CE7" w:rsidRPr="00677DE2" w:rsidRDefault="00BC28A9" w:rsidP="009A4A69">
                              <w:pPr>
                                <w:jc w:val="center"/>
                                <w:rPr>
                                  <w:b/>
                                  <w:w w:val="80"/>
                                </w:rPr>
                              </w:pPr>
                              <w:r w:rsidRPr="00677DE2">
                                <w:rPr>
                                  <w:b/>
                                  <w:w w:val="80"/>
                                </w:rPr>
                                <w:t xml:space="preserve">Guidance to </w:t>
                              </w:r>
                              <w:r w:rsidR="009A4A69" w:rsidRPr="00677DE2">
                                <w:rPr>
                                  <w:b/>
                                  <w:w w:val="80"/>
                                </w:rPr>
                                <w:br/>
                              </w:r>
                              <w:r w:rsidRPr="00677DE2">
                                <w:rPr>
                                  <w:b/>
                                  <w:w w:val="80"/>
                                </w:rPr>
                                <w:t>FRR</w:t>
                              </w:r>
                            </w:p>
                            <w:p w14:paraId="7AEFEF1E" w14:textId="77777777" w:rsidR="00BC28A9" w:rsidRPr="00677DE2" w:rsidRDefault="009A4A69" w:rsidP="009A4A69">
                              <w:pPr>
                                <w:jc w:val="center"/>
                                <w:rPr>
                                  <w:b/>
                                  <w:w w:val="80"/>
                                </w:rPr>
                              </w:pPr>
                              <w:r w:rsidRPr="00677DE2">
                                <w:rPr>
                                  <w:b/>
                                  <w:w w:val="80"/>
                                </w:rPr>
                                <w:t xml:space="preserve">(incl. </w:t>
                              </w:r>
                              <w:r w:rsidR="00BC28A9" w:rsidRPr="00677DE2">
                                <w:rPr>
                                  <w:b/>
                                  <w:w w:val="80"/>
                                </w:rPr>
                                <w:t>PRIMA)</w:t>
                              </w:r>
                            </w:p>
                          </w:txbxContent>
                        </wps:txbx>
                        <wps:bodyPr rot="0" vert="horz" wrap="square" lIns="0" tIns="0" rIns="0" bIns="0" anchor="ctr" anchorCtr="0" upright="1">
                          <a:noAutofit/>
                        </wps:bodyPr>
                      </wps:wsp>
                      <wps:wsp>
                        <wps:cNvPr id="77" name="Text Box 71"/>
                        <wps:cNvSpPr txBox="1">
                          <a:spLocks noChangeArrowheads="1"/>
                        </wps:cNvSpPr>
                        <wps:spPr bwMode="auto">
                          <a:xfrm>
                            <a:off x="6772" y="5347"/>
                            <a:ext cx="1746" cy="975"/>
                          </a:xfrm>
                          <a:prstGeom prst="rect">
                            <a:avLst/>
                          </a:prstGeom>
                          <a:solidFill>
                            <a:schemeClr val="accent6">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6"/>
                          </a:fillRef>
                          <a:effectRef idx="1">
                            <a:schemeClr val="accent6"/>
                          </a:effectRef>
                          <a:fontRef idx="minor">
                            <a:schemeClr val="lt1"/>
                          </a:fontRef>
                        </wps:style>
                        <wps:txbx>
                          <w:txbxContent>
                            <w:p w14:paraId="7AEFEF1F" w14:textId="77777777" w:rsidR="00BC28A9" w:rsidRPr="00677DE2" w:rsidRDefault="00BC28A9" w:rsidP="008A5AC9">
                              <w:pPr>
                                <w:jc w:val="center"/>
                                <w:rPr>
                                  <w:b/>
                                  <w:w w:val="80"/>
                                </w:rPr>
                              </w:pPr>
                              <w:r w:rsidRPr="00677DE2">
                                <w:rPr>
                                  <w:b/>
                                  <w:w w:val="80"/>
                                </w:rPr>
                                <w:t>Other</w:t>
                              </w:r>
                              <w:r w:rsidR="008A5AC9" w:rsidRPr="00677DE2">
                                <w:rPr>
                                  <w:b/>
                                  <w:w w:val="80"/>
                                </w:rPr>
                                <w:t xml:space="preserve"> (including</w:t>
                              </w:r>
                              <w:r w:rsidR="008A5AC9" w:rsidRPr="00677DE2">
                                <w:rPr>
                                  <w:b/>
                                  <w:w w:val="80"/>
                                </w:rPr>
                                <w:br/>
                              </w:r>
                              <w:r w:rsidR="00434CE7" w:rsidRPr="00677DE2">
                                <w:rPr>
                                  <w:b/>
                                  <w:w w:val="80"/>
                                </w:rPr>
                                <w:t>i</w:t>
                              </w:r>
                              <w:r w:rsidRPr="00677DE2">
                                <w:rPr>
                                  <w:b/>
                                  <w:w w:val="80"/>
                                </w:rPr>
                                <w:t>nformation</w:t>
                              </w:r>
                              <w:r w:rsidR="009A4A69" w:rsidRPr="00677DE2">
                                <w:rPr>
                                  <w:b/>
                                  <w:w w:val="80"/>
                                </w:rPr>
                                <w:t xml:space="preserve">, </w:t>
                              </w:r>
                              <w:r w:rsidR="008A5AC9" w:rsidRPr="00677DE2">
                                <w:rPr>
                                  <w:b/>
                                  <w:w w:val="80"/>
                                </w:rPr>
                                <w:br/>
                              </w:r>
                              <w:r w:rsidR="00434CE7" w:rsidRPr="00677DE2">
                                <w:rPr>
                                  <w:b/>
                                  <w:w w:val="80"/>
                                </w:rPr>
                                <w:t>fact s</w:t>
                              </w:r>
                              <w:r w:rsidRPr="00677DE2">
                                <w:rPr>
                                  <w:b/>
                                  <w:w w:val="80"/>
                                </w:rPr>
                                <w:t xml:space="preserve">heets and </w:t>
                              </w:r>
                              <w:r w:rsidR="008A5AC9" w:rsidRPr="00677DE2">
                                <w:rPr>
                                  <w:b/>
                                  <w:w w:val="80"/>
                                </w:rPr>
                                <w:br/>
                                <w:t>CFO Forum)</w:t>
                              </w:r>
                            </w:p>
                          </w:txbxContent>
                        </wps:txbx>
                        <wps:bodyPr rot="0" vert="horz" wrap="square" lIns="0" tIns="0" rIns="0" bIns="0" anchor="ctr" anchorCtr="0" upright="1">
                          <a:noAutofit/>
                        </wps:bodyPr>
                      </wps:wsp>
                      <wps:wsp>
                        <wps:cNvPr id="80" name="Text Box 74"/>
                        <wps:cNvSpPr txBox="1">
                          <a:spLocks noChangeArrowheads="1"/>
                        </wps:cNvSpPr>
                        <wps:spPr bwMode="auto">
                          <a:xfrm>
                            <a:off x="2167" y="6434"/>
                            <a:ext cx="8766"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F20" w14:textId="77777777" w:rsidR="008A5AC9" w:rsidRDefault="00BC28A9" w:rsidP="009131EB">
                              <w:pPr>
                                <w:rPr>
                                  <w:rFonts w:ascii="Arial Narrow" w:hAnsi="Arial Narrow"/>
                                </w:rPr>
                              </w:pPr>
                              <w:r w:rsidRPr="00112377">
                                <w:rPr>
                                  <w:rFonts w:ascii="Arial Narrow" w:hAnsi="Arial Narrow"/>
                                </w:rPr>
                                <w:t xml:space="preserve">* </w:t>
                              </w:r>
                              <w:r w:rsidRPr="00562A5B">
                                <w:rPr>
                                  <w:rFonts w:ascii="Arial Narrow" w:hAnsi="Arial Narrow"/>
                                </w:rPr>
                                <w:t xml:space="preserve">In </w:t>
                              </w:r>
                              <w:r w:rsidR="00434CE7" w:rsidRPr="00562A5B">
                                <w:rPr>
                                  <w:rFonts w:ascii="Arial Narrow" w:hAnsi="Arial Narrow"/>
                                </w:rPr>
                                <w:t xml:space="preserve">RMGs, </w:t>
                              </w:r>
                              <w:r w:rsidRPr="00562A5B">
                                <w:rPr>
                                  <w:rFonts w:ascii="Arial Narrow" w:hAnsi="Arial Narrow"/>
                                </w:rPr>
                                <w:t xml:space="preserve">and this </w:t>
                              </w:r>
                              <w:r w:rsidR="00434CE7" w:rsidRPr="00562A5B">
                                <w:rPr>
                                  <w:rFonts w:ascii="Arial Narrow" w:hAnsi="Arial Narrow"/>
                                </w:rPr>
                                <w:t>guide,</w:t>
                              </w:r>
                              <w:r w:rsidRPr="00562A5B">
                                <w:rPr>
                                  <w:rFonts w:ascii="Arial Narrow" w:hAnsi="Arial Narrow"/>
                                </w:rPr>
                                <w:t xml:space="preserve"> the mandatory principles or requirements are set out as things entities and officials </w:t>
                              </w:r>
                            </w:p>
                            <w:p w14:paraId="7AEFEF21" w14:textId="77777777" w:rsidR="00BC28A9" w:rsidRPr="00562A5B" w:rsidRDefault="00BC28A9" w:rsidP="009131EB">
                              <w:pPr>
                                <w:rPr>
                                  <w:rFonts w:ascii="Arial Narrow" w:hAnsi="Arial Narrow"/>
                                </w:rPr>
                              </w:pPr>
                              <w:r w:rsidRPr="00562A5B">
                                <w:rPr>
                                  <w:rFonts w:ascii="Arial Narrow" w:hAnsi="Arial Narrow"/>
                                </w:rPr>
                                <w:t xml:space="preserve">‘must’ do; and actions, or practices, that entities and officials are expected to </w:t>
                              </w:r>
                              <w:proofErr w:type="gramStart"/>
                              <w:r w:rsidRPr="00562A5B">
                                <w:rPr>
                                  <w:rFonts w:ascii="Arial Narrow" w:hAnsi="Arial Narrow"/>
                                </w:rPr>
                                <w:t>take</w:t>
                              </w:r>
                              <w:r w:rsidR="00112377">
                                <w:rPr>
                                  <w:rFonts w:ascii="Arial Narrow" w:hAnsi="Arial Narrow"/>
                                </w:rPr>
                                <w:t xml:space="preserve"> into account</w:t>
                              </w:r>
                              <w:proofErr w:type="gramEnd"/>
                              <w:r w:rsidR="00112377">
                                <w:rPr>
                                  <w:rFonts w:ascii="Arial Narrow" w:hAnsi="Arial Narrow"/>
                                </w:rPr>
                                <w:t xml:space="preserve"> to give effect to </w:t>
                              </w:r>
                              <w:r w:rsidRPr="00562A5B">
                                <w:rPr>
                                  <w:rFonts w:ascii="Arial Narrow" w:hAnsi="Arial Narrow"/>
                                </w:rPr>
                                <w:t>those principles and/or requirements are set out as things entities and officials ‘should consider’ doing.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FEEFC" id="Group 8" o:spid="_x0000_s1027" style="position:absolute;margin-left:0;margin-top:34.3pt;width:459pt;height:446.95pt;z-index:251658240;mso-wrap-distance-left:0;mso-wrap-distance-right:0;mso-position-horizontal:left;mso-position-horizontal-relative:margin" coordorigin="1947,376" coordsize="9010,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">
                <v:rect id="Rectangle 3" o:spid="_x0000_s1028" style="position:absolute;left:1947;top:376;width:9010;height:6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" fillcolor="#f1f2f7" stroked="f"/>
                <v:rect id="Rectangle 33" o:spid="_x0000_s1029" style="position:absolute;left:5441;top:3576;width:63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" fillcolor="black" stroked="f">
                  <v:fill opacity="39321f"/>
                </v:rect>
                <v:line id="Line 34" o:spid="_x0000_s1030" style="position:absolute;visibility:visible;mso-wrap-style:square" from="5726,3885" to="5726,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" strokecolor="white" strokeweight="2.94pt"/>
                <v:shape id="Freeform 35" o:spid="_x0000_s1031" style="position:absolute;left:5624;top:3669;width:227;height:122;visibility:visible;mso-wrap-style:square;v-text-anchor:top" coordsize="2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" path="m226,l113,122,,e" filled="f" strokecolor="white" strokeweight="2.94pt">
                  <v:path arrowok="t" o:connecttype="custom" o:connectlocs="226,3763;113,3885;0,3763" o:connectangles="0,0,0"/>
                </v:shape>
                <v:rect id="Rectangle 36" o:spid="_x0000_s1032" style="position:absolute;left:9098;top:3552;width:531;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" fillcolor="black" stroked="f">
                  <v:fill opacity="39321f"/>
                </v:rect>
                <v:line id="Line 37" o:spid="_x0000_s1033" style="position:absolute;visibility:visible;mso-wrap-style:square" from="9298,3885" to="9298,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" strokecolor="white" strokeweight="2.94pt"/>
                <v:shape id="Freeform 38" o:spid="_x0000_s1034" style="position:absolute;left:9274;top:3669;width:211;height:133;visibility:visible;mso-wrap-style:square;v-text-anchor:top" coordsize="2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" path="m227,l114,122,,e" filled="f" strokecolor="white" strokeweight="2.94pt">
                  <v:path arrowok="t" o:connecttype="custom" o:connectlocs="211,4102;106,4235;0,4102" o:connectangles="0,0,0"/>
                </v:shape>
                <v:rect id="Rectangle 39" o:spid="_x0000_s1035" style="position:absolute;left:5441;top:4978;width:630;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" fillcolor="black" stroked="f">
                  <v:fill opacity="39321f"/>
                </v:rect>
                <v:line id="Line 40" o:spid="_x0000_s1036" style="position:absolute;visibility:visible;mso-wrap-style:square" from="5726,5245" to="5726,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" strokecolor="white" strokeweight="2.94pt"/>
                <v:shape id="Freeform 41" o:spid="_x0000_s1037" style="position:absolute;left:5624;top:5045;width:227;height:122;visibility:visible;mso-wrap-style:square;v-text-anchor:top" coordsize="2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" path="m226,l113,122,,e" filled="f" strokecolor="white" strokeweight="2.94pt">
                  <v:path arrowok="t" o:connecttype="custom" o:connectlocs="226,5123;113,5245;0,5123" o:connectangles="0,0,0"/>
                </v:shape>
                <v:rect id="Rectangle 42" o:spid="_x0000_s1038" style="position:absolute;left:6746;top:2843;width:177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" fillcolor="black" stroked="f">
                  <v:fill opacity="39321f"/>
                </v:rect>
                <v:line id="Line 43" o:spid="_x0000_s1039" style="position:absolute;visibility:visible;mso-wrap-style:square" from="8447,3042" to="8447,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" strokecolor="white" strokeweight="2.94pt"/>
                <v:shape id="Freeform 44" o:spid="_x0000_s1040" style="position:absolute;left:7535;top:2964;width:122;height:227;visibility:visible;mso-wrap-style:square;v-text-anchor:top" coordsize="12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" path="m,l122,113,,226e" filled="f" strokecolor="white" strokeweight="2.94pt">
                  <v:path arrowok="t" o:connecttype="custom" o:connectlocs="0,2929;122,3042;0,3155" o:connectangles="0,0,0"/>
                </v:shape>
                <v:rect id="Rectangle 45" o:spid="_x0000_s1041" style="position:absolute;left:2071;top:3669;width:200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" fillcolor="black" stroked="f">
                  <v:fill opacity="39321f"/>
                </v:rect>
                <v:line id="Line 46" o:spid="_x0000_s1042" style="position:absolute;visibility:visible;mso-wrap-style:square" from="3997,3722" to="3997,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" strokecolor="white" strokeweight="1pt"/>
                <v:rect id="Rectangle 47" o:spid="_x0000_s1043" style="position:absolute;left:2045;top:5138;width:200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" fillcolor="black" stroked="f">
                  <v:fill opacity="39321f"/>
                </v:rect>
                <v:line id="Line 48" o:spid="_x0000_s1044" style="position:absolute;visibility:visible;mso-wrap-style:square" from="3997,5083" to="3997,5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" strokecolor="white" strokeweight="1pt"/>
                <v:rect id="Rectangle 49" o:spid="_x0000_s1045" style="position:absolute;left:7405;top:1824;width:212;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" fillcolor="black" stroked="f">
                  <v:fill opacity="39321f"/>
                </v:rect>
                <v:line id="Line 50" o:spid="_x0000_s1046" style="position:absolute;visibility:visible;mso-wrap-style:square" from="7511,1824" to="7513,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" strokecolor="white" strokeweight="2.94pt"/>
                <v:rect id="Rectangle 51" o:spid="_x0000_s1047" style="position:absolute;left:5473;top:2110;width:419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" fillcolor="black" stroked="f">
                  <v:fill opacity="39321f"/>
                </v:rect>
                <v:shape id="Freeform 52" o:spid="_x0000_s1048" style="position:absolute;left:5724;top:2223;width:3708;height:296;visibility:visible;mso-wrap-style:square;v-text-anchor:top" coordsize="357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" path="m,296l,,3571,r,296e" filled="f" strokecolor="white" strokeweight="2.94pt">
                  <v:path arrowok="t" o:connecttype="custom" o:connectlocs="0,2531;0,2235;3707,2235;3707,2531" o:connectangles="0,0,0,0"/>
                </v:shape>
                <v:shape id="Freeform 53" o:spid="_x0000_s1049" style="position:absolute;left:5611;top:2409;width:227;height:122;visibility:visible;mso-wrap-style:square;v-text-anchor:top" coordsize="2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" path="m227,l114,122,,e" filled="f" strokecolor="white" strokeweight="2.94pt">
                  <v:path arrowok="t" o:connecttype="custom" o:connectlocs="227,2409;114,2531;0,2409" o:connectangles="0,0,0"/>
                </v:shape>
                <v:shape id="Freeform 54" o:spid="_x0000_s1050" style="position:absolute;left:9308;top:2431;width:227;height:122;visibility:visible;mso-wrap-style:square;v-text-anchor:top" coordsize="2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" path="m227,l113,122,,e" filled="f" strokecolor="white" strokeweight="2.94pt">
                  <v:path arrowok="t" o:connecttype="custom" o:connectlocs="227,2409;113,2531;0,2409" o:connectangles="0,0,0"/>
                </v:shape>
                <v:shape id="Text Box 55" o:spid="_x0000_s1051" type="#_x0000_t202" style="position:absolute;left:2170;top:542;width:8612;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AEFEF11" w14:textId="77777777" w:rsidR="00BC28A9" w:rsidRPr="00747449" w:rsidRDefault="00BC28A9" w:rsidP="00747449">
                        <w:pPr>
                          <w:pStyle w:val="Heading2"/>
                          <w:jc w:val="center"/>
                          <w:rPr>
                            <w:sz w:val="24"/>
                            <w:szCs w:val="24"/>
                          </w:rPr>
                        </w:pPr>
                        <w:r w:rsidRPr="00747449">
                          <w:rPr>
                            <w:sz w:val="24"/>
                            <w:szCs w:val="24"/>
                          </w:rPr>
                          <w:t>Australian Government Financial Reporting Framework (Annual Reporting)</w:t>
                        </w:r>
                      </w:p>
                    </w:txbxContent>
                  </v:textbox>
                </v:shape>
                <v:shape id="Text Box 56" o:spid="_x0000_s1052" type="#_x0000_t202" style="position:absolute;left:5838;top:1176;width:3490;height: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" fillcolor="#1f3763 [1608]" stroked="f" strokeweight="1.5pt">
                  <v:shadow on="t" color="black" opacity="20971f" offset="0,2.2pt"/>
                  <v:textbox inset="0,0,0,0">
                    <w:txbxContent>
                      <w:p w14:paraId="7AEFEF12" w14:textId="77777777" w:rsidR="00BC28A9" w:rsidRPr="009131EB" w:rsidRDefault="00BC28A9" w:rsidP="009131EB">
                        <w:pPr>
                          <w:jc w:val="center"/>
                          <w:rPr>
                            <w:b/>
                            <w:sz w:val="28"/>
                            <w:szCs w:val="28"/>
                          </w:rPr>
                        </w:pPr>
                        <w:r w:rsidRPr="009131EB">
                          <w:rPr>
                            <w:b/>
                            <w:w w:val="80"/>
                            <w:sz w:val="28"/>
                            <w:szCs w:val="28"/>
                          </w:rPr>
                          <w:t>PGPA Act</w:t>
                        </w:r>
                      </w:p>
                    </w:txbxContent>
                  </v:textbox>
                </v:shape>
                <v:shape id="Text Box 57" o:spid="_x0000_s1053" type="#_x0000_t202" style="position:absolute;left:2154;top:2796;width:1792;height: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" filled="f" stroked="f">
                  <v:textbox inset="0,0,0,0">
                    <w:txbxContent>
                      <w:p w14:paraId="7AEFEF13" w14:textId="77777777" w:rsidR="00BC28A9" w:rsidRPr="00446DD0" w:rsidRDefault="00BC28A9" w:rsidP="00714A45">
                        <w:pPr>
                          <w:rPr>
                            <w:b/>
                            <w:sz w:val="24"/>
                            <w:szCs w:val="24"/>
                          </w:rPr>
                        </w:pPr>
                        <w:r w:rsidRPr="00446DD0">
                          <w:rPr>
                            <w:b/>
                            <w:w w:val="80"/>
                            <w:sz w:val="24"/>
                            <w:szCs w:val="24"/>
                          </w:rPr>
                          <w:t>Legislation</w:t>
                        </w:r>
                      </w:p>
                    </w:txbxContent>
                  </v:textbox>
                </v:shape>
                <v:shape id="_x0000_s1054" type="#_x0000_t202" style="position:absolute;left:4862;top:2682;width:1811;height: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" fillcolor="#2f5496 [2408]" stroked="f" strokeweight="1.5pt">
                  <v:shadow on="t" color="black" opacity="20971f" offset="0,2.2pt"/>
                  <v:textbox inset="0,0,0,0">
                    <w:txbxContent>
                      <w:p w14:paraId="7AEFEF14" w14:textId="12E4858D" w:rsidR="00BC28A9" w:rsidRPr="00677DE2" w:rsidRDefault="00BC28A9" w:rsidP="009A4A69">
                        <w:pPr>
                          <w:jc w:val="center"/>
                          <w:rPr>
                            <w:b/>
                            <w:w w:val="80"/>
                          </w:rPr>
                        </w:pPr>
                        <w:r w:rsidRPr="00677DE2">
                          <w:rPr>
                            <w:b/>
                            <w:w w:val="80"/>
                          </w:rPr>
                          <w:t xml:space="preserve">PGPA </w:t>
                        </w:r>
                        <w:r w:rsidR="005B215F">
                          <w:rPr>
                            <w:b/>
                            <w:w w:val="80"/>
                          </w:rPr>
                          <w:t>(</w:t>
                        </w:r>
                        <w:r w:rsidRPr="00677DE2">
                          <w:rPr>
                            <w:b/>
                            <w:w w:val="80"/>
                          </w:rPr>
                          <w:t>Financial Reporting</w:t>
                        </w:r>
                        <w:r w:rsidR="005B215F">
                          <w:rPr>
                            <w:b/>
                            <w:w w:val="80"/>
                          </w:rPr>
                          <w:t>)</w:t>
                        </w:r>
                        <w:r w:rsidRPr="00677DE2">
                          <w:rPr>
                            <w:b/>
                            <w:w w:val="80"/>
                          </w:rPr>
                          <w:t xml:space="preserve"> Rule </w:t>
                        </w:r>
                        <w:r w:rsidR="009C3F77" w:rsidRPr="00677DE2">
                          <w:rPr>
                            <w:b/>
                            <w:w w:val="80"/>
                          </w:rPr>
                          <w:br/>
                        </w:r>
                        <w:r w:rsidRPr="00677DE2">
                          <w:rPr>
                            <w:b/>
                            <w:w w:val="80"/>
                          </w:rPr>
                          <w:t>(FRR)</w:t>
                        </w:r>
                      </w:p>
                    </w:txbxContent>
                  </v:textbox>
                </v:shape>
                <v:shape id="Text Box 60" o:spid="_x0000_s1055" type="#_x0000_t202" style="position:absolute;left:8607;top:2682;width:1879;height: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" fillcolor="#7030a0" stroked="f" strokeweight="1.5pt">
                  <v:shadow on="t" color="black" opacity="20971f" offset="0,2.2pt"/>
                  <v:textbox inset="0,0,0,0">
                    <w:txbxContent>
                      <w:p w14:paraId="7AEFEF15" w14:textId="77777777" w:rsidR="00BC28A9" w:rsidRPr="00677DE2" w:rsidRDefault="00BC28A9" w:rsidP="009A4A69">
                        <w:pPr>
                          <w:jc w:val="center"/>
                          <w:rPr>
                            <w:b/>
                            <w:w w:val="80"/>
                          </w:rPr>
                        </w:pPr>
                        <w:r w:rsidRPr="00677DE2">
                          <w:rPr>
                            <w:b/>
                            <w:w w:val="80"/>
                          </w:rPr>
                          <w:t>AAS and</w:t>
                        </w:r>
                      </w:p>
                      <w:p w14:paraId="7AEFEF16" w14:textId="77777777" w:rsidR="00BC28A9" w:rsidRPr="00677DE2" w:rsidRDefault="00BC28A9" w:rsidP="009A4A69">
                        <w:pPr>
                          <w:jc w:val="center"/>
                          <w:rPr>
                            <w:b/>
                            <w:w w:val="80"/>
                          </w:rPr>
                        </w:pPr>
                        <w:r w:rsidRPr="00677DE2">
                          <w:rPr>
                            <w:b/>
                            <w:w w:val="80"/>
                          </w:rPr>
                          <w:t>Interpretations</w:t>
                        </w:r>
                      </w:p>
                    </w:txbxContent>
                  </v:textbox>
                </v:shape>
                <v:shape id="_x0000_s1056" type="#_x0000_t202" style="position:absolute;left:2167;top:4041;width:853;height: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" filled="f" stroked="f">
                  <v:textbox inset="0,0,0,0">
                    <w:txbxContent>
                      <w:p w14:paraId="7AEFEF17" w14:textId="77777777" w:rsidR="00BC28A9" w:rsidRPr="00446DD0" w:rsidRDefault="00BC28A9" w:rsidP="00714A45">
                        <w:pPr>
                          <w:rPr>
                            <w:b/>
                            <w:sz w:val="24"/>
                            <w:szCs w:val="24"/>
                          </w:rPr>
                        </w:pPr>
                        <w:r w:rsidRPr="00446DD0">
                          <w:rPr>
                            <w:b/>
                            <w:w w:val="80"/>
                            <w:sz w:val="24"/>
                            <w:szCs w:val="24"/>
                          </w:rPr>
                          <w:t>Policy</w:t>
                        </w:r>
                      </w:p>
                    </w:txbxContent>
                  </v:textbox>
                </v:shape>
                <v:shape id="Text Box 63" o:spid="_x0000_s1057" type="#_x0000_t202" style="position:absolute;left:3255;top:3975;width:1528;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" fillcolor="#538135 [2409]" stroked="f" strokeweight="1.5pt">
                  <v:shadow on="t" color="black" opacity="20971f" offset="0,2.2pt"/>
                  <v:textbox inset="0,0,0,0">
                    <w:txbxContent>
                      <w:p w14:paraId="7AEFEF18" w14:textId="77777777" w:rsidR="00BC28A9" w:rsidRPr="00677DE2" w:rsidRDefault="00BC28A9" w:rsidP="009A4A69">
                        <w:pPr>
                          <w:jc w:val="center"/>
                          <w:rPr>
                            <w:b/>
                            <w:w w:val="80"/>
                          </w:rPr>
                        </w:pPr>
                        <w:r w:rsidRPr="00677DE2">
                          <w:rPr>
                            <w:b/>
                            <w:w w:val="80"/>
                          </w:rPr>
                          <w:t xml:space="preserve">*Resource Management </w:t>
                        </w:r>
                        <w:r w:rsidR="009A4A69" w:rsidRPr="00677DE2">
                          <w:rPr>
                            <w:b/>
                            <w:w w:val="80"/>
                          </w:rPr>
                          <w:br/>
                        </w:r>
                        <w:r w:rsidRPr="00677DE2">
                          <w:rPr>
                            <w:b/>
                            <w:w w:val="80"/>
                          </w:rPr>
                          <w:t>Guides (RMGs)</w:t>
                        </w:r>
                      </w:p>
                    </w:txbxContent>
                  </v:textbox>
                </v:shape>
                <v:shape id="Text Box 66" o:spid="_x0000_s1058" type="#_x0000_t202" style="position:absolute;left:6772;top:3960;width:1675;height: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" fillcolor="#538135 [2409]" stroked="f" strokeweight="1.5pt">
                  <v:shadow on="t" color="black" opacity="20971f" offset="0,2.2pt"/>
                  <v:textbox inset="0,0,0,0">
                    <w:txbxContent>
                      <w:p w14:paraId="7AEFEF19" w14:textId="77777777" w:rsidR="00BC28A9" w:rsidRPr="00677DE2" w:rsidRDefault="00BC28A9" w:rsidP="00446DD0">
                        <w:pPr>
                          <w:jc w:val="center"/>
                          <w:rPr>
                            <w:b/>
                            <w:w w:val="80"/>
                          </w:rPr>
                        </w:pPr>
                        <w:r w:rsidRPr="00677DE2">
                          <w:rPr>
                            <w:b/>
                            <w:w w:val="80"/>
                          </w:rPr>
                          <w:t>Estimates</w:t>
                        </w:r>
                      </w:p>
                      <w:p w14:paraId="7AEFEF1A" w14:textId="1E7114DD" w:rsidR="00BC28A9" w:rsidRPr="00677DE2" w:rsidRDefault="00BC28A9" w:rsidP="00446DD0">
                        <w:pPr>
                          <w:jc w:val="center"/>
                          <w:rPr>
                            <w:b/>
                            <w:w w:val="80"/>
                          </w:rPr>
                        </w:pPr>
                        <w:r w:rsidRPr="00677DE2">
                          <w:rPr>
                            <w:b/>
                            <w:w w:val="80"/>
                          </w:rPr>
                          <w:t>Memorand</w:t>
                        </w:r>
                        <w:r w:rsidR="00D01807">
                          <w:rPr>
                            <w:b/>
                            <w:w w:val="80"/>
                          </w:rPr>
                          <w:t>a</w:t>
                        </w:r>
                      </w:p>
                      <w:p w14:paraId="7AEFEF1B" w14:textId="77777777" w:rsidR="00BC28A9" w:rsidRDefault="00BC28A9" w:rsidP="00714A45"/>
                    </w:txbxContent>
                  </v:textbox>
                </v:shape>
                <v:shape id="Text Box 69" o:spid="_x0000_s1059" type="#_x0000_t202" style="position:absolute;left:3216;top:5378;width:1554;height:92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" fillcolor="#538135 [2409]" stroked="f" strokeweight="1.5pt">
                  <v:shadow on="t" color="black" opacity="20971f" offset="0,2.2pt"/>
                  <v:textbox inset="0,0,0,0">
                    <w:txbxContent>
                      <w:p w14:paraId="7AEFEF1C" w14:textId="77777777" w:rsidR="00BC28A9" w:rsidRPr="00677DE2" w:rsidRDefault="00BC28A9" w:rsidP="009A4A69">
                        <w:pPr>
                          <w:jc w:val="center"/>
                          <w:rPr>
                            <w:b/>
                            <w:w w:val="80"/>
                          </w:rPr>
                        </w:pPr>
                        <w:r w:rsidRPr="00677DE2">
                          <w:rPr>
                            <w:b/>
                            <w:w w:val="80"/>
                          </w:rPr>
                          <w:t>*RMGs</w:t>
                        </w:r>
                      </w:p>
                    </w:txbxContent>
                  </v:textbox>
                </v:shape>
                <v:shape id="Text Box 70" o:spid="_x0000_s1060" type="#_x0000_t202" style="position:absolute;left:4966;top:5378;width:1609;height: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" fillcolor="#2f5496 [2408]" stroked="f" strokeweight="1.5pt">
                  <v:shadow on="t" color="black" opacity="20971f" offset="0,2.2pt"/>
                  <v:textbox inset="0,0,0,0">
                    <w:txbxContent>
                      <w:p w14:paraId="7AEFEF1D" w14:textId="77777777" w:rsidR="00434CE7" w:rsidRPr="00677DE2" w:rsidRDefault="00BC28A9" w:rsidP="009A4A69">
                        <w:pPr>
                          <w:jc w:val="center"/>
                          <w:rPr>
                            <w:b/>
                            <w:w w:val="80"/>
                          </w:rPr>
                        </w:pPr>
                        <w:r w:rsidRPr="00677DE2">
                          <w:rPr>
                            <w:b/>
                            <w:w w:val="80"/>
                          </w:rPr>
                          <w:t xml:space="preserve">Guidance to </w:t>
                        </w:r>
                        <w:r w:rsidR="009A4A69" w:rsidRPr="00677DE2">
                          <w:rPr>
                            <w:b/>
                            <w:w w:val="80"/>
                          </w:rPr>
                          <w:br/>
                        </w:r>
                        <w:r w:rsidRPr="00677DE2">
                          <w:rPr>
                            <w:b/>
                            <w:w w:val="80"/>
                          </w:rPr>
                          <w:t>FRR</w:t>
                        </w:r>
                      </w:p>
                      <w:p w14:paraId="7AEFEF1E" w14:textId="77777777" w:rsidR="00BC28A9" w:rsidRPr="00677DE2" w:rsidRDefault="009A4A69" w:rsidP="009A4A69">
                        <w:pPr>
                          <w:jc w:val="center"/>
                          <w:rPr>
                            <w:b/>
                            <w:w w:val="80"/>
                          </w:rPr>
                        </w:pPr>
                        <w:r w:rsidRPr="00677DE2">
                          <w:rPr>
                            <w:b/>
                            <w:w w:val="80"/>
                          </w:rPr>
                          <w:t xml:space="preserve">(incl. </w:t>
                        </w:r>
                        <w:r w:rsidR="00BC28A9" w:rsidRPr="00677DE2">
                          <w:rPr>
                            <w:b/>
                            <w:w w:val="80"/>
                          </w:rPr>
                          <w:t>PRIMA)</w:t>
                        </w:r>
                      </w:p>
                    </w:txbxContent>
                  </v:textbox>
                </v:shape>
                <v:shape id="Text Box 71" o:spid="_x0000_s1061" type="#_x0000_t202" style="position:absolute;left:6772;top:5347;width:1746;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" fillcolor="#538135 [2409]" stroked="f" strokeweight="1.5pt">
                  <v:shadow on="t" color="black" opacity="20971f" offset="0,2.2pt"/>
                  <v:textbox inset="0,0,0,0">
                    <w:txbxContent>
                      <w:p w14:paraId="7AEFEF1F" w14:textId="77777777" w:rsidR="00BC28A9" w:rsidRPr="00677DE2" w:rsidRDefault="00BC28A9" w:rsidP="008A5AC9">
                        <w:pPr>
                          <w:jc w:val="center"/>
                          <w:rPr>
                            <w:b/>
                            <w:w w:val="80"/>
                          </w:rPr>
                        </w:pPr>
                        <w:r w:rsidRPr="00677DE2">
                          <w:rPr>
                            <w:b/>
                            <w:w w:val="80"/>
                          </w:rPr>
                          <w:t>Other</w:t>
                        </w:r>
                        <w:r w:rsidR="008A5AC9" w:rsidRPr="00677DE2">
                          <w:rPr>
                            <w:b/>
                            <w:w w:val="80"/>
                          </w:rPr>
                          <w:t xml:space="preserve"> (including</w:t>
                        </w:r>
                        <w:r w:rsidR="008A5AC9" w:rsidRPr="00677DE2">
                          <w:rPr>
                            <w:b/>
                            <w:w w:val="80"/>
                          </w:rPr>
                          <w:br/>
                        </w:r>
                        <w:r w:rsidR="00434CE7" w:rsidRPr="00677DE2">
                          <w:rPr>
                            <w:b/>
                            <w:w w:val="80"/>
                          </w:rPr>
                          <w:t>i</w:t>
                        </w:r>
                        <w:r w:rsidRPr="00677DE2">
                          <w:rPr>
                            <w:b/>
                            <w:w w:val="80"/>
                          </w:rPr>
                          <w:t>nformation</w:t>
                        </w:r>
                        <w:r w:rsidR="009A4A69" w:rsidRPr="00677DE2">
                          <w:rPr>
                            <w:b/>
                            <w:w w:val="80"/>
                          </w:rPr>
                          <w:t xml:space="preserve">, </w:t>
                        </w:r>
                        <w:r w:rsidR="008A5AC9" w:rsidRPr="00677DE2">
                          <w:rPr>
                            <w:b/>
                            <w:w w:val="80"/>
                          </w:rPr>
                          <w:br/>
                        </w:r>
                        <w:r w:rsidR="00434CE7" w:rsidRPr="00677DE2">
                          <w:rPr>
                            <w:b/>
                            <w:w w:val="80"/>
                          </w:rPr>
                          <w:t>fact s</w:t>
                        </w:r>
                        <w:r w:rsidRPr="00677DE2">
                          <w:rPr>
                            <w:b/>
                            <w:w w:val="80"/>
                          </w:rPr>
                          <w:t xml:space="preserve">heets and </w:t>
                        </w:r>
                        <w:r w:rsidR="008A5AC9" w:rsidRPr="00677DE2">
                          <w:rPr>
                            <w:b/>
                            <w:w w:val="80"/>
                          </w:rPr>
                          <w:br/>
                          <w:t>CFO Forum)</w:t>
                        </w:r>
                      </w:p>
                    </w:txbxContent>
                  </v:textbox>
                </v:shape>
                <v:shape id="Text Box 74" o:spid="_x0000_s1062" type="#_x0000_t202" style="position:absolute;left:2167;top:6434;width:8766;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AEFEF20" w14:textId="77777777" w:rsidR="008A5AC9" w:rsidRDefault="00BC28A9" w:rsidP="009131EB">
                        <w:pPr>
                          <w:rPr>
                            <w:rFonts w:ascii="Arial Narrow" w:hAnsi="Arial Narrow"/>
                          </w:rPr>
                        </w:pPr>
                        <w:r w:rsidRPr="00112377">
                          <w:rPr>
                            <w:rFonts w:ascii="Arial Narrow" w:hAnsi="Arial Narrow"/>
                          </w:rPr>
                          <w:t xml:space="preserve">* </w:t>
                        </w:r>
                        <w:r w:rsidRPr="00562A5B">
                          <w:rPr>
                            <w:rFonts w:ascii="Arial Narrow" w:hAnsi="Arial Narrow"/>
                          </w:rPr>
                          <w:t xml:space="preserve">In </w:t>
                        </w:r>
                        <w:r w:rsidR="00434CE7" w:rsidRPr="00562A5B">
                          <w:rPr>
                            <w:rFonts w:ascii="Arial Narrow" w:hAnsi="Arial Narrow"/>
                          </w:rPr>
                          <w:t xml:space="preserve">RMGs, </w:t>
                        </w:r>
                        <w:r w:rsidRPr="00562A5B">
                          <w:rPr>
                            <w:rFonts w:ascii="Arial Narrow" w:hAnsi="Arial Narrow"/>
                          </w:rPr>
                          <w:t xml:space="preserve">and this </w:t>
                        </w:r>
                        <w:r w:rsidR="00434CE7" w:rsidRPr="00562A5B">
                          <w:rPr>
                            <w:rFonts w:ascii="Arial Narrow" w:hAnsi="Arial Narrow"/>
                          </w:rPr>
                          <w:t>guide,</w:t>
                        </w:r>
                        <w:r w:rsidRPr="00562A5B">
                          <w:rPr>
                            <w:rFonts w:ascii="Arial Narrow" w:hAnsi="Arial Narrow"/>
                          </w:rPr>
                          <w:t xml:space="preserve"> the mandatory principles or requirements are set out as things entities and officials </w:t>
                        </w:r>
                      </w:p>
                      <w:p w14:paraId="7AEFEF21" w14:textId="77777777" w:rsidR="00BC28A9" w:rsidRPr="00562A5B" w:rsidRDefault="00BC28A9" w:rsidP="009131EB">
                        <w:pPr>
                          <w:rPr>
                            <w:rFonts w:ascii="Arial Narrow" w:hAnsi="Arial Narrow"/>
                          </w:rPr>
                        </w:pPr>
                        <w:r w:rsidRPr="00562A5B">
                          <w:rPr>
                            <w:rFonts w:ascii="Arial Narrow" w:hAnsi="Arial Narrow"/>
                          </w:rPr>
                          <w:t xml:space="preserve">‘must’ do; and actions, or practices, that entities and officials are expected to </w:t>
                        </w:r>
                        <w:proofErr w:type="gramStart"/>
                        <w:r w:rsidRPr="00562A5B">
                          <w:rPr>
                            <w:rFonts w:ascii="Arial Narrow" w:hAnsi="Arial Narrow"/>
                          </w:rPr>
                          <w:t>take</w:t>
                        </w:r>
                        <w:r w:rsidR="00112377">
                          <w:rPr>
                            <w:rFonts w:ascii="Arial Narrow" w:hAnsi="Arial Narrow"/>
                          </w:rPr>
                          <w:t xml:space="preserve"> into account</w:t>
                        </w:r>
                        <w:proofErr w:type="gramEnd"/>
                        <w:r w:rsidR="00112377">
                          <w:rPr>
                            <w:rFonts w:ascii="Arial Narrow" w:hAnsi="Arial Narrow"/>
                          </w:rPr>
                          <w:t xml:space="preserve"> to give effect to </w:t>
                        </w:r>
                        <w:r w:rsidRPr="00562A5B">
                          <w:rPr>
                            <w:rFonts w:ascii="Arial Narrow" w:hAnsi="Arial Narrow"/>
                          </w:rPr>
                          <w:t>those principles and/or requirements are set out as things entities and officials ‘should consider’ doing.</w:t>
                        </w:r>
                      </w:p>
                    </w:txbxContent>
                  </v:textbox>
                </v:shape>
                <w10:wrap type="topAndBottom" anchorx="margin"/>
              </v:group>
            </w:pict>
          </mc:Fallback>
        </mc:AlternateContent>
      </w:r>
      <w:r w:rsidR="00DE6681">
        <w:rPr>
          <w:noProof/>
          <w:lang w:eastAsia="en-AU"/>
        </w:rPr>
        <mc:AlternateContent>
          <mc:Choice Requires="wps">
            <w:drawing>
              <wp:anchor distT="0" distB="0" distL="114300" distR="114300" simplePos="0" relativeHeight="251658243" behindDoc="0" locked="0" layoutInCell="1" allowOverlap="1" wp14:anchorId="7AEFEEFE" wp14:editId="7AEFEEFF">
                <wp:simplePos x="0" y="0"/>
                <wp:positionH relativeFrom="column">
                  <wp:posOffset>1946910</wp:posOffset>
                </wp:positionH>
                <wp:positionV relativeFrom="paragraph">
                  <wp:posOffset>3508375</wp:posOffset>
                </wp:positionV>
                <wp:extent cx="1072515" cy="781685"/>
                <wp:effectExtent l="76200" t="57150" r="70485" b="113665"/>
                <wp:wrapNone/>
                <wp:docPr id="1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781685"/>
                        </a:xfrm>
                        <a:prstGeom prst="rect">
                          <a:avLst/>
                        </a:prstGeom>
                        <a:solidFill>
                          <a:schemeClr val="accent5">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5"/>
                        </a:fillRef>
                        <a:effectRef idx="1">
                          <a:schemeClr val="accent5"/>
                        </a:effectRef>
                        <a:fontRef idx="minor">
                          <a:schemeClr val="lt1"/>
                        </a:fontRef>
                      </wps:style>
                      <wps:txbx>
                        <w:txbxContent>
                          <w:p w14:paraId="7AEFEF22" w14:textId="77777777" w:rsidR="00BC28A9" w:rsidRPr="00677DE2" w:rsidRDefault="00BC28A9" w:rsidP="009131EB">
                            <w:pPr>
                              <w:jc w:val="center"/>
                              <w:rPr>
                                <w:b/>
                                <w:w w:val="80"/>
                              </w:rPr>
                            </w:pPr>
                            <w:r w:rsidRPr="00677DE2">
                              <w:rPr>
                                <w:b/>
                                <w:w w:val="80"/>
                              </w:rPr>
                              <w:t>Policy to FRR</w:t>
                            </w:r>
                          </w:p>
                          <w:p w14:paraId="7AEFEF23" w14:textId="77777777" w:rsidR="00BC28A9" w:rsidRPr="009C3F77" w:rsidRDefault="00BC28A9" w:rsidP="009131EB">
                            <w:pPr>
                              <w:jc w:val="center"/>
                              <w:rPr>
                                <w:b/>
                                <w:w w:val="85"/>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FEEFE" id="Text Box 64" o:spid="_x0000_s1063" type="#_x0000_t202" style="position:absolute;margin-left:153.3pt;margin-top:276.25pt;width:84.45pt;height:61.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" fillcolor="#2f5496 [2408]" stroked="f" strokeweight="1.5pt">
                <v:shadow on="t" color="black" opacity="20971f" offset="0,2.2pt"/>
                <v:textbox inset="0,0,0,0">
                  <w:txbxContent>
                    <w:p w14:paraId="7AEFEF22" w14:textId="77777777" w:rsidR="00BC28A9" w:rsidRPr="00677DE2" w:rsidRDefault="00BC28A9" w:rsidP="009131EB">
                      <w:pPr>
                        <w:jc w:val="center"/>
                        <w:rPr>
                          <w:b/>
                          <w:w w:val="80"/>
                        </w:rPr>
                      </w:pPr>
                      <w:r w:rsidRPr="00677DE2">
                        <w:rPr>
                          <w:b/>
                          <w:w w:val="80"/>
                        </w:rPr>
                        <w:t>Policy to FRR</w:t>
                      </w:r>
                    </w:p>
                    <w:p w14:paraId="7AEFEF23" w14:textId="77777777" w:rsidR="00BC28A9" w:rsidRPr="009C3F77" w:rsidRDefault="00BC28A9" w:rsidP="009131EB">
                      <w:pPr>
                        <w:jc w:val="center"/>
                        <w:rPr>
                          <w:b/>
                          <w:w w:val="85"/>
                          <w:sz w:val="20"/>
                          <w:szCs w:val="20"/>
                        </w:rPr>
                      </w:pPr>
                    </w:p>
                  </w:txbxContent>
                </v:textbox>
              </v:shape>
            </w:pict>
          </mc:Fallback>
        </mc:AlternateContent>
      </w:r>
      <w:r w:rsidR="00DE6681">
        <w:rPr>
          <w:noProof/>
          <w:lang w:eastAsia="en-AU"/>
        </w:rPr>
        <mc:AlternateContent>
          <mc:Choice Requires="wps">
            <w:drawing>
              <wp:anchor distT="0" distB="0" distL="114300" distR="114300" simplePos="0" relativeHeight="251658241" behindDoc="0" locked="0" layoutInCell="1" allowOverlap="1" wp14:anchorId="7AEFEF00" wp14:editId="7AEFEF01">
                <wp:simplePos x="0" y="0"/>
                <wp:positionH relativeFrom="column">
                  <wp:posOffset>4309110</wp:posOffset>
                </wp:positionH>
                <wp:positionV relativeFrom="paragraph">
                  <wp:posOffset>3508375</wp:posOffset>
                </wp:positionV>
                <wp:extent cx="1209675" cy="764540"/>
                <wp:effectExtent l="76200" t="57150" r="85725" b="111760"/>
                <wp:wrapNone/>
                <wp:docPr id="14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764540"/>
                        </a:xfrm>
                        <a:prstGeom prst="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3">
                          <a:schemeClr val="lt1"/>
                        </a:lnRef>
                        <a:fillRef idx="1">
                          <a:schemeClr val="accent6"/>
                        </a:fillRef>
                        <a:effectRef idx="1">
                          <a:schemeClr val="accent6"/>
                        </a:effectRef>
                        <a:fontRef idx="minor">
                          <a:schemeClr val="lt1"/>
                        </a:fontRef>
                      </wps:style>
                      <wps:txbx>
                        <w:txbxContent>
                          <w:p w14:paraId="7AEFEF24" w14:textId="77777777" w:rsidR="00BC28A9" w:rsidRPr="00677DE2" w:rsidRDefault="009131EB" w:rsidP="009131EB">
                            <w:pPr>
                              <w:jc w:val="center"/>
                              <w:rPr>
                                <w:b/>
                                <w:w w:val="80"/>
                              </w:rPr>
                            </w:pPr>
                            <w:r w:rsidRPr="00677DE2">
                              <w:rPr>
                                <w:b/>
                                <w:w w:val="80"/>
                              </w:rPr>
                              <w:t xml:space="preserve">Conceptual </w:t>
                            </w:r>
                            <w:r w:rsidR="00BC28A9" w:rsidRPr="00677DE2">
                              <w:rPr>
                                <w:b/>
                                <w:w w:val="80"/>
                              </w:rPr>
                              <w:t xml:space="preserve">Framework </w:t>
                            </w:r>
                            <w:r w:rsidR="00434CE7" w:rsidRPr="00677DE2">
                              <w:rPr>
                                <w:b/>
                                <w:w w:val="80"/>
                              </w:rPr>
                              <w:br/>
                              <w:t>(SACS and f</w:t>
                            </w:r>
                            <w:r w:rsidR="00BC28A9" w:rsidRPr="00677DE2">
                              <w:rPr>
                                <w:b/>
                                <w:w w:val="80"/>
                              </w:rPr>
                              <w:t>ramework)</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FEF00" id="Text Box 58" o:spid="_x0000_s1064" type="#_x0000_t202" style="position:absolute;margin-left:339.3pt;margin-top:276.25pt;width:95.25pt;height:6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" fillcolor="#7030a0" stroked="f" strokeweight="1.5pt">
                <v:shadow on="t" color="black" opacity="20971f" offset="0,2.2pt"/>
                <v:textbox inset="0,0,0,0">
                  <w:txbxContent>
                    <w:p w14:paraId="7AEFEF24" w14:textId="77777777" w:rsidR="00BC28A9" w:rsidRPr="00677DE2" w:rsidRDefault="009131EB" w:rsidP="009131EB">
                      <w:pPr>
                        <w:jc w:val="center"/>
                        <w:rPr>
                          <w:b/>
                          <w:w w:val="80"/>
                        </w:rPr>
                      </w:pPr>
                      <w:r w:rsidRPr="00677DE2">
                        <w:rPr>
                          <w:b/>
                          <w:w w:val="80"/>
                        </w:rPr>
                        <w:t xml:space="preserve">Conceptual </w:t>
                      </w:r>
                      <w:r w:rsidR="00BC28A9" w:rsidRPr="00677DE2">
                        <w:rPr>
                          <w:b/>
                          <w:w w:val="80"/>
                        </w:rPr>
                        <w:t xml:space="preserve">Framework </w:t>
                      </w:r>
                      <w:r w:rsidR="00434CE7" w:rsidRPr="00677DE2">
                        <w:rPr>
                          <w:b/>
                          <w:w w:val="80"/>
                        </w:rPr>
                        <w:br/>
                        <w:t>(SACS and f</w:t>
                      </w:r>
                      <w:r w:rsidR="00BC28A9" w:rsidRPr="00677DE2">
                        <w:rPr>
                          <w:b/>
                          <w:w w:val="80"/>
                        </w:rPr>
                        <w:t>ramework)</w:t>
                      </w:r>
                    </w:p>
                  </w:txbxContent>
                </v:textbox>
              </v:shape>
            </w:pict>
          </mc:Fallback>
        </mc:AlternateContent>
      </w:r>
      <w:r w:rsidR="00A823A7" w:rsidRPr="00714A45">
        <w:t xml:space="preserve">The following diagram illustrates the relationship between elements of the Australian </w:t>
      </w:r>
      <w:r w:rsidR="00A10AF2" w:rsidRPr="00714A45">
        <w:br/>
      </w:r>
      <w:r w:rsidR="00A823A7" w:rsidRPr="00714A45">
        <w:t>Government financial reporting framework.</w:t>
      </w:r>
      <w:r w:rsidR="009C3F77">
        <w:rPr>
          <w:rFonts w:ascii="Arial Narrow" w:hAnsi="Arial Narrow"/>
        </w:rPr>
        <w:br/>
      </w:r>
      <w:r w:rsidR="009C3F77">
        <w:rPr>
          <w:rFonts w:ascii="Arial Narrow" w:hAnsi="Arial Narrow"/>
        </w:rPr>
        <w:br/>
      </w:r>
      <w:r w:rsidR="00562A5B" w:rsidRPr="00562A5B">
        <w:rPr>
          <w:rFonts w:ascii="Arial Narrow" w:hAnsi="Arial Narrow"/>
        </w:rPr>
        <w:t xml:space="preserve">Source: Commonwealth Entity Financial Statements Preparation Guide incorporating </w:t>
      </w:r>
      <w:r w:rsidR="00562A5B" w:rsidRPr="008A5AC9">
        <w:rPr>
          <w:rFonts w:ascii="Arial Narrow" w:hAnsi="Arial Narrow"/>
          <w:i/>
        </w:rPr>
        <w:t xml:space="preserve">the Public Governance, </w:t>
      </w:r>
    </w:p>
    <w:p w14:paraId="7AEFEE86" w14:textId="00218EAA" w:rsidR="00562A5B" w:rsidRPr="00562A5B" w:rsidRDefault="00562A5B" w:rsidP="00A80BD0">
      <w:pPr>
        <w:rPr>
          <w:rFonts w:ascii="Arial Narrow" w:hAnsi="Arial Narrow"/>
        </w:rPr>
      </w:pPr>
      <w:r w:rsidRPr="008A5AC9">
        <w:rPr>
          <w:rFonts w:ascii="Arial Narrow" w:hAnsi="Arial Narrow"/>
          <w:i/>
        </w:rPr>
        <w:t>Performance and Accountability (Financial Reporting) Rule 2015</w:t>
      </w:r>
      <w:r w:rsidRPr="00562A5B">
        <w:rPr>
          <w:rFonts w:ascii="Arial Narrow" w:hAnsi="Arial Narrow"/>
        </w:rPr>
        <w:t>.</w:t>
      </w:r>
    </w:p>
    <w:p w14:paraId="7AEFEE87" w14:textId="77777777" w:rsidR="00562A5B" w:rsidRDefault="00562A5B" w:rsidP="00714A45"/>
    <w:p w14:paraId="7AEFEE88" w14:textId="29DDB7CF" w:rsidR="00A823A7" w:rsidRPr="00434CE7" w:rsidRDefault="00A10AF2" w:rsidP="00714A45">
      <w:r w:rsidRPr="00434CE7">
        <w:t>The f</w:t>
      </w:r>
      <w:r w:rsidR="00A823A7" w:rsidRPr="00434CE7">
        <w:t xml:space="preserve">ollowing is a summary of the primary legislation, standards, policies and guidelines that </w:t>
      </w:r>
      <w:r w:rsidRPr="00434CE7">
        <w:br/>
      </w:r>
      <w:r w:rsidR="00D01807">
        <w:t>e</w:t>
      </w:r>
      <w:r w:rsidR="00D01807" w:rsidRPr="00434CE7">
        <w:t xml:space="preserve">ffect </w:t>
      </w:r>
      <w:r w:rsidR="00A823A7" w:rsidRPr="00434CE7">
        <w:t>the preparation of the financial statements of public sector entities.</w:t>
      </w:r>
    </w:p>
    <w:p w14:paraId="7AEFEE89" w14:textId="77777777" w:rsidR="00A10AF2" w:rsidRDefault="00A10AF2" w:rsidP="00714A45"/>
    <w:tbl>
      <w:tblPr>
        <w:tblW w:w="9340" w:type="dxa"/>
        <w:tblLook w:val="04A0" w:firstRow="1" w:lastRow="0" w:firstColumn="1" w:lastColumn="0" w:noHBand="0" w:noVBand="1"/>
        <w:tblCaption w:val="Relevant Legislation and Standards"/>
        <w:tblDescription w:val="This table is a summary of the primary legislation, standards, policies and guidelines that affect the preparation of the financial statements of public sector entities&#10;"/>
      </w:tblPr>
      <w:tblGrid>
        <w:gridCol w:w="2258"/>
        <w:gridCol w:w="7082"/>
      </w:tblGrid>
      <w:tr w:rsidR="00F30A7E" w:rsidRPr="00F30A7E" w14:paraId="7AEFEE8C" w14:textId="77777777" w:rsidTr="006E1CA6">
        <w:trPr>
          <w:trHeight w:val="1215"/>
          <w:tblHeader/>
        </w:trPr>
        <w:tc>
          <w:tcPr>
            <w:tcW w:w="2258" w:type="dxa"/>
            <w:tcBorders>
              <w:top w:val="single" w:sz="8" w:space="0" w:color="FFFFFF"/>
              <w:left w:val="single" w:sz="8" w:space="0" w:color="FFFFFF"/>
              <w:bottom w:val="nil"/>
              <w:right w:val="single" w:sz="8" w:space="0" w:color="FFFFFF"/>
            </w:tcBorders>
            <w:shd w:val="clear" w:color="auto" w:fill="000000" w:themeFill="text1"/>
            <w:hideMark/>
          </w:tcPr>
          <w:p w14:paraId="7AEFEE8A" w14:textId="77777777" w:rsidR="00F30A7E" w:rsidRPr="00714A45" w:rsidRDefault="006E1CA6" w:rsidP="00714A45">
            <w:pPr>
              <w:pStyle w:val="Heading2"/>
            </w:pPr>
            <w:r>
              <w:t>Name of Legislation or Standard</w:t>
            </w:r>
          </w:p>
        </w:tc>
        <w:tc>
          <w:tcPr>
            <w:tcW w:w="7082" w:type="dxa"/>
            <w:tcBorders>
              <w:top w:val="single" w:sz="8" w:space="0" w:color="FFFFFF"/>
              <w:left w:val="nil"/>
              <w:bottom w:val="nil"/>
              <w:right w:val="single" w:sz="8" w:space="0" w:color="FFFFFF"/>
            </w:tcBorders>
            <w:shd w:val="clear" w:color="auto" w:fill="000000" w:themeFill="text1"/>
            <w:hideMark/>
          </w:tcPr>
          <w:p w14:paraId="7AEFEE8B" w14:textId="77777777" w:rsidR="00C17C9E" w:rsidRPr="00595AE7" w:rsidRDefault="006E1CA6" w:rsidP="006E1CA6">
            <w:pPr>
              <w:pStyle w:val="Heading2"/>
            </w:pPr>
            <w:r>
              <w:t>Brief Description</w:t>
            </w:r>
          </w:p>
        </w:tc>
      </w:tr>
      <w:tr w:rsidR="006E1CA6" w:rsidRPr="00F30A7E" w14:paraId="7AEFEE90" w14:textId="77777777" w:rsidTr="00E5605C">
        <w:trPr>
          <w:trHeight w:val="1215"/>
        </w:trPr>
        <w:tc>
          <w:tcPr>
            <w:tcW w:w="2258" w:type="dxa"/>
            <w:tcBorders>
              <w:top w:val="single" w:sz="8" w:space="0" w:color="FFFFFF"/>
              <w:left w:val="single" w:sz="8" w:space="0" w:color="FFFFFF"/>
              <w:bottom w:val="nil"/>
              <w:right w:val="single" w:sz="8" w:space="0" w:color="FFFFFF"/>
            </w:tcBorders>
            <w:shd w:val="clear" w:color="000000" w:fill="E2E3E2"/>
          </w:tcPr>
          <w:p w14:paraId="7AEFEE8D" w14:textId="77777777" w:rsidR="006E1CA6" w:rsidRPr="00714A45" w:rsidRDefault="006E1CA6" w:rsidP="006E1CA6">
            <w:pPr>
              <w:pStyle w:val="Heading2"/>
            </w:pPr>
            <w:r w:rsidRPr="00714A45">
              <w:t>Annual Appropriation Acts</w:t>
            </w:r>
          </w:p>
        </w:tc>
        <w:tc>
          <w:tcPr>
            <w:tcW w:w="7082" w:type="dxa"/>
            <w:tcBorders>
              <w:top w:val="single" w:sz="8" w:space="0" w:color="FFFFFF"/>
              <w:left w:val="nil"/>
              <w:bottom w:val="nil"/>
              <w:right w:val="single" w:sz="8" w:space="0" w:color="FFFFFF"/>
            </w:tcBorders>
            <w:shd w:val="clear" w:color="000000" w:fill="F2F2F2"/>
          </w:tcPr>
          <w:p w14:paraId="7AEFEE8E" w14:textId="11EC89FA" w:rsidR="00CE1E3D" w:rsidRPr="00CE1E3D" w:rsidRDefault="00CE1E3D" w:rsidP="00035AB0">
            <w:pPr>
              <w:pStyle w:val="BodyText"/>
            </w:pPr>
            <w:r w:rsidRPr="00CE1E3D">
              <w:t xml:space="preserve">Annual appropriations are provided for </w:t>
            </w:r>
            <w:r w:rsidR="00D01807">
              <w:t>through</w:t>
            </w:r>
            <w:r w:rsidR="00D01807" w:rsidRPr="00CE1E3D">
              <w:t xml:space="preserve"> </w:t>
            </w:r>
            <w:r w:rsidRPr="00CE1E3D">
              <w:t xml:space="preserve">the annual Appropriation </w:t>
            </w:r>
            <w:r w:rsidR="00D01807">
              <w:t>Acts</w:t>
            </w:r>
            <w:r w:rsidR="00D01807" w:rsidRPr="00CE1E3D">
              <w:t xml:space="preserve"> </w:t>
            </w:r>
            <w:r w:rsidRPr="00CE1E3D">
              <w:t xml:space="preserve">and appropriate defined amounts of money for specific purposes across each portfolio. </w:t>
            </w:r>
          </w:p>
          <w:p w14:paraId="7AEFEE8F" w14:textId="77777777" w:rsidR="006E1CA6" w:rsidRPr="00CE1E3D" w:rsidRDefault="006E1CA6" w:rsidP="00035AB0">
            <w:pPr>
              <w:pStyle w:val="BodyText"/>
            </w:pPr>
            <w:r w:rsidRPr="00CE1E3D">
              <w:t>Amounts appropriated under Annual Appropriation Acts are available for spending for two years after the year in which they were appropriated.</w:t>
            </w:r>
          </w:p>
        </w:tc>
      </w:tr>
      <w:tr w:rsidR="006E1CA6" w:rsidRPr="00F30A7E" w14:paraId="7AEFEEA8" w14:textId="77777777" w:rsidTr="00CE1E3D">
        <w:trPr>
          <w:trHeight w:val="1007"/>
        </w:trPr>
        <w:tc>
          <w:tcPr>
            <w:tcW w:w="2258" w:type="dxa"/>
            <w:tcBorders>
              <w:top w:val="single" w:sz="8" w:space="0" w:color="FFFFFF"/>
              <w:left w:val="single" w:sz="8" w:space="0" w:color="FFFFFF"/>
              <w:bottom w:val="nil"/>
              <w:right w:val="single" w:sz="8" w:space="0" w:color="FFFFFF"/>
            </w:tcBorders>
            <w:shd w:val="clear" w:color="000000" w:fill="E2E3E2"/>
            <w:hideMark/>
          </w:tcPr>
          <w:p w14:paraId="7AEFEE91" w14:textId="77777777" w:rsidR="006E1CA6" w:rsidRPr="00F30A7E" w:rsidRDefault="006E1CA6" w:rsidP="006E1CA6">
            <w:pPr>
              <w:pStyle w:val="Heading2"/>
            </w:pPr>
            <w:r w:rsidRPr="00F30A7E">
              <w:t>Public Governance, Performance and Accountability Act 2013</w:t>
            </w:r>
          </w:p>
        </w:tc>
        <w:tc>
          <w:tcPr>
            <w:tcW w:w="7082" w:type="dxa"/>
            <w:tcBorders>
              <w:top w:val="single" w:sz="8" w:space="0" w:color="FFFFFF"/>
              <w:left w:val="nil"/>
              <w:bottom w:val="nil"/>
              <w:right w:val="single" w:sz="8" w:space="0" w:color="FFFFFF"/>
            </w:tcBorders>
            <w:shd w:val="clear" w:color="000000" w:fill="F2F2F2"/>
            <w:hideMark/>
          </w:tcPr>
          <w:p w14:paraId="7AEFEE92" w14:textId="77777777" w:rsidR="006E1CA6" w:rsidRPr="00CE1E3D" w:rsidRDefault="006E1CA6" w:rsidP="00035AB0">
            <w:pPr>
              <w:pStyle w:val="BodyText"/>
            </w:pPr>
            <w:r w:rsidRPr="00CE1E3D">
              <w:t xml:space="preserve">The </w:t>
            </w:r>
            <w:r w:rsidRPr="00CE1E3D">
              <w:rPr>
                <w:i/>
              </w:rPr>
              <w:t>Public Governance, Performance and Accountability Act 2013</w:t>
            </w:r>
            <w:r w:rsidRPr="00CE1E3D">
              <w:t xml:space="preserve"> (PGPA Act) provides a framework for the proper use and management of public resources by the Commonwealth, Commonwealth entities and Commonwealth companies, and for related purposes.</w:t>
            </w:r>
          </w:p>
          <w:p w14:paraId="7AEFEE93" w14:textId="77777777" w:rsidR="006E1CA6" w:rsidRPr="00CE1E3D" w:rsidRDefault="006E1CA6" w:rsidP="00035AB0">
            <w:pPr>
              <w:pStyle w:val="BodyText"/>
            </w:pPr>
            <w:r w:rsidRPr="00CE1E3D">
              <w:t>It represents the primary legislation of the Commonwealth financial framework and is supported by a range of subsidiary legislation, rules, determinations and other associated instruments. The PGPA Act draws on the authority of the Australian Constitution and interacts with the Appropriation Acts through which the Parliament authorises spending.</w:t>
            </w:r>
          </w:p>
          <w:p w14:paraId="7AEFEE94" w14:textId="77777777" w:rsidR="006E1CA6" w:rsidRPr="00CE1E3D" w:rsidRDefault="006E1CA6" w:rsidP="00035AB0">
            <w:pPr>
              <w:pStyle w:val="BodyText"/>
            </w:pPr>
            <w:r w:rsidRPr="00CE1E3D">
              <w:t>Relevant aspects of the legislative provisions for financial statements of Commonwealth entities include:</w:t>
            </w:r>
          </w:p>
          <w:p w14:paraId="7AEFEE95" w14:textId="77777777" w:rsidR="006E1CA6" w:rsidRPr="00CE1E3D" w:rsidRDefault="006E1CA6" w:rsidP="00CE1E3D">
            <w:pPr>
              <w:pStyle w:val="Bullet1"/>
              <w:rPr>
                <w:rFonts w:ascii="Arial" w:hAnsi="Arial"/>
                <w:sz w:val="20"/>
                <w:szCs w:val="20"/>
              </w:rPr>
            </w:pPr>
            <w:r w:rsidRPr="00CE1E3D">
              <w:rPr>
                <w:rFonts w:ascii="Arial" w:hAnsi="Arial"/>
                <w:sz w:val="20"/>
                <w:szCs w:val="20"/>
              </w:rPr>
              <w:t>promotion of the proper use and management of public resources and financial sustainability: section 15</w:t>
            </w:r>
          </w:p>
          <w:p w14:paraId="7AEFEE96" w14:textId="77777777" w:rsidR="006E1CA6" w:rsidRPr="00CE1E3D" w:rsidRDefault="006E1CA6" w:rsidP="00CE1E3D">
            <w:pPr>
              <w:pStyle w:val="Bullet1"/>
              <w:rPr>
                <w:rFonts w:ascii="Arial" w:hAnsi="Arial"/>
                <w:sz w:val="20"/>
                <w:szCs w:val="20"/>
              </w:rPr>
            </w:pPr>
            <w:r w:rsidRPr="00CE1E3D">
              <w:rPr>
                <w:rFonts w:ascii="Arial" w:hAnsi="Arial"/>
                <w:sz w:val="20"/>
                <w:szCs w:val="20"/>
              </w:rPr>
              <w:t>provision of additional financial statements and information: section 19</w:t>
            </w:r>
          </w:p>
          <w:p w14:paraId="7AEFEE97" w14:textId="77777777" w:rsidR="006E1CA6" w:rsidRPr="00CE1E3D" w:rsidRDefault="006E1CA6" w:rsidP="00CE1E3D">
            <w:pPr>
              <w:pStyle w:val="Bullet1"/>
              <w:rPr>
                <w:rFonts w:ascii="Arial" w:hAnsi="Arial"/>
                <w:sz w:val="20"/>
                <w:szCs w:val="20"/>
              </w:rPr>
            </w:pPr>
            <w:r w:rsidRPr="00CE1E3D">
              <w:rPr>
                <w:rFonts w:ascii="Arial" w:hAnsi="Arial"/>
                <w:sz w:val="20"/>
                <w:szCs w:val="20"/>
              </w:rPr>
              <w:t>authorisation of the accountable authority to give instructions to officials: section 20A</w:t>
            </w:r>
          </w:p>
          <w:p w14:paraId="7AEFEE98" w14:textId="77777777" w:rsidR="006E1CA6" w:rsidRPr="00CE1E3D" w:rsidRDefault="006E1CA6" w:rsidP="00CE1E3D">
            <w:pPr>
              <w:pStyle w:val="Bullet1"/>
              <w:rPr>
                <w:rFonts w:ascii="Arial" w:hAnsi="Arial"/>
                <w:sz w:val="20"/>
                <w:szCs w:val="20"/>
              </w:rPr>
            </w:pPr>
            <w:r w:rsidRPr="00CE1E3D">
              <w:rPr>
                <w:rFonts w:ascii="Arial" w:hAnsi="Arial"/>
                <w:sz w:val="20"/>
                <w:szCs w:val="20"/>
              </w:rPr>
              <w:t>preparation and maintenance of accounts and records that properly record and explain transactions and the financial position: section 41</w:t>
            </w:r>
          </w:p>
          <w:p w14:paraId="7AEFEE99" w14:textId="77777777" w:rsidR="006E1CA6" w:rsidRPr="00CE1E3D" w:rsidRDefault="006E1CA6" w:rsidP="00CE1E3D">
            <w:pPr>
              <w:pStyle w:val="Bullet1"/>
              <w:rPr>
                <w:rFonts w:ascii="Arial" w:hAnsi="Arial"/>
                <w:sz w:val="20"/>
                <w:szCs w:val="20"/>
              </w:rPr>
            </w:pPr>
            <w:r w:rsidRPr="00CE1E3D">
              <w:rPr>
                <w:rFonts w:ascii="Arial" w:hAnsi="Arial"/>
                <w:sz w:val="20"/>
                <w:szCs w:val="20"/>
              </w:rPr>
              <w:t>preparation of annual financial statements: section 42</w:t>
            </w:r>
          </w:p>
          <w:p w14:paraId="7AEFEE9A" w14:textId="77777777" w:rsidR="006E1CA6" w:rsidRPr="00CE1E3D" w:rsidRDefault="006E1CA6" w:rsidP="00CE1E3D">
            <w:pPr>
              <w:pStyle w:val="Bullet1"/>
              <w:rPr>
                <w:rFonts w:ascii="Arial" w:hAnsi="Arial"/>
                <w:sz w:val="20"/>
                <w:szCs w:val="20"/>
              </w:rPr>
            </w:pPr>
            <w:r w:rsidRPr="00CE1E3D">
              <w:rPr>
                <w:rFonts w:ascii="Arial" w:hAnsi="Arial"/>
                <w:sz w:val="20"/>
                <w:szCs w:val="20"/>
              </w:rPr>
              <w:t>audit of annual financial statements by the Auditor-General: section 43</w:t>
            </w:r>
          </w:p>
          <w:p w14:paraId="7AEFEE9B" w14:textId="77777777" w:rsidR="006E1CA6" w:rsidRPr="00CE1E3D" w:rsidRDefault="006E1CA6" w:rsidP="00CE1E3D">
            <w:pPr>
              <w:pStyle w:val="Bullet1"/>
              <w:rPr>
                <w:rFonts w:ascii="Arial" w:hAnsi="Arial"/>
                <w:sz w:val="20"/>
                <w:szCs w:val="20"/>
              </w:rPr>
            </w:pPr>
            <w:r w:rsidRPr="00CE1E3D">
              <w:rPr>
                <w:rFonts w:ascii="Arial" w:hAnsi="Arial"/>
                <w:sz w:val="20"/>
                <w:szCs w:val="20"/>
              </w:rPr>
              <w:t>audit of subsidiary’s financial statements: section 44</w:t>
            </w:r>
          </w:p>
          <w:p w14:paraId="7AEFEE9C" w14:textId="77777777" w:rsidR="006E1CA6" w:rsidRPr="00CE1E3D" w:rsidRDefault="006E1CA6" w:rsidP="00CE1E3D">
            <w:pPr>
              <w:pStyle w:val="Bullet1"/>
              <w:rPr>
                <w:rFonts w:ascii="Arial" w:hAnsi="Arial"/>
                <w:sz w:val="20"/>
                <w:szCs w:val="20"/>
              </w:rPr>
            </w:pPr>
            <w:r w:rsidRPr="00CE1E3D">
              <w:rPr>
                <w:rFonts w:ascii="Arial" w:hAnsi="Arial"/>
                <w:sz w:val="20"/>
                <w:szCs w:val="20"/>
              </w:rPr>
              <w:t>establishment and maintenance of an audit committee: section 45</w:t>
            </w:r>
          </w:p>
          <w:p w14:paraId="7AEFEE9D" w14:textId="77777777" w:rsidR="006E1CA6" w:rsidRPr="00CE1E3D" w:rsidRDefault="006E1CA6" w:rsidP="00CE1E3D">
            <w:pPr>
              <w:pStyle w:val="Bullet1"/>
              <w:rPr>
                <w:rFonts w:ascii="Arial" w:hAnsi="Arial"/>
                <w:sz w:val="20"/>
                <w:szCs w:val="20"/>
              </w:rPr>
            </w:pPr>
            <w:r w:rsidRPr="00CE1E3D">
              <w:rPr>
                <w:rFonts w:ascii="Arial" w:hAnsi="Arial"/>
                <w:sz w:val="20"/>
                <w:szCs w:val="20"/>
              </w:rPr>
              <w:t>preparation of an annual report and providing it to the responsible Minister: section 46, and</w:t>
            </w:r>
          </w:p>
          <w:p w14:paraId="7AEFEE9E" w14:textId="77777777" w:rsidR="006E1CA6" w:rsidRPr="00CE1E3D" w:rsidRDefault="006E1CA6" w:rsidP="00CE1E3D">
            <w:pPr>
              <w:pStyle w:val="Bullet1"/>
              <w:rPr>
                <w:rFonts w:ascii="Arial" w:hAnsi="Arial"/>
                <w:sz w:val="20"/>
                <w:szCs w:val="20"/>
              </w:rPr>
            </w:pPr>
            <w:r w:rsidRPr="00CE1E3D">
              <w:rPr>
                <w:rFonts w:ascii="Arial" w:hAnsi="Arial"/>
                <w:sz w:val="20"/>
                <w:szCs w:val="20"/>
              </w:rPr>
              <w:t>general power of the Finance Minister to make Rules by legislative instrument to prescribe matters giving affect to the PGPA Act: section 101.</w:t>
            </w:r>
          </w:p>
          <w:p w14:paraId="7AEFEE9F" w14:textId="77777777" w:rsidR="006E1CA6" w:rsidRPr="00CE1E3D" w:rsidRDefault="006E1CA6" w:rsidP="00035AB0">
            <w:pPr>
              <w:pStyle w:val="BodyText"/>
            </w:pPr>
            <w:r w:rsidRPr="00CE1E3D">
              <w:t xml:space="preserve">Section 48 of the PGPA Act requires the Finance Minister to publish annual financial statements for the Commonwealth as soon as practicable after the end of each financial year. These are known as the Consolidated Financial Statements (CFS) for the Australian Government. </w:t>
            </w:r>
          </w:p>
          <w:p w14:paraId="7AEFEEA0" w14:textId="77777777" w:rsidR="006E1CA6" w:rsidRPr="00CE1E3D" w:rsidRDefault="006E1CA6" w:rsidP="00035AB0">
            <w:pPr>
              <w:pStyle w:val="BodyText"/>
            </w:pPr>
            <w:r w:rsidRPr="00CE1E3D">
              <w:t>A Commonwealth entity’s</w:t>
            </w:r>
            <w:r w:rsidRPr="00CE1E3D">
              <w:rPr>
                <w:b/>
              </w:rPr>
              <w:t xml:space="preserve"> </w:t>
            </w:r>
            <w:r w:rsidRPr="00CE1E3D">
              <w:t>input into these statements is derived from its audited annual financial statements, prepared in accordance with section 42 of the PGPA Act.</w:t>
            </w:r>
          </w:p>
          <w:p w14:paraId="7AEFEEA1" w14:textId="77777777" w:rsidR="006E1CA6" w:rsidRPr="00CE1E3D" w:rsidRDefault="006E1CA6" w:rsidP="00035AB0">
            <w:pPr>
              <w:pStyle w:val="BodyText"/>
            </w:pPr>
            <w:r w:rsidRPr="00CE1E3D">
              <w:rPr>
                <w:b/>
              </w:rPr>
              <w:t>For Commonwealth companies</w:t>
            </w:r>
            <w:r w:rsidRPr="00CE1E3D">
              <w:t xml:space="preserve">—the PGPA Act contains further requirements, in addition to the requirements of the </w:t>
            </w:r>
            <w:r w:rsidRPr="00CE1E3D">
              <w:rPr>
                <w:i/>
              </w:rPr>
              <w:t>Corporations Act 2001,</w:t>
            </w:r>
            <w:r w:rsidRPr="00CE1E3D">
              <w:t xml:space="preserve"> in order to meet the required standard of public sector accountability. Relevant aspects for financial statements include:</w:t>
            </w:r>
          </w:p>
          <w:p w14:paraId="7AEFEEA2" w14:textId="77777777" w:rsidR="006E1CA6" w:rsidRPr="00CE1E3D" w:rsidRDefault="006E1CA6" w:rsidP="00CE1E3D">
            <w:pPr>
              <w:pStyle w:val="Bullet1"/>
              <w:rPr>
                <w:rFonts w:ascii="Arial" w:hAnsi="Arial"/>
                <w:sz w:val="20"/>
                <w:szCs w:val="20"/>
              </w:rPr>
            </w:pPr>
            <w:r w:rsidRPr="00CE1E3D">
              <w:rPr>
                <w:rFonts w:ascii="Arial" w:hAnsi="Arial"/>
                <w:sz w:val="20"/>
                <w:szCs w:val="20"/>
              </w:rPr>
              <w:t xml:space="preserve">provision of annual reports to the responsible Minister: section 97 </w:t>
            </w:r>
          </w:p>
          <w:p w14:paraId="7AEFEEA3" w14:textId="77777777" w:rsidR="006E1CA6" w:rsidRPr="00CE1E3D" w:rsidRDefault="006E1CA6" w:rsidP="00CE1E3D">
            <w:pPr>
              <w:pStyle w:val="Bullet1"/>
              <w:rPr>
                <w:rFonts w:ascii="Arial" w:hAnsi="Arial"/>
                <w:sz w:val="20"/>
                <w:szCs w:val="20"/>
              </w:rPr>
            </w:pPr>
            <w:r w:rsidRPr="00CE1E3D">
              <w:rPr>
                <w:rFonts w:ascii="Arial" w:hAnsi="Arial"/>
                <w:sz w:val="20"/>
                <w:szCs w:val="20"/>
              </w:rPr>
              <w:t xml:space="preserve">audit of the annual financial statements by the Auditor-General: </w:t>
            </w:r>
            <w:r w:rsidRPr="00CE1E3D">
              <w:rPr>
                <w:rFonts w:ascii="Arial" w:hAnsi="Arial"/>
                <w:sz w:val="20"/>
                <w:szCs w:val="20"/>
              </w:rPr>
              <w:br/>
              <w:t>section 98, and</w:t>
            </w:r>
          </w:p>
          <w:p w14:paraId="7AEFEEA4" w14:textId="77777777" w:rsidR="006E1CA6" w:rsidRPr="00CE1E3D" w:rsidRDefault="006E1CA6" w:rsidP="00CE1E3D">
            <w:pPr>
              <w:pStyle w:val="Bullet1"/>
              <w:rPr>
                <w:rFonts w:ascii="Arial" w:hAnsi="Arial"/>
                <w:noProof w:val="0"/>
                <w:sz w:val="20"/>
                <w:szCs w:val="20"/>
              </w:rPr>
            </w:pPr>
            <w:r w:rsidRPr="00CE1E3D">
              <w:rPr>
                <w:rFonts w:ascii="Arial" w:hAnsi="Arial"/>
                <w:sz w:val="20"/>
                <w:szCs w:val="20"/>
              </w:rPr>
              <w:t>audit of subsidiary’s financial statements: section 99.</w:t>
            </w:r>
          </w:p>
          <w:p w14:paraId="7AEFEEA5" w14:textId="77777777" w:rsidR="006E1CA6" w:rsidRPr="00CE1E3D" w:rsidRDefault="006E1CA6" w:rsidP="00035AB0">
            <w:pPr>
              <w:pStyle w:val="BodyText"/>
            </w:pPr>
            <w:r w:rsidRPr="00CE1E3D">
              <w:rPr>
                <w:b/>
              </w:rPr>
              <w:t>For wholly-owned Commonwealth companies</w:t>
            </w:r>
            <w:r w:rsidRPr="00CE1E3D">
              <w:t>—other additional requirements include:</w:t>
            </w:r>
          </w:p>
          <w:p w14:paraId="7AEFEEA6" w14:textId="77777777" w:rsidR="006E1CA6" w:rsidRPr="00CE1E3D" w:rsidRDefault="006E1CA6" w:rsidP="00CE1E3D">
            <w:pPr>
              <w:pStyle w:val="Bullet1"/>
              <w:rPr>
                <w:rFonts w:ascii="Arial" w:hAnsi="Arial"/>
                <w:sz w:val="20"/>
                <w:szCs w:val="20"/>
              </w:rPr>
            </w:pPr>
            <w:r w:rsidRPr="00CE1E3D">
              <w:rPr>
                <w:rFonts w:ascii="Arial" w:hAnsi="Arial"/>
                <w:sz w:val="20"/>
                <w:szCs w:val="20"/>
              </w:rPr>
              <w:t>provision of additional financial statements and information: section 91, and</w:t>
            </w:r>
          </w:p>
          <w:p w14:paraId="7AEFEEA7" w14:textId="77777777" w:rsidR="006E1CA6" w:rsidRPr="00CE1E3D" w:rsidRDefault="006E1CA6" w:rsidP="00CE1E3D">
            <w:pPr>
              <w:pStyle w:val="Bullet1"/>
              <w:rPr>
                <w:rFonts w:ascii="Arial" w:hAnsi="Arial"/>
                <w:sz w:val="20"/>
                <w:szCs w:val="20"/>
              </w:rPr>
            </w:pPr>
            <w:r w:rsidRPr="00CE1E3D">
              <w:rPr>
                <w:rFonts w:ascii="Arial" w:hAnsi="Arial"/>
                <w:sz w:val="20"/>
                <w:szCs w:val="20"/>
              </w:rPr>
              <w:t>establishing an audit committee: section 92.</w:t>
            </w:r>
          </w:p>
        </w:tc>
      </w:tr>
      <w:tr w:rsidR="006E1CA6" w:rsidRPr="00F30A7E" w14:paraId="7AEFEEAC" w14:textId="77777777" w:rsidTr="00E5605C">
        <w:trPr>
          <w:trHeight w:val="2415"/>
        </w:trPr>
        <w:tc>
          <w:tcPr>
            <w:tcW w:w="2258" w:type="dxa"/>
            <w:tcBorders>
              <w:top w:val="single" w:sz="8" w:space="0" w:color="FFFFFF"/>
              <w:left w:val="single" w:sz="8" w:space="0" w:color="FFFFFF"/>
              <w:bottom w:val="nil"/>
              <w:right w:val="single" w:sz="8" w:space="0" w:color="FFFFFF"/>
            </w:tcBorders>
            <w:shd w:val="clear" w:color="000000" w:fill="E2E3E2"/>
            <w:hideMark/>
          </w:tcPr>
          <w:p w14:paraId="7AEFEEA9" w14:textId="77777777" w:rsidR="006E1CA6" w:rsidRPr="00F30A7E" w:rsidRDefault="006E1CA6" w:rsidP="006E1CA6">
            <w:pPr>
              <w:pStyle w:val="Heading2"/>
            </w:pPr>
            <w:r w:rsidRPr="00F30A7E">
              <w:t>Corporations Act 2001</w:t>
            </w:r>
          </w:p>
        </w:tc>
        <w:tc>
          <w:tcPr>
            <w:tcW w:w="7082" w:type="dxa"/>
            <w:tcBorders>
              <w:top w:val="single" w:sz="8" w:space="0" w:color="FFFFFF"/>
              <w:left w:val="nil"/>
              <w:bottom w:val="nil"/>
              <w:right w:val="single" w:sz="8" w:space="0" w:color="FFFFFF"/>
            </w:tcBorders>
            <w:shd w:val="clear" w:color="000000" w:fill="F2F2F2"/>
            <w:hideMark/>
          </w:tcPr>
          <w:p w14:paraId="7AEFEEAA" w14:textId="77777777" w:rsidR="006E1CA6" w:rsidRPr="00CE1E3D" w:rsidRDefault="006E1CA6" w:rsidP="00035AB0">
            <w:pPr>
              <w:pStyle w:val="BodyText"/>
            </w:pPr>
            <w:r w:rsidRPr="00CE1E3D">
              <w:t xml:space="preserve">The </w:t>
            </w:r>
            <w:r w:rsidRPr="00CE1E3D">
              <w:rPr>
                <w:i/>
              </w:rPr>
              <w:t>Corporations Act 2001</w:t>
            </w:r>
            <w:r w:rsidRPr="00CE1E3D">
              <w:t xml:space="preserve"> applies to all companies registered in Australia including those owned or controlled by the Australian Government. It sets out a range of provisions for the various types of companies. Part 2M.3 of the Act requires certain companies, schemes or entities to prepare annual financial statements and have them audited in accordance with the relevant provisions of the legislation.</w:t>
            </w:r>
          </w:p>
          <w:p w14:paraId="7AEFEEAB" w14:textId="77777777" w:rsidR="006E1CA6" w:rsidRPr="00CE1E3D" w:rsidRDefault="006E1CA6" w:rsidP="00035AB0">
            <w:pPr>
              <w:pStyle w:val="BodyText"/>
            </w:pPr>
            <w:r w:rsidRPr="00CE1E3D">
              <w:t xml:space="preserve">The Auditor-General is a registered company auditor. Under section 21 of the </w:t>
            </w:r>
            <w:r w:rsidRPr="00CE1E3D">
              <w:rPr>
                <w:i/>
              </w:rPr>
              <w:t>Auditor-General Act 1997</w:t>
            </w:r>
            <w:r w:rsidRPr="00CE1E3D">
              <w:t>, the Auditor-General may accept appointment under the Corporations Act as the auditor of a Commonwealth company, a subsidiary of Commonwealth company or Commonwealth entity, or any other company that the Commonwealth controls.</w:t>
            </w:r>
          </w:p>
        </w:tc>
      </w:tr>
      <w:tr w:rsidR="006E1CA6" w:rsidRPr="00F30A7E" w14:paraId="7AEFEEB5" w14:textId="77777777" w:rsidTr="00E5605C">
        <w:trPr>
          <w:trHeight w:val="3423"/>
        </w:trPr>
        <w:tc>
          <w:tcPr>
            <w:tcW w:w="2258" w:type="dxa"/>
            <w:tcBorders>
              <w:top w:val="single" w:sz="8" w:space="0" w:color="FFFFFF"/>
              <w:left w:val="single" w:sz="8" w:space="0" w:color="FFFFFF"/>
              <w:bottom w:val="nil"/>
              <w:right w:val="single" w:sz="8" w:space="0" w:color="FFFFFF"/>
            </w:tcBorders>
            <w:shd w:val="clear" w:color="000000" w:fill="E2E3E2"/>
            <w:hideMark/>
          </w:tcPr>
          <w:p w14:paraId="7AEFEEAD" w14:textId="77777777" w:rsidR="006E1CA6" w:rsidRPr="00F30A7E" w:rsidRDefault="006E1CA6" w:rsidP="006E1CA6">
            <w:pPr>
              <w:pStyle w:val="Heading2"/>
            </w:pPr>
            <w:r w:rsidRPr="00F30A7E">
              <w:t>Auditor-General Act 1997</w:t>
            </w:r>
          </w:p>
        </w:tc>
        <w:tc>
          <w:tcPr>
            <w:tcW w:w="7082" w:type="dxa"/>
            <w:tcBorders>
              <w:top w:val="nil"/>
              <w:left w:val="nil"/>
              <w:bottom w:val="nil"/>
              <w:right w:val="single" w:sz="8" w:space="0" w:color="FFFFFF"/>
            </w:tcBorders>
            <w:shd w:val="clear" w:color="000000" w:fill="F2F2F2"/>
            <w:hideMark/>
          </w:tcPr>
          <w:p w14:paraId="7AEFEEAE" w14:textId="77777777" w:rsidR="006E1CA6" w:rsidRPr="00CE1E3D" w:rsidRDefault="006E1CA6" w:rsidP="00035AB0">
            <w:pPr>
              <w:pStyle w:val="BodyText"/>
            </w:pPr>
            <w:r w:rsidRPr="00CE1E3D">
              <w:t xml:space="preserve">The </w:t>
            </w:r>
            <w:r w:rsidRPr="00CE1E3D">
              <w:rPr>
                <w:i/>
              </w:rPr>
              <w:t>Auditor-General Act 1997</w:t>
            </w:r>
            <w:r w:rsidRPr="00CE1E3D">
              <w:t xml:space="preserve"> establishes the Office of Auditor-General and sets out the functions of the Auditor-General. Relevant provisions related to financial statements are:</w:t>
            </w:r>
          </w:p>
          <w:p w14:paraId="7AEFEEAF" w14:textId="77777777" w:rsidR="006E1CA6" w:rsidRPr="00CE1E3D" w:rsidRDefault="006E1CA6" w:rsidP="00CE1E3D">
            <w:pPr>
              <w:pStyle w:val="Bullet1"/>
              <w:rPr>
                <w:rFonts w:ascii="Arial" w:hAnsi="Arial"/>
                <w:sz w:val="20"/>
                <w:szCs w:val="20"/>
              </w:rPr>
            </w:pPr>
            <w:r w:rsidRPr="00CE1E3D">
              <w:rPr>
                <w:rFonts w:ascii="Arial" w:hAnsi="Arial"/>
                <w:sz w:val="20"/>
                <w:szCs w:val="20"/>
              </w:rPr>
              <w:t>audits of annual financial statements of Commonwealth entities, Commonwealth companies and subsidiaries of corporate Commonwealth entities and Commonwealth companies: section 11</w:t>
            </w:r>
          </w:p>
          <w:p w14:paraId="7AEFEEB0" w14:textId="77777777" w:rsidR="006E1CA6" w:rsidRPr="00CE1E3D" w:rsidRDefault="006E1CA6" w:rsidP="00CE1E3D">
            <w:pPr>
              <w:pStyle w:val="Bullet1"/>
              <w:rPr>
                <w:rFonts w:ascii="Arial" w:hAnsi="Arial"/>
                <w:sz w:val="20"/>
                <w:szCs w:val="20"/>
              </w:rPr>
            </w:pPr>
            <w:r w:rsidRPr="00CE1E3D">
              <w:rPr>
                <w:rFonts w:ascii="Arial" w:hAnsi="Arial"/>
                <w:sz w:val="20"/>
                <w:szCs w:val="20"/>
              </w:rPr>
              <w:t>audits of annual consolidated financial statements: section 12</w:t>
            </w:r>
          </w:p>
          <w:p w14:paraId="7AEFEEB1" w14:textId="77777777" w:rsidR="006E1CA6" w:rsidRPr="00CE1E3D" w:rsidRDefault="006E1CA6" w:rsidP="00CE1E3D">
            <w:pPr>
              <w:pStyle w:val="Bullet1"/>
              <w:rPr>
                <w:rFonts w:ascii="Arial" w:hAnsi="Arial"/>
                <w:sz w:val="20"/>
                <w:szCs w:val="20"/>
              </w:rPr>
            </w:pPr>
            <w:r w:rsidRPr="00CE1E3D">
              <w:rPr>
                <w:rFonts w:ascii="Arial" w:hAnsi="Arial"/>
                <w:sz w:val="20"/>
                <w:szCs w:val="20"/>
              </w:rPr>
              <w:t>financial statements audits by arrangement: section 20</w:t>
            </w:r>
          </w:p>
          <w:p w14:paraId="7AEFEEB2" w14:textId="77777777" w:rsidR="006E1CA6" w:rsidRPr="00CE1E3D" w:rsidRDefault="006E1CA6" w:rsidP="00CE1E3D">
            <w:pPr>
              <w:pStyle w:val="Bullet1"/>
              <w:rPr>
                <w:rFonts w:ascii="Arial" w:hAnsi="Arial"/>
                <w:sz w:val="20"/>
                <w:szCs w:val="20"/>
              </w:rPr>
            </w:pPr>
            <w:r w:rsidRPr="00CE1E3D">
              <w:rPr>
                <w:rFonts w:ascii="Arial" w:hAnsi="Arial"/>
                <w:sz w:val="20"/>
                <w:szCs w:val="20"/>
              </w:rPr>
              <w:t>ANAO auditing standards: section 24</w:t>
            </w:r>
          </w:p>
          <w:p w14:paraId="7AEFEEB3" w14:textId="77777777" w:rsidR="006E1CA6" w:rsidRPr="00CE1E3D" w:rsidRDefault="006E1CA6" w:rsidP="00CE1E3D">
            <w:pPr>
              <w:pStyle w:val="Bullet1"/>
              <w:rPr>
                <w:rFonts w:ascii="Arial" w:hAnsi="Arial"/>
                <w:sz w:val="20"/>
                <w:szCs w:val="20"/>
              </w:rPr>
            </w:pPr>
            <w:r w:rsidRPr="00CE1E3D">
              <w:rPr>
                <w:rFonts w:ascii="Arial" w:hAnsi="Arial"/>
                <w:sz w:val="20"/>
                <w:szCs w:val="20"/>
              </w:rPr>
              <w:t>extra reports to Parliament: section 25, and</w:t>
            </w:r>
          </w:p>
          <w:p w14:paraId="7AEFEEB4" w14:textId="77777777" w:rsidR="006E1CA6" w:rsidRPr="00CE1E3D" w:rsidRDefault="006E1CA6" w:rsidP="00CE1E3D">
            <w:pPr>
              <w:pStyle w:val="Bullet1"/>
              <w:rPr>
                <w:rFonts w:ascii="Arial" w:hAnsi="Arial"/>
                <w:sz w:val="20"/>
                <w:szCs w:val="20"/>
              </w:rPr>
            </w:pPr>
            <w:r w:rsidRPr="00CE1E3D">
              <w:rPr>
                <w:rFonts w:ascii="Arial" w:hAnsi="Arial"/>
                <w:sz w:val="20"/>
                <w:szCs w:val="20"/>
              </w:rPr>
              <w:t>extra reports to Ministers: section 26.</w:t>
            </w:r>
          </w:p>
        </w:tc>
      </w:tr>
      <w:tr w:rsidR="006E1CA6" w:rsidRPr="00F30A7E" w14:paraId="7AEFEEBA" w14:textId="77777777" w:rsidTr="00E5605C">
        <w:trPr>
          <w:trHeight w:val="835"/>
        </w:trPr>
        <w:tc>
          <w:tcPr>
            <w:tcW w:w="2258" w:type="dxa"/>
            <w:tcBorders>
              <w:top w:val="single" w:sz="8" w:space="0" w:color="FFFFFF"/>
              <w:left w:val="single" w:sz="8" w:space="0" w:color="FFFFFF"/>
              <w:bottom w:val="nil"/>
              <w:right w:val="single" w:sz="8" w:space="0" w:color="FFFFFF"/>
            </w:tcBorders>
            <w:shd w:val="clear" w:color="000000" w:fill="E2E3E2"/>
            <w:hideMark/>
          </w:tcPr>
          <w:p w14:paraId="7AEFEEB6" w14:textId="77777777" w:rsidR="006E1CA6" w:rsidRPr="00F30A7E" w:rsidRDefault="006E1CA6" w:rsidP="006E1CA6">
            <w:pPr>
              <w:pStyle w:val="Heading2"/>
            </w:pPr>
            <w:r w:rsidRPr="00F30A7E">
              <w:t xml:space="preserve">Public Governance, </w:t>
            </w:r>
            <w:r>
              <w:t xml:space="preserve">Performance and Accountability </w:t>
            </w:r>
            <w:r w:rsidRPr="00F30A7E">
              <w:t>Rule 2014</w:t>
            </w:r>
          </w:p>
        </w:tc>
        <w:tc>
          <w:tcPr>
            <w:tcW w:w="7082" w:type="dxa"/>
            <w:tcBorders>
              <w:top w:val="nil"/>
              <w:left w:val="nil"/>
              <w:bottom w:val="nil"/>
              <w:right w:val="single" w:sz="8" w:space="0" w:color="FFFFFF"/>
            </w:tcBorders>
            <w:shd w:val="clear" w:color="000000" w:fill="F2F2F2"/>
            <w:hideMark/>
          </w:tcPr>
          <w:p w14:paraId="7AEFEEB7" w14:textId="77777777" w:rsidR="006E1CA6" w:rsidRPr="00CE1E3D" w:rsidRDefault="006E1CA6" w:rsidP="00035AB0">
            <w:pPr>
              <w:pStyle w:val="BodyText"/>
            </w:pPr>
            <w:r w:rsidRPr="00CE1E3D">
              <w:t xml:space="preserve">The </w:t>
            </w:r>
            <w:r w:rsidRPr="00CE1E3D">
              <w:rPr>
                <w:i/>
              </w:rPr>
              <w:t>Public Governance, Performance and Accountability Rule 2014</w:t>
            </w:r>
            <w:r w:rsidRPr="00CE1E3D">
              <w:t xml:space="preserve"> (PGPA Rule) prescribes the requirements and procedures necessary to give effect to matters covered by the PGPA Act.</w:t>
            </w:r>
          </w:p>
          <w:p w14:paraId="7AEFEEB8" w14:textId="77777777" w:rsidR="006E1CA6" w:rsidRPr="00CE1E3D" w:rsidRDefault="006E1CA6" w:rsidP="00035AB0">
            <w:pPr>
              <w:pStyle w:val="BodyText"/>
            </w:pPr>
            <w:r w:rsidRPr="00CE1E3D">
              <w:t xml:space="preserve">The PGPA Rule also prescribes certain bodies, persons, groups of persons or organisations to be listed entities for the purposes of the PGPA Act (see Schedule 1 to the PGPA Rule). </w:t>
            </w:r>
          </w:p>
          <w:p w14:paraId="7AEFEEB9" w14:textId="77777777" w:rsidR="006E1CA6" w:rsidRPr="00CE1E3D" w:rsidRDefault="006E1CA6" w:rsidP="00035AB0">
            <w:pPr>
              <w:pStyle w:val="BodyText"/>
            </w:pPr>
            <w:r w:rsidRPr="00CE1E3D">
              <w:t>It is also to give each of those entities a name, to specify who the accountable authority and officials of the entity are, and to set out what the purposes of the entity include.</w:t>
            </w:r>
          </w:p>
        </w:tc>
      </w:tr>
      <w:tr w:rsidR="006E1CA6" w:rsidRPr="00F30A7E" w14:paraId="7AEFEEC2" w14:textId="77777777" w:rsidTr="00CE1E3D">
        <w:trPr>
          <w:trHeight w:val="4692"/>
        </w:trPr>
        <w:tc>
          <w:tcPr>
            <w:tcW w:w="2258" w:type="dxa"/>
            <w:tcBorders>
              <w:top w:val="single" w:sz="8" w:space="0" w:color="FFFFFF"/>
              <w:left w:val="single" w:sz="8" w:space="0" w:color="FFFFFF"/>
              <w:bottom w:val="nil"/>
              <w:right w:val="single" w:sz="8" w:space="0" w:color="FFFFFF"/>
            </w:tcBorders>
            <w:shd w:val="clear" w:color="000000" w:fill="E2E3E2"/>
            <w:hideMark/>
          </w:tcPr>
          <w:p w14:paraId="7AEFEEBB" w14:textId="77777777" w:rsidR="006E1CA6" w:rsidRPr="00F30A7E" w:rsidRDefault="006E1CA6" w:rsidP="006E1CA6">
            <w:pPr>
              <w:pStyle w:val="Heading2"/>
            </w:pPr>
            <w:r w:rsidRPr="00A96AE8">
              <w:t xml:space="preserve">Public Governance, Performance and Accountability (Financial Reporting) Rule 2015 </w:t>
            </w:r>
          </w:p>
        </w:tc>
        <w:tc>
          <w:tcPr>
            <w:tcW w:w="7082" w:type="dxa"/>
            <w:tcBorders>
              <w:top w:val="single" w:sz="8" w:space="0" w:color="FFFFFF"/>
              <w:left w:val="nil"/>
              <w:bottom w:val="nil"/>
              <w:right w:val="single" w:sz="8" w:space="0" w:color="FFFFFF"/>
            </w:tcBorders>
            <w:shd w:val="clear" w:color="000000" w:fill="F2F2F2"/>
            <w:hideMark/>
          </w:tcPr>
          <w:p w14:paraId="7AEFEEBC" w14:textId="77777777" w:rsidR="006E1CA6" w:rsidRPr="00CE1E3D" w:rsidRDefault="006E1CA6" w:rsidP="00035AB0">
            <w:pPr>
              <w:pStyle w:val="BodyText"/>
            </w:pPr>
            <w:r w:rsidRPr="00CE1E3D">
              <w:t>Section 101 of the PGPA Act provides for the Finance Minister to make rules to prescribe the requirements and procedures necessary to give effect to the governance, performance and accountability matters covered by the Act.</w:t>
            </w:r>
          </w:p>
          <w:p w14:paraId="7AEFEEBD" w14:textId="77777777" w:rsidR="006E1CA6" w:rsidRPr="00CE1E3D" w:rsidRDefault="006E1CA6" w:rsidP="00035AB0">
            <w:pPr>
              <w:pStyle w:val="BodyText"/>
            </w:pPr>
            <w:r w:rsidRPr="00CE1E3D">
              <w:t xml:space="preserve">Under the section, the Finance Minister issues annually the </w:t>
            </w:r>
            <w:r w:rsidRPr="00CE1E3D">
              <w:br/>
            </w:r>
            <w:r w:rsidRPr="00CE1E3D">
              <w:rPr>
                <w:i/>
              </w:rPr>
              <w:t>Public Governance, Performance and Accountability (Financial Reporting) Rule 2015</w:t>
            </w:r>
            <w:r w:rsidRPr="00CE1E3D">
              <w:t xml:space="preserve"> (FRR). It is part of a suite of documents designed to assist Commonwealth entities meet their financial reporting requirements under the PGPA Act. These documents are:</w:t>
            </w:r>
          </w:p>
          <w:p w14:paraId="7AEFEEBE" w14:textId="77777777" w:rsidR="006E1CA6" w:rsidRPr="00CE1E3D" w:rsidRDefault="006E1CA6" w:rsidP="00CE1E3D">
            <w:pPr>
              <w:pStyle w:val="Bullet1"/>
              <w:rPr>
                <w:rFonts w:ascii="Arial" w:hAnsi="Arial"/>
                <w:sz w:val="20"/>
                <w:szCs w:val="20"/>
              </w:rPr>
            </w:pPr>
            <w:r w:rsidRPr="00CE1E3D">
              <w:rPr>
                <w:rFonts w:ascii="Arial" w:hAnsi="Arial"/>
                <w:b/>
                <w:sz w:val="20"/>
                <w:szCs w:val="20"/>
              </w:rPr>
              <w:t>The FRR</w:t>
            </w:r>
            <w:r w:rsidRPr="00CE1E3D">
              <w:rPr>
                <w:rFonts w:ascii="Arial" w:hAnsi="Arial"/>
                <w:sz w:val="20"/>
                <w:szCs w:val="20"/>
              </w:rPr>
              <w:t>—this is the legislative instrument that mandates how Commonwealth entities complete their annual financial statements</w:t>
            </w:r>
          </w:p>
          <w:p w14:paraId="7AEFEEBF" w14:textId="77777777" w:rsidR="006E1CA6" w:rsidRPr="00CE1E3D" w:rsidRDefault="006E1CA6" w:rsidP="00CE1E3D">
            <w:pPr>
              <w:pStyle w:val="Bullet1"/>
              <w:rPr>
                <w:rFonts w:ascii="Arial" w:hAnsi="Arial"/>
                <w:sz w:val="20"/>
                <w:szCs w:val="20"/>
              </w:rPr>
            </w:pPr>
            <w:r w:rsidRPr="00CE1E3D">
              <w:rPr>
                <w:rFonts w:ascii="Arial" w:hAnsi="Arial"/>
                <w:b/>
                <w:sz w:val="20"/>
                <w:szCs w:val="20"/>
              </w:rPr>
              <w:t>The Commonwealth Financial Statements Preparation Guide (the Preparation Guide)</w:t>
            </w:r>
            <w:r w:rsidRPr="00CE1E3D">
              <w:rPr>
                <w:rFonts w:ascii="Arial" w:hAnsi="Arial"/>
                <w:sz w:val="20"/>
                <w:szCs w:val="20"/>
              </w:rPr>
              <w:t>—this expands on the FRR and provides additional guidance for the preparers of entity financial statements, and</w:t>
            </w:r>
          </w:p>
          <w:p w14:paraId="7AEFEEC0" w14:textId="77777777" w:rsidR="006E1CA6" w:rsidRPr="00CE1E3D" w:rsidRDefault="006E1CA6" w:rsidP="00CE1E3D">
            <w:pPr>
              <w:pStyle w:val="Bullet1"/>
              <w:rPr>
                <w:rFonts w:ascii="Arial" w:hAnsi="Arial"/>
                <w:sz w:val="20"/>
                <w:szCs w:val="20"/>
              </w:rPr>
            </w:pPr>
            <w:r w:rsidRPr="00CE1E3D">
              <w:rPr>
                <w:rFonts w:ascii="Arial" w:hAnsi="Arial"/>
                <w:b/>
                <w:sz w:val="20"/>
                <w:szCs w:val="20"/>
              </w:rPr>
              <w:t>PRIMA Financial Statements</w:t>
            </w:r>
            <w:r w:rsidRPr="00CE1E3D">
              <w:rPr>
                <w:rFonts w:ascii="Arial" w:hAnsi="Arial"/>
                <w:sz w:val="20"/>
                <w:szCs w:val="20"/>
              </w:rPr>
              <w:t>—details the disclosures required in financial statements.</w:t>
            </w:r>
          </w:p>
          <w:p w14:paraId="7AEFEEC1" w14:textId="77777777" w:rsidR="006E1CA6" w:rsidRPr="00CE1E3D" w:rsidRDefault="006E1CA6" w:rsidP="00035AB0">
            <w:pPr>
              <w:pStyle w:val="BodyText"/>
            </w:pPr>
            <w:r w:rsidRPr="00CE1E3D">
              <w:t>Finance publishes additional guidance material including Resource Management Guides (RMGs), Estimates Memoranda, Standard Parameters and other guides relevant to the preparation of financial statements.</w:t>
            </w:r>
          </w:p>
        </w:tc>
      </w:tr>
      <w:tr w:rsidR="006E1CA6" w:rsidRPr="00F30A7E" w14:paraId="7AEFEEC7" w14:textId="77777777" w:rsidTr="00E5605C">
        <w:trPr>
          <w:trHeight w:val="1823"/>
        </w:trPr>
        <w:tc>
          <w:tcPr>
            <w:tcW w:w="2258" w:type="dxa"/>
            <w:tcBorders>
              <w:top w:val="single" w:sz="8" w:space="0" w:color="FFFFFF"/>
              <w:left w:val="single" w:sz="8" w:space="0" w:color="FFFFFF"/>
              <w:bottom w:val="single" w:sz="8" w:space="0" w:color="FFFFFF"/>
              <w:right w:val="single" w:sz="8" w:space="0" w:color="FFFFFF"/>
            </w:tcBorders>
            <w:shd w:val="clear" w:color="000000" w:fill="E2E3E2"/>
            <w:hideMark/>
          </w:tcPr>
          <w:p w14:paraId="7AEFEEC3" w14:textId="77777777" w:rsidR="006E1CA6" w:rsidRPr="00F30A7E" w:rsidRDefault="006E1CA6" w:rsidP="006E1CA6">
            <w:pPr>
              <w:pStyle w:val="Heading2"/>
            </w:pPr>
            <w:r w:rsidRPr="0041506E">
              <w:t xml:space="preserve">Primary Reporting and Information Management Aid (PRIMA) </w:t>
            </w:r>
            <w:r w:rsidRPr="00F30A7E">
              <w:t>Financial Statements</w:t>
            </w:r>
          </w:p>
        </w:tc>
        <w:tc>
          <w:tcPr>
            <w:tcW w:w="7082" w:type="dxa"/>
            <w:tcBorders>
              <w:top w:val="single" w:sz="8" w:space="0" w:color="FFFFFF"/>
              <w:left w:val="nil"/>
              <w:bottom w:val="single" w:sz="8" w:space="0" w:color="FFFFFF"/>
              <w:right w:val="single" w:sz="8" w:space="0" w:color="FFFFFF"/>
            </w:tcBorders>
            <w:shd w:val="clear" w:color="000000" w:fill="F2F2F2"/>
            <w:hideMark/>
          </w:tcPr>
          <w:p w14:paraId="7AEFEEC4" w14:textId="77777777" w:rsidR="006E1CA6" w:rsidRPr="00CE1E3D" w:rsidRDefault="006E1CA6" w:rsidP="00035AB0">
            <w:pPr>
              <w:pStyle w:val="BodyText"/>
            </w:pPr>
            <w:r w:rsidRPr="00CE1E3D">
              <w:rPr>
                <w:lang w:eastAsia="en-AU"/>
              </w:rPr>
              <w:t>PRIMA outlines the disclosures required in financial statements by Commonwealth entities, in accordance with the FRR, and include:</w:t>
            </w:r>
          </w:p>
          <w:p w14:paraId="7AEFEEC5" w14:textId="77777777" w:rsidR="006E1CA6" w:rsidRPr="00CE1E3D" w:rsidRDefault="006E1CA6" w:rsidP="00CE1E3D">
            <w:pPr>
              <w:pStyle w:val="Bullet1"/>
              <w:rPr>
                <w:rFonts w:ascii="Arial" w:hAnsi="Arial"/>
                <w:noProof w:val="0"/>
                <w:sz w:val="20"/>
                <w:szCs w:val="20"/>
                <w:lang w:eastAsia="en-US"/>
              </w:rPr>
            </w:pPr>
            <w:r w:rsidRPr="00CE1E3D">
              <w:rPr>
                <w:rFonts w:ascii="Arial" w:hAnsi="Arial"/>
                <w:sz w:val="20"/>
                <w:szCs w:val="20"/>
              </w:rPr>
              <w:t>PRIMA Forms of Financial Statements (PRIMA Forms) which are mandatory, and</w:t>
            </w:r>
          </w:p>
          <w:p w14:paraId="7AEFEEC6" w14:textId="77777777" w:rsidR="006E1CA6" w:rsidRPr="00CE1E3D" w:rsidRDefault="006E1CA6" w:rsidP="00CE1E3D">
            <w:pPr>
              <w:pStyle w:val="Bullet1"/>
              <w:rPr>
                <w:rFonts w:ascii="Arial" w:hAnsi="Arial"/>
                <w:noProof w:val="0"/>
                <w:sz w:val="20"/>
                <w:szCs w:val="20"/>
                <w:lang w:eastAsia="en-US"/>
              </w:rPr>
            </w:pPr>
            <w:r w:rsidRPr="00CE1E3D">
              <w:rPr>
                <w:rFonts w:ascii="Arial" w:hAnsi="Arial"/>
                <w:sz w:val="20"/>
                <w:szCs w:val="20"/>
              </w:rPr>
              <w:t>PRIMA Model that includes PRIMA Forms, which is an Excel spreadsheet with additional functionality to enable Commonwealth entities to use in the preparation of their financial statements.</w:t>
            </w:r>
          </w:p>
        </w:tc>
      </w:tr>
      <w:tr w:rsidR="006E1CA6" w:rsidRPr="00F30A7E" w14:paraId="7AEFEECA" w14:textId="77777777" w:rsidTr="00E5605C">
        <w:trPr>
          <w:trHeight w:val="735"/>
        </w:trPr>
        <w:tc>
          <w:tcPr>
            <w:tcW w:w="2258" w:type="dxa"/>
            <w:tcBorders>
              <w:top w:val="nil"/>
              <w:left w:val="single" w:sz="8" w:space="0" w:color="FFFFFF"/>
              <w:bottom w:val="single" w:sz="8" w:space="0" w:color="FFFFFF"/>
              <w:right w:val="single" w:sz="8" w:space="0" w:color="FFFFFF"/>
            </w:tcBorders>
            <w:shd w:val="clear" w:color="000000" w:fill="E2E3E2"/>
            <w:hideMark/>
          </w:tcPr>
          <w:p w14:paraId="7AEFEEC8" w14:textId="77777777" w:rsidR="006E1CA6" w:rsidRPr="00F30A7E" w:rsidRDefault="006E1CA6" w:rsidP="006E1CA6">
            <w:pPr>
              <w:pStyle w:val="Heading2"/>
            </w:pPr>
            <w:r w:rsidRPr="00F30A7E">
              <w:t>Australian Accounting Standards</w:t>
            </w:r>
          </w:p>
        </w:tc>
        <w:tc>
          <w:tcPr>
            <w:tcW w:w="7082" w:type="dxa"/>
            <w:tcBorders>
              <w:top w:val="nil"/>
              <w:left w:val="nil"/>
              <w:bottom w:val="single" w:sz="8" w:space="0" w:color="FFFFFF"/>
              <w:right w:val="single" w:sz="8" w:space="0" w:color="FFFFFF"/>
            </w:tcBorders>
            <w:shd w:val="clear" w:color="000000" w:fill="F2F2F2"/>
            <w:hideMark/>
          </w:tcPr>
          <w:p w14:paraId="7AEFEEC9" w14:textId="3A75F36B" w:rsidR="006E1CA6" w:rsidRPr="00CE1E3D" w:rsidRDefault="006E1CA6" w:rsidP="00035AB0">
            <w:pPr>
              <w:pStyle w:val="BodyText"/>
              <w:rPr>
                <w:lang w:eastAsia="en-AU"/>
              </w:rPr>
            </w:pPr>
            <w:r w:rsidRPr="00CE1E3D">
              <w:rPr>
                <w:lang w:eastAsia="en-AU"/>
              </w:rPr>
              <w:t xml:space="preserve">Australian Accounting Standards (AAS) are issued by the Australian Accounting Standards Board (AASB). These standards are legislative instruments under the </w:t>
            </w:r>
            <w:r w:rsidRPr="00CE1E3D">
              <w:rPr>
                <w:i/>
                <w:lang w:eastAsia="en-AU"/>
              </w:rPr>
              <w:t>Legislati</w:t>
            </w:r>
            <w:r w:rsidR="00D01807">
              <w:rPr>
                <w:i/>
                <w:lang w:eastAsia="en-AU"/>
              </w:rPr>
              <w:t xml:space="preserve">on </w:t>
            </w:r>
            <w:r w:rsidRPr="00CE1E3D">
              <w:rPr>
                <w:i/>
                <w:lang w:eastAsia="en-AU"/>
              </w:rPr>
              <w:t>Act 2003</w:t>
            </w:r>
            <w:r w:rsidRPr="00CE1E3D">
              <w:rPr>
                <w:lang w:eastAsia="en-AU"/>
              </w:rPr>
              <w:t>.</w:t>
            </w:r>
          </w:p>
        </w:tc>
      </w:tr>
      <w:tr w:rsidR="006E1CA6" w:rsidRPr="00F30A7E" w14:paraId="7AEFEECD" w14:textId="77777777" w:rsidTr="00E5605C">
        <w:trPr>
          <w:trHeight w:val="975"/>
        </w:trPr>
        <w:tc>
          <w:tcPr>
            <w:tcW w:w="2258" w:type="dxa"/>
            <w:tcBorders>
              <w:top w:val="nil"/>
              <w:left w:val="single" w:sz="8" w:space="0" w:color="FFFFFF"/>
              <w:bottom w:val="single" w:sz="8" w:space="0" w:color="FFFFFF"/>
              <w:right w:val="single" w:sz="8" w:space="0" w:color="FFFFFF"/>
            </w:tcBorders>
            <w:shd w:val="clear" w:color="000000" w:fill="E2E3E2"/>
            <w:hideMark/>
          </w:tcPr>
          <w:p w14:paraId="7AEFEECB" w14:textId="77777777" w:rsidR="006E1CA6" w:rsidRPr="00F30A7E" w:rsidRDefault="006E1CA6" w:rsidP="006E1CA6">
            <w:pPr>
              <w:pStyle w:val="Heading2"/>
            </w:pPr>
            <w:r w:rsidRPr="00F30A7E">
              <w:t>Australian Interpretations</w:t>
            </w:r>
          </w:p>
        </w:tc>
        <w:tc>
          <w:tcPr>
            <w:tcW w:w="7082" w:type="dxa"/>
            <w:tcBorders>
              <w:top w:val="nil"/>
              <w:left w:val="nil"/>
              <w:bottom w:val="single" w:sz="8" w:space="0" w:color="FFFFFF"/>
              <w:right w:val="single" w:sz="8" w:space="0" w:color="FFFFFF"/>
            </w:tcBorders>
            <w:shd w:val="clear" w:color="000000" w:fill="F2F2F2"/>
            <w:hideMark/>
          </w:tcPr>
          <w:p w14:paraId="7AEFEECC" w14:textId="77777777" w:rsidR="006E1CA6" w:rsidRPr="00CE1E3D" w:rsidRDefault="006E1CA6" w:rsidP="00035AB0">
            <w:pPr>
              <w:pStyle w:val="BodyText"/>
              <w:rPr>
                <w:lang w:eastAsia="en-AU"/>
              </w:rPr>
            </w:pPr>
            <w:r w:rsidRPr="00CE1E3D">
              <w:rPr>
                <w:lang w:eastAsia="en-AU"/>
              </w:rPr>
              <w:t xml:space="preserve">The FRR requires financial statements to comply with Australian Interpretations issued by the AASB. The interpretations comprise guidance on urgent financial reporting issues and are listed in Accounting Standard AASB 1048 </w:t>
            </w:r>
            <w:r w:rsidRPr="00CE1E3D">
              <w:rPr>
                <w:i/>
                <w:lang w:eastAsia="en-AU"/>
              </w:rPr>
              <w:t>Interpretation of Standards</w:t>
            </w:r>
            <w:r w:rsidRPr="00CE1E3D">
              <w:rPr>
                <w:lang w:eastAsia="en-AU"/>
              </w:rPr>
              <w:t>. They have authority under the Corporations Act and are mandatory for members of the accounting profession.</w:t>
            </w:r>
          </w:p>
        </w:tc>
      </w:tr>
      <w:tr w:rsidR="006E1CA6" w:rsidRPr="00F30A7E" w14:paraId="7AEFEED1" w14:textId="77777777" w:rsidTr="00E5605C">
        <w:trPr>
          <w:trHeight w:val="1695"/>
        </w:trPr>
        <w:tc>
          <w:tcPr>
            <w:tcW w:w="2258" w:type="dxa"/>
            <w:tcBorders>
              <w:top w:val="nil"/>
              <w:left w:val="single" w:sz="8" w:space="0" w:color="FFFFFF"/>
              <w:bottom w:val="single" w:sz="8" w:space="0" w:color="FFFFFF"/>
              <w:right w:val="single" w:sz="8" w:space="0" w:color="FFFFFF"/>
            </w:tcBorders>
            <w:shd w:val="clear" w:color="000000" w:fill="E2E3E2"/>
            <w:hideMark/>
          </w:tcPr>
          <w:p w14:paraId="7AEFEECE" w14:textId="77777777" w:rsidR="006E1CA6" w:rsidRPr="00F30A7E" w:rsidRDefault="006E1CA6" w:rsidP="006E1CA6">
            <w:pPr>
              <w:pStyle w:val="Heading2"/>
            </w:pPr>
            <w:r>
              <w:t xml:space="preserve">AASB Framework for the </w:t>
            </w:r>
            <w:r w:rsidRPr="00F30A7E">
              <w:t>Preparatio</w:t>
            </w:r>
            <w:r>
              <w:t xml:space="preserve">n and Presentation of Financial </w:t>
            </w:r>
            <w:r w:rsidRPr="00F30A7E">
              <w:t>Statements and Statement of Accounting Concepts</w:t>
            </w:r>
          </w:p>
        </w:tc>
        <w:tc>
          <w:tcPr>
            <w:tcW w:w="7082" w:type="dxa"/>
            <w:tcBorders>
              <w:top w:val="nil"/>
              <w:left w:val="nil"/>
              <w:bottom w:val="single" w:sz="8" w:space="0" w:color="FFFFFF"/>
              <w:right w:val="single" w:sz="8" w:space="0" w:color="FFFFFF"/>
            </w:tcBorders>
            <w:shd w:val="clear" w:color="000000" w:fill="F2F2F2"/>
            <w:hideMark/>
          </w:tcPr>
          <w:p w14:paraId="7AEFEECF" w14:textId="77777777" w:rsidR="006E1CA6" w:rsidRPr="00CE1E3D" w:rsidRDefault="006E1CA6" w:rsidP="00035AB0">
            <w:pPr>
              <w:pStyle w:val="BodyText"/>
              <w:rPr>
                <w:lang w:eastAsia="en-AU"/>
              </w:rPr>
            </w:pPr>
            <w:r w:rsidRPr="00CE1E3D">
              <w:rPr>
                <w:lang w:eastAsia="en-AU"/>
              </w:rPr>
              <w:t>The FRR requires financial statements to have regard to the Australian conceptual accounting framework comprising AASB Framework for the Preparation and Presentation of Financial Statements and Statement of Accounting Concepts (SAC)—</w:t>
            </w:r>
            <w:r w:rsidRPr="00CE1E3D">
              <w:rPr>
                <w:i/>
                <w:lang w:eastAsia="en-AU"/>
              </w:rPr>
              <w:t>SAC 1: Definition of the Reporting Entity</w:t>
            </w:r>
            <w:r w:rsidRPr="00CE1E3D">
              <w:rPr>
                <w:lang w:eastAsia="en-AU"/>
              </w:rPr>
              <w:t xml:space="preserve">.  </w:t>
            </w:r>
          </w:p>
          <w:p w14:paraId="7AEFEED0" w14:textId="77777777" w:rsidR="006E1CA6" w:rsidRPr="00CE1E3D" w:rsidRDefault="006E1CA6" w:rsidP="00035AB0">
            <w:pPr>
              <w:pStyle w:val="BodyText"/>
              <w:rPr>
                <w:lang w:eastAsia="en-AU"/>
              </w:rPr>
            </w:pPr>
            <w:r w:rsidRPr="00CE1E3D">
              <w:rPr>
                <w:lang w:eastAsia="en-AU"/>
              </w:rPr>
              <w:t>The conceptual framework sets out the objective, qualitative characteristics and elements of financial reports, together with assumptions underlying the reports and recognition criteria for the elements of financial statements. The framework also defines a reporting entity.</w:t>
            </w:r>
          </w:p>
        </w:tc>
      </w:tr>
      <w:tr w:rsidR="006E1CA6" w:rsidRPr="00F30A7E" w14:paraId="7AEFEED6" w14:textId="77777777" w:rsidTr="003C0E4B">
        <w:trPr>
          <w:trHeight w:val="2863"/>
        </w:trPr>
        <w:tc>
          <w:tcPr>
            <w:tcW w:w="2258" w:type="dxa"/>
            <w:tcBorders>
              <w:top w:val="nil"/>
              <w:left w:val="single" w:sz="8" w:space="0" w:color="FFFFFF"/>
              <w:bottom w:val="single" w:sz="8" w:space="0" w:color="FFFFFF"/>
              <w:right w:val="single" w:sz="8" w:space="0" w:color="FFFFFF"/>
            </w:tcBorders>
            <w:shd w:val="clear" w:color="000000" w:fill="E2E3E2"/>
            <w:hideMark/>
          </w:tcPr>
          <w:p w14:paraId="7AEFEED2" w14:textId="77777777" w:rsidR="006E1CA6" w:rsidRPr="00F30A7E" w:rsidRDefault="006E1CA6" w:rsidP="006E1CA6">
            <w:pPr>
              <w:pStyle w:val="Heading2"/>
            </w:pPr>
            <w:r w:rsidRPr="00F30A7E">
              <w:t>Annual report requirements</w:t>
            </w:r>
          </w:p>
        </w:tc>
        <w:tc>
          <w:tcPr>
            <w:tcW w:w="7082" w:type="dxa"/>
            <w:tcBorders>
              <w:top w:val="nil"/>
              <w:left w:val="nil"/>
              <w:right w:val="single" w:sz="8" w:space="0" w:color="FFFFFF"/>
            </w:tcBorders>
            <w:shd w:val="clear" w:color="000000" w:fill="F2F2F2"/>
            <w:hideMark/>
          </w:tcPr>
          <w:p w14:paraId="7AEFEED3" w14:textId="77777777" w:rsidR="006E1CA6" w:rsidRPr="00CE1E3D" w:rsidRDefault="006E1CA6" w:rsidP="00035AB0">
            <w:pPr>
              <w:pStyle w:val="BodyText"/>
            </w:pPr>
            <w:r w:rsidRPr="00CE1E3D">
              <w:rPr>
                <w:b/>
              </w:rPr>
              <w:t>Commonwealth entities</w:t>
            </w:r>
            <w:r w:rsidRPr="00CE1E3D">
              <w:t>—Section 46 of the PGPA Act requires a Commonwealth entity to prepare and give an annual report to its responsible Minister for presentation to the Parliament on the entity’s activities during the year. The annual report must include the entity’s annual financial statements and it must be prepared in accordance with the PGPA Rules approved by the Joint Committee of Public Accounts and Audit.</w:t>
            </w:r>
          </w:p>
          <w:p w14:paraId="7AEFEED5" w14:textId="77777777" w:rsidR="006E1CA6" w:rsidRPr="00CE1E3D" w:rsidRDefault="006E1CA6" w:rsidP="00035AB0">
            <w:pPr>
              <w:pStyle w:val="BodyText"/>
            </w:pPr>
            <w:r w:rsidRPr="00CE1E3D">
              <w:rPr>
                <w:b/>
              </w:rPr>
              <w:t>Commonwealth companies</w:t>
            </w:r>
            <w:r w:rsidRPr="00CE1E3D">
              <w:t xml:space="preserve">—Section 97 of the PGPA Act requires a Commonwealth company to give the responsible Minister a copy of the annual report required under the Corporations Act. The annual reporting requirements for companies are set out in Chapter 2M of the </w:t>
            </w:r>
            <w:r w:rsidRPr="00CE1E3D">
              <w:rPr>
                <w:i/>
              </w:rPr>
              <w:t>Corporations Act 2001</w:t>
            </w:r>
            <w:r w:rsidRPr="00CE1E3D">
              <w:t>. Paragraph 97(1) (b) allows the rules to require an annual report for a wholly-owned Commonwealth company to include additional information to that required under the Corporations Act.</w:t>
            </w:r>
          </w:p>
        </w:tc>
      </w:tr>
      <w:bookmarkStart w:id="0" w:name="RANGE!A15"/>
      <w:tr w:rsidR="006E1CA6" w:rsidRPr="00F30A7E" w14:paraId="7AEFEEDC" w14:textId="77777777" w:rsidTr="00CE1E3D">
        <w:trPr>
          <w:trHeight w:val="3803"/>
        </w:trPr>
        <w:tc>
          <w:tcPr>
            <w:tcW w:w="2258" w:type="dxa"/>
            <w:tcBorders>
              <w:top w:val="nil"/>
              <w:left w:val="single" w:sz="8" w:space="0" w:color="FFFFFF"/>
              <w:bottom w:val="nil"/>
              <w:right w:val="single" w:sz="8" w:space="0" w:color="FFFFFF"/>
            </w:tcBorders>
            <w:shd w:val="clear" w:color="000000" w:fill="E2E3E2"/>
            <w:hideMark/>
          </w:tcPr>
          <w:p w14:paraId="7AEFEED7" w14:textId="4CB9C531" w:rsidR="006E1CA6" w:rsidRPr="00F30A7E" w:rsidRDefault="007C5490" w:rsidP="005B215F">
            <w:pPr>
              <w:pStyle w:val="Heading2"/>
            </w:pPr>
            <w:r w:rsidRPr="00035AB0">
              <w:fldChar w:fldCharType="begin"/>
            </w:r>
            <w:r w:rsidRPr="00035AB0">
              <w:instrText>HYPERLINK "https://www.counterfraud.gov.au/sites/default/files/2024-06/cfpc-framework-2024.pdf" \o "cfpc-framework-2024.pdf"</w:instrText>
            </w:r>
            <w:r w:rsidRPr="00035AB0">
              <w:fldChar w:fldCharType="separate"/>
            </w:r>
            <w:r w:rsidRPr="00035AB0">
              <w:rPr>
                <w:rStyle w:val="Hyperlink"/>
              </w:rPr>
              <w:t>Commonwealth Fraud and Corru</w:t>
            </w:r>
            <w:r w:rsidRPr="00035AB0">
              <w:rPr>
                <w:rStyle w:val="Hyperlink"/>
              </w:rPr>
              <w:t>ption Control Framework 2024</w:t>
            </w:r>
            <w:r w:rsidRPr="00035AB0">
              <w:fldChar w:fldCharType="end"/>
            </w:r>
            <w:bookmarkEnd w:id="0"/>
          </w:p>
        </w:tc>
        <w:tc>
          <w:tcPr>
            <w:tcW w:w="7082" w:type="dxa"/>
            <w:tcBorders>
              <w:top w:val="nil"/>
              <w:left w:val="nil"/>
              <w:bottom w:val="nil"/>
              <w:right w:val="single" w:sz="8" w:space="0" w:color="FFFFFF"/>
            </w:tcBorders>
            <w:shd w:val="clear" w:color="000000" w:fill="F2F2F2"/>
            <w:hideMark/>
          </w:tcPr>
          <w:p w14:paraId="7AEFEED8" w14:textId="79B74906" w:rsidR="006E1CA6" w:rsidRPr="00CE1E3D" w:rsidRDefault="00B92DF1" w:rsidP="00035AB0">
            <w:pPr>
              <w:pStyle w:val="BodyText"/>
            </w:pPr>
            <w:r w:rsidRPr="00B92DF1">
              <w:t>The Commonwealth Fraud and Corruption Control Framework supports Australian Government entities to effectively manage the risks of fraud and corruption</w:t>
            </w:r>
            <w:r w:rsidR="00C80B74">
              <w:t xml:space="preserve">. </w:t>
            </w:r>
            <w:r w:rsidRPr="00B92DF1">
              <w:t>The framework comes into effect on 1 July 2024</w:t>
            </w:r>
            <w:r w:rsidR="008D1552">
              <w:t>.</w:t>
            </w:r>
            <w:r w:rsidR="00B47CAD">
              <w:t xml:space="preserve"> </w:t>
            </w:r>
            <w:r w:rsidR="00B47CAD" w:rsidRPr="00B47CAD">
              <w:t>The framework consists of 3 parts:</w:t>
            </w:r>
          </w:p>
          <w:p w14:paraId="7AEFEED9" w14:textId="5CF8040D" w:rsidR="006E1CA6" w:rsidRPr="00CE1E3D" w:rsidRDefault="00B47CAD" w:rsidP="00CE1E3D">
            <w:pPr>
              <w:pStyle w:val="Bullet1"/>
              <w:rPr>
                <w:rFonts w:ascii="Arial" w:hAnsi="Arial"/>
                <w:sz w:val="20"/>
                <w:szCs w:val="20"/>
              </w:rPr>
            </w:pPr>
            <w:r>
              <w:rPr>
                <w:rFonts w:ascii="Arial" w:hAnsi="Arial"/>
                <w:sz w:val="20"/>
                <w:szCs w:val="20"/>
              </w:rPr>
              <w:t>S</w:t>
            </w:r>
            <w:r w:rsidR="006E1CA6" w:rsidRPr="00CE1E3D">
              <w:rPr>
                <w:rFonts w:ascii="Arial" w:hAnsi="Arial"/>
                <w:sz w:val="20"/>
                <w:szCs w:val="20"/>
              </w:rPr>
              <w:t xml:space="preserve">ection 10 of the PGPA Rule (Fraud </w:t>
            </w:r>
            <w:r>
              <w:rPr>
                <w:rFonts w:ascii="Arial" w:hAnsi="Arial"/>
                <w:sz w:val="20"/>
                <w:szCs w:val="20"/>
              </w:rPr>
              <w:t xml:space="preserve">and Corruption </w:t>
            </w:r>
            <w:r w:rsidR="006E1CA6" w:rsidRPr="00CE1E3D">
              <w:rPr>
                <w:rFonts w:ascii="Arial" w:hAnsi="Arial"/>
                <w:sz w:val="20"/>
                <w:szCs w:val="20"/>
              </w:rPr>
              <w:t xml:space="preserve">Rule) that </w:t>
            </w:r>
            <w:r w:rsidR="00673DCE" w:rsidRPr="00673DCE">
              <w:rPr>
                <w:rFonts w:ascii="Arial" w:hAnsi="Arial"/>
                <w:sz w:val="20"/>
                <w:szCs w:val="20"/>
              </w:rPr>
              <w:t>sets out the minimum standards for accountable authorities of PGPA Act entities in relation to managing the risk and incidents of fraud and corruption relating to their entity.</w:t>
            </w:r>
          </w:p>
          <w:p w14:paraId="7AEFEEDA" w14:textId="41B31A07" w:rsidR="006E1CA6" w:rsidRPr="00CE1E3D" w:rsidRDefault="002B74B1" w:rsidP="00CE1E3D">
            <w:pPr>
              <w:pStyle w:val="Bullet1"/>
              <w:rPr>
                <w:rFonts w:ascii="Arial" w:hAnsi="Arial"/>
                <w:sz w:val="20"/>
                <w:szCs w:val="20"/>
              </w:rPr>
            </w:pPr>
            <w:r w:rsidRPr="002B74B1">
              <w:rPr>
                <w:rFonts w:ascii="Arial" w:hAnsi="Arial"/>
                <w:sz w:val="20"/>
                <w:szCs w:val="20"/>
              </w:rPr>
              <w:t>The Commonwealth Fraud and Corruption Policy (</w:t>
            </w:r>
            <w:r w:rsidR="00EB3164" w:rsidRPr="00EB3164">
              <w:rPr>
                <w:rFonts w:ascii="Arial" w:hAnsi="Arial"/>
                <w:sz w:val="20"/>
                <w:szCs w:val="20"/>
              </w:rPr>
              <w:t>Fraud and Corruption</w:t>
            </w:r>
            <w:r w:rsidR="00EB3164">
              <w:rPr>
                <w:rFonts w:ascii="Arial" w:hAnsi="Arial"/>
                <w:sz w:val="20"/>
                <w:szCs w:val="20"/>
              </w:rPr>
              <w:t xml:space="preserve"> </w:t>
            </w:r>
            <w:r w:rsidRPr="002B74B1">
              <w:rPr>
                <w:rFonts w:ascii="Arial" w:hAnsi="Arial"/>
                <w:sz w:val="20"/>
                <w:szCs w:val="20"/>
              </w:rPr>
              <w:t>Policy)</w:t>
            </w:r>
            <w:r>
              <w:rPr>
                <w:rFonts w:ascii="Arial" w:hAnsi="Arial"/>
                <w:sz w:val="20"/>
                <w:szCs w:val="20"/>
              </w:rPr>
              <w:t xml:space="preserve"> </w:t>
            </w:r>
            <w:r w:rsidR="006E1CA6" w:rsidRPr="00CE1E3D">
              <w:rPr>
                <w:rFonts w:ascii="Arial" w:hAnsi="Arial"/>
                <w:sz w:val="20"/>
                <w:szCs w:val="20"/>
              </w:rPr>
              <w:t xml:space="preserve">that </w:t>
            </w:r>
            <w:r w:rsidR="008477E6">
              <w:rPr>
                <w:rFonts w:ascii="Arial" w:hAnsi="Arial"/>
                <w:sz w:val="20"/>
                <w:szCs w:val="20"/>
              </w:rPr>
              <w:t>s</w:t>
            </w:r>
            <w:r w:rsidR="008477E6" w:rsidRPr="008477E6">
              <w:rPr>
                <w:rFonts w:ascii="Arial" w:hAnsi="Arial"/>
                <w:sz w:val="20"/>
                <w:szCs w:val="20"/>
              </w:rPr>
              <w:t xml:space="preserve">ets out the procedural requirements </w:t>
            </w:r>
            <w:r w:rsidR="003A12CD" w:rsidRPr="003A12CD">
              <w:rPr>
                <w:rFonts w:ascii="Arial" w:hAnsi="Arial"/>
                <w:sz w:val="20"/>
                <w:szCs w:val="20"/>
              </w:rPr>
              <w:t xml:space="preserve">all Non-Corporate Commonwealth </w:t>
            </w:r>
            <w:r w:rsidR="008477E6" w:rsidRPr="008477E6">
              <w:rPr>
                <w:rFonts w:ascii="Arial" w:hAnsi="Arial"/>
                <w:sz w:val="20"/>
                <w:szCs w:val="20"/>
              </w:rPr>
              <w:t>entities must implement in relation to specific areas of fraud and corruption control such as investigations and reporting.</w:t>
            </w:r>
          </w:p>
          <w:p w14:paraId="7AEFEEDB" w14:textId="3318108E" w:rsidR="006E1CA6" w:rsidRPr="00CE1E3D" w:rsidRDefault="006E1CA6" w:rsidP="00CE1E3D">
            <w:pPr>
              <w:pStyle w:val="Bullet1"/>
              <w:rPr>
                <w:rFonts w:ascii="Arial" w:hAnsi="Arial"/>
                <w:sz w:val="20"/>
                <w:szCs w:val="20"/>
              </w:rPr>
            </w:pPr>
            <w:r w:rsidRPr="00CE1E3D">
              <w:rPr>
                <w:rFonts w:ascii="Arial" w:hAnsi="Arial"/>
                <w:sz w:val="20"/>
                <w:szCs w:val="20"/>
              </w:rPr>
              <w:t xml:space="preserve">Resource Management Guide (RMG) No. 201—Preventing, detecting and dealing with </w:t>
            </w:r>
            <w:r w:rsidR="006148A2" w:rsidRPr="006148A2">
              <w:rPr>
                <w:rFonts w:ascii="Arial" w:hAnsi="Arial"/>
                <w:sz w:val="20"/>
                <w:szCs w:val="20"/>
              </w:rPr>
              <w:t>fraud and corruption</w:t>
            </w:r>
            <w:r w:rsidRPr="00CE1E3D">
              <w:rPr>
                <w:rFonts w:ascii="Arial" w:hAnsi="Arial"/>
                <w:sz w:val="20"/>
                <w:szCs w:val="20"/>
              </w:rPr>
              <w:t xml:space="preserve"> (Fraud </w:t>
            </w:r>
            <w:r w:rsidR="007E1A28">
              <w:rPr>
                <w:rFonts w:ascii="Arial" w:hAnsi="Arial"/>
                <w:sz w:val="20"/>
                <w:szCs w:val="20"/>
              </w:rPr>
              <w:t xml:space="preserve">and Corruption </w:t>
            </w:r>
            <w:r w:rsidRPr="00CE1E3D">
              <w:rPr>
                <w:rFonts w:ascii="Arial" w:hAnsi="Arial"/>
                <w:sz w:val="20"/>
                <w:szCs w:val="20"/>
              </w:rPr>
              <w:t xml:space="preserve">Guidance) </w:t>
            </w:r>
            <w:r w:rsidR="00227661" w:rsidRPr="00227661">
              <w:rPr>
                <w:rFonts w:ascii="Arial" w:hAnsi="Arial"/>
                <w:sz w:val="20"/>
                <w:szCs w:val="20"/>
              </w:rPr>
              <w:t>provides further practical guidance on fraud and corruption control arrangements for all Commonwealth entities.</w:t>
            </w:r>
          </w:p>
        </w:tc>
      </w:tr>
      <w:tr w:rsidR="006E1CA6" w:rsidRPr="00F30A7E" w14:paraId="7AEFEEDF" w14:textId="77777777" w:rsidTr="00E5605C">
        <w:trPr>
          <w:trHeight w:val="735"/>
        </w:trPr>
        <w:tc>
          <w:tcPr>
            <w:tcW w:w="2258" w:type="dxa"/>
            <w:tcBorders>
              <w:top w:val="single" w:sz="8" w:space="0" w:color="FFFFFF"/>
              <w:left w:val="single" w:sz="8" w:space="0" w:color="FFFFFF"/>
              <w:bottom w:val="single" w:sz="8" w:space="0" w:color="FFFFFF"/>
              <w:right w:val="single" w:sz="8" w:space="0" w:color="FFFFFF"/>
            </w:tcBorders>
            <w:shd w:val="clear" w:color="000000" w:fill="E2E3E2"/>
            <w:hideMark/>
          </w:tcPr>
          <w:p w14:paraId="7AEFEEDD" w14:textId="77777777" w:rsidR="006E1CA6" w:rsidRPr="00F30A7E" w:rsidRDefault="006E1CA6" w:rsidP="006E1CA6">
            <w:pPr>
              <w:pStyle w:val="Heading2"/>
            </w:pPr>
            <w:r w:rsidRPr="00F30A7E">
              <w:t>Australian Auditing Standards</w:t>
            </w:r>
          </w:p>
        </w:tc>
        <w:tc>
          <w:tcPr>
            <w:tcW w:w="7082" w:type="dxa"/>
            <w:tcBorders>
              <w:top w:val="single" w:sz="8" w:space="0" w:color="FFFFFF"/>
              <w:left w:val="nil"/>
              <w:bottom w:val="single" w:sz="8" w:space="0" w:color="FFFFFF"/>
              <w:right w:val="single" w:sz="8" w:space="0" w:color="FFFFFF"/>
            </w:tcBorders>
            <w:shd w:val="clear" w:color="000000" w:fill="F2F2F2"/>
            <w:hideMark/>
          </w:tcPr>
          <w:p w14:paraId="7AEFEEDE" w14:textId="7F77D4C6" w:rsidR="006E1CA6" w:rsidRPr="00CE1E3D" w:rsidRDefault="006E1CA6" w:rsidP="00035AB0">
            <w:pPr>
              <w:pStyle w:val="BodyText"/>
            </w:pPr>
            <w:r w:rsidRPr="00CE1E3D">
              <w:t xml:space="preserve">Australian Auditing Standards are issued by the Auditing and Assurance Standards Board (AUASB). The Standards are legislative instruments under the </w:t>
            </w:r>
            <w:r w:rsidRPr="00CE1E3D">
              <w:rPr>
                <w:i/>
              </w:rPr>
              <w:t>Legislati</w:t>
            </w:r>
            <w:r w:rsidR="00BB13F2">
              <w:rPr>
                <w:i/>
              </w:rPr>
              <w:t xml:space="preserve">on </w:t>
            </w:r>
            <w:r w:rsidRPr="00CE1E3D">
              <w:rPr>
                <w:i/>
              </w:rPr>
              <w:t>Act 2003</w:t>
            </w:r>
            <w:r w:rsidRPr="00CE1E3D">
              <w:t>.</w:t>
            </w:r>
          </w:p>
        </w:tc>
      </w:tr>
      <w:tr w:rsidR="006E1CA6" w:rsidRPr="00F30A7E" w14:paraId="7AEFEEE2" w14:textId="77777777" w:rsidTr="00E5605C">
        <w:trPr>
          <w:trHeight w:val="975"/>
        </w:trPr>
        <w:tc>
          <w:tcPr>
            <w:tcW w:w="2258" w:type="dxa"/>
            <w:tcBorders>
              <w:top w:val="nil"/>
              <w:left w:val="single" w:sz="8" w:space="0" w:color="FFFFFF"/>
              <w:bottom w:val="nil"/>
              <w:right w:val="single" w:sz="8" w:space="0" w:color="FFFFFF"/>
            </w:tcBorders>
            <w:shd w:val="clear" w:color="000000" w:fill="E2E3E2"/>
            <w:hideMark/>
          </w:tcPr>
          <w:p w14:paraId="7AEFEEE0" w14:textId="77777777" w:rsidR="006E1CA6" w:rsidRPr="00F30A7E" w:rsidRDefault="006E1CA6" w:rsidP="006E1CA6">
            <w:pPr>
              <w:pStyle w:val="Heading2"/>
            </w:pPr>
            <w:r w:rsidRPr="00F30A7E">
              <w:t>Finance guidance</w:t>
            </w:r>
          </w:p>
        </w:tc>
        <w:tc>
          <w:tcPr>
            <w:tcW w:w="7082" w:type="dxa"/>
            <w:tcBorders>
              <w:top w:val="nil"/>
              <w:left w:val="nil"/>
              <w:bottom w:val="nil"/>
              <w:right w:val="single" w:sz="8" w:space="0" w:color="FFFFFF"/>
            </w:tcBorders>
            <w:shd w:val="clear" w:color="000000" w:fill="F2F2F2"/>
            <w:hideMark/>
          </w:tcPr>
          <w:p w14:paraId="7AEFEEE1" w14:textId="77777777" w:rsidR="006E1CA6" w:rsidRPr="00CE1E3D" w:rsidRDefault="006E1CA6" w:rsidP="00035AB0">
            <w:pPr>
              <w:pStyle w:val="BodyText"/>
            </w:pPr>
            <w:r w:rsidRPr="00CE1E3D">
              <w:t>The FRR requires financial statements to have regard to the Commonwealth Financial Statements Preparation Guide, Resource Management Guides, Estimates Memoranda, Standard Parameters and other guidance issued by Finance relevant to the preparation of financial statements.</w:t>
            </w:r>
          </w:p>
        </w:tc>
      </w:tr>
      <w:tr w:rsidR="006E1CA6" w:rsidRPr="00F30A7E" w14:paraId="7AEFEEEC" w14:textId="77777777" w:rsidTr="00CE1E3D">
        <w:trPr>
          <w:trHeight w:val="723"/>
        </w:trPr>
        <w:tc>
          <w:tcPr>
            <w:tcW w:w="2258" w:type="dxa"/>
            <w:tcBorders>
              <w:top w:val="single" w:sz="8" w:space="0" w:color="FFFFFF"/>
              <w:left w:val="single" w:sz="8" w:space="0" w:color="FFFFFF"/>
              <w:bottom w:val="nil"/>
              <w:right w:val="single" w:sz="8" w:space="0" w:color="FFFFFF"/>
            </w:tcBorders>
            <w:shd w:val="clear" w:color="000000" w:fill="E2E3E2"/>
            <w:hideMark/>
          </w:tcPr>
          <w:p w14:paraId="7AEFEEE3" w14:textId="77777777" w:rsidR="006E1CA6" w:rsidRPr="00F30A7E" w:rsidRDefault="006E1CA6" w:rsidP="006E1CA6">
            <w:pPr>
              <w:pStyle w:val="Heading2"/>
            </w:pPr>
            <w:r w:rsidRPr="00F30A7E">
              <w:t>Accountable Authority Instructions</w:t>
            </w:r>
          </w:p>
        </w:tc>
        <w:tc>
          <w:tcPr>
            <w:tcW w:w="7082" w:type="dxa"/>
            <w:tcBorders>
              <w:top w:val="nil"/>
              <w:left w:val="nil"/>
              <w:bottom w:val="nil"/>
              <w:right w:val="single" w:sz="8" w:space="0" w:color="FFFFFF"/>
            </w:tcBorders>
            <w:shd w:val="clear" w:color="000000" w:fill="F2F2F2"/>
            <w:hideMark/>
          </w:tcPr>
          <w:p w14:paraId="7AEFEEE4" w14:textId="77777777" w:rsidR="006E1CA6" w:rsidRPr="00CE1E3D" w:rsidRDefault="006E1CA6" w:rsidP="00035AB0">
            <w:pPr>
              <w:pStyle w:val="BodyText"/>
            </w:pPr>
            <w:r w:rsidRPr="00CE1E3D">
              <w:t>Section 20A of the PGPA Act enables the accountable authority to:</w:t>
            </w:r>
          </w:p>
          <w:p w14:paraId="7AEFEEE5" w14:textId="77777777" w:rsidR="006E1CA6" w:rsidRPr="00CE1E3D" w:rsidRDefault="006E1CA6" w:rsidP="00CE1E3D">
            <w:pPr>
              <w:pStyle w:val="Bullet1"/>
              <w:rPr>
                <w:rFonts w:ascii="Arial" w:hAnsi="Arial"/>
                <w:sz w:val="20"/>
                <w:szCs w:val="20"/>
              </w:rPr>
            </w:pPr>
            <w:r w:rsidRPr="00CE1E3D">
              <w:rPr>
                <w:rFonts w:ascii="Arial" w:hAnsi="Arial"/>
                <w:sz w:val="20"/>
                <w:szCs w:val="20"/>
              </w:rPr>
              <w:t>give written instructions to an official of the entity about any matter relating to the finance law, and</w:t>
            </w:r>
          </w:p>
          <w:p w14:paraId="7AEFEEE6" w14:textId="77777777" w:rsidR="006E1CA6" w:rsidRPr="00CE1E3D" w:rsidRDefault="006E1CA6" w:rsidP="00CE1E3D">
            <w:pPr>
              <w:pStyle w:val="Bullet1"/>
              <w:rPr>
                <w:rFonts w:ascii="Arial" w:hAnsi="Arial"/>
                <w:sz w:val="20"/>
                <w:szCs w:val="20"/>
              </w:rPr>
            </w:pPr>
            <w:r w:rsidRPr="00CE1E3D">
              <w:rPr>
                <w:rFonts w:ascii="Arial" w:hAnsi="Arial"/>
                <w:sz w:val="20"/>
                <w:szCs w:val="20"/>
              </w:rPr>
              <w:t>give instructions to an official of another Commonwealth entity in relation to:</w:t>
            </w:r>
          </w:p>
          <w:p w14:paraId="7AEFEEE7" w14:textId="77777777" w:rsidR="006E1CA6" w:rsidRPr="00CE1E3D" w:rsidRDefault="006E1CA6" w:rsidP="00CE1E3D">
            <w:pPr>
              <w:pStyle w:val="Bullet2"/>
              <w:rPr>
                <w:rFonts w:ascii="Arial" w:hAnsi="Arial"/>
                <w:sz w:val="20"/>
                <w:szCs w:val="20"/>
              </w:rPr>
            </w:pPr>
            <w:r w:rsidRPr="00CE1E3D">
              <w:rPr>
                <w:rFonts w:ascii="Arial" w:hAnsi="Arial"/>
                <w:sz w:val="20"/>
                <w:szCs w:val="20"/>
              </w:rPr>
              <w:t>approving the commitment of relevant money</w:t>
            </w:r>
          </w:p>
          <w:p w14:paraId="7AEFEEE8" w14:textId="77777777" w:rsidR="006E1CA6" w:rsidRPr="00CE1E3D" w:rsidRDefault="006E1CA6" w:rsidP="00CE1E3D">
            <w:pPr>
              <w:pStyle w:val="Bullet2"/>
              <w:rPr>
                <w:rFonts w:ascii="Arial" w:hAnsi="Arial"/>
                <w:sz w:val="20"/>
                <w:szCs w:val="20"/>
              </w:rPr>
            </w:pPr>
            <w:r w:rsidRPr="00CE1E3D">
              <w:rPr>
                <w:rFonts w:ascii="Arial" w:hAnsi="Arial"/>
                <w:sz w:val="20"/>
                <w:szCs w:val="20"/>
              </w:rPr>
              <w:t>the banking of, or dealing with, relevant money</w:t>
            </w:r>
          </w:p>
          <w:p w14:paraId="7AEFEEE9" w14:textId="77777777" w:rsidR="006E1CA6" w:rsidRPr="00CE1E3D" w:rsidRDefault="006E1CA6" w:rsidP="00CE1E3D">
            <w:pPr>
              <w:pStyle w:val="Bullet2"/>
              <w:rPr>
                <w:rFonts w:ascii="Arial" w:hAnsi="Arial"/>
                <w:sz w:val="20"/>
                <w:szCs w:val="20"/>
              </w:rPr>
            </w:pPr>
            <w:r w:rsidRPr="00CE1E3D">
              <w:rPr>
                <w:rFonts w:ascii="Arial" w:hAnsi="Arial"/>
                <w:sz w:val="20"/>
                <w:szCs w:val="20"/>
              </w:rPr>
              <w:t>the debiting or crediting of an appropriation, and</w:t>
            </w:r>
          </w:p>
          <w:p w14:paraId="7AEFEEEA" w14:textId="77777777" w:rsidR="006E1CA6" w:rsidRPr="00CE1E3D" w:rsidRDefault="006E1CA6" w:rsidP="00CE1E3D">
            <w:pPr>
              <w:pStyle w:val="Bullet2"/>
              <w:rPr>
                <w:rFonts w:ascii="Arial" w:hAnsi="Arial"/>
                <w:sz w:val="20"/>
                <w:szCs w:val="20"/>
              </w:rPr>
            </w:pPr>
            <w:r w:rsidRPr="00CE1E3D">
              <w:rPr>
                <w:rFonts w:ascii="Arial" w:hAnsi="Arial"/>
                <w:sz w:val="20"/>
                <w:szCs w:val="20"/>
              </w:rPr>
              <w:t>any other matter prescribed by the rules that relates to dealing with public resources.</w:t>
            </w:r>
          </w:p>
          <w:p w14:paraId="7AEFEEEB" w14:textId="77777777" w:rsidR="006E1CA6" w:rsidRPr="00CE1E3D" w:rsidRDefault="006E1CA6" w:rsidP="00035AB0">
            <w:pPr>
              <w:pStyle w:val="BodyText"/>
            </w:pPr>
            <w:r w:rsidRPr="00CE1E3D">
              <w:br/>
              <w:t>Note: While there is no equivalent provision for Commonwealth companies to issue instructions in the PGPA Act, most Commonwealth companies issue instructions of a similar nature.</w:t>
            </w:r>
          </w:p>
        </w:tc>
      </w:tr>
    </w:tbl>
    <w:p w14:paraId="7AEFEEF9" w14:textId="77777777" w:rsidR="00F30A7E" w:rsidRPr="00395863" w:rsidRDefault="00F30A7E" w:rsidP="003C0E4B"/>
    <w:sectPr w:rsidR="00F30A7E" w:rsidRPr="00395863" w:rsidSect="009C3F77">
      <w:headerReference w:type="default" r:id="rId13"/>
      <w:footerReference w:type="even" r:id="rId14"/>
      <w:pgSz w:w="11910" w:h="16840"/>
      <w:pgMar w:top="1242" w:right="249" w:bottom="601" w:left="1599" w:header="0" w:footer="408" w:gutter="0"/>
      <w:pgNumType w:start="7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3DE2" w14:textId="77777777" w:rsidR="00ED2493" w:rsidRDefault="00ED2493" w:rsidP="00714A45">
      <w:r>
        <w:separator/>
      </w:r>
    </w:p>
  </w:endnote>
  <w:endnote w:type="continuationSeparator" w:id="0">
    <w:p w14:paraId="270B37A3" w14:textId="77777777" w:rsidR="00ED2493" w:rsidRDefault="00ED2493" w:rsidP="0071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F0B" w14:textId="77777777" w:rsidR="00BC28A9" w:rsidRDefault="00BC28A9" w:rsidP="00035AB0">
    <w:pPr>
      <w:pStyle w:val="BodyText"/>
    </w:pPr>
    <w:r>
      <w:rPr>
        <w:lang w:eastAsia="en-AU"/>
      </w:rPr>
      <mc:AlternateContent>
        <mc:Choice Requires="wps">
          <w:drawing>
            <wp:anchor distT="0" distB="0" distL="114300" distR="114300" simplePos="0" relativeHeight="251658240" behindDoc="1" locked="0" layoutInCell="1" allowOverlap="1" wp14:anchorId="7AEFEF0C" wp14:editId="7AEFEF0D">
              <wp:simplePos x="0" y="0"/>
              <wp:positionH relativeFrom="page">
                <wp:posOffset>208915</wp:posOffset>
              </wp:positionH>
              <wp:positionV relativeFrom="page">
                <wp:posOffset>10255250</wp:posOffset>
              </wp:positionV>
              <wp:extent cx="164465" cy="161290"/>
              <wp:effectExtent l="0" t="0" r="0" b="381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F25" w14:textId="77777777" w:rsidR="00BC28A9" w:rsidRDefault="00BC28A9" w:rsidP="00714A45">
                          <w:r>
                            <w:fldChar w:fldCharType="begin"/>
                          </w:r>
                          <w:r>
                            <w:rPr>
                              <w:w w:val="95"/>
                            </w:rPr>
                            <w:instrText xml:space="preserve"> PAGE </w:instrText>
                          </w:r>
                          <w:r>
                            <w:fldChar w:fldCharType="separate"/>
                          </w:r>
                          <w:r>
                            <w:rPr>
                              <w:noProof/>
                              <w:w w:val="95"/>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FEF0C" id="_x0000_t202" coordsize="21600,21600" o:spt="202" path="m,l,21600r21600,l21600,xe">
              <v:stroke joinstyle="miter"/>
              <v:path gradientshapeok="t" o:connecttype="rect"/>
            </v:shapetype>
            <v:shape id="Text Box 84" o:spid="_x0000_s1065" type="#_x0000_t202" style="position:absolute;margin-left:16.45pt;margin-top:807.5pt;width:12.95pt;height:1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" filled="f" stroked="f">
              <v:textbox inset="0,0,0,0">
                <w:txbxContent>
                  <w:p w14:paraId="7AEFEF25" w14:textId="77777777" w:rsidR="00BC28A9" w:rsidRDefault="00BC28A9" w:rsidP="00714A45">
                    <w:r>
                      <w:fldChar w:fldCharType="begin"/>
                    </w:r>
                    <w:r>
                      <w:rPr>
                        <w:w w:val="95"/>
                      </w:rPr>
                      <w:instrText xml:space="preserve"> PAGE </w:instrText>
                    </w:r>
                    <w:r>
                      <w:fldChar w:fldCharType="separate"/>
                    </w:r>
                    <w:r>
                      <w:rPr>
                        <w:noProof/>
                        <w:w w:val="95"/>
                      </w:rPr>
                      <w:t>84</w:t>
                    </w:r>
                    <w:r>
                      <w:fldChar w:fldCharType="end"/>
                    </w:r>
                  </w:p>
                </w:txbxContent>
              </v:textbox>
              <w10:wrap anchorx="page" anchory="page"/>
            </v:shape>
          </w:pict>
        </mc:Fallback>
      </mc:AlternateContent>
    </w:r>
    <w:r>
      <w:rPr>
        <w:lang w:eastAsia="en-AU"/>
      </w:rPr>
      <mc:AlternateContent>
        <mc:Choice Requires="wps">
          <w:drawing>
            <wp:anchor distT="0" distB="0" distL="114300" distR="114300" simplePos="0" relativeHeight="251658241" behindDoc="1" locked="0" layoutInCell="1" allowOverlap="1" wp14:anchorId="7AEFEF0E" wp14:editId="7AEFEF0F">
              <wp:simplePos x="0" y="0"/>
              <wp:positionH relativeFrom="page">
                <wp:posOffset>635000</wp:posOffset>
              </wp:positionH>
              <wp:positionV relativeFrom="page">
                <wp:posOffset>10255250</wp:posOffset>
              </wp:positionV>
              <wp:extent cx="2577465" cy="16637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EF26" w14:textId="77777777" w:rsidR="00BC28A9" w:rsidRDefault="00BC28A9" w:rsidP="00714A45">
                          <w:r>
                            <w:rPr>
                              <w:b/>
                              <w:w w:val="85"/>
                            </w:rPr>
                            <w:t>Better</w:t>
                          </w:r>
                          <w:r>
                            <w:rPr>
                              <w:b/>
                              <w:spacing w:val="-17"/>
                              <w:w w:val="85"/>
                            </w:rPr>
                            <w:t xml:space="preserve"> </w:t>
                          </w:r>
                          <w:r>
                            <w:rPr>
                              <w:b/>
                              <w:w w:val="85"/>
                            </w:rPr>
                            <w:t>Practice</w:t>
                          </w:r>
                          <w:r>
                            <w:rPr>
                              <w:b/>
                              <w:spacing w:val="-17"/>
                              <w:w w:val="85"/>
                            </w:rPr>
                            <w:t xml:space="preserve"> </w:t>
                          </w:r>
                          <w:r>
                            <w:rPr>
                              <w:b/>
                              <w:w w:val="85"/>
                            </w:rPr>
                            <w:t>Guide</w:t>
                          </w:r>
                          <w:r>
                            <w:rPr>
                              <w:b/>
                              <w:spacing w:val="10"/>
                              <w:w w:val="85"/>
                            </w:rPr>
                            <w:t xml:space="preserve"> </w:t>
                          </w:r>
                          <w:r>
                            <w:rPr>
                              <w:b/>
                              <w:w w:val="85"/>
                            </w:rPr>
                            <w:t>|</w:t>
                          </w:r>
                          <w:r>
                            <w:rPr>
                              <w:b/>
                              <w:spacing w:val="10"/>
                              <w:w w:val="85"/>
                            </w:rPr>
                            <w:t xml:space="preserve"> </w:t>
                          </w:r>
                          <w:r>
                            <w:rPr>
                              <w:w w:val="85"/>
                            </w:rPr>
                            <w:t>Public</w:t>
                          </w:r>
                          <w:r>
                            <w:rPr>
                              <w:spacing w:val="-17"/>
                              <w:w w:val="85"/>
                            </w:rPr>
                            <w:t xml:space="preserve"> </w:t>
                          </w:r>
                          <w:r>
                            <w:rPr>
                              <w:w w:val="85"/>
                            </w:rPr>
                            <w:t>Sector</w:t>
                          </w:r>
                          <w:r>
                            <w:rPr>
                              <w:spacing w:val="-17"/>
                              <w:w w:val="85"/>
                            </w:rPr>
                            <w:t xml:space="preserve"> </w:t>
                          </w:r>
                          <w:r>
                            <w:rPr>
                              <w:w w:val="85"/>
                            </w:rPr>
                            <w:t>Financial</w:t>
                          </w:r>
                          <w:r>
                            <w:rPr>
                              <w:spacing w:val="-17"/>
                              <w:w w:val="85"/>
                            </w:rPr>
                            <w:t xml:space="preserve"> </w:t>
                          </w:r>
                          <w:r>
                            <w:rPr>
                              <w:w w:val="85"/>
                            </w:rPr>
                            <w:t>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FEF0E" id="Text Box 83" o:spid="_x0000_s1066" type="#_x0000_t202" style="position:absolute;margin-left:50pt;margin-top:807.5pt;width:202.95pt;height:13.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" filled="f" stroked="f">
              <v:textbox inset="0,0,0,0">
                <w:txbxContent>
                  <w:p w14:paraId="7AEFEF26" w14:textId="77777777" w:rsidR="00BC28A9" w:rsidRDefault="00BC28A9" w:rsidP="00714A45">
                    <w:r>
                      <w:rPr>
                        <w:b/>
                        <w:w w:val="85"/>
                      </w:rPr>
                      <w:t>Better</w:t>
                    </w:r>
                    <w:r>
                      <w:rPr>
                        <w:b/>
                        <w:spacing w:val="-17"/>
                        <w:w w:val="85"/>
                      </w:rPr>
                      <w:t xml:space="preserve"> </w:t>
                    </w:r>
                    <w:r>
                      <w:rPr>
                        <w:b/>
                        <w:w w:val="85"/>
                      </w:rPr>
                      <w:t>Practice</w:t>
                    </w:r>
                    <w:r>
                      <w:rPr>
                        <w:b/>
                        <w:spacing w:val="-17"/>
                        <w:w w:val="85"/>
                      </w:rPr>
                      <w:t xml:space="preserve"> </w:t>
                    </w:r>
                    <w:r>
                      <w:rPr>
                        <w:b/>
                        <w:w w:val="85"/>
                      </w:rPr>
                      <w:t>Guide</w:t>
                    </w:r>
                    <w:r>
                      <w:rPr>
                        <w:b/>
                        <w:spacing w:val="10"/>
                        <w:w w:val="85"/>
                      </w:rPr>
                      <w:t xml:space="preserve"> </w:t>
                    </w:r>
                    <w:r>
                      <w:rPr>
                        <w:b/>
                        <w:w w:val="85"/>
                      </w:rPr>
                      <w:t>|</w:t>
                    </w:r>
                    <w:r>
                      <w:rPr>
                        <w:b/>
                        <w:spacing w:val="10"/>
                        <w:w w:val="85"/>
                      </w:rPr>
                      <w:t xml:space="preserve"> </w:t>
                    </w:r>
                    <w:r>
                      <w:rPr>
                        <w:w w:val="85"/>
                      </w:rPr>
                      <w:t>Public</w:t>
                    </w:r>
                    <w:r>
                      <w:rPr>
                        <w:spacing w:val="-17"/>
                        <w:w w:val="85"/>
                      </w:rPr>
                      <w:t xml:space="preserve"> </w:t>
                    </w:r>
                    <w:r>
                      <w:rPr>
                        <w:w w:val="85"/>
                      </w:rPr>
                      <w:t>Sector</w:t>
                    </w:r>
                    <w:r>
                      <w:rPr>
                        <w:spacing w:val="-17"/>
                        <w:w w:val="85"/>
                      </w:rPr>
                      <w:t xml:space="preserve"> </w:t>
                    </w:r>
                    <w:r>
                      <w:rPr>
                        <w:w w:val="85"/>
                      </w:rPr>
                      <w:t>Financial</w:t>
                    </w:r>
                    <w:r>
                      <w:rPr>
                        <w:spacing w:val="-17"/>
                        <w:w w:val="85"/>
                      </w:rPr>
                      <w:t xml:space="preserve"> </w:t>
                    </w:r>
                    <w:r>
                      <w:rPr>
                        <w:w w:val="85"/>
                      </w:rPr>
                      <w:t>Statements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A4AD" w14:textId="77777777" w:rsidR="00ED2493" w:rsidRDefault="00ED2493" w:rsidP="00714A45">
      <w:r>
        <w:separator/>
      </w:r>
    </w:p>
  </w:footnote>
  <w:footnote w:type="continuationSeparator" w:id="0">
    <w:p w14:paraId="31125299" w14:textId="77777777" w:rsidR="00ED2493" w:rsidRDefault="00ED2493" w:rsidP="0071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F06" w14:textId="77777777" w:rsidR="00E2090E" w:rsidRDefault="00E2090E" w:rsidP="007F5C51">
    <w:pPr>
      <w:pStyle w:val="Header"/>
      <w:tabs>
        <w:tab w:val="clear" w:pos="4513"/>
        <w:tab w:val="center" w:pos="4535"/>
        <w:tab w:val="right" w:pos="9070"/>
      </w:tabs>
      <w:jc w:val="center"/>
      <w:rPr>
        <w:rStyle w:val="Classification"/>
      </w:rPr>
    </w:pPr>
  </w:p>
  <w:p w14:paraId="7AEFEF08" w14:textId="77777777" w:rsidR="0090743D" w:rsidRPr="0090743D" w:rsidRDefault="007F5C51" w:rsidP="00714A45">
    <w:pPr>
      <w:pStyle w:val="Header"/>
      <w:rPr>
        <w:sz w:val="14"/>
        <w:szCs w:val="14"/>
      </w:rPr>
    </w:pPr>
    <w:r>
      <w:tab/>
    </w:r>
    <w:r>
      <w:tab/>
    </w:r>
    <w:r w:rsidR="0090743D" w:rsidRPr="0090743D">
      <w:rPr>
        <w:sz w:val="14"/>
        <w:szCs w:val="14"/>
      </w:rPr>
      <w:t>Department of Finance</w:t>
    </w:r>
    <w:r w:rsidR="0090743D" w:rsidRPr="0090743D">
      <w:rPr>
        <w:sz w:val="14"/>
        <w:szCs w:val="14"/>
      </w:rPr>
      <w:tab/>
    </w:r>
  </w:p>
  <w:p w14:paraId="7AEFEF09" w14:textId="77777777" w:rsidR="0090743D" w:rsidRPr="0090743D" w:rsidRDefault="0090743D" w:rsidP="00714A45">
    <w:pPr>
      <w:pStyle w:val="Header"/>
      <w:rPr>
        <w:sz w:val="14"/>
        <w:szCs w:val="14"/>
      </w:rPr>
    </w:pPr>
    <w:r w:rsidRPr="0090743D">
      <w:rPr>
        <w:sz w:val="14"/>
        <w:szCs w:val="14"/>
      </w:rPr>
      <w:tab/>
    </w:r>
    <w:r w:rsidRPr="0090743D">
      <w:rPr>
        <w:sz w:val="14"/>
        <w:szCs w:val="14"/>
      </w:rPr>
      <w:tab/>
      <w:t xml:space="preserve">Financial Statements Better Practice Guide </w:t>
    </w:r>
  </w:p>
  <w:p w14:paraId="7AEFEF0A" w14:textId="77777777" w:rsidR="00BC28A9" w:rsidRDefault="0090743D" w:rsidP="00714A45">
    <w:pPr>
      <w:pStyle w:val="Header"/>
    </w:pPr>
    <w:r w:rsidRPr="0090743D">
      <w:rPr>
        <w:sz w:val="14"/>
        <w:szCs w:val="14"/>
      </w:rPr>
      <w:tab/>
    </w:r>
    <w:r w:rsidRPr="0090743D">
      <w:rPr>
        <w:sz w:val="14"/>
        <w:szCs w:val="14"/>
      </w:rPr>
      <w:tab/>
      <w:t>Relevant Legislation and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E1936"/>
    <w:multiLevelType w:val="hybridMultilevel"/>
    <w:tmpl w:val="B3AE8CF8"/>
    <w:lvl w:ilvl="0" w:tplc="A552C6D6">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C1602E8"/>
    <w:multiLevelType w:val="hybridMultilevel"/>
    <w:tmpl w:val="579A11F8"/>
    <w:lvl w:ilvl="0" w:tplc="CC7C47E2">
      <w:start w:val="1"/>
      <w:numFmt w:val="bullet"/>
      <w:pStyle w:val="Bullet2"/>
      <w:lvlText w:val="-"/>
      <w:lvlJc w:val="left"/>
      <w:pPr>
        <w:ind w:left="720" w:hanging="360"/>
      </w:pPr>
      <w:rPr>
        <w:rFonts w:ascii="Calibri" w:hAnsi="Calibri" w:hint="default"/>
      </w:rPr>
    </w:lvl>
    <w:lvl w:ilvl="1" w:tplc="491E687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AF39E1"/>
    <w:multiLevelType w:val="hybridMultilevel"/>
    <w:tmpl w:val="56E05012"/>
    <w:lvl w:ilvl="0" w:tplc="2E90D37A">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30310119">
    <w:abstractNumId w:val="2"/>
  </w:num>
  <w:num w:numId="2" w16cid:durableId="2140292604">
    <w:abstractNumId w:val="1"/>
  </w:num>
  <w:num w:numId="3" w16cid:durableId="21259968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F1"/>
    <w:rsid w:val="00035AB0"/>
    <w:rsid w:val="00051949"/>
    <w:rsid w:val="00082BFE"/>
    <w:rsid w:val="000C0FEB"/>
    <w:rsid w:val="000F4F90"/>
    <w:rsid w:val="00112377"/>
    <w:rsid w:val="001447FD"/>
    <w:rsid w:val="00156752"/>
    <w:rsid w:val="001744DE"/>
    <w:rsid w:val="00181BEA"/>
    <w:rsid w:val="00184165"/>
    <w:rsid w:val="001A2AFC"/>
    <w:rsid w:val="00201D02"/>
    <w:rsid w:val="00227661"/>
    <w:rsid w:val="00231607"/>
    <w:rsid w:val="00235D40"/>
    <w:rsid w:val="0026115E"/>
    <w:rsid w:val="00271091"/>
    <w:rsid w:val="00276101"/>
    <w:rsid w:val="00280F9A"/>
    <w:rsid w:val="002B74B1"/>
    <w:rsid w:val="002C7861"/>
    <w:rsid w:val="002D7FF1"/>
    <w:rsid w:val="00347DDA"/>
    <w:rsid w:val="00380B09"/>
    <w:rsid w:val="00395863"/>
    <w:rsid w:val="003A12CD"/>
    <w:rsid w:val="003C0E4B"/>
    <w:rsid w:val="003F4D13"/>
    <w:rsid w:val="0041506E"/>
    <w:rsid w:val="00434CE7"/>
    <w:rsid w:val="00446DD0"/>
    <w:rsid w:val="004B6067"/>
    <w:rsid w:val="004E10BC"/>
    <w:rsid w:val="0050196B"/>
    <w:rsid w:val="005534C3"/>
    <w:rsid w:val="00562A5B"/>
    <w:rsid w:val="00566B1A"/>
    <w:rsid w:val="00595AE7"/>
    <w:rsid w:val="005B215F"/>
    <w:rsid w:val="006146EE"/>
    <w:rsid w:val="006148A2"/>
    <w:rsid w:val="00632BBA"/>
    <w:rsid w:val="00640378"/>
    <w:rsid w:val="00673DCE"/>
    <w:rsid w:val="00677DE2"/>
    <w:rsid w:val="006E1CA6"/>
    <w:rsid w:val="00714A45"/>
    <w:rsid w:val="00733158"/>
    <w:rsid w:val="00735071"/>
    <w:rsid w:val="00747449"/>
    <w:rsid w:val="00761655"/>
    <w:rsid w:val="00771CBC"/>
    <w:rsid w:val="007860F2"/>
    <w:rsid w:val="007C5490"/>
    <w:rsid w:val="007D12D1"/>
    <w:rsid w:val="007E1A28"/>
    <w:rsid w:val="007F5C51"/>
    <w:rsid w:val="00813B73"/>
    <w:rsid w:val="008477E6"/>
    <w:rsid w:val="00860ECF"/>
    <w:rsid w:val="00861B1F"/>
    <w:rsid w:val="0088721E"/>
    <w:rsid w:val="008A5AC9"/>
    <w:rsid w:val="008C3486"/>
    <w:rsid w:val="008D1552"/>
    <w:rsid w:val="0090743D"/>
    <w:rsid w:val="009131EB"/>
    <w:rsid w:val="00954DBC"/>
    <w:rsid w:val="00980435"/>
    <w:rsid w:val="009A4A69"/>
    <w:rsid w:val="009C3399"/>
    <w:rsid w:val="009C3F77"/>
    <w:rsid w:val="00A10AF2"/>
    <w:rsid w:val="00A14B03"/>
    <w:rsid w:val="00A448E8"/>
    <w:rsid w:val="00A6041E"/>
    <w:rsid w:val="00A679B1"/>
    <w:rsid w:val="00A80BD0"/>
    <w:rsid w:val="00A823A7"/>
    <w:rsid w:val="00A96AE8"/>
    <w:rsid w:val="00AF6655"/>
    <w:rsid w:val="00B12A68"/>
    <w:rsid w:val="00B430C4"/>
    <w:rsid w:val="00B47CAD"/>
    <w:rsid w:val="00B8236B"/>
    <w:rsid w:val="00B92DF1"/>
    <w:rsid w:val="00BB13F2"/>
    <w:rsid w:val="00BB4D85"/>
    <w:rsid w:val="00BC28A9"/>
    <w:rsid w:val="00BD2727"/>
    <w:rsid w:val="00C17C9E"/>
    <w:rsid w:val="00C33C6C"/>
    <w:rsid w:val="00C40456"/>
    <w:rsid w:val="00C63A7B"/>
    <w:rsid w:val="00C80B74"/>
    <w:rsid w:val="00CA0A04"/>
    <w:rsid w:val="00CE1E3D"/>
    <w:rsid w:val="00CF2D12"/>
    <w:rsid w:val="00CF434C"/>
    <w:rsid w:val="00D01807"/>
    <w:rsid w:val="00D05AFF"/>
    <w:rsid w:val="00D21128"/>
    <w:rsid w:val="00D64A30"/>
    <w:rsid w:val="00DD3900"/>
    <w:rsid w:val="00DE6681"/>
    <w:rsid w:val="00E2090E"/>
    <w:rsid w:val="00E46318"/>
    <w:rsid w:val="00E5605C"/>
    <w:rsid w:val="00EB3164"/>
    <w:rsid w:val="00ED22BE"/>
    <w:rsid w:val="00ED2493"/>
    <w:rsid w:val="00ED4874"/>
    <w:rsid w:val="00F02EB3"/>
    <w:rsid w:val="00F30A7E"/>
    <w:rsid w:val="00F83D00"/>
    <w:rsid w:val="00FD02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EE82"/>
  <w15:chartTrackingRefBased/>
  <w15:docId w15:val="{C61A902E-B6BA-4561-BA8B-1B1F278F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4A4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D21128"/>
    <w:pPr>
      <w:keepLines/>
      <w:widowControl/>
      <w:suppressAutoHyphens/>
      <w:autoSpaceDE/>
      <w:autoSpaceDN/>
      <w:spacing w:before="360" w:after="120" w:line="480" w:lineRule="atLeast"/>
      <w:contextualSpacing/>
      <w:outlineLvl w:val="0"/>
    </w:pPr>
    <w:rPr>
      <w:rFonts w:eastAsiaTheme="majorEastAsia"/>
      <w:bCs/>
      <w:sz w:val="40"/>
      <w:szCs w:val="28"/>
    </w:rPr>
  </w:style>
  <w:style w:type="paragraph" w:styleId="Heading2">
    <w:name w:val="heading 2"/>
    <w:basedOn w:val="Normal"/>
    <w:link w:val="Heading2Char"/>
    <w:uiPriority w:val="1"/>
    <w:qFormat/>
    <w:rsid w:val="00714A45"/>
    <w:pPr>
      <w:outlineLvl w:val="1"/>
    </w:pPr>
    <w:rPr>
      <w:b/>
      <w:lang w:eastAsia="en-AU"/>
    </w:rPr>
  </w:style>
  <w:style w:type="paragraph" w:styleId="Heading3">
    <w:name w:val="heading 3"/>
    <w:basedOn w:val="Normal"/>
    <w:link w:val="Heading3Char"/>
    <w:uiPriority w:val="1"/>
    <w:qFormat/>
    <w:rsid w:val="00A823A7"/>
    <w:pPr>
      <w:spacing w:before="85"/>
      <w:ind w:left="100"/>
      <w:jc w:val="both"/>
      <w:outlineLvl w:val="2"/>
    </w:pPr>
    <w:rPr>
      <w:sz w:val="33"/>
      <w:szCs w:val="33"/>
    </w:rPr>
  </w:style>
  <w:style w:type="paragraph" w:styleId="Heading4">
    <w:name w:val="heading 4"/>
    <w:basedOn w:val="Normal"/>
    <w:link w:val="Heading4Char"/>
    <w:uiPriority w:val="1"/>
    <w:qFormat/>
    <w:rsid w:val="00A823A7"/>
    <w:pPr>
      <w:ind w:left="1837" w:hanging="681"/>
      <w:jc w:val="both"/>
      <w:outlineLvl w:val="3"/>
    </w:pPr>
    <w:rPr>
      <w:sz w:val="29"/>
      <w:szCs w:val="29"/>
    </w:rPr>
  </w:style>
  <w:style w:type="paragraph" w:styleId="Heading5">
    <w:name w:val="heading 5"/>
    <w:basedOn w:val="Normal"/>
    <w:link w:val="Heading5Char"/>
    <w:uiPriority w:val="1"/>
    <w:qFormat/>
    <w:rsid w:val="00A823A7"/>
    <w:pPr>
      <w:spacing w:before="29"/>
      <w:ind w:left="20"/>
      <w:outlineLvl w:val="4"/>
    </w:pPr>
    <w:rPr>
      <w:b/>
      <w:bCs/>
      <w:sz w:val="24"/>
      <w:szCs w:val="24"/>
    </w:rPr>
  </w:style>
  <w:style w:type="paragraph" w:styleId="Heading6">
    <w:name w:val="heading 6"/>
    <w:basedOn w:val="Normal"/>
    <w:link w:val="Heading6Char"/>
    <w:uiPriority w:val="1"/>
    <w:qFormat/>
    <w:rsid w:val="00A823A7"/>
    <w:pPr>
      <w:spacing w:before="201"/>
      <w:ind w:left="1157"/>
      <w:jc w:val="both"/>
      <w:outlineLvl w:val="5"/>
    </w:pPr>
    <w:rPr>
      <w:i/>
      <w:sz w:val="24"/>
      <w:szCs w:val="24"/>
    </w:rPr>
  </w:style>
  <w:style w:type="paragraph" w:styleId="Heading7">
    <w:name w:val="heading 7"/>
    <w:basedOn w:val="Normal"/>
    <w:link w:val="Heading7Char"/>
    <w:uiPriority w:val="1"/>
    <w:qFormat/>
    <w:rsid w:val="00A823A7"/>
    <w:pPr>
      <w:spacing w:before="181"/>
      <w:ind w:left="100"/>
      <w:jc w:val="both"/>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1128"/>
    <w:rPr>
      <w:rFonts w:ascii="Arial" w:eastAsiaTheme="majorEastAsia" w:hAnsi="Arial" w:cs="Arial"/>
      <w:bCs/>
      <w:sz w:val="40"/>
      <w:szCs w:val="28"/>
    </w:rPr>
  </w:style>
  <w:style w:type="character" w:customStyle="1" w:styleId="Heading2Char">
    <w:name w:val="Heading 2 Char"/>
    <w:basedOn w:val="DefaultParagraphFont"/>
    <w:link w:val="Heading2"/>
    <w:uiPriority w:val="1"/>
    <w:rsid w:val="00714A45"/>
    <w:rPr>
      <w:rFonts w:ascii="Arial" w:eastAsia="Arial" w:hAnsi="Arial" w:cs="Arial"/>
      <w:b/>
      <w:lang w:eastAsia="en-AU"/>
    </w:rPr>
  </w:style>
  <w:style w:type="character" w:customStyle="1" w:styleId="Heading3Char">
    <w:name w:val="Heading 3 Char"/>
    <w:basedOn w:val="DefaultParagraphFont"/>
    <w:link w:val="Heading3"/>
    <w:uiPriority w:val="1"/>
    <w:rsid w:val="00A823A7"/>
    <w:rPr>
      <w:rFonts w:ascii="Arial" w:eastAsia="Arial" w:hAnsi="Arial" w:cs="Arial"/>
      <w:sz w:val="33"/>
      <w:szCs w:val="33"/>
      <w:lang w:val="en-US"/>
    </w:rPr>
  </w:style>
  <w:style w:type="character" w:customStyle="1" w:styleId="Heading4Char">
    <w:name w:val="Heading 4 Char"/>
    <w:basedOn w:val="DefaultParagraphFont"/>
    <w:link w:val="Heading4"/>
    <w:uiPriority w:val="1"/>
    <w:rsid w:val="00A823A7"/>
    <w:rPr>
      <w:rFonts w:ascii="Arial" w:eastAsia="Arial" w:hAnsi="Arial" w:cs="Arial"/>
      <w:sz w:val="29"/>
      <w:szCs w:val="29"/>
      <w:lang w:val="en-US"/>
    </w:rPr>
  </w:style>
  <w:style w:type="character" w:customStyle="1" w:styleId="Heading5Char">
    <w:name w:val="Heading 5 Char"/>
    <w:basedOn w:val="DefaultParagraphFont"/>
    <w:link w:val="Heading5"/>
    <w:uiPriority w:val="1"/>
    <w:rsid w:val="00A823A7"/>
    <w:rPr>
      <w:rFonts w:ascii="Arial" w:eastAsia="Arial" w:hAnsi="Arial" w:cs="Arial"/>
      <w:b/>
      <w:bCs/>
      <w:sz w:val="24"/>
      <w:szCs w:val="24"/>
      <w:lang w:val="en-US"/>
    </w:rPr>
  </w:style>
  <w:style w:type="character" w:customStyle="1" w:styleId="Heading6Char">
    <w:name w:val="Heading 6 Char"/>
    <w:basedOn w:val="DefaultParagraphFont"/>
    <w:link w:val="Heading6"/>
    <w:uiPriority w:val="1"/>
    <w:rsid w:val="00A823A7"/>
    <w:rPr>
      <w:rFonts w:ascii="Arial" w:eastAsia="Arial" w:hAnsi="Arial" w:cs="Arial"/>
      <w:i/>
      <w:sz w:val="24"/>
      <w:szCs w:val="24"/>
      <w:lang w:val="en-US"/>
    </w:rPr>
  </w:style>
  <w:style w:type="character" w:customStyle="1" w:styleId="Heading7Char">
    <w:name w:val="Heading 7 Char"/>
    <w:basedOn w:val="DefaultParagraphFont"/>
    <w:link w:val="Heading7"/>
    <w:uiPriority w:val="1"/>
    <w:rsid w:val="00A823A7"/>
    <w:rPr>
      <w:rFonts w:ascii="Arial" w:eastAsia="Arial" w:hAnsi="Arial" w:cs="Arial"/>
      <w:i/>
      <w:lang w:val="en-US"/>
    </w:rPr>
  </w:style>
  <w:style w:type="paragraph" w:styleId="TOC1">
    <w:name w:val="toc 1"/>
    <w:basedOn w:val="Normal"/>
    <w:uiPriority w:val="1"/>
    <w:qFormat/>
    <w:rsid w:val="00A823A7"/>
    <w:pPr>
      <w:spacing w:before="230"/>
      <w:ind w:left="1610" w:hanging="453"/>
    </w:pPr>
    <w:rPr>
      <w:sz w:val="20"/>
      <w:szCs w:val="20"/>
    </w:rPr>
  </w:style>
  <w:style w:type="paragraph" w:styleId="TOC2">
    <w:name w:val="toc 2"/>
    <w:basedOn w:val="Normal"/>
    <w:uiPriority w:val="1"/>
    <w:qFormat/>
    <w:rsid w:val="00A823A7"/>
    <w:pPr>
      <w:spacing w:before="116"/>
      <w:ind w:left="2234" w:hanging="624"/>
    </w:pPr>
    <w:rPr>
      <w:sz w:val="20"/>
      <w:szCs w:val="20"/>
    </w:rPr>
  </w:style>
  <w:style w:type="paragraph" w:styleId="TOC3">
    <w:name w:val="toc 3"/>
    <w:basedOn w:val="Normal"/>
    <w:uiPriority w:val="1"/>
    <w:qFormat/>
    <w:rsid w:val="00A823A7"/>
    <w:pPr>
      <w:spacing w:before="60"/>
      <w:ind w:left="2234"/>
    </w:pPr>
    <w:rPr>
      <w:sz w:val="20"/>
      <w:szCs w:val="20"/>
    </w:rPr>
  </w:style>
  <w:style w:type="paragraph" w:styleId="BodyText">
    <w:name w:val="Body Text"/>
    <w:basedOn w:val="Normal"/>
    <w:link w:val="BodyTextChar"/>
    <w:autoRedefine/>
    <w:uiPriority w:val="1"/>
    <w:qFormat/>
    <w:rsid w:val="00035AB0"/>
    <w:pPr>
      <w:spacing w:after="120"/>
    </w:pPr>
    <w:rPr>
      <w:noProof/>
      <w:sz w:val="20"/>
      <w:szCs w:val="20"/>
    </w:rPr>
  </w:style>
  <w:style w:type="character" w:customStyle="1" w:styleId="BodyTextChar">
    <w:name w:val="Body Text Char"/>
    <w:basedOn w:val="DefaultParagraphFont"/>
    <w:link w:val="BodyText"/>
    <w:uiPriority w:val="1"/>
    <w:rsid w:val="00035AB0"/>
    <w:rPr>
      <w:rFonts w:ascii="Arial" w:eastAsia="Arial" w:hAnsi="Arial" w:cs="Arial"/>
      <w:noProof/>
      <w:sz w:val="20"/>
      <w:szCs w:val="20"/>
    </w:rPr>
  </w:style>
  <w:style w:type="paragraph" w:styleId="ListParagraph">
    <w:name w:val="List Paragraph"/>
    <w:basedOn w:val="Normal"/>
    <w:uiPriority w:val="1"/>
    <w:qFormat/>
    <w:rsid w:val="00A823A7"/>
    <w:pPr>
      <w:spacing w:before="116"/>
      <w:ind w:left="1837" w:hanging="312"/>
    </w:pPr>
  </w:style>
  <w:style w:type="paragraph" w:customStyle="1" w:styleId="TableParagraph">
    <w:name w:val="Table Paragraph"/>
    <w:basedOn w:val="Normal"/>
    <w:uiPriority w:val="1"/>
    <w:qFormat/>
    <w:rsid w:val="00A823A7"/>
    <w:pPr>
      <w:ind w:left="170"/>
    </w:pPr>
  </w:style>
  <w:style w:type="paragraph" w:styleId="Header">
    <w:name w:val="header"/>
    <w:basedOn w:val="Normal"/>
    <w:link w:val="HeaderChar"/>
    <w:uiPriority w:val="99"/>
    <w:unhideWhenUsed/>
    <w:rsid w:val="00A823A7"/>
    <w:pPr>
      <w:tabs>
        <w:tab w:val="center" w:pos="4513"/>
        <w:tab w:val="right" w:pos="9026"/>
      </w:tabs>
    </w:pPr>
  </w:style>
  <w:style w:type="character" w:customStyle="1" w:styleId="HeaderChar">
    <w:name w:val="Header Char"/>
    <w:basedOn w:val="DefaultParagraphFont"/>
    <w:link w:val="Header"/>
    <w:uiPriority w:val="99"/>
    <w:rsid w:val="00A823A7"/>
    <w:rPr>
      <w:rFonts w:ascii="Arial" w:eastAsia="Arial" w:hAnsi="Arial" w:cs="Arial"/>
      <w:lang w:val="en-US"/>
    </w:rPr>
  </w:style>
  <w:style w:type="paragraph" w:styleId="Footer">
    <w:name w:val="footer"/>
    <w:basedOn w:val="Normal"/>
    <w:link w:val="FooterChar"/>
    <w:uiPriority w:val="99"/>
    <w:unhideWhenUsed/>
    <w:rsid w:val="00A823A7"/>
    <w:pPr>
      <w:tabs>
        <w:tab w:val="center" w:pos="4513"/>
        <w:tab w:val="right" w:pos="9026"/>
      </w:tabs>
    </w:pPr>
  </w:style>
  <w:style w:type="character" w:customStyle="1" w:styleId="FooterChar">
    <w:name w:val="Footer Char"/>
    <w:basedOn w:val="DefaultParagraphFont"/>
    <w:link w:val="Footer"/>
    <w:uiPriority w:val="99"/>
    <w:rsid w:val="00A823A7"/>
    <w:rPr>
      <w:rFonts w:ascii="Arial" w:eastAsia="Arial" w:hAnsi="Arial" w:cs="Arial"/>
      <w:lang w:val="en-US"/>
    </w:rPr>
  </w:style>
  <w:style w:type="paragraph" w:styleId="Title">
    <w:name w:val="Title"/>
    <w:basedOn w:val="Heading1"/>
    <w:next w:val="Normal"/>
    <w:link w:val="TitleChar"/>
    <w:uiPriority w:val="10"/>
    <w:qFormat/>
    <w:rsid w:val="00747449"/>
  </w:style>
  <w:style w:type="character" w:customStyle="1" w:styleId="TitleChar">
    <w:name w:val="Title Char"/>
    <w:basedOn w:val="DefaultParagraphFont"/>
    <w:link w:val="Title"/>
    <w:uiPriority w:val="10"/>
    <w:rsid w:val="00747449"/>
    <w:rPr>
      <w:rFonts w:ascii="Arial" w:eastAsiaTheme="majorEastAsia" w:hAnsi="Arial" w:cs="Arial"/>
      <w:bCs/>
      <w:sz w:val="40"/>
      <w:szCs w:val="28"/>
    </w:rPr>
  </w:style>
  <w:style w:type="paragraph" w:customStyle="1" w:styleId="Bullet1">
    <w:name w:val="Bullet 1"/>
    <w:basedOn w:val="Normal"/>
    <w:autoRedefine/>
    <w:qFormat/>
    <w:rsid w:val="00CE1E3D"/>
    <w:pPr>
      <w:widowControl/>
      <w:numPr>
        <w:numId w:val="3"/>
      </w:numPr>
      <w:suppressAutoHyphens/>
      <w:autoSpaceDE/>
      <w:autoSpaceDN/>
      <w:spacing w:before="60" w:after="120"/>
    </w:pPr>
    <w:rPr>
      <w:rFonts w:ascii="Arial Narrow" w:eastAsiaTheme="minorHAnsi" w:hAnsi="Arial Narrow"/>
      <w:noProof/>
      <w:lang w:eastAsia="en-AU"/>
    </w:rPr>
  </w:style>
  <w:style w:type="paragraph" w:styleId="BalloonText">
    <w:name w:val="Balloon Text"/>
    <w:basedOn w:val="Normal"/>
    <w:link w:val="BalloonTextChar"/>
    <w:uiPriority w:val="99"/>
    <w:semiHidden/>
    <w:unhideWhenUsed/>
    <w:rsid w:val="00A96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E8"/>
    <w:rPr>
      <w:rFonts w:ascii="Segoe UI" w:eastAsia="Arial" w:hAnsi="Segoe UI" w:cs="Segoe UI"/>
      <w:sz w:val="18"/>
      <w:szCs w:val="18"/>
      <w:lang w:val="en-US"/>
    </w:rPr>
  </w:style>
  <w:style w:type="paragraph" w:customStyle="1" w:styleId="Bullet2">
    <w:name w:val="Bullet 2"/>
    <w:basedOn w:val="Bullet1"/>
    <w:link w:val="Bullet2Char"/>
    <w:uiPriority w:val="1"/>
    <w:qFormat/>
    <w:rsid w:val="00735071"/>
    <w:pPr>
      <w:numPr>
        <w:numId w:val="2"/>
      </w:numPr>
    </w:pPr>
  </w:style>
  <w:style w:type="character" w:customStyle="1" w:styleId="Bullet2Char">
    <w:name w:val="Bullet 2 Char"/>
    <w:basedOn w:val="BodyTextChar"/>
    <w:link w:val="Bullet2"/>
    <w:uiPriority w:val="1"/>
    <w:rsid w:val="00735071"/>
    <w:rPr>
      <w:rFonts w:ascii="Arial Narrow" w:eastAsia="Arial" w:hAnsi="Arial Narrow" w:cs="Arial"/>
      <w:noProof/>
      <w:sz w:val="20"/>
      <w:szCs w:val="20"/>
      <w:lang w:val="en-US" w:eastAsia="en-AU"/>
    </w:rPr>
  </w:style>
  <w:style w:type="character" w:customStyle="1" w:styleId="Classification">
    <w:name w:val="Classification"/>
    <w:basedOn w:val="DefaultParagraphFont"/>
    <w:uiPriority w:val="1"/>
    <w:qFormat/>
    <w:rsid w:val="007F5C51"/>
    <w:rPr>
      <w:b/>
      <w:caps/>
      <w:smallCaps w:val="0"/>
      <w:sz w:val="24"/>
    </w:rPr>
  </w:style>
  <w:style w:type="paragraph" w:styleId="Revision">
    <w:name w:val="Revision"/>
    <w:hidden/>
    <w:uiPriority w:val="99"/>
    <w:semiHidden/>
    <w:rsid w:val="007C5490"/>
    <w:pPr>
      <w:spacing w:after="0" w:line="240" w:lineRule="auto"/>
    </w:pPr>
    <w:rPr>
      <w:rFonts w:ascii="Arial" w:eastAsia="Arial" w:hAnsi="Arial" w:cs="Arial"/>
    </w:rPr>
  </w:style>
  <w:style w:type="character" w:styleId="Hyperlink">
    <w:name w:val="Hyperlink"/>
    <w:basedOn w:val="DefaultParagraphFont"/>
    <w:uiPriority w:val="99"/>
    <w:unhideWhenUsed/>
    <w:rsid w:val="007C5490"/>
    <w:rPr>
      <w:color w:val="0563C1" w:themeColor="hyperlink"/>
      <w:u w:val="single"/>
    </w:rPr>
  </w:style>
  <w:style w:type="character" w:styleId="UnresolvedMention">
    <w:name w:val="Unresolved Mention"/>
    <w:basedOn w:val="DefaultParagraphFont"/>
    <w:uiPriority w:val="99"/>
    <w:semiHidden/>
    <w:unhideWhenUsed/>
    <w:rsid w:val="007C5490"/>
    <w:rPr>
      <w:color w:val="605E5C"/>
      <w:shd w:val="clear" w:color="auto" w:fill="E1DFDD"/>
    </w:rPr>
  </w:style>
  <w:style w:type="character" w:styleId="CommentReference">
    <w:name w:val="annotation reference"/>
    <w:basedOn w:val="DefaultParagraphFont"/>
    <w:uiPriority w:val="99"/>
    <w:semiHidden/>
    <w:unhideWhenUsed/>
    <w:rsid w:val="00156752"/>
    <w:rPr>
      <w:sz w:val="16"/>
      <w:szCs w:val="16"/>
    </w:rPr>
  </w:style>
  <w:style w:type="paragraph" w:styleId="CommentText">
    <w:name w:val="annotation text"/>
    <w:basedOn w:val="Normal"/>
    <w:link w:val="CommentTextChar"/>
    <w:uiPriority w:val="99"/>
    <w:unhideWhenUsed/>
    <w:rsid w:val="00156752"/>
    <w:rPr>
      <w:sz w:val="20"/>
      <w:szCs w:val="20"/>
    </w:rPr>
  </w:style>
  <w:style w:type="character" w:customStyle="1" w:styleId="CommentTextChar">
    <w:name w:val="Comment Text Char"/>
    <w:basedOn w:val="DefaultParagraphFont"/>
    <w:link w:val="CommentText"/>
    <w:uiPriority w:val="99"/>
    <w:rsid w:val="0015675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6752"/>
    <w:rPr>
      <w:b/>
      <w:bCs/>
    </w:rPr>
  </w:style>
  <w:style w:type="character" w:customStyle="1" w:styleId="CommentSubjectChar">
    <w:name w:val="Comment Subject Char"/>
    <w:basedOn w:val="CommentTextChar"/>
    <w:link w:val="CommentSubject"/>
    <w:uiPriority w:val="99"/>
    <w:semiHidden/>
    <w:rsid w:val="00156752"/>
    <w:rPr>
      <w:rFonts w:ascii="Arial" w:eastAsia="Arial" w:hAnsi="Arial" w:cs="Arial"/>
      <w:b/>
      <w:bCs/>
      <w:sz w:val="20"/>
      <w:szCs w:val="20"/>
    </w:rPr>
  </w:style>
  <w:style w:type="character" w:styleId="FollowedHyperlink">
    <w:name w:val="FollowedHyperlink"/>
    <w:basedOn w:val="DefaultParagraphFont"/>
    <w:uiPriority w:val="99"/>
    <w:semiHidden/>
    <w:unhideWhenUsed/>
    <w:rsid w:val="00035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8249">
      <w:bodyDiv w:val="1"/>
      <w:marLeft w:val="0"/>
      <w:marRight w:val="0"/>
      <w:marTop w:val="0"/>
      <w:marBottom w:val="0"/>
      <w:divBdr>
        <w:top w:val="none" w:sz="0" w:space="0" w:color="auto"/>
        <w:left w:val="none" w:sz="0" w:space="0" w:color="auto"/>
        <w:bottom w:val="none" w:sz="0" w:space="0" w:color="auto"/>
        <w:right w:val="none" w:sz="0" w:space="0" w:color="auto"/>
      </w:divBdr>
    </w:div>
    <w:div w:id="552156825">
      <w:bodyDiv w:val="1"/>
      <w:marLeft w:val="0"/>
      <w:marRight w:val="0"/>
      <w:marTop w:val="0"/>
      <w:marBottom w:val="0"/>
      <w:divBdr>
        <w:top w:val="none" w:sz="0" w:space="0" w:color="auto"/>
        <w:left w:val="none" w:sz="0" w:space="0" w:color="auto"/>
        <w:bottom w:val="none" w:sz="0" w:space="0" w:color="auto"/>
        <w:right w:val="none" w:sz="0" w:space="0" w:color="auto"/>
      </w:divBdr>
    </w:div>
    <w:div w:id="1571429146">
      <w:bodyDiv w:val="1"/>
      <w:marLeft w:val="0"/>
      <w:marRight w:val="0"/>
      <w:marTop w:val="0"/>
      <w:marBottom w:val="0"/>
      <w:divBdr>
        <w:top w:val="none" w:sz="0" w:space="0" w:color="auto"/>
        <w:left w:val="none" w:sz="0" w:space="0" w:color="auto"/>
        <w:bottom w:val="none" w:sz="0" w:space="0" w:color="auto"/>
        <w:right w:val="none" w:sz="0" w:space="0" w:color="auto"/>
      </w:divBdr>
    </w:div>
    <w:div w:id="19881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56E4B63DA7C60E4FB865DA55A9025C19" ma:contentTypeVersion="37" ma:contentTypeDescription="Create a new document." ma:contentTypeScope="" ma:versionID="ea88a2e49036bed376caefc7082fb33f">
  <xsd:schema xmlns:xsd="http://www.w3.org/2001/XMLSchema" xmlns:xs="http://www.w3.org/2001/XMLSchema" xmlns:p="http://schemas.microsoft.com/office/2006/metadata/properties" xmlns:ns1="http://schemas.microsoft.com/sharepoint/v3" xmlns:ns2="a334ba3b-e131-42d3-95f3-2728f5a41884" xmlns:ns3="6a7e9632-768a-49bf-85ac-c69233ab2a52" xmlns:ns4="6f76d6a1-ce98-4a01-b99b-f2aa06952a0d" targetNamespace="http://schemas.microsoft.com/office/2006/metadata/properties" ma:root="true" ma:fieldsID="baa342c6f1ae8a048cbc29e7fe5617cf" ns1:_="" ns2:_="" ns3:_="" ns4:_="">
    <xsd:import namespace="http://schemas.microsoft.com/sharepoint/v3"/>
    <xsd:import namespace="a334ba3b-e131-42d3-95f3-2728f5a41884"/>
    <xsd:import namespace="6a7e9632-768a-49bf-85ac-c69233ab2a52"/>
    <xsd:import namespace="6f76d6a1-ce98-4a01-b99b-f2aa06952a0d"/>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MediaServiceGenerationTime" minOccurs="0"/>
                <xsd:element ref="ns4:MediaServiceEventHashCode" minOccurs="0"/>
                <xsd:element ref="ns1:_ip_UnifiedCompliancePolicyProperties" minOccurs="0"/>
                <xsd:element ref="ns1:_ip_UnifiedCompliancePolicyUIAction"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2141ea2a-3c96-46ca-8683-48bf94d5695b}"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Accounting and Framework|05436862-e97f-4424-a21d-d4053053aa0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2141ea2a-3c96-46ca-8683-48bf94d5695b}"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76d6a1-ce98-4a01-b99b-f2aa06952a0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71</Value>
      <Value>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Original_x0020_Date_x0020_Created xmlns="a334ba3b-e131-42d3-95f3-2728f5a41884" xsi:nil="true"/>
    <_dlc_DocId xmlns="6a7e9632-768a-49bf-85ac-c69233ab2a52">FIN33504-1449590144-41166</_dlc_DocId>
    <_dlc_DocIdUrl xmlns="6a7e9632-768a-49bf-85ac-c69233ab2a52">
      <Url>https://financegovau.sharepoint.com/sites/M365_DoF_50033504/_layouts/15/DocIdRedir.aspx?ID=FIN33504-1449590144-41166</Url>
      <Description>FIN33504-1449590144-41166</Description>
    </_dlc_DocIdUrl>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lcf76f155ced4ddcb4097134ff3c332f xmlns="6f76d6a1-ce98-4a01-b99b-f2aa06952a0d">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Accounting and Framework</TermName>
          <TermId xmlns="http://schemas.microsoft.com/office/infopath/2007/PartnerControls">05436862-e97f-4424-a21d-d4053053aa0f</TermId>
        </TermInfo>
      </Terms>
    </e0fcb3f570964638902a63147cd98219>
    <_ip_UnifiedCompliancePolicyProperties xmlns="http://schemas.microsoft.com/sharepoint/v3" xsi:nil="true"/>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0E888-1F81-4A1B-850A-F3AFB3C513FF}">
  <ds:schemaRefs>
    <ds:schemaRef ds:uri="http://schemas.microsoft.com/sharepoint/events"/>
  </ds:schemaRefs>
</ds:datastoreItem>
</file>

<file path=customXml/itemProps2.xml><?xml version="1.0" encoding="utf-8"?>
<ds:datastoreItem xmlns:ds="http://schemas.openxmlformats.org/officeDocument/2006/customXml" ds:itemID="{17EBCB66-8929-42B4-AAC5-41FC6429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6f76d6a1-ce98-4a01-b99b-f2aa06952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DC1E4-3950-46FD-A6C7-AE9B2B815C8C}">
  <ds:schemaRefs>
    <ds:schemaRef ds:uri="Microsoft.SharePoint.Taxonomy.ContentTypeSync"/>
  </ds:schemaRefs>
</ds:datastoreItem>
</file>

<file path=customXml/itemProps4.xml><?xml version="1.0" encoding="utf-8"?>
<ds:datastoreItem xmlns:ds="http://schemas.openxmlformats.org/officeDocument/2006/customXml" ds:itemID="{911548FA-61EA-4A8B-B57C-3EA406E7FA75}">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6f76d6a1-ce98-4a01-b99b-f2aa06952a0d"/>
  </ds:schemaRefs>
</ds:datastoreItem>
</file>

<file path=customXml/itemProps5.xml><?xml version="1.0" encoding="utf-8"?>
<ds:datastoreItem xmlns:ds="http://schemas.openxmlformats.org/officeDocument/2006/customXml" ds:itemID="{728AA2D0-82B7-47D3-96FF-008F1807E837}">
  <ds:schemaRefs>
    <ds:schemaRef ds:uri="http://schemas.openxmlformats.org/officeDocument/2006/bibliography"/>
  </ds:schemaRefs>
</ds:datastoreItem>
</file>

<file path=customXml/itemProps6.xml><?xml version="1.0" encoding="utf-8"?>
<ds:datastoreItem xmlns:ds="http://schemas.openxmlformats.org/officeDocument/2006/customXml" ds:itemID="{361A231B-493F-47F7-824F-0D6C47AC6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1651</Words>
  <Characters>10099</Characters>
  <Application>Microsoft Office Word</Application>
  <DocSecurity>0</DocSecurity>
  <Lines>243</Lines>
  <Paragraphs>86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Relevant legislation and standards</dc:title>
  <dc:subject/>
  <dc:creator>Department of Finance</dc:creator>
  <cp:keywords>[SEC=UNOFFICIAL]</cp:keywords>
  <dc:description/>
  <cp:lastModifiedBy>Truong, Minh</cp:lastModifiedBy>
  <cp:revision>3</cp:revision>
  <cp:lastPrinted>2019-02-26T03:38:00Z</cp:lastPrinted>
  <dcterms:created xsi:type="dcterms:W3CDTF">2026-06-10T01:19:00Z</dcterms:created>
  <dcterms:modified xsi:type="dcterms:W3CDTF">2026-06-10T01:20:00Z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ntity">
    <vt:lpwstr>2;#Department of Finance|fd660e8f-8f31-49bd-92a3-d31d4da31afe</vt:lpwstr>
  </property>
  <property fmtid="{D5CDD505-2E9C-101B-9397-08002B2CF9AE}" pid="3" name="InitiatingEntity">
    <vt:lpwstr>2;#Department of Finance|fd660e8f-8f31-49bd-92a3-d31d4da31afe</vt:lpwstr>
  </property>
  <property fmtid="{D5CDD505-2E9C-101B-9397-08002B2CF9AE}" pid="4" name="Function and Activity">
    <vt:lpwstr/>
  </property>
  <property fmtid="{D5CDD505-2E9C-101B-9397-08002B2CF9AE}" pid="5" name="OrgUnit">
    <vt:lpwstr>1;#Accounting FW and Capability Support|17de058c-12f7-44f2-8e7d-03ff49305e52</vt:lpwstr>
  </property>
  <property fmtid="{D5CDD505-2E9C-101B-9397-08002B2CF9AE}" pid="6" name="MSIP_Label_6af89f2f-9671-4583-84ec-9b406935fc32_SetDate">
    <vt:lpwstr>2026-06-05T01:27:30Z</vt:lpwstr>
  </property>
  <property fmtid="{D5CDD505-2E9C-101B-9397-08002B2CF9AE}" pid="7" name="PM_Caveats_Count">
    <vt:lpwstr>0</vt:lpwstr>
  </property>
  <property fmtid="{D5CDD505-2E9C-101B-9397-08002B2CF9AE}" pid="8" name="PM_Namespace">
    <vt:lpwstr>gov.au</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v=2022.1;a=SHA256;h=E165624468A567F272EFFE656832088BCFE9108429ACEB622B879EDBDE2F7A1E</vt:lpwstr>
  </property>
  <property fmtid="{D5CDD505-2E9C-101B-9397-08002B2CF9AE}" pid="12" name="MSIP_Label_6af89f2f-9671-4583-84ec-9b406935fc32_Enabled">
    <vt:lpwstr>true</vt:lpwstr>
  </property>
  <property fmtid="{D5CDD505-2E9C-101B-9397-08002B2CF9AE}" pid="13" name="PM_Qualifier">
    <vt:lpwstr/>
  </property>
  <property fmtid="{D5CDD505-2E9C-101B-9397-08002B2CF9AE}" pid="14" name="PM_SecurityClassification">
    <vt:lpwstr>UNOFFICIAL</vt:lpwstr>
  </property>
  <property fmtid="{D5CDD505-2E9C-101B-9397-08002B2CF9AE}" pid="15" name="PM_ProtectiveMarkingValue_Header">
    <vt:lpwstr>UNOFFICIAL</vt:lpwstr>
  </property>
  <property fmtid="{D5CDD505-2E9C-101B-9397-08002B2CF9AE}" pid="16" name="PM_OriginationTimeStamp">
    <vt:lpwstr>2026-06-05T01:27:30Z</vt:lpwstr>
  </property>
  <property fmtid="{D5CDD505-2E9C-101B-9397-08002B2CF9AE}" pid="17" name="PM_DownTo">
    <vt:lpwstr/>
  </property>
  <property fmtid="{D5CDD505-2E9C-101B-9397-08002B2CF9AE}" pid="18" name="PM_Markers">
    <vt:lpwstr/>
  </property>
  <property fmtid="{D5CDD505-2E9C-101B-9397-08002B2CF9AE}" pid="19" name="PM_DisplayValueSecClassificationWithQualifier">
    <vt:lpwstr>UNOFFICIAL</vt:lpwstr>
  </property>
  <property fmtid="{D5CDD505-2E9C-101B-9397-08002B2CF9AE}" pid="20" name="PM_Expires">
    <vt:lpwstr/>
  </property>
  <property fmtid="{D5CDD505-2E9C-101B-9397-08002B2CF9AE}" pid="21" name="MSIP_Label_6af89f2f-9671-4583-84ec-9b406935fc32_Name">
    <vt:lpwstr>UNOFFICIAL</vt:lpwstr>
  </property>
  <property fmtid="{D5CDD505-2E9C-101B-9397-08002B2CF9AE}" pid="22" name="MSIP_Label_6af89f2f-9671-4583-84ec-9b406935fc32_SiteId">
    <vt:lpwstr>08954cee-4782-4ff6-9ad5-1997dccef4b0</vt:lpwstr>
  </property>
  <property fmtid="{D5CDD505-2E9C-101B-9397-08002B2CF9AE}" pid="23" name="PM_Display">
    <vt:lpwstr>UNOFFICIAL</vt:lpwstr>
  </property>
  <property fmtid="{D5CDD505-2E9C-101B-9397-08002B2CF9AE}" pid="24" name="MSIP_Label_6af89f2f-9671-4583-84ec-9b406935fc32_Method">
    <vt:lpwstr>Privileged</vt:lpwstr>
  </property>
  <property fmtid="{D5CDD505-2E9C-101B-9397-08002B2CF9AE}" pid="25" name="MSIP_Label_6af89f2f-9671-4583-84ec-9b406935fc32_ContentBits">
    <vt:lpwstr>3</vt:lpwstr>
  </property>
  <property fmtid="{D5CDD505-2E9C-101B-9397-08002B2CF9AE}" pid="26" name="MSIP_Label_6af89f2f-9671-4583-84ec-9b406935fc32_ActionId">
    <vt:lpwstr>15ebe7111fe949d392c8d763f85ff8fc</vt:lpwstr>
  </property>
  <property fmtid="{D5CDD505-2E9C-101B-9397-08002B2CF9AE}" pid="27" name="PM_InsertionValue">
    <vt:lpwstr>UNOFFICIAL</vt:lpwstr>
  </property>
  <property fmtid="{D5CDD505-2E9C-101B-9397-08002B2CF9AE}" pid="28" name="PM_Originator_Hash_SHA1">
    <vt:lpwstr>C4E8576B6510B1FB5DEF9BBC04AB3A64E004CBD8</vt:lpwstr>
  </property>
  <property fmtid="{D5CDD505-2E9C-101B-9397-08002B2CF9AE}" pid="29" name="PM_Originating_FileId">
    <vt:lpwstr>509CE129BB914C91ADA2CF264CA3868C</vt:lpwstr>
  </property>
  <property fmtid="{D5CDD505-2E9C-101B-9397-08002B2CF9AE}" pid="30" name="PM_ProtectiveMarkingValue_Footer">
    <vt:lpwstr>UNOFFICIAL</vt:lpwstr>
  </property>
  <property fmtid="{D5CDD505-2E9C-101B-9397-08002B2CF9AE}" pid="31" name="PM_OriginatorUserAccountName_SHA256">
    <vt:lpwstr>3F9C3930C95A80FE14E5E569A96906FECB80D374DD6F0E6814A1821B290CD60B</vt:lpwstr>
  </property>
  <property fmtid="{D5CDD505-2E9C-101B-9397-08002B2CF9AE}" pid="32" name="PM_OriginatorDomainName_SHA256">
    <vt:lpwstr>325440F6CA31C4C3BCE4433552DC42928CAAD3E2731ABE35FDE729ECEB763AF0</vt:lpwstr>
  </property>
  <property fmtid="{D5CDD505-2E9C-101B-9397-08002B2CF9AE}" pid="33" name="PMUuid">
    <vt:lpwstr>v=2022.2;d=gov.au;g=65417EFE-F3B9-5E66-BD91-1E689FEC2EA6</vt:lpwstr>
  </property>
  <property fmtid="{D5CDD505-2E9C-101B-9397-08002B2CF9AE}" pid="34" name="PM_Hash_Version">
    <vt:lpwstr>2022.1</vt:lpwstr>
  </property>
  <property fmtid="{D5CDD505-2E9C-101B-9397-08002B2CF9AE}" pid="35" name="PM_Hash_Salt_Prev">
    <vt:lpwstr>48CC220F6C7CD8234A7FA97EA1DADD8B</vt:lpwstr>
  </property>
  <property fmtid="{D5CDD505-2E9C-101B-9397-08002B2CF9AE}" pid="36" name="PM_Hash_Salt">
    <vt:lpwstr>C4B474076CEF54BA34770AB455DBC4F6</vt:lpwstr>
  </property>
  <property fmtid="{D5CDD505-2E9C-101B-9397-08002B2CF9AE}" pid="37" name="PM_Hash_SHA1">
    <vt:lpwstr>337E168F43B7F5A5921D64F140429BAE25B988FE</vt:lpwstr>
  </property>
  <property fmtid="{D5CDD505-2E9C-101B-9397-08002B2CF9AE}" pid="38" name="ContentTypeId">
    <vt:lpwstr>0x010100B7B479F47583304BA8B631462CC772D70056E4B63DA7C60E4FB865DA55A9025C19</vt:lpwstr>
  </property>
  <property fmtid="{D5CDD505-2E9C-101B-9397-08002B2CF9AE}" pid="39" name="TaxKeyword">
    <vt:lpwstr>71;#[SEC=UNOFFICIAL]|c5095c15-4234-4e92-adf8-afe43cfbe4c5</vt:lpwstr>
  </property>
  <property fmtid="{D5CDD505-2E9C-101B-9397-08002B2CF9AE}" pid="40" name="_dlc_DocIdItemGuid">
    <vt:lpwstr>90b87faf-d128-46dc-8106-5337c2ce630b</vt:lpwstr>
  </property>
  <property fmtid="{D5CDD505-2E9C-101B-9397-08002B2CF9AE}" pid="41" name="Function_x0020_and_x0020_Activity">
    <vt:lpwstr/>
  </property>
  <property fmtid="{D5CDD505-2E9C-101B-9397-08002B2CF9AE}" pid="42" name="Organisation Unit">
    <vt:lpwstr>2;#Accounting and Framework|05436862-e97f-4424-a21d-d4053053aa0f</vt:lpwstr>
  </property>
  <property fmtid="{D5CDD505-2E9C-101B-9397-08002B2CF9AE}" pid="43" name="About Entity">
    <vt:lpwstr>1;#Department of Finance|fd660e8f-8f31-49bd-92a3-d31d4da31afe</vt:lpwstr>
  </property>
  <property fmtid="{D5CDD505-2E9C-101B-9397-08002B2CF9AE}" pid="44" name="Initiating Entity">
    <vt:lpwstr>1;#Department of Finance|fd660e8f-8f31-49bd-92a3-d31d4da31afe</vt:lpwstr>
  </property>
  <property fmtid="{D5CDD505-2E9C-101B-9397-08002B2CF9AE}" pid="45" name="Organisation_x0020_Unit">
    <vt:lpwstr>2;#Accounting and Framework|05436862-e97f-4424-a21d-d4053053aa0f</vt:lpwstr>
  </property>
  <property fmtid="{D5CDD505-2E9C-101B-9397-08002B2CF9AE}" pid="46" name="MediaServiceImageTags">
    <vt:lpwstr/>
  </property>
  <property fmtid="{D5CDD505-2E9C-101B-9397-08002B2CF9AE}" pid="47" name="About_x0020_Entity">
    <vt:lpwstr>1;#Department of Finance|fd660e8f-8f31-49bd-92a3-d31d4da31afe</vt:lpwstr>
  </property>
  <property fmtid="{D5CDD505-2E9C-101B-9397-08002B2CF9AE}" pid="48" name="Initiating_x0020_Entity">
    <vt:lpwstr>1;#Department of Finance|fd660e8f-8f31-49bd-92a3-d31d4da31afe</vt:lpwstr>
  </property>
  <property fmtid="{D5CDD505-2E9C-101B-9397-08002B2CF9AE}" pid="49" name="PM_SecurityClassification_Prev">
    <vt:lpwstr>UNOFFICIAL</vt:lpwstr>
  </property>
  <property fmtid="{D5CDD505-2E9C-101B-9397-08002B2CF9AE}" pid="50" name="PM_Qualifier_Prev">
    <vt:lpwstr/>
  </property>
</Properties>
</file>