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B404" w14:textId="2D1DBCA5" w:rsidR="00892E30" w:rsidRDefault="00892E30" w:rsidP="0014243A">
      <w:pPr>
        <w:tabs>
          <w:tab w:val="left" w:pos="6946"/>
        </w:tabs>
        <w:rPr>
          <w:sz w:val="40"/>
          <w:szCs w:val="40"/>
        </w:rPr>
      </w:pPr>
      <w:bookmarkStart w:id="0" w:name="_Hlk160176604"/>
    </w:p>
    <w:p w14:paraId="6102E666" w14:textId="77777777" w:rsidR="00510569" w:rsidRDefault="00510569" w:rsidP="00892E30">
      <w:pPr>
        <w:rPr>
          <w:sz w:val="40"/>
          <w:szCs w:val="40"/>
        </w:rPr>
      </w:pPr>
    </w:p>
    <w:p w14:paraId="29DE80E2" w14:textId="77777777" w:rsidR="00892E30" w:rsidRDefault="00892E30" w:rsidP="00892E30">
      <w:pPr>
        <w:rPr>
          <w:sz w:val="40"/>
          <w:szCs w:val="40"/>
        </w:rPr>
      </w:pPr>
    </w:p>
    <w:p w14:paraId="0C77E1E5" w14:textId="77777777" w:rsidR="00892E30" w:rsidRDefault="00892E30" w:rsidP="00892E30">
      <w:pPr>
        <w:rPr>
          <w:sz w:val="40"/>
          <w:szCs w:val="40"/>
        </w:rPr>
      </w:pPr>
    </w:p>
    <w:p w14:paraId="1E074634" w14:textId="77777777" w:rsidR="00892E30" w:rsidRDefault="00892E30" w:rsidP="00892E30">
      <w:pPr>
        <w:rPr>
          <w:sz w:val="40"/>
          <w:szCs w:val="40"/>
        </w:rPr>
      </w:pPr>
    </w:p>
    <w:p w14:paraId="2B22C71D" w14:textId="77777777" w:rsidR="00892E30" w:rsidRDefault="00892E30" w:rsidP="00892E30">
      <w:pPr>
        <w:rPr>
          <w:sz w:val="40"/>
          <w:szCs w:val="40"/>
        </w:rPr>
      </w:pPr>
    </w:p>
    <w:p w14:paraId="7D0ED672" w14:textId="77777777" w:rsidR="00892E30" w:rsidRDefault="00892E30" w:rsidP="00892E30">
      <w:pPr>
        <w:rPr>
          <w:sz w:val="40"/>
          <w:szCs w:val="40"/>
        </w:rPr>
      </w:pPr>
    </w:p>
    <w:p w14:paraId="3C4F9513" w14:textId="77777777" w:rsidR="00892E30" w:rsidRDefault="00892E30" w:rsidP="00892E30">
      <w:pPr>
        <w:rPr>
          <w:sz w:val="40"/>
          <w:szCs w:val="40"/>
        </w:rPr>
      </w:pPr>
    </w:p>
    <w:p w14:paraId="0AB79258" w14:textId="77777777" w:rsidR="00892E30" w:rsidRDefault="00892E30" w:rsidP="00892E30">
      <w:pPr>
        <w:rPr>
          <w:sz w:val="40"/>
          <w:szCs w:val="40"/>
        </w:rPr>
      </w:pPr>
    </w:p>
    <w:p w14:paraId="2D283D4C" w14:textId="3EADDC8F" w:rsidR="00892E30" w:rsidRDefault="00892E30" w:rsidP="00892E30">
      <w:pPr>
        <w:rPr>
          <w:sz w:val="40"/>
          <w:szCs w:val="40"/>
        </w:rPr>
      </w:pPr>
    </w:p>
    <w:p w14:paraId="20DBAD40" w14:textId="77777777" w:rsidR="00892E30" w:rsidRDefault="00892E30" w:rsidP="00892E30">
      <w:pPr>
        <w:rPr>
          <w:sz w:val="40"/>
          <w:szCs w:val="40"/>
        </w:rPr>
      </w:pPr>
    </w:p>
    <w:p w14:paraId="7273DA18" w14:textId="77777777" w:rsidR="00892E30" w:rsidRDefault="00892E30" w:rsidP="00892E30">
      <w:pPr>
        <w:rPr>
          <w:sz w:val="40"/>
          <w:szCs w:val="40"/>
        </w:rPr>
      </w:pPr>
    </w:p>
    <w:p w14:paraId="6E96352C" w14:textId="77777777" w:rsidR="00892E30" w:rsidRDefault="00892E30" w:rsidP="00892E30">
      <w:pPr>
        <w:rPr>
          <w:sz w:val="40"/>
          <w:szCs w:val="40"/>
        </w:rPr>
      </w:pPr>
    </w:p>
    <w:p w14:paraId="6E67261C" w14:textId="6182B63D" w:rsidR="00F14ED9" w:rsidRPr="00892E30" w:rsidRDefault="00EB4FD8" w:rsidP="00892E30">
      <w:pPr>
        <w:rPr>
          <w:sz w:val="48"/>
          <w:szCs w:val="48"/>
        </w:rPr>
      </w:pPr>
      <w:r w:rsidRPr="00892E30">
        <w:rPr>
          <w:sz w:val="48"/>
          <w:szCs w:val="48"/>
        </w:rPr>
        <w:t xml:space="preserve">ENTITY </w:t>
      </w:r>
      <w:r w:rsidR="00F14ED9" w:rsidRPr="00892E30">
        <w:rPr>
          <w:sz w:val="48"/>
          <w:szCs w:val="48"/>
        </w:rPr>
        <w:t>GUIDANCE</w:t>
      </w:r>
    </w:p>
    <w:p w14:paraId="14A913D2" w14:textId="16E125E3" w:rsidR="008F2996" w:rsidRPr="00F14ED9" w:rsidRDefault="00F14ED9" w:rsidP="00F14ED9">
      <w:pPr>
        <w:rPr>
          <w:rFonts w:asciiTheme="majorHAnsi" w:eastAsiaTheme="majorEastAsia" w:hAnsiTheme="majorHAnsi" w:cstheme="majorBidi"/>
          <w:bCs/>
          <w:color w:val="1C1C1C" w:themeColor="text2"/>
          <w:kern w:val="28"/>
          <w:sz w:val="40"/>
          <w:szCs w:val="52"/>
        </w:rPr>
      </w:pPr>
      <w:r w:rsidRPr="00F14ED9">
        <w:rPr>
          <w:rFonts w:asciiTheme="majorHAnsi" w:eastAsiaTheme="majorEastAsia" w:hAnsiTheme="majorHAnsi" w:cstheme="majorBidi"/>
          <w:bCs/>
          <w:color w:val="1C1C1C" w:themeColor="text2"/>
          <w:kern w:val="28"/>
          <w:sz w:val="40"/>
          <w:szCs w:val="52"/>
        </w:rPr>
        <w:t xml:space="preserve">Guide to preparing the </w:t>
      </w:r>
      <w:r>
        <w:rPr>
          <w:rFonts w:asciiTheme="majorHAnsi" w:eastAsiaTheme="majorEastAsia" w:hAnsiTheme="majorHAnsi" w:cstheme="majorBidi"/>
          <w:bCs/>
          <w:color w:val="1C1C1C" w:themeColor="text2"/>
          <w:kern w:val="28"/>
          <w:sz w:val="40"/>
          <w:szCs w:val="52"/>
        </w:rPr>
        <w:br/>
      </w:r>
      <w:r w:rsidRPr="00F14ED9">
        <w:rPr>
          <w:rFonts w:asciiTheme="majorHAnsi" w:eastAsiaTheme="majorEastAsia" w:hAnsiTheme="majorHAnsi" w:cstheme="majorBidi"/>
          <w:bCs/>
          <w:color w:val="1C1C1C" w:themeColor="text2"/>
          <w:kern w:val="28"/>
          <w:sz w:val="40"/>
          <w:szCs w:val="52"/>
        </w:rPr>
        <w:t>202</w:t>
      </w:r>
      <w:r w:rsidR="00B5347E">
        <w:rPr>
          <w:rFonts w:asciiTheme="majorHAnsi" w:eastAsiaTheme="majorEastAsia" w:hAnsiTheme="majorHAnsi" w:cstheme="majorBidi"/>
          <w:bCs/>
          <w:color w:val="1C1C1C" w:themeColor="text2"/>
          <w:kern w:val="28"/>
          <w:sz w:val="40"/>
          <w:szCs w:val="52"/>
        </w:rPr>
        <w:t>6</w:t>
      </w:r>
      <w:r w:rsidR="004A4C99">
        <w:rPr>
          <w:rFonts w:asciiTheme="majorHAnsi" w:eastAsiaTheme="majorEastAsia" w:hAnsiTheme="majorHAnsi" w:cstheme="majorBidi"/>
          <w:bCs/>
          <w:color w:val="1C1C1C" w:themeColor="text2"/>
          <w:kern w:val="28"/>
          <w:sz w:val="40"/>
          <w:szCs w:val="52"/>
        </w:rPr>
        <w:t>–</w:t>
      </w:r>
      <w:r w:rsidR="00687BCC">
        <w:rPr>
          <w:rFonts w:asciiTheme="majorHAnsi" w:eastAsiaTheme="majorEastAsia" w:hAnsiTheme="majorHAnsi" w:cstheme="majorBidi"/>
          <w:bCs/>
          <w:color w:val="1C1C1C" w:themeColor="text2"/>
          <w:kern w:val="28"/>
          <w:sz w:val="40"/>
          <w:szCs w:val="52"/>
        </w:rPr>
        <w:t>2</w:t>
      </w:r>
      <w:r w:rsidR="00DC026B">
        <w:rPr>
          <w:rFonts w:asciiTheme="majorHAnsi" w:eastAsiaTheme="majorEastAsia" w:hAnsiTheme="majorHAnsi" w:cstheme="majorBidi"/>
          <w:bCs/>
          <w:color w:val="1C1C1C" w:themeColor="text2"/>
          <w:kern w:val="28"/>
          <w:sz w:val="40"/>
          <w:szCs w:val="52"/>
        </w:rPr>
        <w:t>7</w:t>
      </w:r>
      <w:r w:rsidR="00687BCC">
        <w:rPr>
          <w:rFonts w:asciiTheme="majorHAnsi" w:eastAsiaTheme="majorEastAsia" w:hAnsiTheme="majorHAnsi" w:cstheme="majorBidi"/>
          <w:bCs/>
          <w:color w:val="1C1C1C" w:themeColor="text2"/>
          <w:kern w:val="28"/>
          <w:sz w:val="40"/>
          <w:szCs w:val="52"/>
        </w:rPr>
        <w:t xml:space="preserve"> </w:t>
      </w:r>
      <w:r w:rsidRPr="00F14ED9">
        <w:rPr>
          <w:rFonts w:asciiTheme="majorHAnsi" w:eastAsiaTheme="majorEastAsia" w:hAnsiTheme="majorHAnsi" w:cstheme="majorBidi"/>
          <w:bCs/>
          <w:color w:val="1C1C1C" w:themeColor="text2"/>
          <w:kern w:val="28"/>
          <w:sz w:val="40"/>
          <w:szCs w:val="52"/>
        </w:rPr>
        <w:t>Portfolio Budget Statements</w:t>
      </w:r>
    </w:p>
    <w:bookmarkEnd w:id="0"/>
    <w:p w14:paraId="5C39A83D" w14:textId="6F61BAFA" w:rsidR="008F2996" w:rsidRDefault="008F2996" w:rsidP="008F2996"/>
    <w:p w14:paraId="037B3F93" w14:textId="1A344F21" w:rsidR="00E57AEC" w:rsidRPr="009E6D40" w:rsidRDefault="00DC026B" w:rsidP="4E79766E">
      <w:pPr>
        <w:rPr>
          <w:rFonts w:cs="Calibri"/>
        </w:rPr>
      </w:pPr>
      <w:r w:rsidRPr="009E6D40">
        <w:rPr>
          <w:rFonts w:cs="Calibri"/>
        </w:rPr>
        <w:t>M</w:t>
      </w:r>
      <w:r w:rsidR="00A36852" w:rsidRPr="009E6D40">
        <w:rPr>
          <w:rFonts w:cs="Calibri"/>
        </w:rPr>
        <w:t>a</w:t>
      </w:r>
      <w:r w:rsidR="008B3525">
        <w:rPr>
          <w:rFonts w:cs="Calibri"/>
        </w:rPr>
        <w:t>rch</w:t>
      </w:r>
      <w:r w:rsidRPr="009E6D40">
        <w:rPr>
          <w:rFonts w:cs="Calibri"/>
        </w:rPr>
        <w:t xml:space="preserve"> </w:t>
      </w:r>
      <w:r w:rsidR="00687BCC" w:rsidRPr="009E6D40">
        <w:rPr>
          <w:rFonts w:cs="Calibri"/>
        </w:rPr>
        <w:t>202</w:t>
      </w:r>
      <w:r w:rsidRPr="009E6D40">
        <w:rPr>
          <w:rFonts w:cs="Calibri"/>
        </w:rPr>
        <w:t>6</w:t>
      </w:r>
    </w:p>
    <w:p w14:paraId="5A254199" w14:textId="77777777" w:rsidR="00F14ED9" w:rsidRDefault="00F14ED9" w:rsidP="008F2996"/>
    <w:p w14:paraId="356A1AEF" w14:textId="573D8D47" w:rsidR="00E57AEC" w:rsidRDefault="00E57AEC" w:rsidP="008F2996">
      <w:pPr>
        <w:sectPr w:rsidR="00E57AEC" w:rsidSect="0026790A">
          <w:headerReference w:type="default" r:id="rId13"/>
          <w:footerReference w:type="default" r:id="rId14"/>
          <w:headerReference w:type="first" r:id="rId15"/>
          <w:footerReference w:type="first" r:id="rId16"/>
          <w:type w:val="continuous"/>
          <w:pgSz w:w="11906" w:h="16838" w:code="9"/>
          <w:pgMar w:top="2268" w:right="1418" w:bottom="1418" w:left="1418" w:header="567" w:footer="624" w:gutter="0"/>
          <w:cols w:space="708"/>
          <w:docGrid w:linePitch="360"/>
        </w:sectPr>
      </w:pPr>
    </w:p>
    <w:p w14:paraId="5F792AEE" w14:textId="3BCA8958" w:rsidR="00FC3B35" w:rsidRPr="00DD477A" w:rsidRDefault="00FC3B35" w:rsidP="00F611EB">
      <w:pPr>
        <w:spacing w:before="360" w:after="120"/>
        <w:rPr>
          <w:sz w:val="40"/>
          <w:szCs w:val="40"/>
        </w:rPr>
      </w:pPr>
      <w:r w:rsidRPr="00DD477A">
        <w:rPr>
          <w:sz w:val="40"/>
          <w:szCs w:val="40"/>
        </w:rPr>
        <w:t>Contents</w:t>
      </w:r>
    </w:p>
    <w:p w14:paraId="501A7BB9" w14:textId="52C856F6" w:rsidR="005F0BAD" w:rsidRDefault="006F618C">
      <w:pPr>
        <w:pStyle w:val="TOC1"/>
        <w:rPr>
          <w:rFonts w:asciiTheme="minorHAnsi" w:eastAsiaTheme="minorEastAsia" w:hAnsiTheme="minorHAnsi"/>
          <w:kern w:val="2"/>
          <w:szCs w:val="24"/>
          <w:lang w:eastAsia="en-AU"/>
          <w14:ligatures w14:val="standardContextual"/>
        </w:rPr>
      </w:pPr>
      <w:r w:rsidRPr="00DD477A">
        <w:rPr>
          <w:rFonts w:cs="Calibri"/>
        </w:rPr>
        <w:fldChar w:fldCharType="begin"/>
      </w:r>
      <w:r w:rsidRPr="00DD477A">
        <w:rPr>
          <w:rFonts w:cs="Calibri"/>
        </w:rPr>
        <w:instrText xml:space="preserve"> TOC \o "1-3" \h \z \u </w:instrText>
      </w:r>
      <w:r w:rsidRPr="00DD477A">
        <w:rPr>
          <w:rFonts w:cs="Calibri"/>
        </w:rPr>
        <w:fldChar w:fldCharType="separate"/>
      </w:r>
      <w:hyperlink w:anchor="_Toc227748976" w:history="1">
        <w:r w:rsidR="005F0BAD" w:rsidRPr="00EB34D0">
          <w:rPr>
            <w:rStyle w:val="Hyperlink"/>
          </w:rPr>
          <w:t>Introduction</w:t>
        </w:r>
        <w:r w:rsidR="005F0BAD">
          <w:rPr>
            <w:webHidden/>
          </w:rPr>
          <w:tab/>
        </w:r>
        <w:r w:rsidR="005F0BAD">
          <w:rPr>
            <w:webHidden/>
          </w:rPr>
          <w:fldChar w:fldCharType="begin"/>
        </w:r>
        <w:r w:rsidR="005F0BAD">
          <w:rPr>
            <w:webHidden/>
          </w:rPr>
          <w:instrText xml:space="preserve"> PAGEREF _Toc227748976 \h </w:instrText>
        </w:r>
        <w:r w:rsidR="005F0BAD">
          <w:rPr>
            <w:webHidden/>
          </w:rPr>
        </w:r>
        <w:r w:rsidR="005F0BAD">
          <w:rPr>
            <w:webHidden/>
          </w:rPr>
          <w:fldChar w:fldCharType="separate"/>
        </w:r>
        <w:r w:rsidR="005F0BAD">
          <w:rPr>
            <w:webHidden/>
          </w:rPr>
          <w:t>8</w:t>
        </w:r>
        <w:r w:rsidR="005F0BAD">
          <w:rPr>
            <w:webHidden/>
          </w:rPr>
          <w:fldChar w:fldCharType="end"/>
        </w:r>
      </w:hyperlink>
    </w:p>
    <w:p w14:paraId="230939E2" w14:textId="708A67BB" w:rsidR="005F0BAD" w:rsidRDefault="005F0BAD">
      <w:pPr>
        <w:pStyle w:val="TOC1"/>
        <w:rPr>
          <w:rFonts w:asciiTheme="minorHAnsi" w:eastAsiaTheme="minorEastAsia" w:hAnsiTheme="minorHAnsi"/>
          <w:kern w:val="2"/>
          <w:szCs w:val="24"/>
          <w:lang w:eastAsia="en-AU"/>
          <w14:ligatures w14:val="standardContextual"/>
        </w:rPr>
      </w:pPr>
      <w:hyperlink w:anchor="_Toc227748977" w:history="1">
        <w:r w:rsidRPr="00EB34D0">
          <w:rPr>
            <w:rStyle w:val="Hyperlink"/>
          </w:rPr>
          <w:t>1</w:t>
        </w:r>
        <w:r>
          <w:rPr>
            <w:rFonts w:asciiTheme="minorHAnsi" w:eastAsiaTheme="minorEastAsia" w:hAnsiTheme="minorHAnsi"/>
            <w:kern w:val="2"/>
            <w:szCs w:val="24"/>
            <w:lang w:eastAsia="en-AU"/>
            <w14:ligatures w14:val="standardContextual"/>
          </w:rPr>
          <w:tab/>
        </w:r>
        <w:r w:rsidRPr="00EB34D0">
          <w:rPr>
            <w:rStyle w:val="Hyperlink"/>
          </w:rPr>
          <w:t>Purpose</w:t>
        </w:r>
        <w:r>
          <w:rPr>
            <w:webHidden/>
          </w:rPr>
          <w:tab/>
        </w:r>
        <w:r>
          <w:rPr>
            <w:webHidden/>
          </w:rPr>
          <w:fldChar w:fldCharType="begin"/>
        </w:r>
        <w:r>
          <w:rPr>
            <w:webHidden/>
          </w:rPr>
          <w:instrText xml:space="preserve"> PAGEREF _Toc227748977 \h </w:instrText>
        </w:r>
        <w:r>
          <w:rPr>
            <w:webHidden/>
          </w:rPr>
        </w:r>
        <w:r>
          <w:rPr>
            <w:webHidden/>
          </w:rPr>
          <w:fldChar w:fldCharType="separate"/>
        </w:r>
        <w:r>
          <w:rPr>
            <w:webHidden/>
          </w:rPr>
          <w:t>8</w:t>
        </w:r>
        <w:r>
          <w:rPr>
            <w:webHidden/>
          </w:rPr>
          <w:fldChar w:fldCharType="end"/>
        </w:r>
      </w:hyperlink>
    </w:p>
    <w:p w14:paraId="33FE4621" w14:textId="711AB9E9" w:rsidR="005F0BAD" w:rsidRDefault="005F0BAD">
      <w:pPr>
        <w:pStyle w:val="TOC2"/>
        <w:rPr>
          <w:rFonts w:asciiTheme="minorHAnsi" w:eastAsiaTheme="minorEastAsia" w:hAnsiTheme="minorHAnsi"/>
          <w:kern w:val="2"/>
          <w:sz w:val="24"/>
          <w:szCs w:val="24"/>
          <w:lang w:eastAsia="en-AU"/>
          <w14:ligatures w14:val="standardContextual"/>
        </w:rPr>
      </w:pPr>
      <w:hyperlink w:anchor="_Toc227748978" w:history="1">
        <w:r w:rsidRPr="00EB34D0">
          <w:rPr>
            <w:rStyle w:val="Hyperlink"/>
          </w:rPr>
          <w:t>1.1</w:t>
        </w:r>
        <w:r>
          <w:rPr>
            <w:rFonts w:asciiTheme="minorHAnsi" w:eastAsiaTheme="minorEastAsia" w:hAnsiTheme="minorHAnsi"/>
            <w:kern w:val="2"/>
            <w:sz w:val="24"/>
            <w:szCs w:val="24"/>
            <w:lang w:eastAsia="en-AU"/>
            <w14:ligatures w14:val="standardContextual"/>
          </w:rPr>
          <w:tab/>
        </w:r>
        <w:r w:rsidRPr="00EB34D0">
          <w:rPr>
            <w:rStyle w:val="Hyperlink"/>
          </w:rPr>
          <w:t>Portfolio Budget Statements (PB Statements)</w:t>
        </w:r>
        <w:r>
          <w:rPr>
            <w:webHidden/>
          </w:rPr>
          <w:tab/>
        </w:r>
        <w:r>
          <w:rPr>
            <w:webHidden/>
          </w:rPr>
          <w:fldChar w:fldCharType="begin"/>
        </w:r>
        <w:r>
          <w:rPr>
            <w:webHidden/>
          </w:rPr>
          <w:instrText xml:space="preserve"> PAGEREF _Toc227748978 \h </w:instrText>
        </w:r>
        <w:r>
          <w:rPr>
            <w:webHidden/>
          </w:rPr>
        </w:r>
        <w:r>
          <w:rPr>
            <w:webHidden/>
          </w:rPr>
          <w:fldChar w:fldCharType="separate"/>
        </w:r>
        <w:r>
          <w:rPr>
            <w:webHidden/>
          </w:rPr>
          <w:t>8</w:t>
        </w:r>
        <w:r>
          <w:rPr>
            <w:webHidden/>
          </w:rPr>
          <w:fldChar w:fldCharType="end"/>
        </w:r>
      </w:hyperlink>
    </w:p>
    <w:p w14:paraId="3CD52E37" w14:textId="26BF46B8" w:rsidR="005F0BAD" w:rsidRDefault="005F0BAD">
      <w:pPr>
        <w:pStyle w:val="TOC2"/>
        <w:rPr>
          <w:rFonts w:asciiTheme="minorHAnsi" w:eastAsiaTheme="minorEastAsia" w:hAnsiTheme="minorHAnsi"/>
          <w:kern w:val="2"/>
          <w:sz w:val="24"/>
          <w:szCs w:val="24"/>
          <w:lang w:eastAsia="en-AU"/>
          <w14:ligatures w14:val="standardContextual"/>
        </w:rPr>
      </w:pPr>
      <w:hyperlink w:anchor="_Toc227748979" w:history="1">
        <w:r w:rsidRPr="00EB34D0">
          <w:rPr>
            <w:rStyle w:val="Hyperlink"/>
          </w:rPr>
          <w:t>1.2</w:t>
        </w:r>
        <w:r>
          <w:rPr>
            <w:rFonts w:asciiTheme="minorHAnsi" w:eastAsiaTheme="minorEastAsia" w:hAnsiTheme="minorHAnsi"/>
            <w:kern w:val="2"/>
            <w:sz w:val="24"/>
            <w:szCs w:val="24"/>
            <w:lang w:eastAsia="en-AU"/>
            <w14:ligatures w14:val="standardContextual"/>
          </w:rPr>
          <w:tab/>
        </w:r>
        <w:r w:rsidRPr="00EB34D0">
          <w:rPr>
            <w:rStyle w:val="Hyperlink"/>
          </w:rPr>
          <w:t>PB Statements Guide</w:t>
        </w:r>
        <w:r>
          <w:rPr>
            <w:webHidden/>
          </w:rPr>
          <w:tab/>
        </w:r>
        <w:r>
          <w:rPr>
            <w:webHidden/>
          </w:rPr>
          <w:fldChar w:fldCharType="begin"/>
        </w:r>
        <w:r>
          <w:rPr>
            <w:webHidden/>
          </w:rPr>
          <w:instrText xml:space="preserve"> PAGEREF _Toc227748979 \h </w:instrText>
        </w:r>
        <w:r>
          <w:rPr>
            <w:webHidden/>
          </w:rPr>
        </w:r>
        <w:r>
          <w:rPr>
            <w:webHidden/>
          </w:rPr>
          <w:fldChar w:fldCharType="separate"/>
        </w:r>
        <w:r>
          <w:rPr>
            <w:webHidden/>
          </w:rPr>
          <w:t>8</w:t>
        </w:r>
        <w:r>
          <w:rPr>
            <w:webHidden/>
          </w:rPr>
          <w:fldChar w:fldCharType="end"/>
        </w:r>
      </w:hyperlink>
    </w:p>
    <w:p w14:paraId="595ABFBB" w14:textId="51229224" w:rsidR="005F0BAD" w:rsidRDefault="005F0BAD">
      <w:pPr>
        <w:pStyle w:val="TOC1"/>
        <w:rPr>
          <w:rFonts w:asciiTheme="minorHAnsi" w:eastAsiaTheme="minorEastAsia" w:hAnsiTheme="minorHAnsi"/>
          <w:kern w:val="2"/>
          <w:szCs w:val="24"/>
          <w:lang w:eastAsia="en-AU"/>
          <w14:ligatures w14:val="standardContextual"/>
        </w:rPr>
      </w:pPr>
      <w:hyperlink w:anchor="_Toc227748980" w:history="1">
        <w:r w:rsidRPr="00EB34D0">
          <w:rPr>
            <w:rStyle w:val="Hyperlink"/>
          </w:rPr>
          <w:t>2</w:t>
        </w:r>
        <w:r>
          <w:rPr>
            <w:rFonts w:asciiTheme="minorHAnsi" w:eastAsiaTheme="minorEastAsia" w:hAnsiTheme="minorHAnsi"/>
            <w:kern w:val="2"/>
            <w:szCs w:val="24"/>
            <w:lang w:eastAsia="en-AU"/>
            <w14:ligatures w14:val="standardContextual"/>
          </w:rPr>
          <w:tab/>
        </w:r>
        <w:r w:rsidRPr="00EB34D0">
          <w:rPr>
            <w:rStyle w:val="Hyperlink"/>
          </w:rPr>
          <w:t>General guidance</w:t>
        </w:r>
        <w:r>
          <w:rPr>
            <w:webHidden/>
          </w:rPr>
          <w:tab/>
        </w:r>
        <w:r>
          <w:rPr>
            <w:webHidden/>
          </w:rPr>
          <w:fldChar w:fldCharType="begin"/>
        </w:r>
        <w:r>
          <w:rPr>
            <w:webHidden/>
          </w:rPr>
          <w:instrText xml:space="preserve"> PAGEREF _Toc227748980 \h </w:instrText>
        </w:r>
        <w:r>
          <w:rPr>
            <w:webHidden/>
          </w:rPr>
        </w:r>
        <w:r>
          <w:rPr>
            <w:webHidden/>
          </w:rPr>
          <w:fldChar w:fldCharType="separate"/>
        </w:r>
        <w:r>
          <w:rPr>
            <w:webHidden/>
          </w:rPr>
          <w:t>9</w:t>
        </w:r>
        <w:r>
          <w:rPr>
            <w:webHidden/>
          </w:rPr>
          <w:fldChar w:fldCharType="end"/>
        </w:r>
      </w:hyperlink>
    </w:p>
    <w:p w14:paraId="097A5B47" w14:textId="4D831616" w:rsidR="005F0BAD" w:rsidRDefault="005F0BAD">
      <w:pPr>
        <w:pStyle w:val="TOC2"/>
        <w:rPr>
          <w:rFonts w:asciiTheme="minorHAnsi" w:eastAsiaTheme="minorEastAsia" w:hAnsiTheme="minorHAnsi"/>
          <w:kern w:val="2"/>
          <w:sz w:val="24"/>
          <w:szCs w:val="24"/>
          <w:lang w:eastAsia="en-AU"/>
          <w14:ligatures w14:val="standardContextual"/>
        </w:rPr>
      </w:pPr>
      <w:hyperlink w:anchor="_Toc227748981" w:history="1">
        <w:r w:rsidRPr="00EB34D0">
          <w:rPr>
            <w:rStyle w:val="Hyperlink"/>
          </w:rPr>
          <w:t>2.1</w:t>
        </w:r>
        <w:r>
          <w:rPr>
            <w:rFonts w:asciiTheme="minorHAnsi" w:eastAsiaTheme="minorEastAsia" w:hAnsiTheme="minorHAnsi"/>
            <w:kern w:val="2"/>
            <w:sz w:val="24"/>
            <w:szCs w:val="24"/>
            <w:lang w:eastAsia="en-AU"/>
            <w14:ligatures w14:val="standardContextual"/>
          </w:rPr>
          <w:tab/>
        </w:r>
        <w:r w:rsidRPr="00EB34D0">
          <w:rPr>
            <w:rStyle w:val="Hyperlink"/>
          </w:rPr>
          <w:t>The PB Statements Preparation Process</w:t>
        </w:r>
        <w:r>
          <w:rPr>
            <w:webHidden/>
          </w:rPr>
          <w:tab/>
        </w:r>
        <w:r>
          <w:rPr>
            <w:webHidden/>
          </w:rPr>
          <w:fldChar w:fldCharType="begin"/>
        </w:r>
        <w:r>
          <w:rPr>
            <w:webHidden/>
          </w:rPr>
          <w:instrText xml:space="preserve"> PAGEREF _Toc227748981 \h </w:instrText>
        </w:r>
        <w:r>
          <w:rPr>
            <w:webHidden/>
          </w:rPr>
        </w:r>
        <w:r>
          <w:rPr>
            <w:webHidden/>
          </w:rPr>
          <w:fldChar w:fldCharType="separate"/>
        </w:r>
        <w:r>
          <w:rPr>
            <w:webHidden/>
          </w:rPr>
          <w:t>9</w:t>
        </w:r>
        <w:r>
          <w:rPr>
            <w:webHidden/>
          </w:rPr>
          <w:fldChar w:fldCharType="end"/>
        </w:r>
      </w:hyperlink>
    </w:p>
    <w:p w14:paraId="360C6D50" w14:textId="63B80848" w:rsidR="005F0BAD" w:rsidRDefault="005F0BAD">
      <w:pPr>
        <w:pStyle w:val="TOC2"/>
        <w:rPr>
          <w:rFonts w:asciiTheme="minorHAnsi" w:eastAsiaTheme="minorEastAsia" w:hAnsiTheme="minorHAnsi"/>
          <w:kern w:val="2"/>
          <w:sz w:val="24"/>
          <w:szCs w:val="24"/>
          <w:lang w:eastAsia="en-AU"/>
          <w14:ligatures w14:val="standardContextual"/>
        </w:rPr>
      </w:pPr>
      <w:hyperlink w:anchor="_Toc227748982" w:history="1">
        <w:r w:rsidRPr="00EB34D0">
          <w:rPr>
            <w:rStyle w:val="Hyperlink"/>
          </w:rPr>
          <w:t>2.2</w:t>
        </w:r>
        <w:r>
          <w:rPr>
            <w:rFonts w:asciiTheme="minorHAnsi" w:eastAsiaTheme="minorEastAsia" w:hAnsiTheme="minorHAnsi"/>
            <w:kern w:val="2"/>
            <w:sz w:val="24"/>
            <w:szCs w:val="24"/>
            <w:lang w:eastAsia="en-AU"/>
            <w14:ligatures w14:val="standardContextual"/>
          </w:rPr>
          <w:tab/>
        </w:r>
        <w:r w:rsidRPr="00EB34D0">
          <w:rPr>
            <w:rStyle w:val="Hyperlink"/>
          </w:rPr>
          <w:t>PB Statements Estimates Memorandum – Templates and Data Sources</w:t>
        </w:r>
        <w:r>
          <w:rPr>
            <w:webHidden/>
          </w:rPr>
          <w:tab/>
        </w:r>
        <w:r>
          <w:rPr>
            <w:webHidden/>
          </w:rPr>
          <w:fldChar w:fldCharType="begin"/>
        </w:r>
        <w:r>
          <w:rPr>
            <w:webHidden/>
          </w:rPr>
          <w:instrText xml:space="preserve"> PAGEREF _Toc227748982 \h </w:instrText>
        </w:r>
        <w:r>
          <w:rPr>
            <w:webHidden/>
          </w:rPr>
        </w:r>
        <w:r>
          <w:rPr>
            <w:webHidden/>
          </w:rPr>
          <w:fldChar w:fldCharType="separate"/>
        </w:r>
        <w:r>
          <w:rPr>
            <w:webHidden/>
          </w:rPr>
          <w:t>10</w:t>
        </w:r>
        <w:r>
          <w:rPr>
            <w:webHidden/>
          </w:rPr>
          <w:fldChar w:fldCharType="end"/>
        </w:r>
      </w:hyperlink>
    </w:p>
    <w:p w14:paraId="15CA6A96" w14:textId="179AD937" w:rsidR="005F0BAD" w:rsidRDefault="005F0BAD">
      <w:pPr>
        <w:pStyle w:val="TOC2"/>
        <w:rPr>
          <w:rFonts w:asciiTheme="minorHAnsi" w:eastAsiaTheme="minorEastAsia" w:hAnsiTheme="minorHAnsi"/>
          <w:kern w:val="2"/>
          <w:sz w:val="24"/>
          <w:szCs w:val="24"/>
          <w:lang w:eastAsia="en-AU"/>
          <w14:ligatures w14:val="standardContextual"/>
        </w:rPr>
      </w:pPr>
      <w:hyperlink w:anchor="_Toc227748983" w:history="1">
        <w:r w:rsidRPr="00EB34D0">
          <w:rPr>
            <w:rStyle w:val="Hyperlink"/>
          </w:rPr>
          <w:t>2.3</w:t>
        </w:r>
        <w:r>
          <w:rPr>
            <w:rFonts w:asciiTheme="minorHAnsi" w:eastAsiaTheme="minorEastAsia" w:hAnsiTheme="minorHAnsi"/>
            <w:kern w:val="2"/>
            <w:sz w:val="24"/>
            <w:szCs w:val="24"/>
            <w:lang w:eastAsia="en-AU"/>
            <w14:ligatures w14:val="standardContextual"/>
          </w:rPr>
          <w:tab/>
        </w:r>
        <w:r w:rsidRPr="00EB34D0">
          <w:rPr>
            <w:rStyle w:val="Hyperlink"/>
          </w:rPr>
          <w:t>Which entities should prepare PB Statements?</w:t>
        </w:r>
        <w:r>
          <w:rPr>
            <w:webHidden/>
          </w:rPr>
          <w:tab/>
        </w:r>
        <w:r>
          <w:rPr>
            <w:webHidden/>
          </w:rPr>
          <w:fldChar w:fldCharType="begin"/>
        </w:r>
        <w:r>
          <w:rPr>
            <w:webHidden/>
          </w:rPr>
          <w:instrText xml:space="preserve"> PAGEREF _Toc227748983 \h </w:instrText>
        </w:r>
        <w:r>
          <w:rPr>
            <w:webHidden/>
          </w:rPr>
        </w:r>
        <w:r>
          <w:rPr>
            <w:webHidden/>
          </w:rPr>
          <w:fldChar w:fldCharType="separate"/>
        </w:r>
        <w:r>
          <w:rPr>
            <w:webHidden/>
          </w:rPr>
          <w:t>11</w:t>
        </w:r>
        <w:r>
          <w:rPr>
            <w:webHidden/>
          </w:rPr>
          <w:fldChar w:fldCharType="end"/>
        </w:r>
      </w:hyperlink>
    </w:p>
    <w:p w14:paraId="1167ABC6" w14:textId="50E455AE" w:rsidR="005F0BAD" w:rsidRDefault="005F0BAD">
      <w:pPr>
        <w:pStyle w:val="TOC2"/>
        <w:rPr>
          <w:rFonts w:asciiTheme="minorHAnsi" w:eastAsiaTheme="minorEastAsia" w:hAnsiTheme="minorHAnsi"/>
          <w:kern w:val="2"/>
          <w:sz w:val="24"/>
          <w:szCs w:val="24"/>
          <w:lang w:eastAsia="en-AU"/>
          <w14:ligatures w14:val="standardContextual"/>
        </w:rPr>
      </w:pPr>
      <w:hyperlink w:anchor="_Toc227748984" w:history="1">
        <w:r w:rsidRPr="00EB34D0">
          <w:rPr>
            <w:rStyle w:val="Hyperlink"/>
          </w:rPr>
          <w:t>2.4</w:t>
        </w:r>
        <w:r>
          <w:rPr>
            <w:rFonts w:asciiTheme="minorHAnsi" w:eastAsiaTheme="minorEastAsia" w:hAnsiTheme="minorHAnsi"/>
            <w:kern w:val="2"/>
            <w:sz w:val="24"/>
            <w:szCs w:val="24"/>
            <w:lang w:eastAsia="en-AU"/>
            <w14:ligatures w14:val="standardContextual"/>
          </w:rPr>
          <w:tab/>
        </w:r>
        <w:r w:rsidRPr="00EB34D0">
          <w:rPr>
            <w:rStyle w:val="Hyperlink"/>
          </w:rPr>
          <w:t>Structure of a PB Statement</w:t>
        </w:r>
        <w:r>
          <w:rPr>
            <w:webHidden/>
          </w:rPr>
          <w:tab/>
        </w:r>
        <w:r>
          <w:rPr>
            <w:webHidden/>
          </w:rPr>
          <w:fldChar w:fldCharType="begin"/>
        </w:r>
        <w:r>
          <w:rPr>
            <w:webHidden/>
          </w:rPr>
          <w:instrText xml:space="preserve"> PAGEREF _Toc227748984 \h </w:instrText>
        </w:r>
        <w:r>
          <w:rPr>
            <w:webHidden/>
          </w:rPr>
        </w:r>
        <w:r>
          <w:rPr>
            <w:webHidden/>
          </w:rPr>
          <w:fldChar w:fldCharType="separate"/>
        </w:r>
        <w:r>
          <w:rPr>
            <w:webHidden/>
          </w:rPr>
          <w:t>12</w:t>
        </w:r>
        <w:r>
          <w:rPr>
            <w:webHidden/>
          </w:rPr>
          <w:fldChar w:fldCharType="end"/>
        </w:r>
      </w:hyperlink>
    </w:p>
    <w:p w14:paraId="51359602" w14:textId="440350E2" w:rsidR="005F0BAD" w:rsidRDefault="005F0BAD">
      <w:pPr>
        <w:pStyle w:val="TOC1"/>
        <w:rPr>
          <w:rFonts w:asciiTheme="minorHAnsi" w:eastAsiaTheme="minorEastAsia" w:hAnsiTheme="minorHAnsi"/>
          <w:kern w:val="2"/>
          <w:szCs w:val="24"/>
          <w:lang w:eastAsia="en-AU"/>
          <w14:ligatures w14:val="standardContextual"/>
        </w:rPr>
      </w:pPr>
      <w:hyperlink w:anchor="_Toc227748985" w:history="1">
        <w:r w:rsidRPr="00EB34D0">
          <w:rPr>
            <w:rStyle w:val="Hyperlink"/>
          </w:rPr>
          <w:t>Publication of Hard and Soft Copy Deliverables</w:t>
        </w:r>
        <w:r>
          <w:rPr>
            <w:webHidden/>
          </w:rPr>
          <w:tab/>
        </w:r>
        <w:r>
          <w:rPr>
            <w:webHidden/>
          </w:rPr>
          <w:fldChar w:fldCharType="begin"/>
        </w:r>
        <w:r>
          <w:rPr>
            <w:webHidden/>
          </w:rPr>
          <w:instrText xml:space="preserve"> PAGEREF _Toc227748985 \h </w:instrText>
        </w:r>
        <w:r>
          <w:rPr>
            <w:webHidden/>
          </w:rPr>
        </w:r>
        <w:r>
          <w:rPr>
            <w:webHidden/>
          </w:rPr>
          <w:fldChar w:fldCharType="separate"/>
        </w:r>
        <w:r>
          <w:rPr>
            <w:webHidden/>
          </w:rPr>
          <w:t>14</w:t>
        </w:r>
        <w:r>
          <w:rPr>
            <w:webHidden/>
          </w:rPr>
          <w:fldChar w:fldCharType="end"/>
        </w:r>
      </w:hyperlink>
    </w:p>
    <w:p w14:paraId="0FC8A4B8" w14:textId="7025FAF0" w:rsidR="005F0BAD" w:rsidRDefault="005F0BAD">
      <w:pPr>
        <w:pStyle w:val="TOC1"/>
        <w:rPr>
          <w:rFonts w:asciiTheme="minorHAnsi" w:eastAsiaTheme="minorEastAsia" w:hAnsiTheme="minorHAnsi"/>
          <w:kern w:val="2"/>
          <w:szCs w:val="24"/>
          <w:lang w:eastAsia="en-AU"/>
          <w14:ligatures w14:val="standardContextual"/>
        </w:rPr>
      </w:pPr>
      <w:hyperlink w:anchor="_Toc227748986" w:history="1">
        <w:r w:rsidRPr="00EB34D0">
          <w:rPr>
            <w:rStyle w:val="Hyperlink"/>
          </w:rPr>
          <w:t>3</w:t>
        </w:r>
        <w:r>
          <w:rPr>
            <w:rFonts w:asciiTheme="minorHAnsi" w:eastAsiaTheme="minorEastAsia" w:hAnsiTheme="minorHAnsi"/>
            <w:kern w:val="2"/>
            <w:szCs w:val="24"/>
            <w:lang w:eastAsia="en-AU"/>
            <w14:ligatures w14:val="standardContextual"/>
          </w:rPr>
          <w:tab/>
        </w:r>
        <w:r w:rsidRPr="00EB34D0">
          <w:rPr>
            <w:rStyle w:val="Hyperlink"/>
          </w:rPr>
          <w:t>Publication Requirements</w:t>
        </w:r>
        <w:r>
          <w:rPr>
            <w:webHidden/>
          </w:rPr>
          <w:tab/>
        </w:r>
        <w:r>
          <w:rPr>
            <w:webHidden/>
          </w:rPr>
          <w:fldChar w:fldCharType="begin"/>
        </w:r>
        <w:r>
          <w:rPr>
            <w:webHidden/>
          </w:rPr>
          <w:instrText xml:space="preserve"> PAGEREF _Toc227748986 \h </w:instrText>
        </w:r>
        <w:r>
          <w:rPr>
            <w:webHidden/>
          </w:rPr>
        </w:r>
        <w:r>
          <w:rPr>
            <w:webHidden/>
          </w:rPr>
          <w:fldChar w:fldCharType="separate"/>
        </w:r>
        <w:r>
          <w:rPr>
            <w:webHidden/>
          </w:rPr>
          <w:t>14</w:t>
        </w:r>
        <w:r>
          <w:rPr>
            <w:webHidden/>
          </w:rPr>
          <w:fldChar w:fldCharType="end"/>
        </w:r>
      </w:hyperlink>
    </w:p>
    <w:p w14:paraId="1F63E017" w14:textId="5EE72801" w:rsidR="005F0BAD" w:rsidRDefault="005F0BAD">
      <w:pPr>
        <w:pStyle w:val="TOC2"/>
        <w:rPr>
          <w:rFonts w:asciiTheme="minorHAnsi" w:eastAsiaTheme="minorEastAsia" w:hAnsiTheme="minorHAnsi"/>
          <w:kern w:val="2"/>
          <w:sz w:val="24"/>
          <w:szCs w:val="24"/>
          <w:lang w:eastAsia="en-AU"/>
          <w14:ligatures w14:val="standardContextual"/>
        </w:rPr>
      </w:pPr>
      <w:hyperlink w:anchor="_Toc227748987" w:history="1">
        <w:r w:rsidRPr="00EB34D0">
          <w:rPr>
            <w:rStyle w:val="Hyperlink"/>
          </w:rPr>
          <w:t>3.1</w:t>
        </w:r>
        <w:r>
          <w:rPr>
            <w:rFonts w:asciiTheme="minorHAnsi" w:eastAsiaTheme="minorEastAsia" w:hAnsiTheme="minorHAnsi"/>
            <w:kern w:val="2"/>
            <w:sz w:val="24"/>
            <w:szCs w:val="24"/>
            <w:lang w:eastAsia="en-AU"/>
            <w14:ligatures w14:val="standardContextual"/>
          </w:rPr>
          <w:tab/>
        </w:r>
        <w:r w:rsidRPr="00EB34D0">
          <w:rPr>
            <w:rStyle w:val="Hyperlink"/>
          </w:rPr>
          <w:t>Security requirements</w:t>
        </w:r>
        <w:r>
          <w:rPr>
            <w:webHidden/>
          </w:rPr>
          <w:tab/>
        </w:r>
        <w:r>
          <w:rPr>
            <w:webHidden/>
          </w:rPr>
          <w:fldChar w:fldCharType="begin"/>
        </w:r>
        <w:r>
          <w:rPr>
            <w:webHidden/>
          </w:rPr>
          <w:instrText xml:space="preserve"> PAGEREF _Toc227748987 \h </w:instrText>
        </w:r>
        <w:r>
          <w:rPr>
            <w:webHidden/>
          </w:rPr>
        </w:r>
        <w:r>
          <w:rPr>
            <w:webHidden/>
          </w:rPr>
          <w:fldChar w:fldCharType="separate"/>
        </w:r>
        <w:r>
          <w:rPr>
            <w:webHidden/>
          </w:rPr>
          <w:t>14</w:t>
        </w:r>
        <w:r>
          <w:rPr>
            <w:webHidden/>
          </w:rPr>
          <w:fldChar w:fldCharType="end"/>
        </w:r>
      </w:hyperlink>
    </w:p>
    <w:p w14:paraId="5598A380" w14:textId="65C4CBA8" w:rsidR="005F0BAD" w:rsidRDefault="005F0BAD">
      <w:pPr>
        <w:pStyle w:val="TOC2"/>
        <w:rPr>
          <w:rFonts w:asciiTheme="minorHAnsi" w:eastAsiaTheme="minorEastAsia" w:hAnsiTheme="minorHAnsi"/>
          <w:kern w:val="2"/>
          <w:sz w:val="24"/>
          <w:szCs w:val="24"/>
          <w:lang w:eastAsia="en-AU"/>
          <w14:ligatures w14:val="standardContextual"/>
        </w:rPr>
      </w:pPr>
      <w:hyperlink w:anchor="_Toc227748988" w:history="1">
        <w:r w:rsidRPr="00EB34D0">
          <w:rPr>
            <w:rStyle w:val="Hyperlink"/>
          </w:rPr>
          <w:t>3.2</w:t>
        </w:r>
        <w:r>
          <w:rPr>
            <w:rFonts w:asciiTheme="minorHAnsi" w:eastAsiaTheme="minorEastAsia" w:hAnsiTheme="minorHAnsi"/>
            <w:kern w:val="2"/>
            <w:sz w:val="24"/>
            <w:szCs w:val="24"/>
            <w:lang w:eastAsia="en-AU"/>
            <w14:ligatures w14:val="standardContextual"/>
          </w:rPr>
          <w:tab/>
        </w:r>
        <w:r w:rsidRPr="00EB34D0">
          <w:rPr>
            <w:rStyle w:val="Hyperlink"/>
          </w:rPr>
          <w:t>Printing specifications</w:t>
        </w:r>
        <w:r>
          <w:rPr>
            <w:webHidden/>
          </w:rPr>
          <w:tab/>
        </w:r>
        <w:r>
          <w:rPr>
            <w:webHidden/>
          </w:rPr>
          <w:fldChar w:fldCharType="begin"/>
        </w:r>
        <w:r>
          <w:rPr>
            <w:webHidden/>
          </w:rPr>
          <w:instrText xml:space="preserve"> PAGEREF _Toc227748988 \h </w:instrText>
        </w:r>
        <w:r>
          <w:rPr>
            <w:webHidden/>
          </w:rPr>
        </w:r>
        <w:r>
          <w:rPr>
            <w:webHidden/>
          </w:rPr>
          <w:fldChar w:fldCharType="separate"/>
        </w:r>
        <w:r>
          <w:rPr>
            <w:webHidden/>
          </w:rPr>
          <w:t>14</w:t>
        </w:r>
        <w:r>
          <w:rPr>
            <w:webHidden/>
          </w:rPr>
          <w:fldChar w:fldCharType="end"/>
        </w:r>
      </w:hyperlink>
    </w:p>
    <w:p w14:paraId="5BC55AD6" w14:textId="476C5DD5" w:rsidR="005F0BAD" w:rsidRDefault="005F0BAD">
      <w:pPr>
        <w:pStyle w:val="TOC3"/>
        <w:rPr>
          <w:rFonts w:asciiTheme="minorHAnsi" w:eastAsiaTheme="minorEastAsia" w:hAnsiTheme="minorHAnsi"/>
          <w:kern w:val="2"/>
          <w:sz w:val="24"/>
          <w:szCs w:val="24"/>
          <w:lang w:eastAsia="en-AU"/>
          <w14:ligatures w14:val="standardContextual"/>
        </w:rPr>
      </w:pPr>
      <w:hyperlink w:anchor="_Toc227748989" w:history="1">
        <w:r w:rsidRPr="00EB34D0">
          <w:rPr>
            <w:rStyle w:val="Hyperlink"/>
          </w:rPr>
          <w:t>3.2.1</w:t>
        </w:r>
        <w:r>
          <w:rPr>
            <w:rFonts w:asciiTheme="minorHAnsi" w:eastAsiaTheme="minorEastAsia" w:hAnsiTheme="minorHAnsi"/>
            <w:kern w:val="2"/>
            <w:sz w:val="24"/>
            <w:szCs w:val="24"/>
            <w:lang w:eastAsia="en-AU"/>
            <w14:ligatures w14:val="standardContextual"/>
          </w:rPr>
          <w:tab/>
        </w:r>
        <w:r w:rsidRPr="00EB34D0">
          <w:rPr>
            <w:rStyle w:val="Hyperlink"/>
          </w:rPr>
          <w:t>Paper and format specifications</w:t>
        </w:r>
        <w:r>
          <w:rPr>
            <w:webHidden/>
          </w:rPr>
          <w:tab/>
        </w:r>
        <w:r>
          <w:rPr>
            <w:webHidden/>
          </w:rPr>
          <w:fldChar w:fldCharType="begin"/>
        </w:r>
        <w:r>
          <w:rPr>
            <w:webHidden/>
          </w:rPr>
          <w:instrText xml:space="preserve"> PAGEREF _Toc227748989 \h </w:instrText>
        </w:r>
        <w:r>
          <w:rPr>
            <w:webHidden/>
          </w:rPr>
        </w:r>
        <w:r>
          <w:rPr>
            <w:webHidden/>
          </w:rPr>
          <w:fldChar w:fldCharType="separate"/>
        </w:r>
        <w:r>
          <w:rPr>
            <w:webHidden/>
          </w:rPr>
          <w:t>14</w:t>
        </w:r>
        <w:r>
          <w:rPr>
            <w:webHidden/>
          </w:rPr>
          <w:fldChar w:fldCharType="end"/>
        </w:r>
      </w:hyperlink>
    </w:p>
    <w:p w14:paraId="3D3AAED1" w14:textId="18B93BFB" w:rsidR="005F0BAD" w:rsidRDefault="005F0BAD">
      <w:pPr>
        <w:pStyle w:val="TOC3"/>
        <w:rPr>
          <w:rFonts w:asciiTheme="minorHAnsi" w:eastAsiaTheme="minorEastAsia" w:hAnsiTheme="minorHAnsi"/>
          <w:kern w:val="2"/>
          <w:sz w:val="24"/>
          <w:szCs w:val="24"/>
          <w:lang w:eastAsia="en-AU"/>
          <w14:ligatures w14:val="standardContextual"/>
        </w:rPr>
      </w:pPr>
      <w:hyperlink w:anchor="_Toc227748990" w:history="1">
        <w:r w:rsidRPr="00EB34D0">
          <w:rPr>
            <w:rStyle w:val="Hyperlink"/>
          </w:rPr>
          <w:t>3.2.2</w:t>
        </w:r>
        <w:r>
          <w:rPr>
            <w:rFonts w:asciiTheme="minorHAnsi" w:eastAsiaTheme="minorEastAsia" w:hAnsiTheme="minorHAnsi"/>
            <w:kern w:val="2"/>
            <w:sz w:val="24"/>
            <w:szCs w:val="24"/>
            <w:lang w:eastAsia="en-AU"/>
            <w14:ligatures w14:val="standardContextual"/>
          </w:rPr>
          <w:tab/>
        </w:r>
        <w:r w:rsidRPr="00EB34D0">
          <w:rPr>
            <w:rStyle w:val="Hyperlink"/>
          </w:rPr>
          <w:t>Printing Services</w:t>
        </w:r>
        <w:r>
          <w:rPr>
            <w:webHidden/>
          </w:rPr>
          <w:tab/>
        </w:r>
        <w:r>
          <w:rPr>
            <w:webHidden/>
          </w:rPr>
          <w:fldChar w:fldCharType="begin"/>
        </w:r>
        <w:r>
          <w:rPr>
            <w:webHidden/>
          </w:rPr>
          <w:instrText xml:space="preserve"> PAGEREF _Toc227748990 \h </w:instrText>
        </w:r>
        <w:r>
          <w:rPr>
            <w:webHidden/>
          </w:rPr>
        </w:r>
        <w:r>
          <w:rPr>
            <w:webHidden/>
          </w:rPr>
          <w:fldChar w:fldCharType="separate"/>
        </w:r>
        <w:r>
          <w:rPr>
            <w:webHidden/>
          </w:rPr>
          <w:t>14</w:t>
        </w:r>
        <w:r>
          <w:rPr>
            <w:webHidden/>
          </w:rPr>
          <w:fldChar w:fldCharType="end"/>
        </w:r>
      </w:hyperlink>
    </w:p>
    <w:p w14:paraId="0F51510F" w14:textId="27229BD7" w:rsidR="005F0BAD" w:rsidRDefault="005F0BAD">
      <w:pPr>
        <w:pStyle w:val="TOC2"/>
        <w:rPr>
          <w:rFonts w:asciiTheme="minorHAnsi" w:eastAsiaTheme="minorEastAsia" w:hAnsiTheme="minorHAnsi"/>
          <w:kern w:val="2"/>
          <w:sz w:val="24"/>
          <w:szCs w:val="24"/>
          <w:lang w:eastAsia="en-AU"/>
          <w14:ligatures w14:val="standardContextual"/>
        </w:rPr>
      </w:pPr>
      <w:hyperlink w:anchor="_Toc227748991" w:history="1">
        <w:r w:rsidRPr="00EB34D0">
          <w:rPr>
            <w:rStyle w:val="Hyperlink"/>
          </w:rPr>
          <w:t>3.3</w:t>
        </w:r>
        <w:r>
          <w:rPr>
            <w:rFonts w:asciiTheme="minorHAnsi" w:eastAsiaTheme="minorEastAsia" w:hAnsiTheme="minorHAnsi"/>
            <w:kern w:val="2"/>
            <w:sz w:val="24"/>
            <w:szCs w:val="24"/>
            <w:lang w:eastAsia="en-AU"/>
            <w14:ligatures w14:val="standardContextual"/>
          </w:rPr>
          <w:tab/>
        </w:r>
        <w:r w:rsidRPr="00EB34D0">
          <w:rPr>
            <w:rStyle w:val="Hyperlink"/>
          </w:rPr>
          <w:t>Classification</w:t>
        </w:r>
        <w:r>
          <w:rPr>
            <w:webHidden/>
          </w:rPr>
          <w:tab/>
        </w:r>
        <w:r>
          <w:rPr>
            <w:webHidden/>
          </w:rPr>
          <w:fldChar w:fldCharType="begin"/>
        </w:r>
        <w:r>
          <w:rPr>
            <w:webHidden/>
          </w:rPr>
          <w:instrText xml:space="preserve"> PAGEREF _Toc227748991 \h </w:instrText>
        </w:r>
        <w:r>
          <w:rPr>
            <w:webHidden/>
          </w:rPr>
        </w:r>
        <w:r>
          <w:rPr>
            <w:webHidden/>
          </w:rPr>
          <w:fldChar w:fldCharType="separate"/>
        </w:r>
        <w:r>
          <w:rPr>
            <w:webHidden/>
          </w:rPr>
          <w:t>15</w:t>
        </w:r>
        <w:r>
          <w:rPr>
            <w:webHidden/>
          </w:rPr>
          <w:fldChar w:fldCharType="end"/>
        </w:r>
      </w:hyperlink>
    </w:p>
    <w:p w14:paraId="3D9F6AB7" w14:textId="12612740" w:rsidR="005F0BAD" w:rsidRDefault="005F0BAD">
      <w:pPr>
        <w:pStyle w:val="TOC2"/>
        <w:rPr>
          <w:rFonts w:asciiTheme="minorHAnsi" w:eastAsiaTheme="minorEastAsia" w:hAnsiTheme="minorHAnsi"/>
          <w:kern w:val="2"/>
          <w:sz w:val="24"/>
          <w:szCs w:val="24"/>
          <w:lang w:eastAsia="en-AU"/>
          <w14:ligatures w14:val="standardContextual"/>
        </w:rPr>
      </w:pPr>
      <w:hyperlink w:anchor="_Toc227748992" w:history="1">
        <w:r w:rsidRPr="00EB34D0">
          <w:rPr>
            <w:rStyle w:val="Hyperlink"/>
          </w:rPr>
          <w:t>3.4</w:t>
        </w:r>
        <w:r>
          <w:rPr>
            <w:rFonts w:asciiTheme="minorHAnsi" w:eastAsiaTheme="minorEastAsia" w:hAnsiTheme="minorHAnsi"/>
            <w:kern w:val="2"/>
            <w:sz w:val="24"/>
            <w:szCs w:val="24"/>
            <w:lang w:eastAsia="en-AU"/>
            <w14:ligatures w14:val="standardContextual"/>
          </w:rPr>
          <w:tab/>
        </w:r>
        <w:r w:rsidRPr="00EB34D0">
          <w:rPr>
            <w:rStyle w:val="Hyperlink"/>
          </w:rPr>
          <w:t>Digital Tabling via the Online Tabled Documents portal</w:t>
        </w:r>
        <w:r>
          <w:rPr>
            <w:webHidden/>
          </w:rPr>
          <w:tab/>
        </w:r>
        <w:r>
          <w:rPr>
            <w:webHidden/>
          </w:rPr>
          <w:fldChar w:fldCharType="begin"/>
        </w:r>
        <w:r>
          <w:rPr>
            <w:webHidden/>
          </w:rPr>
          <w:instrText xml:space="preserve"> PAGEREF _Toc227748992 \h </w:instrText>
        </w:r>
        <w:r>
          <w:rPr>
            <w:webHidden/>
          </w:rPr>
        </w:r>
        <w:r>
          <w:rPr>
            <w:webHidden/>
          </w:rPr>
          <w:fldChar w:fldCharType="separate"/>
        </w:r>
        <w:r>
          <w:rPr>
            <w:webHidden/>
          </w:rPr>
          <w:t>15</w:t>
        </w:r>
        <w:r>
          <w:rPr>
            <w:webHidden/>
          </w:rPr>
          <w:fldChar w:fldCharType="end"/>
        </w:r>
      </w:hyperlink>
    </w:p>
    <w:p w14:paraId="27CDC626" w14:textId="03B4A236" w:rsidR="005F0BAD" w:rsidRDefault="005F0BAD">
      <w:pPr>
        <w:pStyle w:val="TOC2"/>
        <w:rPr>
          <w:rFonts w:asciiTheme="minorHAnsi" w:eastAsiaTheme="minorEastAsia" w:hAnsiTheme="minorHAnsi"/>
          <w:kern w:val="2"/>
          <w:sz w:val="24"/>
          <w:szCs w:val="24"/>
          <w:lang w:eastAsia="en-AU"/>
          <w14:ligatures w14:val="standardContextual"/>
        </w:rPr>
      </w:pPr>
      <w:hyperlink w:anchor="_Toc227748993" w:history="1">
        <w:r w:rsidRPr="00EB34D0">
          <w:rPr>
            <w:rStyle w:val="Hyperlink"/>
          </w:rPr>
          <w:t>3.5</w:t>
        </w:r>
        <w:r>
          <w:rPr>
            <w:rFonts w:asciiTheme="minorHAnsi" w:eastAsiaTheme="minorEastAsia" w:hAnsiTheme="minorHAnsi"/>
            <w:kern w:val="2"/>
            <w:sz w:val="24"/>
            <w:szCs w:val="24"/>
            <w:lang w:eastAsia="en-AU"/>
            <w14:ligatures w14:val="standardContextual"/>
          </w:rPr>
          <w:tab/>
        </w:r>
        <w:r w:rsidRPr="00EB34D0">
          <w:rPr>
            <w:rStyle w:val="Hyperlink"/>
          </w:rPr>
          <w:t>Delivery to Parliament House and Finance</w:t>
        </w:r>
        <w:r>
          <w:rPr>
            <w:webHidden/>
          </w:rPr>
          <w:tab/>
        </w:r>
        <w:r>
          <w:rPr>
            <w:webHidden/>
          </w:rPr>
          <w:fldChar w:fldCharType="begin"/>
        </w:r>
        <w:r>
          <w:rPr>
            <w:webHidden/>
          </w:rPr>
          <w:instrText xml:space="preserve"> PAGEREF _Toc227748993 \h </w:instrText>
        </w:r>
        <w:r>
          <w:rPr>
            <w:webHidden/>
          </w:rPr>
        </w:r>
        <w:r>
          <w:rPr>
            <w:webHidden/>
          </w:rPr>
          <w:fldChar w:fldCharType="separate"/>
        </w:r>
        <w:r>
          <w:rPr>
            <w:webHidden/>
          </w:rPr>
          <w:t>16</w:t>
        </w:r>
        <w:r>
          <w:rPr>
            <w:webHidden/>
          </w:rPr>
          <w:fldChar w:fldCharType="end"/>
        </w:r>
      </w:hyperlink>
    </w:p>
    <w:p w14:paraId="1C376737" w14:textId="2844B161" w:rsidR="005F0BAD" w:rsidRDefault="005F0BAD">
      <w:pPr>
        <w:pStyle w:val="TOC2"/>
        <w:rPr>
          <w:rFonts w:asciiTheme="minorHAnsi" w:eastAsiaTheme="minorEastAsia" w:hAnsiTheme="minorHAnsi"/>
          <w:kern w:val="2"/>
          <w:sz w:val="24"/>
          <w:szCs w:val="24"/>
          <w:lang w:eastAsia="en-AU"/>
          <w14:ligatures w14:val="standardContextual"/>
        </w:rPr>
      </w:pPr>
      <w:hyperlink w:anchor="_Toc227748994" w:history="1">
        <w:r w:rsidRPr="00EB34D0">
          <w:rPr>
            <w:rStyle w:val="Hyperlink"/>
          </w:rPr>
          <w:t>3.6</w:t>
        </w:r>
        <w:r>
          <w:rPr>
            <w:rFonts w:asciiTheme="minorHAnsi" w:eastAsiaTheme="minorEastAsia" w:hAnsiTheme="minorHAnsi"/>
            <w:kern w:val="2"/>
            <w:sz w:val="24"/>
            <w:szCs w:val="24"/>
            <w:lang w:eastAsia="en-AU"/>
            <w14:ligatures w14:val="standardContextual"/>
          </w:rPr>
          <w:tab/>
        </w:r>
        <w:r w:rsidRPr="00EB34D0">
          <w:rPr>
            <w:rStyle w:val="Hyperlink"/>
          </w:rPr>
          <w:t>Protected-rated email/electronic transmission requirements</w:t>
        </w:r>
        <w:r>
          <w:rPr>
            <w:webHidden/>
          </w:rPr>
          <w:tab/>
        </w:r>
        <w:r>
          <w:rPr>
            <w:webHidden/>
          </w:rPr>
          <w:fldChar w:fldCharType="begin"/>
        </w:r>
        <w:r>
          <w:rPr>
            <w:webHidden/>
          </w:rPr>
          <w:instrText xml:space="preserve"> PAGEREF _Toc227748994 \h </w:instrText>
        </w:r>
        <w:r>
          <w:rPr>
            <w:webHidden/>
          </w:rPr>
        </w:r>
        <w:r>
          <w:rPr>
            <w:webHidden/>
          </w:rPr>
          <w:fldChar w:fldCharType="separate"/>
        </w:r>
        <w:r>
          <w:rPr>
            <w:webHidden/>
          </w:rPr>
          <w:t>16</w:t>
        </w:r>
        <w:r>
          <w:rPr>
            <w:webHidden/>
          </w:rPr>
          <w:fldChar w:fldCharType="end"/>
        </w:r>
      </w:hyperlink>
    </w:p>
    <w:p w14:paraId="147F606E" w14:textId="6400F299" w:rsidR="005F0BAD" w:rsidRDefault="005F0BAD">
      <w:pPr>
        <w:pStyle w:val="TOC2"/>
        <w:rPr>
          <w:rFonts w:asciiTheme="minorHAnsi" w:eastAsiaTheme="minorEastAsia" w:hAnsiTheme="minorHAnsi"/>
          <w:kern w:val="2"/>
          <w:sz w:val="24"/>
          <w:szCs w:val="24"/>
          <w:lang w:eastAsia="en-AU"/>
          <w14:ligatures w14:val="standardContextual"/>
        </w:rPr>
      </w:pPr>
      <w:hyperlink w:anchor="_Toc227748995" w:history="1">
        <w:r w:rsidRPr="00EB34D0">
          <w:rPr>
            <w:rStyle w:val="Hyperlink"/>
          </w:rPr>
          <w:t>3.7</w:t>
        </w:r>
        <w:r>
          <w:rPr>
            <w:rFonts w:asciiTheme="minorHAnsi" w:eastAsiaTheme="minorEastAsia" w:hAnsiTheme="minorHAnsi"/>
            <w:kern w:val="2"/>
            <w:sz w:val="24"/>
            <w:szCs w:val="24"/>
            <w:lang w:eastAsia="en-AU"/>
            <w14:ligatures w14:val="standardContextual"/>
          </w:rPr>
          <w:tab/>
        </w:r>
        <w:r w:rsidRPr="00EB34D0">
          <w:rPr>
            <w:rStyle w:val="Hyperlink"/>
          </w:rPr>
          <w:t>Budget media lockup hard copy and PDF requirements</w:t>
        </w:r>
        <w:r>
          <w:rPr>
            <w:webHidden/>
          </w:rPr>
          <w:tab/>
        </w:r>
        <w:r>
          <w:rPr>
            <w:webHidden/>
          </w:rPr>
          <w:fldChar w:fldCharType="begin"/>
        </w:r>
        <w:r>
          <w:rPr>
            <w:webHidden/>
          </w:rPr>
          <w:instrText xml:space="preserve"> PAGEREF _Toc227748995 \h </w:instrText>
        </w:r>
        <w:r>
          <w:rPr>
            <w:webHidden/>
          </w:rPr>
        </w:r>
        <w:r>
          <w:rPr>
            <w:webHidden/>
          </w:rPr>
          <w:fldChar w:fldCharType="separate"/>
        </w:r>
        <w:r>
          <w:rPr>
            <w:webHidden/>
          </w:rPr>
          <w:t>16</w:t>
        </w:r>
        <w:r>
          <w:rPr>
            <w:webHidden/>
          </w:rPr>
          <w:fldChar w:fldCharType="end"/>
        </w:r>
      </w:hyperlink>
    </w:p>
    <w:p w14:paraId="75A31F52" w14:textId="0D72BDE0" w:rsidR="005F0BAD" w:rsidRDefault="005F0BAD">
      <w:pPr>
        <w:pStyle w:val="TOC2"/>
        <w:rPr>
          <w:rFonts w:asciiTheme="minorHAnsi" w:eastAsiaTheme="minorEastAsia" w:hAnsiTheme="minorHAnsi"/>
          <w:kern w:val="2"/>
          <w:sz w:val="24"/>
          <w:szCs w:val="24"/>
          <w:lang w:eastAsia="en-AU"/>
          <w14:ligatures w14:val="standardContextual"/>
        </w:rPr>
      </w:pPr>
      <w:hyperlink w:anchor="_Toc227748996" w:history="1">
        <w:r w:rsidRPr="00EB34D0">
          <w:rPr>
            <w:rStyle w:val="Hyperlink"/>
          </w:rPr>
          <w:t>3.8</w:t>
        </w:r>
        <w:r>
          <w:rPr>
            <w:rFonts w:asciiTheme="minorHAnsi" w:eastAsiaTheme="minorEastAsia" w:hAnsiTheme="minorHAnsi"/>
            <w:kern w:val="2"/>
            <w:sz w:val="24"/>
            <w:szCs w:val="24"/>
            <w:lang w:eastAsia="en-AU"/>
            <w14:ligatures w14:val="standardContextual"/>
          </w:rPr>
          <w:tab/>
        </w:r>
        <w:r w:rsidRPr="00EB34D0">
          <w:rPr>
            <w:rStyle w:val="Hyperlink"/>
          </w:rPr>
          <w:t>Number of books</w:t>
        </w:r>
        <w:r>
          <w:rPr>
            <w:webHidden/>
          </w:rPr>
          <w:tab/>
        </w:r>
        <w:r>
          <w:rPr>
            <w:webHidden/>
          </w:rPr>
          <w:fldChar w:fldCharType="begin"/>
        </w:r>
        <w:r>
          <w:rPr>
            <w:webHidden/>
          </w:rPr>
          <w:instrText xml:space="preserve"> PAGEREF _Toc227748996 \h </w:instrText>
        </w:r>
        <w:r>
          <w:rPr>
            <w:webHidden/>
          </w:rPr>
        </w:r>
        <w:r>
          <w:rPr>
            <w:webHidden/>
          </w:rPr>
          <w:fldChar w:fldCharType="separate"/>
        </w:r>
        <w:r>
          <w:rPr>
            <w:webHidden/>
          </w:rPr>
          <w:t>17</w:t>
        </w:r>
        <w:r>
          <w:rPr>
            <w:webHidden/>
          </w:rPr>
          <w:fldChar w:fldCharType="end"/>
        </w:r>
      </w:hyperlink>
    </w:p>
    <w:p w14:paraId="0DF571F2" w14:textId="1ECAEBDB" w:rsidR="005F0BAD" w:rsidRDefault="005F0BAD">
      <w:pPr>
        <w:pStyle w:val="TOC1"/>
        <w:rPr>
          <w:rFonts w:asciiTheme="minorHAnsi" w:eastAsiaTheme="minorEastAsia" w:hAnsiTheme="minorHAnsi"/>
          <w:kern w:val="2"/>
          <w:szCs w:val="24"/>
          <w:lang w:eastAsia="en-AU"/>
          <w14:ligatures w14:val="standardContextual"/>
        </w:rPr>
      </w:pPr>
      <w:hyperlink w:anchor="_Toc227748997" w:history="1">
        <w:r w:rsidRPr="00EB34D0">
          <w:rPr>
            <w:rStyle w:val="Hyperlink"/>
          </w:rPr>
          <w:t>4</w:t>
        </w:r>
        <w:r>
          <w:rPr>
            <w:rFonts w:asciiTheme="minorHAnsi" w:eastAsiaTheme="minorEastAsia" w:hAnsiTheme="minorHAnsi"/>
            <w:kern w:val="2"/>
            <w:szCs w:val="24"/>
            <w:lang w:eastAsia="en-AU"/>
            <w14:ligatures w14:val="standardContextual"/>
          </w:rPr>
          <w:tab/>
        </w:r>
        <w:r w:rsidRPr="00EB34D0">
          <w:rPr>
            <w:rStyle w:val="Hyperlink"/>
          </w:rPr>
          <w:t>Online publication</w:t>
        </w:r>
        <w:r>
          <w:rPr>
            <w:webHidden/>
          </w:rPr>
          <w:tab/>
        </w:r>
        <w:r>
          <w:rPr>
            <w:webHidden/>
          </w:rPr>
          <w:fldChar w:fldCharType="begin"/>
        </w:r>
        <w:r>
          <w:rPr>
            <w:webHidden/>
          </w:rPr>
          <w:instrText xml:space="preserve"> PAGEREF _Toc227748997 \h </w:instrText>
        </w:r>
        <w:r>
          <w:rPr>
            <w:webHidden/>
          </w:rPr>
        </w:r>
        <w:r>
          <w:rPr>
            <w:webHidden/>
          </w:rPr>
          <w:fldChar w:fldCharType="separate"/>
        </w:r>
        <w:r>
          <w:rPr>
            <w:webHidden/>
          </w:rPr>
          <w:t>19</w:t>
        </w:r>
        <w:r>
          <w:rPr>
            <w:webHidden/>
          </w:rPr>
          <w:fldChar w:fldCharType="end"/>
        </w:r>
      </w:hyperlink>
    </w:p>
    <w:p w14:paraId="1C210CC9" w14:textId="0F96EE64" w:rsidR="005F0BAD" w:rsidRDefault="005F0BAD">
      <w:pPr>
        <w:pStyle w:val="TOC2"/>
        <w:rPr>
          <w:rFonts w:asciiTheme="minorHAnsi" w:eastAsiaTheme="minorEastAsia" w:hAnsiTheme="minorHAnsi"/>
          <w:kern w:val="2"/>
          <w:sz w:val="24"/>
          <w:szCs w:val="24"/>
          <w:lang w:eastAsia="en-AU"/>
          <w14:ligatures w14:val="standardContextual"/>
        </w:rPr>
      </w:pPr>
      <w:hyperlink w:anchor="_Toc227748998" w:history="1">
        <w:r w:rsidRPr="00EB34D0">
          <w:rPr>
            <w:rStyle w:val="Hyperlink"/>
          </w:rPr>
          <w:t>4.1</w:t>
        </w:r>
        <w:r>
          <w:rPr>
            <w:rFonts w:asciiTheme="minorHAnsi" w:eastAsiaTheme="minorEastAsia" w:hAnsiTheme="minorHAnsi"/>
            <w:kern w:val="2"/>
            <w:sz w:val="24"/>
            <w:szCs w:val="24"/>
            <w:lang w:eastAsia="en-AU"/>
            <w14:ligatures w14:val="standardContextual"/>
          </w:rPr>
          <w:tab/>
        </w:r>
        <w:r w:rsidRPr="00EB34D0">
          <w:rPr>
            <w:rStyle w:val="Hyperlink"/>
          </w:rPr>
          <w:t>Online publishing of the PB Statements</w:t>
        </w:r>
        <w:r>
          <w:rPr>
            <w:webHidden/>
          </w:rPr>
          <w:tab/>
        </w:r>
        <w:r>
          <w:rPr>
            <w:webHidden/>
          </w:rPr>
          <w:fldChar w:fldCharType="begin"/>
        </w:r>
        <w:r>
          <w:rPr>
            <w:webHidden/>
          </w:rPr>
          <w:instrText xml:space="preserve"> PAGEREF _Toc227748998 \h </w:instrText>
        </w:r>
        <w:r>
          <w:rPr>
            <w:webHidden/>
          </w:rPr>
        </w:r>
        <w:r>
          <w:rPr>
            <w:webHidden/>
          </w:rPr>
          <w:fldChar w:fldCharType="separate"/>
        </w:r>
        <w:r>
          <w:rPr>
            <w:webHidden/>
          </w:rPr>
          <w:t>19</w:t>
        </w:r>
        <w:r>
          <w:rPr>
            <w:webHidden/>
          </w:rPr>
          <w:fldChar w:fldCharType="end"/>
        </w:r>
      </w:hyperlink>
    </w:p>
    <w:p w14:paraId="3AF43384" w14:textId="4EC9D1BB" w:rsidR="005F0BAD" w:rsidRDefault="005F0BAD">
      <w:pPr>
        <w:pStyle w:val="TOC3"/>
        <w:rPr>
          <w:rFonts w:asciiTheme="minorHAnsi" w:eastAsiaTheme="minorEastAsia" w:hAnsiTheme="minorHAnsi"/>
          <w:kern w:val="2"/>
          <w:sz w:val="24"/>
          <w:szCs w:val="24"/>
          <w:lang w:eastAsia="en-AU"/>
          <w14:ligatures w14:val="standardContextual"/>
        </w:rPr>
      </w:pPr>
      <w:hyperlink w:anchor="_Toc227748999" w:history="1">
        <w:r w:rsidRPr="00EB34D0">
          <w:rPr>
            <w:rStyle w:val="Hyperlink"/>
          </w:rPr>
          <w:t>4.1.1</w:t>
        </w:r>
        <w:r>
          <w:rPr>
            <w:rFonts w:asciiTheme="minorHAnsi" w:eastAsiaTheme="minorEastAsia" w:hAnsiTheme="minorHAnsi"/>
            <w:kern w:val="2"/>
            <w:sz w:val="24"/>
            <w:szCs w:val="24"/>
            <w:lang w:eastAsia="en-AU"/>
            <w14:ligatures w14:val="standardContextual"/>
          </w:rPr>
          <w:tab/>
        </w:r>
        <w:r w:rsidRPr="00EB34D0">
          <w:rPr>
            <w:rStyle w:val="Hyperlink"/>
          </w:rPr>
          <w:t>Dynamic Red webpage</w:t>
        </w:r>
        <w:r>
          <w:rPr>
            <w:webHidden/>
          </w:rPr>
          <w:tab/>
        </w:r>
        <w:r>
          <w:rPr>
            <w:webHidden/>
          </w:rPr>
          <w:fldChar w:fldCharType="begin"/>
        </w:r>
        <w:r>
          <w:rPr>
            <w:webHidden/>
          </w:rPr>
          <w:instrText xml:space="preserve"> PAGEREF _Toc227748999 \h </w:instrText>
        </w:r>
        <w:r>
          <w:rPr>
            <w:webHidden/>
          </w:rPr>
        </w:r>
        <w:r>
          <w:rPr>
            <w:webHidden/>
          </w:rPr>
          <w:fldChar w:fldCharType="separate"/>
        </w:r>
        <w:r>
          <w:rPr>
            <w:webHidden/>
          </w:rPr>
          <w:t>19</w:t>
        </w:r>
        <w:r>
          <w:rPr>
            <w:webHidden/>
          </w:rPr>
          <w:fldChar w:fldCharType="end"/>
        </w:r>
      </w:hyperlink>
    </w:p>
    <w:p w14:paraId="45692725" w14:textId="5433215C" w:rsidR="005F0BAD" w:rsidRDefault="005F0BAD">
      <w:pPr>
        <w:pStyle w:val="TOC3"/>
        <w:rPr>
          <w:rFonts w:asciiTheme="minorHAnsi" w:eastAsiaTheme="minorEastAsia" w:hAnsiTheme="minorHAnsi"/>
          <w:kern w:val="2"/>
          <w:sz w:val="24"/>
          <w:szCs w:val="24"/>
          <w:lang w:eastAsia="en-AU"/>
          <w14:ligatures w14:val="standardContextual"/>
        </w:rPr>
      </w:pPr>
      <w:hyperlink w:anchor="_Toc227749000" w:history="1">
        <w:r w:rsidRPr="00EB34D0">
          <w:rPr>
            <w:rStyle w:val="Hyperlink"/>
          </w:rPr>
          <w:t>4.1.2</w:t>
        </w:r>
        <w:r>
          <w:rPr>
            <w:rFonts w:asciiTheme="minorHAnsi" w:eastAsiaTheme="minorEastAsia" w:hAnsiTheme="minorHAnsi"/>
            <w:kern w:val="2"/>
            <w:sz w:val="24"/>
            <w:szCs w:val="24"/>
            <w:lang w:eastAsia="en-AU"/>
            <w14:ligatures w14:val="standardContextual"/>
          </w:rPr>
          <w:tab/>
        </w:r>
        <w:r w:rsidRPr="00EB34D0">
          <w:rPr>
            <w:rStyle w:val="Hyperlink"/>
          </w:rPr>
          <w:t>Portfolio Website Publication /Treasury’s Requirement</w:t>
        </w:r>
        <w:r>
          <w:rPr>
            <w:webHidden/>
          </w:rPr>
          <w:tab/>
        </w:r>
        <w:r>
          <w:rPr>
            <w:webHidden/>
          </w:rPr>
          <w:fldChar w:fldCharType="begin"/>
        </w:r>
        <w:r>
          <w:rPr>
            <w:webHidden/>
          </w:rPr>
          <w:instrText xml:space="preserve"> PAGEREF _Toc227749000 \h </w:instrText>
        </w:r>
        <w:r>
          <w:rPr>
            <w:webHidden/>
          </w:rPr>
        </w:r>
        <w:r>
          <w:rPr>
            <w:webHidden/>
          </w:rPr>
          <w:fldChar w:fldCharType="separate"/>
        </w:r>
        <w:r>
          <w:rPr>
            <w:webHidden/>
          </w:rPr>
          <w:t>19</w:t>
        </w:r>
        <w:r>
          <w:rPr>
            <w:webHidden/>
          </w:rPr>
          <w:fldChar w:fldCharType="end"/>
        </w:r>
      </w:hyperlink>
    </w:p>
    <w:p w14:paraId="6E0F8843" w14:textId="64F61F4D" w:rsidR="005F0BAD" w:rsidRDefault="005F0BAD">
      <w:pPr>
        <w:pStyle w:val="TOC2"/>
        <w:rPr>
          <w:rFonts w:asciiTheme="minorHAnsi" w:eastAsiaTheme="minorEastAsia" w:hAnsiTheme="minorHAnsi"/>
          <w:kern w:val="2"/>
          <w:sz w:val="24"/>
          <w:szCs w:val="24"/>
          <w:lang w:eastAsia="en-AU"/>
          <w14:ligatures w14:val="standardContextual"/>
        </w:rPr>
      </w:pPr>
      <w:hyperlink w:anchor="_Toc227749001" w:history="1">
        <w:r w:rsidRPr="00EB34D0">
          <w:rPr>
            <w:rStyle w:val="Hyperlink"/>
          </w:rPr>
          <w:t>4.2</w:t>
        </w:r>
        <w:r>
          <w:rPr>
            <w:rFonts w:asciiTheme="minorHAnsi" w:eastAsiaTheme="minorEastAsia" w:hAnsiTheme="minorHAnsi"/>
            <w:kern w:val="2"/>
            <w:sz w:val="24"/>
            <w:szCs w:val="24"/>
            <w:lang w:eastAsia="en-AU"/>
            <w14:ligatures w14:val="standardContextual"/>
          </w:rPr>
          <w:tab/>
        </w:r>
        <w:r w:rsidRPr="00EB34D0">
          <w:rPr>
            <w:rStyle w:val="Hyperlink"/>
          </w:rPr>
          <w:t>Standard file-naming convention</w:t>
        </w:r>
        <w:r>
          <w:rPr>
            <w:webHidden/>
          </w:rPr>
          <w:tab/>
        </w:r>
        <w:r>
          <w:rPr>
            <w:webHidden/>
          </w:rPr>
          <w:fldChar w:fldCharType="begin"/>
        </w:r>
        <w:r>
          <w:rPr>
            <w:webHidden/>
          </w:rPr>
          <w:instrText xml:space="preserve"> PAGEREF _Toc227749001 \h </w:instrText>
        </w:r>
        <w:r>
          <w:rPr>
            <w:webHidden/>
          </w:rPr>
        </w:r>
        <w:r>
          <w:rPr>
            <w:webHidden/>
          </w:rPr>
          <w:fldChar w:fldCharType="separate"/>
        </w:r>
        <w:r>
          <w:rPr>
            <w:webHidden/>
          </w:rPr>
          <w:t>19</w:t>
        </w:r>
        <w:r>
          <w:rPr>
            <w:webHidden/>
          </w:rPr>
          <w:fldChar w:fldCharType="end"/>
        </w:r>
      </w:hyperlink>
    </w:p>
    <w:p w14:paraId="64EB59AA" w14:textId="2DAA41ED" w:rsidR="005F0BAD" w:rsidRDefault="005F0BAD">
      <w:pPr>
        <w:pStyle w:val="TOC3"/>
        <w:rPr>
          <w:rFonts w:asciiTheme="minorHAnsi" w:eastAsiaTheme="minorEastAsia" w:hAnsiTheme="minorHAnsi"/>
          <w:kern w:val="2"/>
          <w:sz w:val="24"/>
          <w:szCs w:val="24"/>
          <w:lang w:eastAsia="en-AU"/>
          <w14:ligatures w14:val="standardContextual"/>
        </w:rPr>
      </w:pPr>
      <w:hyperlink w:anchor="_Toc227749002" w:history="1">
        <w:r w:rsidRPr="00EB34D0">
          <w:rPr>
            <w:rStyle w:val="Hyperlink"/>
          </w:rPr>
          <w:t>4.2.1</w:t>
        </w:r>
        <w:r>
          <w:rPr>
            <w:rFonts w:asciiTheme="minorHAnsi" w:eastAsiaTheme="minorEastAsia" w:hAnsiTheme="minorHAnsi"/>
            <w:kern w:val="2"/>
            <w:sz w:val="24"/>
            <w:szCs w:val="24"/>
            <w:lang w:eastAsia="en-AU"/>
            <w14:ligatures w14:val="standardContextual"/>
          </w:rPr>
          <w:tab/>
        </w:r>
        <w:r w:rsidRPr="00EB34D0">
          <w:rPr>
            <w:rStyle w:val="Hyperlink"/>
          </w:rPr>
          <w:t>Digital government strategy and publication on data.gov.au</w:t>
        </w:r>
        <w:r>
          <w:rPr>
            <w:webHidden/>
          </w:rPr>
          <w:tab/>
        </w:r>
        <w:r>
          <w:rPr>
            <w:webHidden/>
          </w:rPr>
          <w:fldChar w:fldCharType="begin"/>
        </w:r>
        <w:r>
          <w:rPr>
            <w:webHidden/>
          </w:rPr>
          <w:instrText xml:space="preserve"> PAGEREF _Toc227749002 \h </w:instrText>
        </w:r>
        <w:r>
          <w:rPr>
            <w:webHidden/>
          </w:rPr>
        </w:r>
        <w:r>
          <w:rPr>
            <w:webHidden/>
          </w:rPr>
          <w:fldChar w:fldCharType="separate"/>
        </w:r>
        <w:r>
          <w:rPr>
            <w:webHidden/>
          </w:rPr>
          <w:t>20</w:t>
        </w:r>
        <w:r>
          <w:rPr>
            <w:webHidden/>
          </w:rPr>
          <w:fldChar w:fldCharType="end"/>
        </w:r>
      </w:hyperlink>
    </w:p>
    <w:p w14:paraId="33DBBB2E" w14:textId="30F08C43" w:rsidR="005F0BAD" w:rsidRDefault="005F0BAD">
      <w:pPr>
        <w:pStyle w:val="TOC3"/>
        <w:rPr>
          <w:rFonts w:asciiTheme="minorHAnsi" w:eastAsiaTheme="minorEastAsia" w:hAnsiTheme="minorHAnsi"/>
          <w:kern w:val="2"/>
          <w:sz w:val="24"/>
          <w:szCs w:val="24"/>
          <w:lang w:eastAsia="en-AU"/>
          <w14:ligatures w14:val="standardContextual"/>
        </w:rPr>
      </w:pPr>
      <w:hyperlink w:anchor="_Toc227749003" w:history="1">
        <w:r w:rsidRPr="00EB34D0">
          <w:rPr>
            <w:rStyle w:val="Hyperlink"/>
          </w:rPr>
          <w:t>4.2.2</w:t>
        </w:r>
        <w:r>
          <w:rPr>
            <w:rFonts w:asciiTheme="minorHAnsi" w:eastAsiaTheme="minorEastAsia" w:hAnsiTheme="minorHAnsi"/>
            <w:kern w:val="2"/>
            <w:sz w:val="24"/>
            <w:szCs w:val="24"/>
            <w:lang w:eastAsia="en-AU"/>
            <w14:ligatures w14:val="standardContextual"/>
          </w:rPr>
          <w:tab/>
        </w:r>
        <w:r w:rsidRPr="00EB34D0">
          <w:rPr>
            <w:rStyle w:val="Hyperlink"/>
          </w:rPr>
          <w:t>Checklist for preparing files for online publication on data.gov.au</w:t>
        </w:r>
        <w:r>
          <w:rPr>
            <w:webHidden/>
          </w:rPr>
          <w:tab/>
        </w:r>
        <w:r>
          <w:rPr>
            <w:webHidden/>
          </w:rPr>
          <w:fldChar w:fldCharType="begin"/>
        </w:r>
        <w:r>
          <w:rPr>
            <w:webHidden/>
          </w:rPr>
          <w:instrText xml:space="preserve"> PAGEREF _Toc227749003 \h </w:instrText>
        </w:r>
        <w:r>
          <w:rPr>
            <w:webHidden/>
          </w:rPr>
        </w:r>
        <w:r>
          <w:rPr>
            <w:webHidden/>
          </w:rPr>
          <w:fldChar w:fldCharType="separate"/>
        </w:r>
        <w:r>
          <w:rPr>
            <w:webHidden/>
          </w:rPr>
          <w:t>21</w:t>
        </w:r>
        <w:r>
          <w:rPr>
            <w:webHidden/>
          </w:rPr>
          <w:fldChar w:fldCharType="end"/>
        </w:r>
      </w:hyperlink>
    </w:p>
    <w:p w14:paraId="0FA8A72F" w14:textId="5098F4D5" w:rsidR="005F0BAD" w:rsidRDefault="005F0BAD">
      <w:pPr>
        <w:pStyle w:val="TOC1"/>
        <w:rPr>
          <w:rFonts w:asciiTheme="minorHAnsi" w:eastAsiaTheme="minorEastAsia" w:hAnsiTheme="minorHAnsi"/>
          <w:kern w:val="2"/>
          <w:szCs w:val="24"/>
          <w:lang w:eastAsia="en-AU"/>
          <w14:ligatures w14:val="standardContextual"/>
        </w:rPr>
      </w:pPr>
      <w:hyperlink w:anchor="_Toc227749004" w:history="1">
        <w:r w:rsidRPr="00EB34D0">
          <w:rPr>
            <w:rStyle w:val="Hyperlink"/>
          </w:rPr>
          <w:t>5</w:t>
        </w:r>
        <w:r>
          <w:rPr>
            <w:rFonts w:asciiTheme="minorHAnsi" w:eastAsiaTheme="minorEastAsia" w:hAnsiTheme="minorHAnsi"/>
            <w:kern w:val="2"/>
            <w:szCs w:val="24"/>
            <w:lang w:eastAsia="en-AU"/>
            <w14:ligatures w14:val="standardContextual"/>
          </w:rPr>
          <w:tab/>
        </w:r>
        <w:r w:rsidRPr="00EB34D0">
          <w:rPr>
            <w:rStyle w:val="Hyperlink"/>
          </w:rPr>
          <w:t>Use of ISBN/ISSN number</w:t>
        </w:r>
        <w:r>
          <w:rPr>
            <w:webHidden/>
          </w:rPr>
          <w:tab/>
        </w:r>
        <w:r>
          <w:rPr>
            <w:webHidden/>
          </w:rPr>
          <w:fldChar w:fldCharType="begin"/>
        </w:r>
        <w:r>
          <w:rPr>
            <w:webHidden/>
          </w:rPr>
          <w:instrText xml:space="preserve"> PAGEREF _Toc227749004 \h </w:instrText>
        </w:r>
        <w:r>
          <w:rPr>
            <w:webHidden/>
          </w:rPr>
        </w:r>
        <w:r>
          <w:rPr>
            <w:webHidden/>
          </w:rPr>
          <w:fldChar w:fldCharType="separate"/>
        </w:r>
        <w:r>
          <w:rPr>
            <w:webHidden/>
          </w:rPr>
          <w:t>21</w:t>
        </w:r>
        <w:r>
          <w:rPr>
            <w:webHidden/>
          </w:rPr>
          <w:fldChar w:fldCharType="end"/>
        </w:r>
      </w:hyperlink>
    </w:p>
    <w:p w14:paraId="542276E3" w14:textId="5E17AEEE" w:rsidR="005F0BAD" w:rsidRDefault="005F0BAD">
      <w:pPr>
        <w:pStyle w:val="TOC1"/>
        <w:rPr>
          <w:rFonts w:asciiTheme="minorHAnsi" w:eastAsiaTheme="minorEastAsia" w:hAnsiTheme="minorHAnsi"/>
          <w:kern w:val="2"/>
          <w:szCs w:val="24"/>
          <w:lang w:eastAsia="en-AU"/>
          <w14:ligatures w14:val="standardContextual"/>
        </w:rPr>
      </w:pPr>
      <w:hyperlink w:anchor="_Toc227749005" w:history="1">
        <w:r w:rsidRPr="00EB34D0">
          <w:rPr>
            <w:rStyle w:val="Hyperlink"/>
          </w:rPr>
          <w:t>6</w:t>
        </w:r>
        <w:r>
          <w:rPr>
            <w:rFonts w:asciiTheme="minorHAnsi" w:eastAsiaTheme="minorEastAsia" w:hAnsiTheme="minorHAnsi"/>
            <w:kern w:val="2"/>
            <w:szCs w:val="24"/>
            <w:lang w:eastAsia="en-AU"/>
            <w14:ligatures w14:val="standardContextual"/>
          </w:rPr>
          <w:tab/>
        </w:r>
        <w:r w:rsidRPr="00EB34D0">
          <w:rPr>
            <w:rStyle w:val="Hyperlink"/>
          </w:rPr>
          <w:t>Issuing a corrigendum (correction)/addendum</w:t>
        </w:r>
        <w:r>
          <w:rPr>
            <w:webHidden/>
          </w:rPr>
          <w:tab/>
        </w:r>
        <w:r>
          <w:rPr>
            <w:webHidden/>
          </w:rPr>
          <w:fldChar w:fldCharType="begin"/>
        </w:r>
        <w:r>
          <w:rPr>
            <w:webHidden/>
          </w:rPr>
          <w:instrText xml:space="preserve"> PAGEREF _Toc227749005 \h </w:instrText>
        </w:r>
        <w:r>
          <w:rPr>
            <w:webHidden/>
          </w:rPr>
        </w:r>
        <w:r>
          <w:rPr>
            <w:webHidden/>
          </w:rPr>
          <w:fldChar w:fldCharType="separate"/>
        </w:r>
        <w:r>
          <w:rPr>
            <w:webHidden/>
          </w:rPr>
          <w:t>22</w:t>
        </w:r>
        <w:r>
          <w:rPr>
            <w:webHidden/>
          </w:rPr>
          <w:fldChar w:fldCharType="end"/>
        </w:r>
      </w:hyperlink>
    </w:p>
    <w:p w14:paraId="4937C0E0" w14:textId="606BCA77" w:rsidR="005F0BAD" w:rsidRDefault="005F0BAD">
      <w:pPr>
        <w:pStyle w:val="TOC1"/>
        <w:rPr>
          <w:rFonts w:asciiTheme="minorHAnsi" w:eastAsiaTheme="minorEastAsia" w:hAnsiTheme="minorHAnsi"/>
          <w:kern w:val="2"/>
          <w:szCs w:val="24"/>
          <w:lang w:eastAsia="en-AU"/>
          <w14:ligatures w14:val="standardContextual"/>
        </w:rPr>
      </w:pPr>
      <w:hyperlink w:anchor="_Toc227749006" w:history="1">
        <w:r w:rsidRPr="00EB34D0">
          <w:rPr>
            <w:rStyle w:val="Hyperlink"/>
          </w:rPr>
          <w:t>Detailed Guidance of PB Statement Sections</w:t>
        </w:r>
        <w:r>
          <w:rPr>
            <w:webHidden/>
          </w:rPr>
          <w:tab/>
        </w:r>
        <w:r>
          <w:rPr>
            <w:webHidden/>
          </w:rPr>
          <w:fldChar w:fldCharType="begin"/>
        </w:r>
        <w:r>
          <w:rPr>
            <w:webHidden/>
          </w:rPr>
          <w:instrText xml:space="preserve"> PAGEREF _Toc227749006 \h </w:instrText>
        </w:r>
        <w:r>
          <w:rPr>
            <w:webHidden/>
          </w:rPr>
        </w:r>
        <w:r>
          <w:rPr>
            <w:webHidden/>
          </w:rPr>
          <w:fldChar w:fldCharType="separate"/>
        </w:r>
        <w:r>
          <w:rPr>
            <w:webHidden/>
          </w:rPr>
          <w:t>23</w:t>
        </w:r>
        <w:r>
          <w:rPr>
            <w:webHidden/>
          </w:rPr>
          <w:fldChar w:fldCharType="end"/>
        </w:r>
      </w:hyperlink>
    </w:p>
    <w:p w14:paraId="7AEF261E" w14:textId="065F3E43" w:rsidR="005F0BAD" w:rsidRDefault="005F0BAD">
      <w:pPr>
        <w:pStyle w:val="TOC1"/>
        <w:rPr>
          <w:rFonts w:asciiTheme="minorHAnsi" w:eastAsiaTheme="minorEastAsia" w:hAnsiTheme="minorHAnsi"/>
          <w:kern w:val="2"/>
          <w:szCs w:val="24"/>
          <w:lang w:eastAsia="en-AU"/>
          <w14:ligatures w14:val="standardContextual"/>
        </w:rPr>
      </w:pPr>
      <w:hyperlink w:anchor="_Toc227749007" w:history="1">
        <w:r w:rsidRPr="00EB34D0">
          <w:rPr>
            <w:rStyle w:val="Hyperlink"/>
          </w:rPr>
          <w:t>7</w:t>
        </w:r>
        <w:r>
          <w:rPr>
            <w:rFonts w:asciiTheme="minorHAnsi" w:eastAsiaTheme="minorEastAsia" w:hAnsiTheme="minorHAnsi"/>
            <w:kern w:val="2"/>
            <w:szCs w:val="24"/>
            <w:lang w:eastAsia="en-AU"/>
            <w14:ligatures w14:val="standardContextual"/>
          </w:rPr>
          <w:tab/>
        </w:r>
        <w:r w:rsidRPr="00EB34D0">
          <w:rPr>
            <w:rStyle w:val="Hyperlink"/>
          </w:rPr>
          <w:t>Performance Framework Diagram, Clear Read Principle and AASB 1055 Link to the Financial Statements</w:t>
        </w:r>
        <w:r>
          <w:rPr>
            <w:webHidden/>
          </w:rPr>
          <w:tab/>
        </w:r>
        <w:r>
          <w:rPr>
            <w:webHidden/>
          </w:rPr>
          <w:fldChar w:fldCharType="begin"/>
        </w:r>
        <w:r>
          <w:rPr>
            <w:webHidden/>
          </w:rPr>
          <w:instrText xml:space="preserve"> PAGEREF _Toc227749007 \h </w:instrText>
        </w:r>
        <w:r>
          <w:rPr>
            <w:webHidden/>
          </w:rPr>
        </w:r>
        <w:r>
          <w:rPr>
            <w:webHidden/>
          </w:rPr>
          <w:fldChar w:fldCharType="separate"/>
        </w:r>
        <w:r>
          <w:rPr>
            <w:webHidden/>
          </w:rPr>
          <w:t>23</w:t>
        </w:r>
        <w:r>
          <w:rPr>
            <w:webHidden/>
          </w:rPr>
          <w:fldChar w:fldCharType="end"/>
        </w:r>
      </w:hyperlink>
    </w:p>
    <w:p w14:paraId="43963772" w14:textId="641C10D7" w:rsidR="005F0BAD" w:rsidRDefault="005F0BAD">
      <w:pPr>
        <w:pStyle w:val="TOC2"/>
        <w:rPr>
          <w:rFonts w:asciiTheme="minorHAnsi" w:eastAsiaTheme="minorEastAsia" w:hAnsiTheme="minorHAnsi"/>
          <w:kern w:val="2"/>
          <w:sz w:val="24"/>
          <w:szCs w:val="24"/>
          <w:lang w:eastAsia="en-AU"/>
          <w14:ligatures w14:val="standardContextual"/>
        </w:rPr>
      </w:pPr>
      <w:hyperlink w:anchor="_Toc227749008" w:history="1">
        <w:r w:rsidRPr="00EB34D0">
          <w:rPr>
            <w:rStyle w:val="Hyperlink"/>
          </w:rPr>
          <w:t>7.1</w:t>
        </w:r>
        <w:r>
          <w:rPr>
            <w:rFonts w:asciiTheme="minorHAnsi" w:eastAsiaTheme="minorEastAsia" w:hAnsiTheme="minorHAnsi"/>
            <w:kern w:val="2"/>
            <w:sz w:val="24"/>
            <w:szCs w:val="24"/>
            <w:lang w:eastAsia="en-AU"/>
            <w14:ligatures w14:val="standardContextual"/>
          </w:rPr>
          <w:tab/>
        </w:r>
        <w:r w:rsidRPr="00EB34D0">
          <w:rPr>
            <w:rStyle w:val="Hyperlink"/>
          </w:rPr>
          <w:t>Commonwealth performance framework diagram</w:t>
        </w:r>
        <w:r>
          <w:rPr>
            <w:webHidden/>
          </w:rPr>
          <w:tab/>
        </w:r>
        <w:r>
          <w:rPr>
            <w:webHidden/>
          </w:rPr>
          <w:fldChar w:fldCharType="begin"/>
        </w:r>
        <w:r>
          <w:rPr>
            <w:webHidden/>
          </w:rPr>
          <w:instrText xml:space="preserve"> PAGEREF _Toc227749008 \h </w:instrText>
        </w:r>
        <w:r>
          <w:rPr>
            <w:webHidden/>
          </w:rPr>
        </w:r>
        <w:r>
          <w:rPr>
            <w:webHidden/>
          </w:rPr>
          <w:fldChar w:fldCharType="separate"/>
        </w:r>
        <w:r>
          <w:rPr>
            <w:webHidden/>
          </w:rPr>
          <w:t>23</w:t>
        </w:r>
        <w:r>
          <w:rPr>
            <w:webHidden/>
          </w:rPr>
          <w:fldChar w:fldCharType="end"/>
        </w:r>
      </w:hyperlink>
    </w:p>
    <w:p w14:paraId="74D9F5A4" w14:textId="6F9AF3CE" w:rsidR="005F0BAD" w:rsidRDefault="005F0BAD">
      <w:pPr>
        <w:pStyle w:val="TOC2"/>
        <w:rPr>
          <w:rFonts w:asciiTheme="minorHAnsi" w:eastAsiaTheme="minorEastAsia" w:hAnsiTheme="minorHAnsi"/>
          <w:kern w:val="2"/>
          <w:sz w:val="24"/>
          <w:szCs w:val="24"/>
          <w:lang w:eastAsia="en-AU"/>
          <w14:ligatures w14:val="standardContextual"/>
        </w:rPr>
      </w:pPr>
      <w:hyperlink w:anchor="_Toc227749009" w:history="1">
        <w:r w:rsidRPr="00EB34D0">
          <w:rPr>
            <w:rStyle w:val="Hyperlink"/>
          </w:rPr>
          <w:t>7.2</w:t>
        </w:r>
        <w:r>
          <w:rPr>
            <w:rFonts w:asciiTheme="minorHAnsi" w:eastAsiaTheme="minorEastAsia" w:hAnsiTheme="minorHAnsi"/>
            <w:kern w:val="2"/>
            <w:sz w:val="24"/>
            <w:szCs w:val="24"/>
            <w:lang w:eastAsia="en-AU"/>
            <w14:ligatures w14:val="standardContextual"/>
          </w:rPr>
          <w:tab/>
        </w:r>
        <w:r w:rsidRPr="00EB34D0">
          <w:rPr>
            <w:rStyle w:val="Hyperlink"/>
          </w:rPr>
          <w:t>Consistency of reporting – the ‘clear read’ principle</w:t>
        </w:r>
        <w:r>
          <w:rPr>
            <w:webHidden/>
          </w:rPr>
          <w:tab/>
        </w:r>
        <w:r>
          <w:rPr>
            <w:webHidden/>
          </w:rPr>
          <w:fldChar w:fldCharType="begin"/>
        </w:r>
        <w:r>
          <w:rPr>
            <w:webHidden/>
          </w:rPr>
          <w:instrText xml:space="preserve"> PAGEREF _Toc227749009 \h </w:instrText>
        </w:r>
        <w:r>
          <w:rPr>
            <w:webHidden/>
          </w:rPr>
        </w:r>
        <w:r>
          <w:rPr>
            <w:webHidden/>
          </w:rPr>
          <w:fldChar w:fldCharType="separate"/>
        </w:r>
        <w:r>
          <w:rPr>
            <w:webHidden/>
          </w:rPr>
          <w:t>23</w:t>
        </w:r>
        <w:r>
          <w:rPr>
            <w:webHidden/>
          </w:rPr>
          <w:fldChar w:fldCharType="end"/>
        </w:r>
      </w:hyperlink>
    </w:p>
    <w:p w14:paraId="68B17DA0" w14:textId="4CD545A9" w:rsidR="005F0BAD" w:rsidRDefault="005F0BAD">
      <w:pPr>
        <w:pStyle w:val="TOC2"/>
        <w:rPr>
          <w:rFonts w:asciiTheme="minorHAnsi" w:eastAsiaTheme="minorEastAsia" w:hAnsiTheme="minorHAnsi"/>
          <w:kern w:val="2"/>
          <w:sz w:val="24"/>
          <w:szCs w:val="24"/>
          <w:lang w:eastAsia="en-AU"/>
          <w14:ligatures w14:val="standardContextual"/>
        </w:rPr>
      </w:pPr>
      <w:hyperlink w:anchor="_Toc227749010" w:history="1">
        <w:r w:rsidRPr="00EB34D0">
          <w:rPr>
            <w:rStyle w:val="Hyperlink"/>
          </w:rPr>
          <w:t>7.3</w:t>
        </w:r>
        <w:r>
          <w:rPr>
            <w:rFonts w:asciiTheme="minorHAnsi" w:eastAsiaTheme="minorEastAsia" w:hAnsiTheme="minorHAnsi"/>
            <w:kern w:val="2"/>
            <w:sz w:val="24"/>
            <w:szCs w:val="24"/>
            <w:lang w:eastAsia="en-AU"/>
            <w14:ligatures w14:val="standardContextual"/>
          </w:rPr>
          <w:tab/>
        </w:r>
        <w:r w:rsidRPr="00EB34D0">
          <w:rPr>
            <w:rStyle w:val="Hyperlink"/>
          </w:rPr>
          <w:t>‘Clear read’ linkages</w:t>
        </w:r>
        <w:r>
          <w:rPr>
            <w:webHidden/>
          </w:rPr>
          <w:tab/>
        </w:r>
        <w:r>
          <w:rPr>
            <w:webHidden/>
          </w:rPr>
          <w:fldChar w:fldCharType="begin"/>
        </w:r>
        <w:r>
          <w:rPr>
            <w:webHidden/>
          </w:rPr>
          <w:instrText xml:space="preserve"> PAGEREF _Toc227749010 \h </w:instrText>
        </w:r>
        <w:r>
          <w:rPr>
            <w:webHidden/>
          </w:rPr>
        </w:r>
        <w:r>
          <w:rPr>
            <w:webHidden/>
          </w:rPr>
          <w:fldChar w:fldCharType="separate"/>
        </w:r>
        <w:r>
          <w:rPr>
            <w:webHidden/>
          </w:rPr>
          <w:t>24</w:t>
        </w:r>
        <w:r>
          <w:rPr>
            <w:webHidden/>
          </w:rPr>
          <w:fldChar w:fldCharType="end"/>
        </w:r>
      </w:hyperlink>
    </w:p>
    <w:p w14:paraId="7C2D5670" w14:textId="64D577AA" w:rsidR="005F0BAD" w:rsidRDefault="005F0BAD">
      <w:pPr>
        <w:pStyle w:val="TOC2"/>
        <w:rPr>
          <w:rFonts w:asciiTheme="minorHAnsi" w:eastAsiaTheme="minorEastAsia" w:hAnsiTheme="minorHAnsi"/>
          <w:kern w:val="2"/>
          <w:sz w:val="24"/>
          <w:szCs w:val="24"/>
          <w:lang w:eastAsia="en-AU"/>
          <w14:ligatures w14:val="standardContextual"/>
        </w:rPr>
      </w:pPr>
      <w:hyperlink w:anchor="_Toc227749011" w:history="1">
        <w:r w:rsidRPr="00EB34D0">
          <w:rPr>
            <w:rStyle w:val="Hyperlink"/>
          </w:rPr>
          <w:t>7.4</w:t>
        </w:r>
        <w:r>
          <w:rPr>
            <w:rFonts w:asciiTheme="minorHAnsi" w:eastAsiaTheme="minorEastAsia" w:hAnsiTheme="minorHAnsi"/>
            <w:kern w:val="2"/>
            <w:sz w:val="24"/>
            <w:szCs w:val="24"/>
            <w:lang w:eastAsia="en-AU"/>
            <w14:ligatures w14:val="standardContextual"/>
          </w:rPr>
          <w:tab/>
        </w:r>
        <w:r w:rsidRPr="00EB34D0">
          <w:rPr>
            <w:rStyle w:val="Hyperlink"/>
          </w:rPr>
          <w:t>AASB 1055 - Link between budgeted and financial statements reporting</w:t>
        </w:r>
        <w:r>
          <w:rPr>
            <w:webHidden/>
          </w:rPr>
          <w:tab/>
        </w:r>
        <w:r>
          <w:rPr>
            <w:webHidden/>
          </w:rPr>
          <w:fldChar w:fldCharType="begin"/>
        </w:r>
        <w:r>
          <w:rPr>
            <w:webHidden/>
          </w:rPr>
          <w:instrText xml:space="preserve"> PAGEREF _Toc227749011 \h </w:instrText>
        </w:r>
        <w:r>
          <w:rPr>
            <w:webHidden/>
          </w:rPr>
        </w:r>
        <w:r>
          <w:rPr>
            <w:webHidden/>
          </w:rPr>
          <w:fldChar w:fldCharType="separate"/>
        </w:r>
        <w:r>
          <w:rPr>
            <w:webHidden/>
          </w:rPr>
          <w:t>24</w:t>
        </w:r>
        <w:r>
          <w:rPr>
            <w:webHidden/>
          </w:rPr>
          <w:fldChar w:fldCharType="end"/>
        </w:r>
      </w:hyperlink>
    </w:p>
    <w:p w14:paraId="7259F56E" w14:textId="3A85FF53" w:rsidR="005F0BAD" w:rsidRDefault="005F0BAD">
      <w:pPr>
        <w:pStyle w:val="TOC1"/>
        <w:rPr>
          <w:rFonts w:asciiTheme="minorHAnsi" w:eastAsiaTheme="minorEastAsia" w:hAnsiTheme="minorHAnsi"/>
          <w:kern w:val="2"/>
          <w:szCs w:val="24"/>
          <w:lang w:eastAsia="en-AU"/>
          <w14:ligatures w14:val="standardContextual"/>
        </w:rPr>
      </w:pPr>
      <w:hyperlink w:anchor="_Toc227749012" w:history="1">
        <w:r w:rsidRPr="00EB34D0">
          <w:rPr>
            <w:rStyle w:val="Hyperlink"/>
          </w:rPr>
          <w:t>8</w:t>
        </w:r>
        <w:r>
          <w:rPr>
            <w:rFonts w:asciiTheme="minorHAnsi" w:eastAsiaTheme="minorEastAsia" w:hAnsiTheme="minorHAnsi"/>
            <w:kern w:val="2"/>
            <w:szCs w:val="24"/>
            <w:lang w:eastAsia="en-AU"/>
            <w14:ligatures w14:val="standardContextual"/>
          </w:rPr>
          <w:tab/>
        </w:r>
        <w:r w:rsidRPr="00EB34D0">
          <w:rPr>
            <w:rStyle w:val="Hyperlink"/>
          </w:rPr>
          <w:t>Clearance processes</w:t>
        </w:r>
        <w:r>
          <w:rPr>
            <w:webHidden/>
          </w:rPr>
          <w:tab/>
        </w:r>
        <w:r>
          <w:rPr>
            <w:webHidden/>
          </w:rPr>
          <w:fldChar w:fldCharType="begin"/>
        </w:r>
        <w:r>
          <w:rPr>
            <w:webHidden/>
          </w:rPr>
          <w:instrText xml:space="preserve"> PAGEREF _Toc227749012 \h </w:instrText>
        </w:r>
        <w:r>
          <w:rPr>
            <w:webHidden/>
          </w:rPr>
        </w:r>
        <w:r>
          <w:rPr>
            <w:webHidden/>
          </w:rPr>
          <w:fldChar w:fldCharType="separate"/>
        </w:r>
        <w:r>
          <w:rPr>
            <w:webHidden/>
          </w:rPr>
          <w:t>25</w:t>
        </w:r>
        <w:r>
          <w:rPr>
            <w:webHidden/>
          </w:rPr>
          <w:fldChar w:fldCharType="end"/>
        </w:r>
      </w:hyperlink>
    </w:p>
    <w:p w14:paraId="002968C9" w14:textId="56D01103" w:rsidR="005F0BAD" w:rsidRDefault="005F0BAD">
      <w:pPr>
        <w:pStyle w:val="TOC1"/>
        <w:rPr>
          <w:rFonts w:asciiTheme="minorHAnsi" w:eastAsiaTheme="minorEastAsia" w:hAnsiTheme="minorHAnsi"/>
          <w:kern w:val="2"/>
          <w:szCs w:val="24"/>
          <w:lang w:eastAsia="en-AU"/>
          <w14:ligatures w14:val="standardContextual"/>
        </w:rPr>
      </w:pPr>
      <w:hyperlink w:anchor="_Toc227749013" w:history="1">
        <w:r w:rsidRPr="00EB34D0">
          <w:rPr>
            <w:rStyle w:val="Hyperlink"/>
          </w:rPr>
          <w:t>9</w:t>
        </w:r>
        <w:r>
          <w:rPr>
            <w:rFonts w:asciiTheme="minorHAnsi" w:eastAsiaTheme="minorEastAsia" w:hAnsiTheme="minorHAnsi"/>
            <w:kern w:val="2"/>
            <w:szCs w:val="24"/>
            <w:lang w:eastAsia="en-AU"/>
            <w14:ligatures w14:val="standardContextual"/>
          </w:rPr>
          <w:tab/>
        </w:r>
        <w:r w:rsidRPr="00EB34D0">
          <w:rPr>
            <w:rStyle w:val="Hyperlink"/>
          </w:rPr>
          <w:t>Portfolio Overview Section</w:t>
        </w:r>
        <w:r>
          <w:rPr>
            <w:webHidden/>
          </w:rPr>
          <w:tab/>
        </w:r>
        <w:r>
          <w:rPr>
            <w:webHidden/>
          </w:rPr>
          <w:fldChar w:fldCharType="begin"/>
        </w:r>
        <w:r>
          <w:rPr>
            <w:webHidden/>
          </w:rPr>
          <w:instrText xml:space="preserve"> PAGEREF _Toc227749013 \h </w:instrText>
        </w:r>
        <w:r>
          <w:rPr>
            <w:webHidden/>
          </w:rPr>
        </w:r>
        <w:r>
          <w:rPr>
            <w:webHidden/>
          </w:rPr>
          <w:fldChar w:fldCharType="separate"/>
        </w:r>
        <w:r>
          <w:rPr>
            <w:webHidden/>
          </w:rPr>
          <w:t>25</w:t>
        </w:r>
        <w:r>
          <w:rPr>
            <w:webHidden/>
          </w:rPr>
          <w:fldChar w:fldCharType="end"/>
        </w:r>
      </w:hyperlink>
    </w:p>
    <w:p w14:paraId="4FA5A92E" w14:textId="5EA1A0D6" w:rsidR="005F0BAD" w:rsidRDefault="005F0BAD">
      <w:pPr>
        <w:pStyle w:val="TOC2"/>
        <w:rPr>
          <w:rFonts w:asciiTheme="minorHAnsi" w:eastAsiaTheme="minorEastAsia" w:hAnsiTheme="minorHAnsi"/>
          <w:kern w:val="2"/>
          <w:sz w:val="24"/>
          <w:szCs w:val="24"/>
          <w:lang w:eastAsia="en-AU"/>
          <w14:ligatures w14:val="standardContextual"/>
        </w:rPr>
      </w:pPr>
      <w:hyperlink w:anchor="_Toc227749014" w:history="1">
        <w:r w:rsidRPr="00EB34D0">
          <w:rPr>
            <w:rStyle w:val="Hyperlink"/>
            <w:spacing w:val="-6"/>
          </w:rPr>
          <w:t>9.1</w:t>
        </w:r>
        <w:r>
          <w:rPr>
            <w:rFonts w:asciiTheme="minorHAnsi" w:eastAsiaTheme="minorEastAsia" w:hAnsiTheme="minorHAnsi"/>
            <w:kern w:val="2"/>
            <w:sz w:val="24"/>
            <w:szCs w:val="24"/>
            <w:lang w:eastAsia="en-AU"/>
            <w14:ligatures w14:val="standardContextual"/>
          </w:rPr>
          <w:tab/>
        </w:r>
        <w:r w:rsidRPr="00EB34D0">
          <w:rPr>
            <w:rStyle w:val="Hyperlink"/>
          </w:rPr>
          <w:t>Minister(s) and portfolio responsibilities</w:t>
        </w:r>
        <w:r>
          <w:rPr>
            <w:webHidden/>
          </w:rPr>
          <w:tab/>
        </w:r>
        <w:r>
          <w:rPr>
            <w:webHidden/>
          </w:rPr>
          <w:fldChar w:fldCharType="begin"/>
        </w:r>
        <w:r>
          <w:rPr>
            <w:webHidden/>
          </w:rPr>
          <w:instrText xml:space="preserve"> PAGEREF _Toc227749014 \h </w:instrText>
        </w:r>
        <w:r>
          <w:rPr>
            <w:webHidden/>
          </w:rPr>
        </w:r>
        <w:r>
          <w:rPr>
            <w:webHidden/>
          </w:rPr>
          <w:fldChar w:fldCharType="separate"/>
        </w:r>
        <w:r>
          <w:rPr>
            <w:webHidden/>
          </w:rPr>
          <w:t>26</w:t>
        </w:r>
        <w:r>
          <w:rPr>
            <w:webHidden/>
          </w:rPr>
          <w:fldChar w:fldCharType="end"/>
        </w:r>
      </w:hyperlink>
    </w:p>
    <w:p w14:paraId="21583277" w14:textId="27F806CD" w:rsidR="005F0BAD" w:rsidRDefault="005F0BAD">
      <w:pPr>
        <w:pStyle w:val="TOC2"/>
        <w:rPr>
          <w:rFonts w:asciiTheme="minorHAnsi" w:eastAsiaTheme="minorEastAsia" w:hAnsiTheme="minorHAnsi"/>
          <w:kern w:val="2"/>
          <w:sz w:val="24"/>
          <w:szCs w:val="24"/>
          <w:lang w:eastAsia="en-AU"/>
          <w14:ligatures w14:val="standardContextual"/>
        </w:rPr>
      </w:pPr>
      <w:hyperlink w:anchor="_Toc227749015" w:history="1">
        <w:r w:rsidRPr="00EB34D0">
          <w:rPr>
            <w:rStyle w:val="Hyperlink"/>
            <w:spacing w:val="-6"/>
          </w:rPr>
          <w:t>9.2</w:t>
        </w:r>
        <w:r>
          <w:rPr>
            <w:rFonts w:asciiTheme="minorHAnsi" w:eastAsiaTheme="minorEastAsia" w:hAnsiTheme="minorHAnsi"/>
            <w:kern w:val="2"/>
            <w:sz w:val="24"/>
            <w:szCs w:val="24"/>
            <w:lang w:eastAsia="en-AU"/>
            <w14:ligatures w14:val="standardContextual"/>
          </w:rPr>
          <w:tab/>
        </w:r>
        <w:r w:rsidRPr="00EB34D0">
          <w:rPr>
            <w:rStyle w:val="Hyperlink"/>
          </w:rPr>
          <w:t>Portfolio structure and outcomes</w:t>
        </w:r>
        <w:r>
          <w:rPr>
            <w:webHidden/>
          </w:rPr>
          <w:tab/>
        </w:r>
        <w:r>
          <w:rPr>
            <w:webHidden/>
          </w:rPr>
          <w:fldChar w:fldCharType="begin"/>
        </w:r>
        <w:r>
          <w:rPr>
            <w:webHidden/>
          </w:rPr>
          <w:instrText xml:space="preserve"> PAGEREF _Toc227749015 \h </w:instrText>
        </w:r>
        <w:r>
          <w:rPr>
            <w:webHidden/>
          </w:rPr>
        </w:r>
        <w:r>
          <w:rPr>
            <w:webHidden/>
          </w:rPr>
          <w:fldChar w:fldCharType="separate"/>
        </w:r>
        <w:r>
          <w:rPr>
            <w:webHidden/>
          </w:rPr>
          <w:t>26</w:t>
        </w:r>
        <w:r>
          <w:rPr>
            <w:webHidden/>
          </w:rPr>
          <w:fldChar w:fldCharType="end"/>
        </w:r>
      </w:hyperlink>
    </w:p>
    <w:p w14:paraId="4F94BE8B" w14:textId="646B4C4B" w:rsidR="005F0BAD" w:rsidRDefault="005F0BAD">
      <w:pPr>
        <w:pStyle w:val="TOC1"/>
        <w:rPr>
          <w:rFonts w:asciiTheme="minorHAnsi" w:eastAsiaTheme="minorEastAsia" w:hAnsiTheme="minorHAnsi"/>
          <w:kern w:val="2"/>
          <w:szCs w:val="24"/>
          <w:lang w:eastAsia="en-AU"/>
          <w14:ligatures w14:val="standardContextual"/>
        </w:rPr>
      </w:pPr>
      <w:hyperlink w:anchor="_Toc227749016" w:history="1">
        <w:r w:rsidRPr="00EB34D0">
          <w:rPr>
            <w:rStyle w:val="Hyperlink"/>
          </w:rPr>
          <w:t>10</w:t>
        </w:r>
        <w:r>
          <w:rPr>
            <w:rFonts w:asciiTheme="minorHAnsi" w:eastAsiaTheme="minorEastAsia" w:hAnsiTheme="minorHAnsi"/>
            <w:kern w:val="2"/>
            <w:szCs w:val="24"/>
            <w:lang w:eastAsia="en-AU"/>
            <w14:ligatures w14:val="standardContextual"/>
          </w:rPr>
          <w:tab/>
        </w:r>
        <w:r w:rsidRPr="00EB34D0">
          <w:rPr>
            <w:rStyle w:val="Hyperlink"/>
          </w:rPr>
          <w:t>Entity overview and resources - Section 1</w:t>
        </w:r>
        <w:r>
          <w:rPr>
            <w:webHidden/>
          </w:rPr>
          <w:tab/>
        </w:r>
        <w:r>
          <w:rPr>
            <w:webHidden/>
          </w:rPr>
          <w:fldChar w:fldCharType="begin"/>
        </w:r>
        <w:r>
          <w:rPr>
            <w:webHidden/>
          </w:rPr>
          <w:instrText xml:space="preserve"> PAGEREF _Toc227749016 \h </w:instrText>
        </w:r>
        <w:r>
          <w:rPr>
            <w:webHidden/>
          </w:rPr>
        </w:r>
        <w:r>
          <w:rPr>
            <w:webHidden/>
          </w:rPr>
          <w:fldChar w:fldCharType="separate"/>
        </w:r>
        <w:r>
          <w:rPr>
            <w:webHidden/>
          </w:rPr>
          <w:t>26</w:t>
        </w:r>
        <w:r>
          <w:rPr>
            <w:webHidden/>
          </w:rPr>
          <w:fldChar w:fldCharType="end"/>
        </w:r>
      </w:hyperlink>
    </w:p>
    <w:p w14:paraId="185EC6FF" w14:textId="4A4D1C63" w:rsidR="005F0BAD" w:rsidRDefault="005F0BAD">
      <w:pPr>
        <w:pStyle w:val="TOC2"/>
        <w:rPr>
          <w:rFonts w:asciiTheme="minorHAnsi" w:eastAsiaTheme="minorEastAsia" w:hAnsiTheme="minorHAnsi"/>
          <w:kern w:val="2"/>
          <w:sz w:val="24"/>
          <w:szCs w:val="24"/>
          <w:lang w:eastAsia="en-AU"/>
          <w14:ligatures w14:val="standardContextual"/>
        </w:rPr>
      </w:pPr>
      <w:hyperlink w:anchor="_Toc227749017" w:history="1">
        <w:r w:rsidRPr="00EB34D0">
          <w:rPr>
            <w:rStyle w:val="Hyperlink"/>
          </w:rPr>
          <w:t>10.1</w:t>
        </w:r>
        <w:r>
          <w:rPr>
            <w:rFonts w:asciiTheme="minorHAnsi" w:eastAsiaTheme="minorEastAsia" w:hAnsiTheme="minorHAnsi"/>
            <w:kern w:val="2"/>
            <w:sz w:val="24"/>
            <w:szCs w:val="24"/>
            <w:lang w:eastAsia="en-AU"/>
            <w14:ligatures w14:val="standardContextual"/>
          </w:rPr>
          <w:tab/>
        </w:r>
        <w:r w:rsidRPr="00EB34D0">
          <w:rPr>
            <w:rStyle w:val="Hyperlink"/>
          </w:rPr>
          <w:t>Strategic direction statement</w:t>
        </w:r>
        <w:r>
          <w:rPr>
            <w:webHidden/>
          </w:rPr>
          <w:tab/>
        </w:r>
        <w:r>
          <w:rPr>
            <w:webHidden/>
          </w:rPr>
          <w:fldChar w:fldCharType="begin"/>
        </w:r>
        <w:r>
          <w:rPr>
            <w:webHidden/>
          </w:rPr>
          <w:instrText xml:space="preserve"> PAGEREF _Toc227749017 \h </w:instrText>
        </w:r>
        <w:r>
          <w:rPr>
            <w:webHidden/>
          </w:rPr>
        </w:r>
        <w:r>
          <w:rPr>
            <w:webHidden/>
          </w:rPr>
          <w:fldChar w:fldCharType="separate"/>
        </w:r>
        <w:r>
          <w:rPr>
            <w:webHidden/>
          </w:rPr>
          <w:t>27</w:t>
        </w:r>
        <w:r>
          <w:rPr>
            <w:webHidden/>
          </w:rPr>
          <w:fldChar w:fldCharType="end"/>
        </w:r>
      </w:hyperlink>
    </w:p>
    <w:p w14:paraId="0704D8B7" w14:textId="3911F802" w:rsidR="005F0BAD" w:rsidRDefault="005F0BAD">
      <w:pPr>
        <w:pStyle w:val="TOC2"/>
        <w:rPr>
          <w:rFonts w:asciiTheme="minorHAnsi" w:eastAsiaTheme="minorEastAsia" w:hAnsiTheme="minorHAnsi"/>
          <w:kern w:val="2"/>
          <w:sz w:val="24"/>
          <w:szCs w:val="24"/>
          <w:lang w:eastAsia="en-AU"/>
          <w14:ligatures w14:val="standardContextual"/>
        </w:rPr>
      </w:pPr>
      <w:hyperlink w:anchor="_Toc227749018" w:history="1">
        <w:r w:rsidRPr="00EB34D0">
          <w:rPr>
            <w:rStyle w:val="Hyperlink"/>
          </w:rPr>
          <w:t>10.2</w:t>
        </w:r>
        <w:r>
          <w:rPr>
            <w:rFonts w:asciiTheme="minorHAnsi" w:eastAsiaTheme="minorEastAsia" w:hAnsiTheme="minorHAnsi"/>
            <w:kern w:val="2"/>
            <w:sz w:val="24"/>
            <w:szCs w:val="24"/>
            <w:lang w:eastAsia="en-AU"/>
            <w14:ligatures w14:val="standardContextual"/>
          </w:rPr>
          <w:tab/>
        </w:r>
        <w:r w:rsidRPr="00EB34D0">
          <w:rPr>
            <w:rStyle w:val="Hyperlink"/>
          </w:rPr>
          <w:t>Entity resource statement</w:t>
        </w:r>
        <w:r>
          <w:rPr>
            <w:webHidden/>
          </w:rPr>
          <w:tab/>
        </w:r>
        <w:r>
          <w:rPr>
            <w:webHidden/>
          </w:rPr>
          <w:fldChar w:fldCharType="begin"/>
        </w:r>
        <w:r>
          <w:rPr>
            <w:webHidden/>
          </w:rPr>
          <w:instrText xml:space="preserve"> PAGEREF _Toc227749018 \h </w:instrText>
        </w:r>
        <w:r>
          <w:rPr>
            <w:webHidden/>
          </w:rPr>
        </w:r>
        <w:r>
          <w:rPr>
            <w:webHidden/>
          </w:rPr>
          <w:fldChar w:fldCharType="separate"/>
        </w:r>
        <w:r>
          <w:rPr>
            <w:webHidden/>
          </w:rPr>
          <w:t>27</w:t>
        </w:r>
        <w:r>
          <w:rPr>
            <w:webHidden/>
          </w:rPr>
          <w:fldChar w:fldCharType="end"/>
        </w:r>
      </w:hyperlink>
    </w:p>
    <w:p w14:paraId="5FFAA12C" w14:textId="7C5CA261" w:rsidR="005F0BAD" w:rsidRDefault="005F0BAD">
      <w:pPr>
        <w:pStyle w:val="TOC2"/>
        <w:rPr>
          <w:rFonts w:asciiTheme="minorHAnsi" w:eastAsiaTheme="minorEastAsia" w:hAnsiTheme="minorHAnsi"/>
          <w:kern w:val="2"/>
          <w:sz w:val="24"/>
          <w:szCs w:val="24"/>
          <w:lang w:eastAsia="en-AU"/>
          <w14:ligatures w14:val="standardContextual"/>
        </w:rPr>
      </w:pPr>
      <w:hyperlink w:anchor="_Toc227749019" w:history="1">
        <w:r w:rsidRPr="00EB34D0">
          <w:rPr>
            <w:rStyle w:val="Hyperlink"/>
          </w:rPr>
          <w:t>10.3</w:t>
        </w:r>
        <w:r>
          <w:rPr>
            <w:rFonts w:asciiTheme="minorHAnsi" w:eastAsiaTheme="minorEastAsia" w:hAnsiTheme="minorHAnsi"/>
            <w:kern w:val="2"/>
            <w:sz w:val="24"/>
            <w:szCs w:val="24"/>
            <w:lang w:eastAsia="en-AU"/>
            <w14:ligatures w14:val="standardContextual"/>
          </w:rPr>
          <w:tab/>
        </w:r>
        <w:r w:rsidRPr="00EB34D0">
          <w:rPr>
            <w:rStyle w:val="Hyperlink"/>
          </w:rPr>
          <w:t>Payments to the states</w:t>
        </w:r>
        <w:r>
          <w:rPr>
            <w:webHidden/>
          </w:rPr>
          <w:tab/>
        </w:r>
        <w:r>
          <w:rPr>
            <w:webHidden/>
          </w:rPr>
          <w:fldChar w:fldCharType="begin"/>
        </w:r>
        <w:r>
          <w:rPr>
            <w:webHidden/>
          </w:rPr>
          <w:instrText xml:space="preserve"> PAGEREF _Toc227749019 \h </w:instrText>
        </w:r>
        <w:r>
          <w:rPr>
            <w:webHidden/>
          </w:rPr>
        </w:r>
        <w:r>
          <w:rPr>
            <w:webHidden/>
          </w:rPr>
          <w:fldChar w:fldCharType="separate"/>
        </w:r>
        <w:r>
          <w:rPr>
            <w:webHidden/>
          </w:rPr>
          <w:t>27</w:t>
        </w:r>
        <w:r>
          <w:rPr>
            <w:webHidden/>
          </w:rPr>
          <w:fldChar w:fldCharType="end"/>
        </w:r>
      </w:hyperlink>
    </w:p>
    <w:p w14:paraId="2D05F3C5" w14:textId="728FEEE6" w:rsidR="005F0BAD" w:rsidRDefault="005F0BAD">
      <w:pPr>
        <w:pStyle w:val="TOC2"/>
        <w:rPr>
          <w:rFonts w:asciiTheme="minorHAnsi" w:eastAsiaTheme="minorEastAsia" w:hAnsiTheme="minorHAnsi"/>
          <w:kern w:val="2"/>
          <w:sz w:val="24"/>
          <w:szCs w:val="24"/>
          <w:lang w:eastAsia="en-AU"/>
          <w14:ligatures w14:val="standardContextual"/>
        </w:rPr>
      </w:pPr>
      <w:hyperlink w:anchor="_Toc227749020" w:history="1">
        <w:r w:rsidRPr="00EB34D0">
          <w:rPr>
            <w:rStyle w:val="Hyperlink"/>
          </w:rPr>
          <w:t>10.4</w:t>
        </w:r>
        <w:r>
          <w:rPr>
            <w:rFonts w:asciiTheme="minorHAnsi" w:eastAsiaTheme="minorEastAsia" w:hAnsiTheme="minorHAnsi"/>
            <w:kern w:val="2"/>
            <w:sz w:val="24"/>
            <w:szCs w:val="24"/>
            <w:lang w:eastAsia="en-AU"/>
            <w14:ligatures w14:val="standardContextual"/>
          </w:rPr>
          <w:tab/>
        </w:r>
        <w:r w:rsidRPr="00EB34D0">
          <w:rPr>
            <w:rStyle w:val="Hyperlink"/>
          </w:rPr>
          <w:t>Additional guidance on cash management reports and Appropriation Bills</w:t>
        </w:r>
        <w:r>
          <w:rPr>
            <w:webHidden/>
          </w:rPr>
          <w:tab/>
        </w:r>
        <w:r>
          <w:rPr>
            <w:webHidden/>
          </w:rPr>
          <w:fldChar w:fldCharType="begin"/>
        </w:r>
        <w:r>
          <w:rPr>
            <w:webHidden/>
          </w:rPr>
          <w:instrText xml:space="preserve"> PAGEREF _Toc227749020 \h </w:instrText>
        </w:r>
        <w:r>
          <w:rPr>
            <w:webHidden/>
          </w:rPr>
        </w:r>
        <w:r>
          <w:rPr>
            <w:webHidden/>
          </w:rPr>
          <w:fldChar w:fldCharType="separate"/>
        </w:r>
        <w:r>
          <w:rPr>
            <w:webHidden/>
          </w:rPr>
          <w:t>28</w:t>
        </w:r>
        <w:r>
          <w:rPr>
            <w:webHidden/>
          </w:rPr>
          <w:fldChar w:fldCharType="end"/>
        </w:r>
      </w:hyperlink>
    </w:p>
    <w:p w14:paraId="58659DCA" w14:textId="4FC4120C" w:rsidR="005F0BAD" w:rsidRDefault="005F0BAD">
      <w:pPr>
        <w:pStyle w:val="TOC2"/>
        <w:rPr>
          <w:rFonts w:asciiTheme="minorHAnsi" w:eastAsiaTheme="minorEastAsia" w:hAnsiTheme="minorHAnsi"/>
          <w:kern w:val="2"/>
          <w:sz w:val="24"/>
          <w:szCs w:val="24"/>
          <w:lang w:eastAsia="en-AU"/>
          <w14:ligatures w14:val="standardContextual"/>
        </w:rPr>
      </w:pPr>
      <w:hyperlink w:anchor="_Toc227749021" w:history="1">
        <w:r w:rsidRPr="00EB34D0">
          <w:rPr>
            <w:rStyle w:val="Hyperlink"/>
          </w:rPr>
          <w:t>10.5</w:t>
        </w:r>
        <w:r>
          <w:rPr>
            <w:rFonts w:asciiTheme="minorHAnsi" w:eastAsiaTheme="minorEastAsia" w:hAnsiTheme="minorHAnsi"/>
            <w:kern w:val="2"/>
            <w:sz w:val="24"/>
            <w:szCs w:val="24"/>
            <w:lang w:eastAsia="en-AU"/>
            <w14:ligatures w14:val="standardContextual"/>
          </w:rPr>
          <w:tab/>
        </w:r>
        <w:r w:rsidRPr="00EB34D0">
          <w:rPr>
            <w:rStyle w:val="Hyperlink"/>
          </w:rPr>
          <w:t>Resource statement - Table 1.1</w:t>
        </w:r>
        <w:r>
          <w:rPr>
            <w:webHidden/>
          </w:rPr>
          <w:tab/>
        </w:r>
        <w:r>
          <w:rPr>
            <w:webHidden/>
          </w:rPr>
          <w:fldChar w:fldCharType="begin"/>
        </w:r>
        <w:r>
          <w:rPr>
            <w:webHidden/>
          </w:rPr>
          <w:instrText xml:space="preserve"> PAGEREF _Toc227749021 \h </w:instrText>
        </w:r>
        <w:r>
          <w:rPr>
            <w:webHidden/>
          </w:rPr>
        </w:r>
        <w:r>
          <w:rPr>
            <w:webHidden/>
          </w:rPr>
          <w:fldChar w:fldCharType="separate"/>
        </w:r>
        <w:r>
          <w:rPr>
            <w:webHidden/>
          </w:rPr>
          <w:t>29</w:t>
        </w:r>
        <w:r>
          <w:rPr>
            <w:webHidden/>
          </w:rPr>
          <w:fldChar w:fldCharType="end"/>
        </w:r>
      </w:hyperlink>
    </w:p>
    <w:p w14:paraId="4D632453" w14:textId="6C4F85CF" w:rsidR="005F0BAD" w:rsidRDefault="005F0BAD">
      <w:pPr>
        <w:pStyle w:val="TOC2"/>
        <w:rPr>
          <w:rFonts w:asciiTheme="minorHAnsi" w:eastAsiaTheme="minorEastAsia" w:hAnsiTheme="minorHAnsi"/>
          <w:kern w:val="2"/>
          <w:sz w:val="24"/>
          <w:szCs w:val="24"/>
          <w:lang w:eastAsia="en-AU"/>
          <w14:ligatures w14:val="standardContextual"/>
        </w:rPr>
      </w:pPr>
      <w:hyperlink w:anchor="_Toc227749022" w:history="1">
        <w:r w:rsidRPr="00EB34D0">
          <w:rPr>
            <w:rStyle w:val="Hyperlink"/>
          </w:rPr>
          <w:t>10.6</w:t>
        </w:r>
        <w:r>
          <w:rPr>
            <w:rFonts w:asciiTheme="minorHAnsi" w:eastAsiaTheme="minorEastAsia" w:hAnsiTheme="minorHAnsi"/>
            <w:kern w:val="2"/>
            <w:sz w:val="24"/>
            <w:szCs w:val="24"/>
            <w:lang w:eastAsia="en-AU"/>
            <w14:ligatures w14:val="standardContextual"/>
          </w:rPr>
          <w:tab/>
        </w:r>
        <w:r w:rsidRPr="00EB34D0">
          <w:rPr>
            <w:rStyle w:val="Hyperlink"/>
          </w:rPr>
          <w:t>Annual Appropriations – ordinary annual services</w:t>
        </w:r>
        <w:r>
          <w:rPr>
            <w:webHidden/>
          </w:rPr>
          <w:tab/>
        </w:r>
        <w:r>
          <w:rPr>
            <w:webHidden/>
          </w:rPr>
          <w:fldChar w:fldCharType="begin"/>
        </w:r>
        <w:r>
          <w:rPr>
            <w:webHidden/>
          </w:rPr>
          <w:instrText xml:space="preserve"> PAGEREF _Toc227749022 \h </w:instrText>
        </w:r>
        <w:r>
          <w:rPr>
            <w:webHidden/>
          </w:rPr>
        </w:r>
        <w:r>
          <w:rPr>
            <w:webHidden/>
          </w:rPr>
          <w:fldChar w:fldCharType="separate"/>
        </w:r>
        <w:r>
          <w:rPr>
            <w:webHidden/>
          </w:rPr>
          <w:t>29</w:t>
        </w:r>
        <w:r>
          <w:rPr>
            <w:webHidden/>
          </w:rPr>
          <w:fldChar w:fldCharType="end"/>
        </w:r>
      </w:hyperlink>
    </w:p>
    <w:p w14:paraId="6F756B1A" w14:textId="7B8CF534" w:rsidR="005F0BAD" w:rsidRDefault="005F0BAD">
      <w:pPr>
        <w:pStyle w:val="TOC2"/>
        <w:rPr>
          <w:rFonts w:asciiTheme="minorHAnsi" w:eastAsiaTheme="minorEastAsia" w:hAnsiTheme="minorHAnsi"/>
          <w:kern w:val="2"/>
          <w:sz w:val="24"/>
          <w:szCs w:val="24"/>
          <w:lang w:eastAsia="en-AU"/>
          <w14:ligatures w14:val="standardContextual"/>
        </w:rPr>
      </w:pPr>
      <w:hyperlink w:anchor="_Toc227749023" w:history="1">
        <w:r w:rsidRPr="00EB34D0">
          <w:rPr>
            <w:rStyle w:val="Hyperlink"/>
          </w:rPr>
          <w:t>10.7</w:t>
        </w:r>
        <w:r>
          <w:rPr>
            <w:rFonts w:asciiTheme="minorHAnsi" w:eastAsiaTheme="minorEastAsia" w:hAnsiTheme="minorHAnsi"/>
            <w:kern w:val="2"/>
            <w:sz w:val="24"/>
            <w:szCs w:val="24"/>
            <w:lang w:eastAsia="en-AU"/>
            <w14:ligatures w14:val="standardContextual"/>
          </w:rPr>
          <w:tab/>
        </w:r>
        <w:r w:rsidRPr="00EB34D0">
          <w:rPr>
            <w:rStyle w:val="Hyperlink"/>
          </w:rPr>
          <w:t>Annual Appropriations Repeal / Sunsetting Provisions and s51 PGPA Act Withholdings</w:t>
        </w:r>
        <w:r>
          <w:rPr>
            <w:webHidden/>
          </w:rPr>
          <w:tab/>
        </w:r>
        <w:r>
          <w:rPr>
            <w:webHidden/>
          </w:rPr>
          <w:fldChar w:fldCharType="begin"/>
        </w:r>
        <w:r>
          <w:rPr>
            <w:webHidden/>
          </w:rPr>
          <w:instrText xml:space="preserve"> PAGEREF _Toc227749023 \h </w:instrText>
        </w:r>
        <w:r>
          <w:rPr>
            <w:webHidden/>
          </w:rPr>
        </w:r>
        <w:r>
          <w:rPr>
            <w:webHidden/>
          </w:rPr>
          <w:fldChar w:fldCharType="separate"/>
        </w:r>
        <w:r>
          <w:rPr>
            <w:webHidden/>
          </w:rPr>
          <w:t>29</w:t>
        </w:r>
        <w:r>
          <w:rPr>
            <w:webHidden/>
          </w:rPr>
          <w:fldChar w:fldCharType="end"/>
        </w:r>
      </w:hyperlink>
    </w:p>
    <w:p w14:paraId="069AB451" w14:textId="619BD116" w:rsidR="005F0BAD" w:rsidRDefault="005F0BAD">
      <w:pPr>
        <w:pStyle w:val="TOC2"/>
        <w:rPr>
          <w:rFonts w:asciiTheme="minorHAnsi" w:eastAsiaTheme="minorEastAsia" w:hAnsiTheme="minorHAnsi"/>
          <w:kern w:val="2"/>
          <w:sz w:val="24"/>
          <w:szCs w:val="24"/>
          <w:lang w:eastAsia="en-AU"/>
          <w14:ligatures w14:val="standardContextual"/>
        </w:rPr>
      </w:pPr>
      <w:hyperlink w:anchor="_Toc227749024" w:history="1">
        <w:r w:rsidRPr="00EB34D0">
          <w:rPr>
            <w:rStyle w:val="Hyperlink"/>
          </w:rPr>
          <w:t>10.8</w:t>
        </w:r>
        <w:r>
          <w:rPr>
            <w:rFonts w:asciiTheme="minorHAnsi" w:eastAsiaTheme="minorEastAsia" w:hAnsiTheme="minorHAnsi"/>
            <w:kern w:val="2"/>
            <w:sz w:val="24"/>
            <w:szCs w:val="24"/>
            <w:lang w:eastAsia="en-AU"/>
            <w14:ligatures w14:val="standardContextual"/>
          </w:rPr>
          <w:tab/>
        </w:r>
        <w:r w:rsidRPr="00EB34D0">
          <w:rPr>
            <w:rStyle w:val="Hyperlink"/>
          </w:rPr>
          <w:t>Prior year annual appropriation balances</w:t>
        </w:r>
        <w:r>
          <w:rPr>
            <w:webHidden/>
          </w:rPr>
          <w:tab/>
        </w:r>
        <w:r>
          <w:rPr>
            <w:webHidden/>
          </w:rPr>
          <w:fldChar w:fldCharType="begin"/>
        </w:r>
        <w:r>
          <w:rPr>
            <w:webHidden/>
          </w:rPr>
          <w:instrText xml:space="preserve"> PAGEREF _Toc227749024 \h </w:instrText>
        </w:r>
        <w:r>
          <w:rPr>
            <w:webHidden/>
          </w:rPr>
        </w:r>
        <w:r>
          <w:rPr>
            <w:webHidden/>
          </w:rPr>
          <w:fldChar w:fldCharType="separate"/>
        </w:r>
        <w:r>
          <w:rPr>
            <w:webHidden/>
          </w:rPr>
          <w:t>30</w:t>
        </w:r>
        <w:r>
          <w:rPr>
            <w:webHidden/>
          </w:rPr>
          <w:fldChar w:fldCharType="end"/>
        </w:r>
      </w:hyperlink>
    </w:p>
    <w:p w14:paraId="7804423E" w14:textId="7528B923" w:rsidR="005F0BAD" w:rsidRDefault="005F0BAD">
      <w:pPr>
        <w:pStyle w:val="TOC2"/>
        <w:rPr>
          <w:rFonts w:asciiTheme="minorHAnsi" w:eastAsiaTheme="minorEastAsia" w:hAnsiTheme="minorHAnsi"/>
          <w:kern w:val="2"/>
          <w:sz w:val="24"/>
          <w:szCs w:val="24"/>
          <w:lang w:eastAsia="en-AU"/>
          <w14:ligatures w14:val="standardContextual"/>
        </w:rPr>
      </w:pPr>
      <w:hyperlink w:anchor="_Toc227749025" w:history="1">
        <w:r w:rsidRPr="00EB34D0">
          <w:rPr>
            <w:rStyle w:val="Hyperlink"/>
          </w:rPr>
          <w:t>10.9</w:t>
        </w:r>
        <w:r>
          <w:rPr>
            <w:rFonts w:asciiTheme="minorHAnsi" w:eastAsiaTheme="minorEastAsia" w:hAnsiTheme="minorHAnsi"/>
            <w:kern w:val="2"/>
            <w:sz w:val="24"/>
            <w:szCs w:val="24"/>
            <w:lang w:eastAsia="en-AU"/>
            <w14:ligatures w14:val="standardContextual"/>
          </w:rPr>
          <w:tab/>
        </w:r>
        <w:r w:rsidRPr="00EB34D0">
          <w:rPr>
            <w:rStyle w:val="Hyperlink"/>
          </w:rPr>
          <w:t>Departmental / administered capital budget</w:t>
        </w:r>
        <w:r>
          <w:rPr>
            <w:webHidden/>
          </w:rPr>
          <w:tab/>
        </w:r>
        <w:r>
          <w:rPr>
            <w:webHidden/>
          </w:rPr>
          <w:fldChar w:fldCharType="begin"/>
        </w:r>
        <w:r>
          <w:rPr>
            <w:webHidden/>
          </w:rPr>
          <w:instrText xml:space="preserve"> PAGEREF _Toc227749025 \h </w:instrText>
        </w:r>
        <w:r>
          <w:rPr>
            <w:webHidden/>
          </w:rPr>
        </w:r>
        <w:r>
          <w:rPr>
            <w:webHidden/>
          </w:rPr>
          <w:fldChar w:fldCharType="separate"/>
        </w:r>
        <w:r>
          <w:rPr>
            <w:webHidden/>
          </w:rPr>
          <w:t>30</w:t>
        </w:r>
        <w:r>
          <w:rPr>
            <w:webHidden/>
          </w:rPr>
          <w:fldChar w:fldCharType="end"/>
        </w:r>
      </w:hyperlink>
    </w:p>
    <w:p w14:paraId="566E34EA" w14:textId="39BB39BE" w:rsidR="005F0BAD" w:rsidRDefault="005F0BAD">
      <w:pPr>
        <w:pStyle w:val="TOC2"/>
        <w:rPr>
          <w:rFonts w:asciiTheme="minorHAnsi" w:eastAsiaTheme="minorEastAsia" w:hAnsiTheme="minorHAnsi"/>
          <w:kern w:val="2"/>
          <w:sz w:val="24"/>
          <w:szCs w:val="24"/>
          <w:lang w:eastAsia="en-AU"/>
          <w14:ligatures w14:val="standardContextual"/>
        </w:rPr>
      </w:pPr>
      <w:hyperlink w:anchor="_Toc227749026" w:history="1">
        <w:r w:rsidRPr="00EB34D0">
          <w:rPr>
            <w:rStyle w:val="Hyperlink"/>
          </w:rPr>
          <w:t>10.10</w:t>
        </w:r>
        <w:r>
          <w:rPr>
            <w:rFonts w:asciiTheme="minorHAnsi" w:eastAsiaTheme="minorEastAsia" w:hAnsiTheme="minorHAnsi"/>
            <w:kern w:val="2"/>
            <w:sz w:val="24"/>
            <w:szCs w:val="24"/>
            <w:lang w:eastAsia="en-AU"/>
            <w14:ligatures w14:val="standardContextual"/>
          </w:rPr>
          <w:tab/>
        </w:r>
        <w:r w:rsidRPr="00EB34D0">
          <w:rPr>
            <w:rStyle w:val="Hyperlink"/>
          </w:rPr>
          <w:t>Annual Appropriations – other services</w:t>
        </w:r>
        <w:r>
          <w:rPr>
            <w:webHidden/>
          </w:rPr>
          <w:tab/>
        </w:r>
        <w:r>
          <w:rPr>
            <w:webHidden/>
          </w:rPr>
          <w:fldChar w:fldCharType="begin"/>
        </w:r>
        <w:r>
          <w:rPr>
            <w:webHidden/>
          </w:rPr>
          <w:instrText xml:space="preserve"> PAGEREF _Toc227749026 \h </w:instrText>
        </w:r>
        <w:r>
          <w:rPr>
            <w:webHidden/>
          </w:rPr>
        </w:r>
        <w:r>
          <w:rPr>
            <w:webHidden/>
          </w:rPr>
          <w:fldChar w:fldCharType="separate"/>
        </w:r>
        <w:r>
          <w:rPr>
            <w:webHidden/>
          </w:rPr>
          <w:t>30</w:t>
        </w:r>
        <w:r>
          <w:rPr>
            <w:webHidden/>
          </w:rPr>
          <w:fldChar w:fldCharType="end"/>
        </w:r>
      </w:hyperlink>
    </w:p>
    <w:p w14:paraId="5CF0E087" w14:textId="2FB397FC" w:rsidR="005F0BAD" w:rsidRDefault="005F0BAD">
      <w:pPr>
        <w:pStyle w:val="TOC2"/>
        <w:rPr>
          <w:rFonts w:asciiTheme="minorHAnsi" w:eastAsiaTheme="minorEastAsia" w:hAnsiTheme="minorHAnsi"/>
          <w:kern w:val="2"/>
          <w:sz w:val="24"/>
          <w:szCs w:val="24"/>
          <w:lang w:eastAsia="en-AU"/>
          <w14:ligatures w14:val="standardContextual"/>
        </w:rPr>
      </w:pPr>
      <w:hyperlink w:anchor="_Toc227749027" w:history="1">
        <w:r w:rsidRPr="00EB34D0">
          <w:rPr>
            <w:rStyle w:val="Hyperlink"/>
          </w:rPr>
          <w:t>10.11</w:t>
        </w:r>
        <w:r>
          <w:rPr>
            <w:rFonts w:asciiTheme="minorHAnsi" w:eastAsiaTheme="minorEastAsia" w:hAnsiTheme="minorHAnsi"/>
            <w:kern w:val="2"/>
            <w:sz w:val="24"/>
            <w:szCs w:val="24"/>
            <w:lang w:eastAsia="en-AU"/>
            <w14:ligatures w14:val="standardContextual"/>
          </w:rPr>
          <w:tab/>
        </w:r>
        <w:r w:rsidRPr="00EB34D0">
          <w:rPr>
            <w:rStyle w:val="Hyperlink"/>
          </w:rPr>
          <w:t>s74 External Revenue</w:t>
        </w:r>
        <w:r>
          <w:rPr>
            <w:webHidden/>
          </w:rPr>
          <w:tab/>
        </w:r>
        <w:r>
          <w:rPr>
            <w:webHidden/>
          </w:rPr>
          <w:fldChar w:fldCharType="begin"/>
        </w:r>
        <w:r>
          <w:rPr>
            <w:webHidden/>
          </w:rPr>
          <w:instrText xml:space="preserve"> PAGEREF _Toc227749027 \h </w:instrText>
        </w:r>
        <w:r>
          <w:rPr>
            <w:webHidden/>
          </w:rPr>
        </w:r>
        <w:r>
          <w:rPr>
            <w:webHidden/>
          </w:rPr>
          <w:fldChar w:fldCharType="separate"/>
        </w:r>
        <w:r>
          <w:rPr>
            <w:webHidden/>
          </w:rPr>
          <w:t>31</w:t>
        </w:r>
        <w:r>
          <w:rPr>
            <w:webHidden/>
          </w:rPr>
          <w:fldChar w:fldCharType="end"/>
        </w:r>
      </w:hyperlink>
    </w:p>
    <w:p w14:paraId="1FE28DFC" w14:textId="30833F95" w:rsidR="005F0BAD" w:rsidRDefault="005F0BAD">
      <w:pPr>
        <w:pStyle w:val="TOC2"/>
        <w:rPr>
          <w:rFonts w:asciiTheme="minorHAnsi" w:eastAsiaTheme="minorEastAsia" w:hAnsiTheme="minorHAnsi"/>
          <w:kern w:val="2"/>
          <w:sz w:val="24"/>
          <w:szCs w:val="24"/>
          <w:lang w:eastAsia="en-AU"/>
          <w14:ligatures w14:val="standardContextual"/>
        </w:rPr>
      </w:pPr>
      <w:hyperlink w:anchor="_Toc227749028" w:history="1">
        <w:r w:rsidRPr="00EB34D0">
          <w:rPr>
            <w:rStyle w:val="Hyperlink"/>
          </w:rPr>
          <w:t>10.12</w:t>
        </w:r>
        <w:r>
          <w:rPr>
            <w:rFonts w:asciiTheme="minorHAnsi" w:eastAsiaTheme="minorEastAsia" w:hAnsiTheme="minorHAnsi"/>
            <w:kern w:val="2"/>
            <w:sz w:val="24"/>
            <w:szCs w:val="24"/>
            <w:lang w:eastAsia="en-AU"/>
            <w14:ligatures w14:val="standardContextual"/>
          </w:rPr>
          <w:tab/>
        </w:r>
        <w:r w:rsidRPr="00EB34D0">
          <w:rPr>
            <w:rStyle w:val="Hyperlink"/>
          </w:rPr>
          <w:t>Special appropriations</w:t>
        </w:r>
        <w:r>
          <w:rPr>
            <w:webHidden/>
          </w:rPr>
          <w:tab/>
        </w:r>
        <w:r>
          <w:rPr>
            <w:webHidden/>
          </w:rPr>
          <w:fldChar w:fldCharType="begin"/>
        </w:r>
        <w:r>
          <w:rPr>
            <w:webHidden/>
          </w:rPr>
          <w:instrText xml:space="preserve"> PAGEREF _Toc227749028 \h </w:instrText>
        </w:r>
        <w:r>
          <w:rPr>
            <w:webHidden/>
          </w:rPr>
        </w:r>
        <w:r>
          <w:rPr>
            <w:webHidden/>
          </w:rPr>
          <w:fldChar w:fldCharType="separate"/>
        </w:r>
        <w:r>
          <w:rPr>
            <w:webHidden/>
          </w:rPr>
          <w:t>31</w:t>
        </w:r>
        <w:r>
          <w:rPr>
            <w:webHidden/>
          </w:rPr>
          <w:fldChar w:fldCharType="end"/>
        </w:r>
      </w:hyperlink>
    </w:p>
    <w:p w14:paraId="516DC873" w14:textId="2A768B74" w:rsidR="005F0BAD" w:rsidRDefault="005F0BAD">
      <w:pPr>
        <w:pStyle w:val="TOC2"/>
        <w:rPr>
          <w:rFonts w:asciiTheme="minorHAnsi" w:eastAsiaTheme="minorEastAsia" w:hAnsiTheme="minorHAnsi"/>
          <w:kern w:val="2"/>
          <w:sz w:val="24"/>
          <w:szCs w:val="24"/>
          <w:lang w:eastAsia="en-AU"/>
          <w14:ligatures w14:val="standardContextual"/>
        </w:rPr>
      </w:pPr>
      <w:hyperlink w:anchor="_Toc227749029" w:history="1">
        <w:r w:rsidRPr="00EB34D0">
          <w:rPr>
            <w:rStyle w:val="Hyperlink"/>
          </w:rPr>
          <w:t>10.13</w:t>
        </w:r>
        <w:r>
          <w:rPr>
            <w:rFonts w:asciiTheme="minorHAnsi" w:eastAsiaTheme="minorEastAsia" w:hAnsiTheme="minorHAnsi"/>
            <w:kern w:val="2"/>
            <w:sz w:val="24"/>
            <w:szCs w:val="24"/>
            <w:lang w:eastAsia="en-AU"/>
            <w14:ligatures w14:val="standardContextual"/>
          </w:rPr>
          <w:tab/>
        </w:r>
        <w:r w:rsidRPr="00EB34D0">
          <w:rPr>
            <w:rStyle w:val="Hyperlink"/>
          </w:rPr>
          <w:t>Special accounts and Exclusion of Trust Moneys</w:t>
        </w:r>
        <w:r>
          <w:rPr>
            <w:webHidden/>
          </w:rPr>
          <w:tab/>
        </w:r>
        <w:r>
          <w:rPr>
            <w:webHidden/>
          </w:rPr>
          <w:fldChar w:fldCharType="begin"/>
        </w:r>
        <w:r>
          <w:rPr>
            <w:webHidden/>
          </w:rPr>
          <w:instrText xml:space="preserve"> PAGEREF _Toc227749029 \h </w:instrText>
        </w:r>
        <w:r>
          <w:rPr>
            <w:webHidden/>
          </w:rPr>
        </w:r>
        <w:r>
          <w:rPr>
            <w:webHidden/>
          </w:rPr>
          <w:fldChar w:fldCharType="separate"/>
        </w:r>
        <w:r>
          <w:rPr>
            <w:webHidden/>
          </w:rPr>
          <w:t>31</w:t>
        </w:r>
        <w:r>
          <w:rPr>
            <w:webHidden/>
          </w:rPr>
          <w:fldChar w:fldCharType="end"/>
        </w:r>
      </w:hyperlink>
    </w:p>
    <w:p w14:paraId="7BAFBDB0" w14:textId="7EA58EC3" w:rsidR="005F0BAD" w:rsidRDefault="005F0BAD">
      <w:pPr>
        <w:pStyle w:val="TOC2"/>
        <w:rPr>
          <w:rFonts w:asciiTheme="minorHAnsi" w:eastAsiaTheme="minorEastAsia" w:hAnsiTheme="minorHAnsi"/>
          <w:kern w:val="2"/>
          <w:sz w:val="24"/>
          <w:szCs w:val="24"/>
          <w:lang w:eastAsia="en-AU"/>
          <w14:ligatures w14:val="standardContextual"/>
        </w:rPr>
      </w:pPr>
      <w:hyperlink w:anchor="_Toc227749030" w:history="1">
        <w:r w:rsidRPr="00EB34D0">
          <w:rPr>
            <w:rStyle w:val="Hyperlink"/>
          </w:rPr>
          <w:t>10.14</w:t>
        </w:r>
        <w:r>
          <w:rPr>
            <w:rFonts w:asciiTheme="minorHAnsi" w:eastAsiaTheme="minorEastAsia" w:hAnsiTheme="minorHAnsi"/>
            <w:kern w:val="2"/>
            <w:sz w:val="24"/>
            <w:szCs w:val="24"/>
            <w:lang w:eastAsia="en-AU"/>
            <w14:ligatures w14:val="standardContextual"/>
          </w:rPr>
          <w:tab/>
        </w:r>
        <w:r w:rsidRPr="00EB34D0">
          <w:rPr>
            <w:rStyle w:val="Hyperlink"/>
          </w:rPr>
          <w:t>Payments to corporate entities</w:t>
        </w:r>
        <w:r>
          <w:rPr>
            <w:webHidden/>
          </w:rPr>
          <w:tab/>
        </w:r>
        <w:r>
          <w:rPr>
            <w:webHidden/>
          </w:rPr>
          <w:fldChar w:fldCharType="begin"/>
        </w:r>
        <w:r>
          <w:rPr>
            <w:webHidden/>
          </w:rPr>
          <w:instrText xml:space="preserve"> PAGEREF _Toc227749030 \h </w:instrText>
        </w:r>
        <w:r>
          <w:rPr>
            <w:webHidden/>
          </w:rPr>
        </w:r>
        <w:r>
          <w:rPr>
            <w:webHidden/>
          </w:rPr>
          <w:fldChar w:fldCharType="separate"/>
        </w:r>
        <w:r>
          <w:rPr>
            <w:webHidden/>
          </w:rPr>
          <w:t>32</w:t>
        </w:r>
        <w:r>
          <w:rPr>
            <w:webHidden/>
          </w:rPr>
          <w:fldChar w:fldCharType="end"/>
        </w:r>
      </w:hyperlink>
    </w:p>
    <w:p w14:paraId="200D07F1" w14:textId="5A62C2AB" w:rsidR="005F0BAD" w:rsidRDefault="005F0BAD">
      <w:pPr>
        <w:pStyle w:val="TOC2"/>
        <w:rPr>
          <w:rFonts w:asciiTheme="minorHAnsi" w:eastAsiaTheme="minorEastAsia" w:hAnsiTheme="minorHAnsi"/>
          <w:kern w:val="2"/>
          <w:sz w:val="24"/>
          <w:szCs w:val="24"/>
          <w:lang w:eastAsia="en-AU"/>
          <w14:ligatures w14:val="standardContextual"/>
        </w:rPr>
      </w:pPr>
      <w:hyperlink w:anchor="_Toc227749031" w:history="1">
        <w:r w:rsidRPr="00EB34D0">
          <w:rPr>
            <w:rStyle w:val="Hyperlink"/>
          </w:rPr>
          <w:t>10.15</w:t>
        </w:r>
        <w:r>
          <w:rPr>
            <w:rFonts w:asciiTheme="minorHAnsi" w:eastAsiaTheme="minorEastAsia" w:hAnsiTheme="minorHAnsi"/>
            <w:kern w:val="2"/>
            <w:sz w:val="24"/>
            <w:szCs w:val="24"/>
            <w:lang w:eastAsia="en-AU"/>
            <w14:ligatures w14:val="standardContextual"/>
          </w:rPr>
          <w:tab/>
        </w:r>
        <w:r w:rsidRPr="00EB34D0">
          <w:rPr>
            <w:rStyle w:val="Hyperlink"/>
          </w:rPr>
          <w:t>Average staffing level</w:t>
        </w:r>
        <w:r w:rsidRPr="00EB34D0">
          <w:rPr>
            <w:rStyle w:val="Hyperlink"/>
            <w:iCs/>
          </w:rPr>
          <w:t>s (ASL)</w:t>
        </w:r>
        <w:r>
          <w:rPr>
            <w:webHidden/>
          </w:rPr>
          <w:tab/>
        </w:r>
        <w:r>
          <w:rPr>
            <w:webHidden/>
          </w:rPr>
          <w:fldChar w:fldCharType="begin"/>
        </w:r>
        <w:r>
          <w:rPr>
            <w:webHidden/>
          </w:rPr>
          <w:instrText xml:space="preserve"> PAGEREF _Toc227749031 \h </w:instrText>
        </w:r>
        <w:r>
          <w:rPr>
            <w:webHidden/>
          </w:rPr>
        </w:r>
        <w:r>
          <w:rPr>
            <w:webHidden/>
          </w:rPr>
          <w:fldChar w:fldCharType="separate"/>
        </w:r>
        <w:r>
          <w:rPr>
            <w:webHidden/>
          </w:rPr>
          <w:t>32</w:t>
        </w:r>
        <w:r>
          <w:rPr>
            <w:webHidden/>
          </w:rPr>
          <w:fldChar w:fldCharType="end"/>
        </w:r>
      </w:hyperlink>
    </w:p>
    <w:p w14:paraId="2EF67DE5" w14:textId="50416F5F" w:rsidR="005F0BAD" w:rsidRDefault="005F0BAD">
      <w:pPr>
        <w:pStyle w:val="TOC2"/>
        <w:rPr>
          <w:rFonts w:asciiTheme="minorHAnsi" w:eastAsiaTheme="minorEastAsia" w:hAnsiTheme="minorHAnsi"/>
          <w:kern w:val="2"/>
          <w:sz w:val="24"/>
          <w:szCs w:val="24"/>
          <w:lang w:eastAsia="en-AU"/>
          <w14:ligatures w14:val="standardContextual"/>
        </w:rPr>
      </w:pPr>
      <w:hyperlink w:anchor="_Toc227749032" w:history="1">
        <w:r w:rsidRPr="00EB34D0">
          <w:rPr>
            <w:rStyle w:val="Hyperlink"/>
          </w:rPr>
          <w:t>10.16</w:t>
        </w:r>
        <w:r>
          <w:rPr>
            <w:rFonts w:asciiTheme="minorHAnsi" w:eastAsiaTheme="minorEastAsia" w:hAnsiTheme="minorHAnsi"/>
            <w:kern w:val="2"/>
            <w:sz w:val="24"/>
            <w:szCs w:val="24"/>
            <w:lang w:eastAsia="en-AU"/>
            <w14:ligatures w14:val="standardContextual"/>
          </w:rPr>
          <w:tab/>
        </w:r>
        <w:r w:rsidRPr="00EB34D0">
          <w:rPr>
            <w:rStyle w:val="Hyperlink"/>
          </w:rPr>
          <w:t>Third party payments</w:t>
        </w:r>
        <w:r>
          <w:rPr>
            <w:webHidden/>
          </w:rPr>
          <w:tab/>
        </w:r>
        <w:r>
          <w:rPr>
            <w:webHidden/>
          </w:rPr>
          <w:fldChar w:fldCharType="begin"/>
        </w:r>
        <w:r>
          <w:rPr>
            <w:webHidden/>
          </w:rPr>
          <w:instrText xml:space="preserve"> PAGEREF _Toc227749032 \h </w:instrText>
        </w:r>
        <w:r>
          <w:rPr>
            <w:webHidden/>
          </w:rPr>
        </w:r>
        <w:r>
          <w:rPr>
            <w:webHidden/>
          </w:rPr>
          <w:fldChar w:fldCharType="separate"/>
        </w:r>
        <w:r>
          <w:rPr>
            <w:webHidden/>
          </w:rPr>
          <w:t>32</w:t>
        </w:r>
        <w:r>
          <w:rPr>
            <w:webHidden/>
          </w:rPr>
          <w:fldChar w:fldCharType="end"/>
        </w:r>
      </w:hyperlink>
    </w:p>
    <w:p w14:paraId="41488FC2" w14:textId="1BC7DC09" w:rsidR="005F0BAD" w:rsidRDefault="005F0BAD">
      <w:pPr>
        <w:pStyle w:val="TOC2"/>
        <w:rPr>
          <w:rFonts w:asciiTheme="minorHAnsi" w:eastAsiaTheme="minorEastAsia" w:hAnsiTheme="minorHAnsi"/>
          <w:kern w:val="2"/>
          <w:sz w:val="24"/>
          <w:szCs w:val="24"/>
          <w:lang w:eastAsia="en-AU"/>
          <w14:ligatures w14:val="standardContextual"/>
        </w:rPr>
      </w:pPr>
      <w:hyperlink w:anchor="_Toc227749033" w:history="1">
        <w:r w:rsidRPr="00EB34D0">
          <w:rPr>
            <w:rStyle w:val="Hyperlink"/>
          </w:rPr>
          <w:t>10.17</w:t>
        </w:r>
        <w:r>
          <w:rPr>
            <w:rFonts w:asciiTheme="minorHAnsi" w:eastAsiaTheme="minorEastAsia" w:hAnsiTheme="minorHAnsi"/>
            <w:kern w:val="2"/>
            <w:sz w:val="24"/>
            <w:szCs w:val="24"/>
            <w:lang w:eastAsia="en-AU"/>
            <w14:ligatures w14:val="standardContextual"/>
          </w:rPr>
          <w:tab/>
        </w:r>
        <w:r w:rsidRPr="00EB34D0">
          <w:rPr>
            <w:rStyle w:val="Hyperlink"/>
          </w:rPr>
          <w:t>Budget measures - Table 1.2</w:t>
        </w:r>
        <w:r>
          <w:rPr>
            <w:webHidden/>
          </w:rPr>
          <w:tab/>
        </w:r>
        <w:r>
          <w:rPr>
            <w:webHidden/>
          </w:rPr>
          <w:fldChar w:fldCharType="begin"/>
        </w:r>
        <w:r>
          <w:rPr>
            <w:webHidden/>
          </w:rPr>
          <w:instrText xml:space="preserve"> PAGEREF _Toc227749033 \h </w:instrText>
        </w:r>
        <w:r>
          <w:rPr>
            <w:webHidden/>
          </w:rPr>
        </w:r>
        <w:r>
          <w:rPr>
            <w:webHidden/>
          </w:rPr>
          <w:fldChar w:fldCharType="separate"/>
        </w:r>
        <w:r>
          <w:rPr>
            <w:webHidden/>
          </w:rPr>
          <w:t>33</w:t>
        </w:r>
        <w:r>
          <w:rPr>
            <w:webHidden/>
          </w:rPr>
          <w:fldChar w:fldCharType="end"/>
        </w:r>
      </w:hyperlink>
    </w:p>
    <w:p w14:paraId="17BFEFF4" w14:textId="07777CA6" w:rsidR="005F0BAD" w:rsidRDefault="005F0BAD">
      <w:pPr>
        <w:pStyle w:val="TOC3"/>
        <w:rPr>
          <w:rFonts w:asciiTheme="minorHAnsi" w:eastAsiaTheme="minorEastAsia" w:hAnsiTheme="minorHAnsi"/>
          <w:kern w:val="2"/>
          <w:sz w:val="24"/>
          <w:szCs w:val="24"/>
          <w:lang w:eastAsia="en-AU"/>
          <w14:ligatures w14:val="standardContextual"/>
        </w:rPr>
      </w:pPr>
      <w:hyperlink w:anchor="_Toc227749034" w:history="1">
        <w:r w:rsidRPr="00EB34D0">
          <w:rPr>
            <w:rStyle w:val="Hyperlink"/>
          </w:rPr>
          <w:t>10.17.1</w:t>
        </w:r>
        <w:r>
          <w:rPr>
            <w:rFonts w:asciiTheme="minorHAnsi" w:eastAsiaTheme="minorEastAsia" w:hAnsiTheme="minorHAnsi"/>
            <w:kern w:val="2"/>
            <w:sz w:val="24"/>
            <w:szCs w:val="24"/>
            <w:lang w:eastAsia="en-AU"/>
            <w14:ligatures w14:val="standardContextual"/>
          </w:rPr>
          <w:tab/>
        </w:r>
        <w:r w:rsidRPr="00EB34D0">
          <w:rPr>
            <w:rStyle w:val="Hyperlink"/>
          </w:rPr>
          <w:t>Footnote for a measure’s capital component</w:t>
        </w:r>
        <w:r>
          <w:rPr>
            <w:webHidden/>
          </w:rPr>
          <w:tab/>
        </w:r>
        <w:r>
          <w:rPr>
            <w:webHidden/>
          </w:rPr>
          <w:fldChar w:fldCharType="begin"/>
        </w:r>
        <w:r>
          <w:rPr>
            <w:webHidden/>
          </w:rPr>
          <w:instrText xml:space="preserve"> PAGEREF _Toc227749034 \h </w:instrText>
        </w:r>
        <w:r>
          <w:rPr>
            <w:webHidden/>
          </w:rPr>
        </w:r>
        <w:r>
          <w:rPr>
            <w:webHidden/>
          </w:rPr>
          <w:fldChar w:fldCharType="separate"/>
        </w:r>
        <w:r>
          <w:rPr>
            <w:webHidden/>
          </w:rPr>
          <w:t>34</w:t>
        </w:r>
        <w:r>
          <w:rPr>
            <w:webHidden/>
          </w:rPr>
          <w:fldChar w:fldCharType="end"/>
        </w:r>
      </w:hyperlink>
    </w:p>
    <w:p w14:paraId="39651B63" w14:textId="212262CC" w:rsidR="005F0BAD" w:rsidRDefault="005F0BAD">
      <w:pPr>
        <w:pStyle w:val="TOC3"/>
        <w:rPr>
          <w:rFonts w:asciiTheme="minorHAnsi" w:eastAsiaTheme="minorEastAsia" w:hAnsiTheme="minorHAnsi"/>
          <w:kern w:val="2"/>
          <w:sz w:val="24"/>
          <w:szCs w:val="24"/>
          <w:lang w:eastAsia="en-AU"/>
          <w14:ligatures w14:val="standardContextual"/>
        </w:rPr>
      </w:pPr>
      <w:hyperlink w:anchor="_Toc227749035" w:history="1">
        <w:r w:rsidRPr="00EB34D0">
          <w:rPr>
            <w:rStyle w:val="Hyperlink"/>
          </w:rPr>
          <w:t>10.17.2</w:t>
        </w:r>
        <w:r>
          <w:rPr>
            <w:rFonts w:asciiTheme="minorHAnsi" w:eastAsiaTheme="minorEastAsia" w:hAnsiTheme="minorHAnsi"/>
            <w:kern w:val="2"/>
            <w:sz w:val="24"/>
            <w:szCs w:val="24"/>
            <w:lang w:eastAsia="en-AU"/>
            <w14:ligatures w14:val="standardContextual"/>
          </w:rPr>
          <w:tab/>
        </w:r>
        <w:r w:rsidRPr="00EB34D0">
          <w:rPr>
            <w:rStyle w:val="Hyperlink"/>
          </w:rPr>
          <w:t>Measure reversals</w:t>
        </w:r>
        <w:r>
          <w:rPr>
            <w:webHidden/>
          </w:rPr>
          <w:tab/>
        </w:r>
        <w:r>
          <w:rPr>
            <w:webHidden/>
          </w:rPr>
          <w:fldChar w:fldCharType="begin"/>
        </w:r>
        <w:r>
          <w:rPr>
            <w:webHidden/>
          </w:rPr>
          <w:instrText xml:space="preserve"> PAGEREF _Toc227749035 \h </w:instrText>
        </w:r>
        <w:r>
          <w:rPr>
            <w:webHidden/>
          </w:rPr>
        </w:r>
        <w:r>
          <w:rPr>
            <w:webHidden/>
          </w:rPr>
          <w:fldChar w:fldCharType="separate"/>
        </w:r>
        <w:r>
          <w:rPr>
            <w:webHidden/>
          </w:rPr>
          <w:t>34</w:t>
        </w:r>
        <w:r>
          <w:rPr>
            <w:webHidden/>
          </w:rPr>
          <w:fldChar w:fldCharType="end"/>
        </w:r>
      </w:hyperlink>
    </w:p>
    <w:p w14:paraId="76D88432" w14:textId="6F2998D8" w:rsidR="005F0BAD" w:rsidRDefault="005F0BAD">
      <w:pPr>
        <w:pStyle w:val="TOC3"/>
        <w:rPr>
          <w:rFonts w:asciiTheme="minorHAnsi" w:eastAsiaTheme="minorEastAsia" w:hAnsiTheme="minorHAnsi"/>
          <w:kern w:val="2"/>
          <w:sz w:val="24"/>
          <w:szCs w:val="24"/>
          <w:lang w:eastAsia="en-AU"/>
          <w14:ligatures w14:val="standardContextual"/>
        </w:rPr>
      </w:pPr>
      <w:hyperlink w:anchor="_Toc227749036" w:history="1">
        <w:r w:rsidRPr="00EB34D0">
          <w:rPr>
            <w:rStyle w:val="Hyperlink"/>
          </w:rPr>
          <w:t>10.17.3</w:t>
        </w:r>
        <w:r>
          <w:rPr>
            <w:rFonts w:asciiTheme="minorHAnsi" w:eastAsiaTheme="minorEastAsia" w:hAnsiTheme="minorHAnsi"/>
            <w:kern w:val="2"/>
            <w:sz w:val="24"/>
            <w:szCs w:val="24"/>
            <w:lang w:eastAsia="en-AU"/>
            <w14:ligatures w14:val="standardContextual"/>
          </w:rPr>
          <w:tab/>
        </w:r>
        <w:r w:rsidRPr="00EB34D0">
          <w:rPr>
            <w:rStyle w:val="Hyperlink"/>
          </w:rPr>
          <w:t>Amounts in the contingency reserve</w:t>
        </w:r>
        <w:r>
          <w:rPr>
            <w:webHidden/>
          </w:rPr>
          <w:tab/>
        </w:r>
        <w:r>
          <w:rPr>
            <w:webHidden/>
          </w:rPr>
          <w:fldChar w:fldCharType="begin"/>
        </w:r>
        <w:r>
          <w:rPr>
            <w:webHidden/>
          </w:rPr>
          <w:instrText xml:space="preserve"> PAGEREF _Toc227749036 \h </w:instrText>
        </w:r>
        <w:r>
          <w:rPr>
            <w:webHidden/>
          </w:rPr>
        </w:r>
        <w:r>
          <w:rPr>
            <w:webHidden/>
          </w:rPr>
          <w:fldChar w:fldCharType="separate"/>
        </w:r>
        <w:r>
          <w:rPr>
            <w:webHidden/>
          </w:rPr>
          <w:t>36</w:t>
        </w:r>
        <w:r>
          <w:rPr>
            <w:webHidden/>
          </w:rPr>
          <w:fldChar w:fldCharType="end"/>
        </w:r>
      </w:hyperlink>
    </w:p>
    <w:p w14:paraId="6B546D32" w14:textId="1AB85EC5" w:rsidR="005F0BAD" w:rsidRDefault="005F0BAD">
      <w:pPr>
        <w:pStyle w:val="TOC3"/>
        <w:rPr>
          <w:rFonts w:asciiTheme="minorHAnsi" w:eastAsiaTheme="minorEastAsia" w:hAnsiTheme="minorHAnsi"/>
          <w:kern w:val="2"/>
          <w:sz w:val="24"/>
          <w:szCs w:val="24"/>
          <w:lang w:eastAsia="en-AU"/>
          <w14:ligatures w14:val="standardContextual"/>
        </w:rPr>
      </w:pPr>
      <w:hyperlink w:anchor="_Toc227749037" w:history="1">
        <w:r w:rsidRPr="00EB34D0">
          <w:rPr>
            <w:rStyle w:val="Hyperlink"/>
          </w:rPr>
          <w:t>10.17.4</w:t>
        </w:r>
        <w:r>
          <w:rPr>
            <w:rFonts w:asciiTheme="minorHAnsi" w:eastAsiaTheme="minorEastAsia" w:hAnsiTheme="minorHAnsi"/>
            <w:kern w:val="2"/>
            <w:sz w:val="24"/>
            <w:szCs w:val="24"/>
            <w:lang w:eastAsia="en-AU"/>
            <w14:ligatures w14:val="standardContextual"/>
          </w:rPr>
          <w:tab/>
        </w:r>
        <w:r w:rsidRPr="00EB34D0">
          <w:rPr>
            <w:rStyle w:val="Hyperlink"/>
          </w:rPr>
          <w:t>Decisions taken but not yet announced (DTBNYA)</w:t>
        </w:r>
        <w:r>
          <w:rPr>
            <w:webHidden/>
          </w:rPr>
          <w:tab/>
        </w:r>
        <w:r>
          <w:rPr>
            <w:webHidden/>
          </w:rPr>
          <w:fldChar w:fldCharType="begin"/>
        </w:r>
        <w:r>
          <w:rPr>
            <w:webHidden/>
          </w:rPr>
          <w:instrText xml:space="preserve"> PAGEREF _Toc227749037 \h </w:instrText>
        </w:r>
        <w:r>
          <w:rPr>
            <w:webHidden/>
          </w:rPr>
        </w:r>
        <w:r>
          <w:rPr>
            <w:webHidden/>
          </w:rPr>
          <w:fldChar w:fldCharType="separate"/>
        </w:r>
        <w:r>
          <w:rPr>
            <w:webHidden/>
          </w:rPr>
          <w:t>36</w:t>
        </w:r>
        <w:r>
          <w:rPr>
            <w:webHidden/>
          </w:rPr>
          <w:fldChar w:fldCharType="end"/>
        </w:r>
      </w:hyperlink>
    </w:p>
    <w:p w14:paraId="20EDFAE5" w14:textId="79814977" w:rsidR="005F0BAD" w:rsidRDefault="005F0BAD">
      <w:pPr>
        <w:pStyle w:val="TOC3"/>
        <w:rPr>
          <w:rFonts w:asciiTheme="minorHAnsi" w:eastAsiaTheme="minorEastAsia" w:hAnsiTheme="minorHAnsi"/>
          <w:kern w:val="2"/>
          <w:sz w:val="24"/>
          <w:szCs w:val="24"/>
          <w:lang w:eastAsia="en-AU"/>
          <w14:ligatures w14:val="standardContextual"/>
        </w:rPr>
      </w:pPr>
      <w:hyperlink w:anchor="_Toc227749038" w:history="1">
        <w:r w:rsidRPr="00EB34D0">
          <w:rPr>
            <w:rStyle w:val="Hyperlink"/>
          </w:rPr>
          <w:t>10.17.5</w:t>
        </w:r>
        <w:r>
          <w:rPr>
            <w:rFonts w:asciiTheme="minorHAnsi" w:eastAsiaTheme="minorEastAsia" w:hAnsiTheme="minorHAnsi"/>
            <w:kern w:val="2"/>
            <w:sz w:val="24"/>
            <w:szCs w:val="24"/>
            <w:lang w:eastAsia="en-AU"/>
            <w14:ligatures w14:val="standardContextual"/>
          </w:rPr>
          <w:tab/>
        </w:r>
        <w:r w:rsidRPr="00EB34D0">
          <w:rPr>
            <w:rStyle w:val="Hyperlink"/>
          </w:rPr>
          <w:t>Measures with indicative costs</w:t>
        </w:r>
        <w:r>
          <w:rPr>
            <w:webHidden/>
          </w:rPr>
          <w:tab/>
        </w:r>
        <w:r>
          <w:rPr>
            <w:webHidden/>
          </w:rPr>
          <w:fldChar w:fldCharType="begin"/>
        </w:r>
        <w:r>
          <w:rPr>
            <w:webHidden/>
          </w:rPr>
          <w:instrText xml:space="preserve"> PAGEREF _Toc227749038 \h </w:instrText>
        </w:r>
        <w:r>
          <w:rPr>
            <w:webHidden/>
          </w:rPr>
        </w:r>
        <w:r>
          <w:rPr>
            <w:webHidden/>
          </w:rPr>
          <w:fldChar w:fldCharType="separate"/>
        </w:r>
        <w:r>
          <w:rPr>
            <w:webHidden/>
          </w:rPr>
          <w:t>36</w:t>
        </w:r>
        <w:r>
          <w:rPr>
            <w:webHidden/>
          </w:rPr>
          <w:fldChar w:fldCharType="end"/>
        </w:r>
      </w:hyperlink>
    </w:p>
    <w:p w14:paraId="64BEF40A" w14:textId="579E59EF" w:rsidR="005F0BAD" w:rsidRDefault="005F0BAD">
      <w:pPr>
        <w:pStyle w:val="TOC3"/>
        <w:rPr>
          <w:rFonts w:asciiTheme="minorHAnsi" w:eastAsiaTheme="minorEastAsia" w:hAnsiTheme="minorHAnsi"/>
          <w:kern w:val="2"/>
          <w:sz w:val="24"/>
          <w:szCs w:val="24"/>
          <w:lang w:eastAsia="en-AU"/>
          <w14:ligatures w14:val="standardContextual"/>
        </w:rPr>
      </w:pPr>
      <w:hyperlink w:anchor="_Toc227749039" w:history="1">
        <w:r w:rsidRPr="00EB34D0">
          <w:rPr>
            <w:rStyle w:val="Hyperlink"/>
          </w:rPr>
          <w:t>10.17.6</w:t>
        </w:r>
        <w:r>
          <w:rPr>
            <w:rFonts w:asciiTheme="minorHAnsi" w:eastAsiaTheme="minorEastAsia" w:hAnsiTheme="minorHAnsi"/>
            <w:kern w:val="2"/>
            <w:sz w:val="24"/>
            <w:szCs w:val="24"/>
            <w:lang w:eastAsia="en-AU"/>
            <w14:ligatures w14:val="standardContextual"/>
          </w:rPr>
          <w:tab/>
        </w:r>
        <w:r w:rsidRPr="00EB34D0">
          <w:rPr>
            <w:rStyle w:val="Hyperlink"/>
          </w:rPr>
          <w:t xml:space="preserve">Measures earmarked as ‘not for </w:t>
        </w:r>
        <w:r w:rsidRPr="00EB34D0">
          <w:rPr>
            <w:rStyle w:val="Hyperlink"/>
            <w:iCs/>
          </w:rPr>
          <w:t>publication’ (NFP)</w:t>
        </w:r>
        <w:r>
          <w:rPr>
            <w:webHidden/>
          </w:rPr>
          <w:tab/>
        </w:r>
        <w:r>
          <w:rPr>
            <w:webHidden/>
          </w:rPr>
          <w:fldChar w:fldCharType="begin"/>
        </w:r>
        <w:r>
          <w:rPr>
            <w:webHidden/>
          </w:rPr>
          <w:instrText xml:space="preserve"> PAGEREF _Toc227749039 \h </w:instrText>
        </w:r>
        <w:r>
          <w:rPr>
            <w:webHidden/>
          </w:rPr>
        </w:r>
        <w:r>
          <w:rPr>
            <w:webHidden/>
          </w:rPr>
          <w:fldChar w:fldCharType="separate"/>
        </w:r>
        <w:r>
          <w:rPr>
            <w:webHidden/>
          </w:rPr>
          <w:t>37</w:t>
        </w:r>
        <w:r>
          <w:rPr>
            <w:webHidden/>
          </w:rPr>
          <w:fldChar w:fldCharType="end"/>
        </w:r>
      </w:hyperlink>
    </w:p>
    <w:p w14:paraId="0CA4FD1A" w14:textId="4DE27C65" w:rsidR="005F0BAD" w:rsidRDefault="005F0BAD">
      <w:pPr>
        <w:pStyle w:val="TOC3"/>
        <w:rPr>
          <w:rFonts w:asciiTheme="minorHAnsi" w:eastAsiaTheme="minorEastAsia" w:hAnsiTheme="minorHAnsi"/>
          <w:kern w:val="2"/>
          <w:sz w:val="24"/>
          <w:szCs w:val="24"/>
          <w:lang w:eastAsia="en-AU"/>
          <w14:ligatures w14:val="standardContextual"/>
        </w:rPr>
      </w:pPr>
      <w:hyperlink w:anchor="_Toc227749040" w:history="1">
        <w:r w:rsidRPr="00EB34D0">
          <w:rPr>
            <w:rStyle w:val="Hyperlink"/>
          </w:rPr>
          <w:t>10.17.7</w:t>
        </w:r>
        <w:r>
          <w:rPr>
            <w:rFonts w:asciiTheme="minorHAnsi" w:eastAsiaTheme="minorEastAsia" w:hAnsiTheme="minorHAnsi"/>
            <w:kern w:val="2"/>
            <w:sz w:val="24"/>
            <w:szCs w:val="24"/>
            <w:lang w:eastAsia="en-AU"/>
            <w14:ligatures w14:val="standardContextual"/>
          </w:rPr>
          <w:tab/>
        </w:r>
        <w:r w:rsidRPr="00EB34D0">
          <w:rPr>
            <w:rStyle w:val="Hyperlink"/>
          </w:rPr>
          <w:t>Machinery of government changes</w:t>
        </w:r>
        <w:r w:rsidRPr="00EB34D0">
          <w:rPr>
            <w:rStyle w:val="Hyperlink"/>
            <w:iCs/>
          </w:rPr>
          <w:t xml:space="preserve"> (MoG)</w:t>
        </w:r>
        <w:r>
          <w:rPr>
            <w:webHidden/>
          </w:rPr>
          <w:tab/>
        </w:r>
        <w:r>
          <w:rPr>
            <w:webHidden/>
          </w:rPr>
          <w:fldChar w:fldCharType="begin"/>
        </w:r>
        <w:r>
          <w:rPr>
            <w:webHidden/>
          </w:rPr>
          <w:instrText xml:space="preserve"> PAGEREF _Toc227749040 \h </w:instrText>
        </w:r>
        <w:r>
          <w:rPr>
            <w:webHidden/>
          </w:rPr>
        </w:r>
        <w:r>
          <w:rPr>
            <w:webHidden/>
          </w:rPr>
          <w:fldChar w:fldCharType="separate"/>
        </w:r>
        <w:r>
          <w:rPr>
            <w:webHidden/>
          </w:rPr>
          <w:t>37</w:t>
        </w:r>
        <w:r>
          <w:rPr>
            <w:webHidden/>
          </w:rPr>
          <w:fldChar w:fldCharType="end"/>
        </w:r>
      </w:hyperlink>
    </w:p>
    <w:p w14:paraId="308E7D47" w14:textId="7F7CF3C2" w:rsidR="005F0BAD" w:rsidRDefault="005F0BAD">
      <w:pPr>
        <w:pStyle w:val="TOC1"/>
        <w:rPr>
          <w:rFonts w:asciiTheme="minorHAnsi" w:eastAsiaTheme="minorEastAsia" w:hAnsiTheme="minorHAnsi"/>
          <w:kern w:val="2"/>
          <w:szCs w:val="24"/>
          <w:lang w:eastAsia="en-AU"/>
          <w14:ligatures w14:val="standardContextual"/>
        </w:rPr>
      </w:pPr>
      <w:hyperlink w:anchor="_Toc227749041" w:history="1">
        <w:r w:rsidRPr="00EB34D0">
          <w:rPr>
            <w:rStyle w:val="Hyperlink"/>
          </w:rPr>
          <w:t>11</w:t>
        </w:r>
        <w:r>
          <w:rPr>
            <w:rFonts w:asciiTheme="minorHAnsi" w:eastAsiaTheme="minorEastAsia" w:hAnsiTheme="minorHAnsi"/>
            <w:kern w:val="2"/>
            <w:szCs w:val="24"/>
            <w:lang w:eastAsia="en-AU"/>
            <w14:ligatures w14:val="standardContextual"/>
          </w:rPr>
          <w:tab/>
        </w:r>
        <w:r w:rsidRPr="00EB34D0">
          <w:rPr>
            <w:rStyle w:val="Hyperlink"/>
          </w:rPr>
          <w:t>Outcomes and planned performance - Section 2</w:t>
        </w:r>
        <w:r>
          <w:rPr>
            <w:webHidden/>
          </w:rPr>
          <w:tab/>
        </w:r>
        <w:r>
          <w:rPr>
            <w:webHidden/>
          </w:rPr>
          <w:fldChar w:fldCharType="begin"/>
        </w:r>
        <w:r>
          <w:rPr>
            <w:webHidden/>
          </w:rPr>
          <w:instrText xml:space="preserve"> PAGEREF _Toc227749041 \h </w:instrText>
        </w:r>
        <w:r>
          <w:rPr>
            <w:webHidden/>
          </w:rPr>
        </w:r>
        <w:r>
          <w:rPr>
            <w:webHidden/>
          </w:rPr>
          <w:fldChar w:fldCharType="separate"/>
        </w:r>
        <w:r>
          <w:rPr>
            <w:webHidden/>
          </w:rPr>
          <w:t>37</w:t>
        </w:r>
        <w:r>
          <w:rPr>
            <w:webHidden/>
          </w:rPr>
          <w:fldChar w:fldCharType="end"/>
        </w:r>
      </w:hyperlink>
    </w:p>
    <w:p w14:paraId="6568D46C" w14:textId="5F85E3F9" w:rsidR="005F0BAD" w:rsidRDefault="005F0BAD">
      <w:pPr>
        <w:pStyle w:val="TOC1"/>
        <w:rPr>
          <w:rFonts w:asciiTheme="minorHAnsi" w:eastAsiaTheme="minorEastAsia" w:hAnsiTheme="minorHAnsi"/>
          <w:kern w:val="2"/>
          <w:szCs w:val="24"/>
          <w:lang w:eastAsia="en-AU"/>
          <w14:ligatures w14:val="standardContextual"/>
        </w:rPr>
      </w:pPr>
      <w:hyperlink w:anchor="_Toc227749042" w:history="1">
        <w:r w:rsidRPr="00EB34D0">
          <w:rPr>
            <w:rStyle w:val="Hyperlink"/>
          </w:rPr>
          <w:t>12</w:t>
        </w:r>
        <w:r>
          <w:rPr>
            <w:rFonts w:asciiTheme="minorHAnsi" w:eastAsiaTheme="minorEastAsia" w:hAnsiTheme="minorHAnsi"/>
            <w:kern w:val="2"/>
            <w:szCs w:val="24"/>
            <w:lang w:eastAsia="en-AU"/>
            <w14:ligatures w14:val="standardContextual"/>
          </w:rPr>
          <w:tab/>
        </w:r>
        <w:r w:rsidRPr="00EB34D0">
          <w:rPr>
            <w:rStyle w:val="Hyperlink"/>
          </w:rPr>
          <w:t>Minimum Program Performance Reporting</w:t>
        </w:r>
        <w:r>
          <w:rPr>
            <w:webHidden/>
          </w:rPr>
          <w:tab/>
        </w:r>
        <w:r>
          <w:rPr>
            <w:webHidden/>
          </w:rPr>
          <w:fldChar w:fldCharType="begin"/>
        </w:r>
        <w:r>
          <w:rPr>
            <w:webHidden/>
          </w:rPr>
          <w:instrText xml:space="preserve"> PAGEREF _Toc227749042 \h </w:instrText>
        </w:r>
        <w:r>
          <w:rPr>
            <w:webHidden/>
          </w:rPr>
        </w:r>
        <w:r>
          <w:rPr>
            <w:webHidden/>
          </w:rPr>
          <w:fldChar w:fldCharType="separate"/>
        </w:r>
        <w:r>
          <w:rPr>
            <w:webHidden/>
          </w:rPr>
          <w:t>38</w:t>
        </w:r>
        <w:r>
          <w:rPr>
            <w:webHidden/>
          </w:rPr>
          <w:fldChar w:fldCharType="end"/>
        </w:r>
      </w:hyperlink>
    </w:p>
    <w:p w14:paraId="01AA25F4" w14:textId="23BF783B" w:rsidR="005F0BAD" w:rsidRDefault="005F0BAD">
      <w:pPr>
        <w:pStyle w:val="TOC2"/>
        <w:rPr>
          <w:rFonts w:asciiTheme="minorHAnsi" w:eastAsiaTheme="minorEastAsia" w:hAnsiTheme="minorHAnsi"/>
          <w:kern w:val="2"/>
          <w:sz w:val="24"/>
          <w:szCs w:val="24"/>
          <w:lang w:eastAsia="en-AU"/>
          <w14:ligatures w14:val="standardContextual"/>
        </w:rPr>
      </w:pPr>
      <w:hyperlink w:anchor="_Toc227749043" w:history="1">
        <w:r w:rsidRPr="00EB34D0">
          <w:rPr>
            <w:rStyle w:val="Hyperlink"/>
          </w:rPr>
          <w:t>12.1</w:t>
        </w:r>
        <w:r>
          <w:rPr>
            <w:rFonts w:asciiTheme="minorHAnsi" w:eastAsiaTheme="minorEastAsia" w:hAnsiTheme="minorHAnsi"/>
            <w:kern w:val="2"/>
            <w:sz w:val="24"/>
            <w:szCs w:val="24"/>
            <w:lang w:eastAsia="en-AU"/>
            <w14:ligatures w14:val="standardContextual"/>
          </w:rPr>
          <w:tab/>
        </w:r>
        <w:r w:rsidRPr="00EB34D0">
          <w:rPr>
            <w:rStyle w:val="Hyperlink"/>
          </w:rPr>
          <w:t>Outcome statements</w:t>
        </w:r>
        <w:r>
          <w:rPr>
            <w:webHidden/>
          </w:rPr>
          <w:tab/>
        </w:r>
        <w:r>
          <w:rPr>
            <w:webHidden/>
          </w:rPr>
          <w:fldChar w:fldCharType="begin"/>
        </w:r>
        <w:r>
          <w:rPr>
            <w:webHidden/>
          </w:rPr>
          <w:instrText xml:space="preserve"> PAGEREF _Toc227749043 \h </w:instrText>
        </w:r>
        <w:r>
          <w:rPr>
            <w:webHidden/>
          </w:rPr>
        </w:r>
        <w:r>
          <w:rPr>
            <w:webHidden/>
          </w:rPr>
          <w:fldChar w:fldCharType="separate"/>
        </w:r>
        <w:r>
          <w:rPr>
            <w:webHidden/>
          </w:rPr>
          <w:t>38</w:t>
        </w:r>
        <w:r>
          <w:rPr>
            <w:webHidden/>
          </w:rPr>
          <w:fldChar w:fldCharType="end"/>
        </w:r>
      </w:hyperlink>
    </w:p>
    <w:p w14:paraId="777EB8A3" w14:textId="1EC458C2" w:rsidR="005F0BAD" w:rsidRDefault="005F0BAD">
      <w:pPr>
        <w:pStyle w:val="TOC2"/>
        <w:rPr>
          <w:rFonts w:asciiTheme="minorHAnsi" w:eastAsiaTheme="minorEastAsia" w:hAnsiTheme="minorHAnsi"/>
          <w:kern w:val="2"/>
          <w:sz w:val="24"/>
          <w:szCs w:val="24"/>
          <w:lang w:eastAsia="en-AU"/>
          <w14:ligatures w14:val="standardContextual"/>
        </w:rPr>
      </w:pPr>
      <w:hyperlink w:anchor="_Toc227749044" w:history="1">
        <w:r w:rsidRPr="00EB34D0">
          <w:rPr>
            <w:rStyle w:val="Hyperlink"/>
          </w:rPr>
          <w:t>12.2</w:t>
        </w:r>
        <w:r>
          <w:rPr>
            <w:rFonts w:asciiTheme="minorHAnsi" w:eastAsiaTheme="minorEastAsia" w:hAnsiTheme="minorHAnsi"/>
            <w:kern w:val="2"/>
            <w:sz w:val="24"/>
            <w:szCs w:val="24"/>
            <w:lang w:eastAsia="en-AU"/>
            <w14:ligatures w14:val="standardContextual"/>
          </w:rPr>
          <w:tab/>
        </w:r>
        <w:r w:rsidRPr="00EB34D0">
          <w:rPr>
            <w:rStyle w:val="Hyperlink"/>
          </w:rPr>
          <w:t>Linked programs</w:t>
        </w:r>
        <w:r>
          <w:rPr>
            <w:webHidden/>
          </w:rPr>
          <w:tab/>
        </w:r>
        <w:r>
          <w:rPr>
            <w:webHidden/>
          </w:rPr>
          <w:fldChar w:fldCharType="begin"/>
        </w:r>
        <w:r>
          <w:rPr>
            <w:webHidden/>
          </w:rPr>
          <w:instrText xml:space="preserve"> PAGEREF _Toc227749044 \h </w:instrText>
        </w:r>
        <w:r>
          <w:rPr>
            <w:webHidden/>
          </w:rPr>
        </w:r>
        <w:r>
          <w:rPr>
            <w:webHidden/>
          </w:rPr>
          <w:fldChar w:fldCharType="separate"/>
        </w:r>
        <w:r>
          <w:rPr>
            <w:webHidden/>
          </w:rPr>
          <w:t>39</w:t>
        </w:r>
        <w:r>
          <w:rPr>
            <w:webHidden/>
          </w:rPr>
          <w:fldChar w:fldCharType="end"/>
        </w:r>
      </w:hyperlink>
    </w:p>
    <w:p w14:paraId="537E2B7E" w14:textId="76A812AA" w:rsidR="005F0BAD" w:rsidRDefault="005F0BAD">
      <w:pPr>
        <w:pStyle w:val="TOC2"/>
        <w:rPr>
          <w:rFonts w:asciiTheme="minorHAnsi" w:eastAsiaTheme="minorEastAsia" w:hAnsiTheme="minorHAnsi"/>
          <w:kern w:val="2"/>
          <w:sz w:val="24"/>
          <w:szCs w:val="24"/>
          <w:lang w:eastAsia="en-AU"/>
          <w14:ligatures w14:val="standardContextual"/>
        </w:rPr>
      </w:pPr>
      <w:hyperlink w:anchor="_Toc227749045" w:history="1">
        <w:r w:rsidRPr="00EB34D0">
          <w:rPr>
            <w:rStyle w:val="Hyperlink"/>
          </w:rPr>
          <w:t>12.3</w:t>
        </w:r>
        <w:r>
          <w:rPr>
            <w:rFonts w:asciiTheme="minorHAnsi" w:eastAsiaTheme="minorEastAsia" w:hAnsiTheme="minorHAnsi"/>
            <w:kern w:val="2"/>
            <w:sz w:val="24"/>
            <w:szCs w:val="24"/>
            <w:lang w:eastAsia="en-AU"/>
            <w14:ligatures w14:val="standardContextual"/>
          </w:rPr>
          <w:tab/>
        </w:r>
        <w:r w:rsidRPr="00EB34D0">
          <w:rPr>
            <w:rStyle w:val="Hyperlink"/>
          </w:rPr>
          <w:t>Budgeted expenses by outcome table – Table 2.X.1</w:t>
        </w:r>
        <w:r>
          <w:rPr>
            <w:webHidden/>
          </w:rPr>
          <w:tab/>
        </w:r>
        <w:r>
          <w:rPr>
            <w:webHidden/>
          </w:rPr>
          <w:fldChar w:fldCharType="begin"/>
        </w:r>
        <w:r>
          <w:rPr>
            <w:webHidden/>
          </w:rPr>
          <w:instrText xml:space="preserve"> PAGEREF _Toc227749045 \h </w:instrText>
        </w:r>
        <w:r>
          <w:rPr>
            <w:webHidden/>
          </w:rPr>
        </w:r>
        <w:r>
          <w:rPr>
            <w:webHidden/>
          </w:rPr>
          <w:fldChar w:fldCharType="separate"/>
        </w:r>
        <w:r>
          <w:rPr>
            <w:webHidden/>
          </w:rPr>
          <w:t>40</w:t>
        </w:r>
        <w:r>
          <w:rPr>
            <w:webHidden/>
          </w:rPr>
          <w:fldChar w:fldCharType="end"/>
        </w:r>
      </w:hyperlink>
    </w:p>
    <w:p w14:paraId="2A5763E8" w14:textId="5B05CA40" w:rsidR="005F0BAD" w:rsidRDefault="005F0BAD">
      <w:pPr>
        <w:pStyle w:val="TOC3"/>
        <w:rPr>
          <w:rFonts w:asciiTheme="minorHAnsi" w:eastAsiaTheme="minorEastAsia" w:hAnsiTheme="minorHAnsi"/>
          <w:kern w:val="2"/>
          <w:sz w:val="24"/>
          <w:szCs w:val="24"/>
          <w:lang w:eastAsia="en-AU"/>
          <w14:ligatures w14:val="standardContextual"/>
        </w:rPr>
      </w:pPr>
      <w:hyperlink w:anchor="_Toc227749046" w:history="1">
        <w:r w:rsidRPr="00EB34D0">
          <w:rPr>
            <w:rStyle w:val="Hyperlink"/>
          </w:rPr>
          <w:t>12.3.1</w:t>
        </w:r>
        <w:r>
          <w:rPr>
            <w:rFonts w:asciiTheme="minorHAnsi" w:eastAsiaTheme="minorEastAsia" w:hAnsiTheme="minorHAnsi"/>
            <w:kern w:val="2"/>
            <w:sz w:val="24"/>
            <w:szCs w:val="24"/>
            <w:lang w:eastAsia="en-AU"/>
            <w14:ligatures w14:val="standardContextual"/>
          </w:rPr>
          <w:tab/>
        </w:r>
        <w:r w:rsidRPr="00EB34D0">
          <w:rPr>
            <w:rStyle w:val="Hyperlink"/>
          </w:rPr>
          <w:t xml:space="preserve">Minimum reporting requirements for </w:t>
        </w:r>
        <w:r w:rsidRPr="00EB34D0">
          <w:rPr>
            <w:rStyle w:val="Hyperlink"/>
            <w:rFonts w:eastAsia="Cambria"/>
          </w:rPr>
          <w:t>Table 2.X.1</w:t>
        </w:r>
        <w:r>
          <w:rPr>
            <w:webHidden/>
          </w:rPr>
          <w:tab/>
        </w:r>
        <w:r>
          <w:rPr>
            <w:webHidden/>
          </w:rPr>
          <w:fldChar w:fldCharType="begin"/>
        </w:r>
        <w:r>
          <w:rPr>
            <w:webHidden/>
          </w:rPr>
          <w:instrText xml:space="preserve"> PAGEREF _Toc227749046 \h </w:instrText>
        </w:r>
        <w:r>
          <w:rPr>
            <w:webHidden/>
          </w:rPr>
        </w:r>
        <w:r>
          <w:rPr>
            <w:webHidden/>
          </w:rPr>
          <w:fldChar w:fldCharType="separate"/>
        </w:r>
        <w:r>
          <w:rPr>
            <w:webHidden/>
          </w:rPr>
          <w:t>41</w:t>
        </w:r>
        <w:r>
          <w:rPr>
            <w:webHidden/>
          </w:rPr>
          <w:fldChar w:fldCharType="end"/>
        </w:r>
      </w:hyperlink>
    </w:p>
    <w:p w14:paraId="75A07AAB" w14:textId="3E28E2CF" w:rsidR="005F0BAD" w:rsidRDefault="005F0BAD">
      <w:pPr>
        <w:pStyle w:val="TOC3"/>
        <w:rPr>
          <w:rFonts w:asciiTheme="minorHAnsi" w:eastAsiaTheme="minorEastAsia" w:hAnsiTheme="minorHAnsi"/>
          <w:kern w:val="2"/>
          <w:sz w:val="24"/>
          <w:szCs w:val="24"/>
          <w:lang w:eastAsia="en-AU"/>
          <w14:ligatures w14:val="standardContextual"/>
        </w:rPr>
      </w:pPr>
      <w:hyperlink w:anchor="_Toc227749047" w:history="1">
        <w:r w:rsidRPr="00EB34D0">
          <w:rPr>
            <w:rStyle w:val="Hyperlink"/>
          </w:rPr>
          <w:t>12.3.2</w:t>
        </w:r>
        <w:r>
          <w:rPr>
            <w:rFonts w:asciiTheme="minorHAnsi" w:eastAsiaTheme="minorEastAsia" w:hAnsiTheme="minorHAnsi"/>
            <w:kern w:val="2"/>
            <w:sz w:val="24"/>
            <w:szCs w:val="24"/>
            <w:lang w:eastAsia="en-AU"/>
            <w14:ligatures w14:val="standardContextual"/>
          </w:rPr>
          <w:tab/>
        </w:r>
        <w:r w:rsidRPr="00EB34D0">
          <w:rPr>
            <w:rStyle w:val="Hyperlink"/>
          </w:rPr>
          <w:t>Expenses not requiring appropriation</w:t>
        </w:r>
        <w:r>
          <w:rPr>
            <w:webHidden/>
          </w:rPr>
          <w:tab/>
        </w:r>
        <w:r>
          <w:rPr>
            <w:webHidden/>
          </w:rPr>
          <w:fldChar w:fldCharType="begin"/>
        </w:r>
        <w:r>
          <w:rPr>
            <w:webHidden/>
          </w:rPr>
          <w:instrText xml:space="preserve"> PAGEREF _Toc227749047 \h </w:instrText>
        </w:r>
        <w:r>
          <w:rPr>
            <w:webHidden/>
          </w:rPr>
        </w:r>
        <w:r>
          <w:rPr>
            <w:webHidden/>
          </w:rPr>
          <w:fldChar w:fldCharType="separate"/>
        </w:r>
        <w:r>
          <w:rPr>
            <w:webHidden/>
          </w:rPr>
          <w:t>42</w:t>
        </w:r>
        <w:r>
          <w:rPr>
            <w:webHidden/>
          </w:rPr>
          <w:fldChar w:fldCharType="end"/>
        </w:r>
      </w:hyperlink>
    </w:p>
    <w:p w14:paraId="288EE596" w14:textId="15A1C21D" w:rsidR="005F0BAD" w:rsidRDefault="005F0BAD">
      <w:pPr>
        <w:pStyle w:val="TOC3"/>
        <w:rPr>
          <w:rFonts w:asciiTheme="minorHAnsi" w:eastAsiaTheme="minorEastAsia" w:hAnsiTheme="minorHAnsi"/>
          <w:kern w:val="2"/>
          <w:sz w:val="24"/>
          <w:szCs w:val="24"/>
          <w:lang w:eastAsia="en-AU"/>
          <w14:ligatures w14:val="standardContextual"/>
        </w:rPr>
      </w:pPr>
      <w:hyperlink w:anchor="_Toc227749048" w:history="1">
        <w:r w:rsidRPr="00EB34D0">
          <w:rPr>
            <w:rStyle w:val="Hyperlink"/>
          </w:rPr>
          <w:t>12.3.3</w:t>
        </w:r>
        <w:r>
          <w:rPr>
            <w:rFonts w:asciiTheme="minorHAnsi" w:eastAsiaTheme="minorEastAsia" w:hAnsiTheme="minorHAnsi"/>
            <w:kern w:val="2"/>
            <w:sz w:val="24"/>
            <w:szCs w:val="24"/>
            <w:lang w:eastAsia="en-AU"/>
            <w14:ligatures w14:val="standardContextual"/>
          </w:rPr>
          <w:tab/>
        </w:r>
        <w:r w:rsidRPr="00EB34D0">
          <w:rPr>
            <w:rStyle w:val="Hyperlink"/>
            <w:rFonts w:eastAsia="Cambria"/>
          </w:rPr>
          <w:t>Adjustments for interest</w:t>
        </w:r>
        <w:r w:rsidRPr="00EB34D0">
          <w:rPr>
            <w:rStyle w:val="Hyperlink"/>
          </w:rPr>
          <w:t xml:space="preserve"> and depreciation of Right-of-Use (RoU) assets</w:t>
        </w:r>
        <w:r>
          <w:rPr>
            <w:webHidden/>
          </w:rPr>
          <w:tab/>
        </w:r>
        <w:r>
          <w:rPr>
            <w:webHidden/>
          </w:rPr>
          <w:fldChar w:fldCharType="begin"/>
        </w:r>
        <w:r>
          <w:rPr>
            <w:webHidden/>
          </w:rPr>
          <w:instrText xml:space="preserve"> PAGEREF _Toc227749048 \h </w:instrText>
        </w:r>
        <w:r>
          <w:rPr>
            <w:webHidden/>
          </w:rPr>
        </w:r>
        <w:r>
          <w:rPr>
            <w:webHidden/>
          </w:rPr>
          <w:fldChar w:fldCharType="separate"/>
        </w:r>
        <w:r>
          <w:rPr>
            <w:webHidden/>
          </w:rPr>
          <w:t>42</w:t>
        </w:r>
        <w:r>
          <w:rPr>
            <w:webHidden/>
          </w:rPr>
          <w:fldChar w:fldCharType="end"/>
        </w:r>
      </w:hyperlink>
    </w:p>
    <w:p w14:paraId="0D0A81E3" w14:textId="1EBD8D34" w:rsidR="005F0BAD" w:rsidRDefault="005F0BAD">
      <w:pPr>
        <w:pStyle w:val="TOC3"/>
        <w:rPr>
          <w:rFonts w:asciiTheme="minorHAnsi" w:eastAsiaTheme="minorEastAsia" w:hAnsiTheme="minorHAnsi"/>
          <w:kern w:val="2"/>
          <w:sz w:val="24"/>
          <w:szCs w:val="24"/>
          <w:lang w:eastAsia="en-AU"/>
          <w14:ligatures w14:val="standardContextual"/>
        </w:rPr>
      </w:pPr>
      <w:hyperlink w:anchor="_Toc227749049" w:history="1">
        <w:r w:rsidRPr="00EB34D0">
          <w:rPr>
            <w:rStyle w:val="Hyperlink"/>
          </w:rPr>
          <w:t>12.3.4</w:t>
        </w:r>
        <w:r>
          <w:rPr>
            <w:rFonts w:asciiTheme="minorHAnsi" w:eastAsiaTheme="minorEastAsia" w:hAnsiTheme="minorHAnsi"/>
            <w:kern w:val="2"/>
            <w:sz w:val="24"/>
            <w:szCs w:val="24"/>
            <w:lang w:eastAsia="en-AU"/>
            <w14:ligatures w14:val="standardContextual"/>
          </w:rPr>
          <w:tab/>
        </w:r>
        <w:r w:rsidRPr="00EB34D0">
          <w:rPr>
            <w:rStyle w:val="Hyperlink"/>
          </w:rPr>
          <w:t>Source of information</w:t>
        </w:r>
        <w:r>
          <w:rPr>
            <w:webHidden/>
          </w:rPr>
          <w:tab/>
        </w:r>
        <w:r>
          <w:rPr>
            <w:webHidden/>
          </w:rPr>
          <w:fldChar w:fldCharType="begin"/>
        </w:r>
        <w:r>
          <w:rPr>
            <w:webHidden/>
          </w:rPr>
          <w:instrText xml:space="preserve"> PAGEREF _Toc227749049 \h </w:instrText>
        </w:r>
        <w:r>
          <w:rPr>
            <w:webHidden/>
          </w:rPr>
        </w:r>
        <w:r>
          <w:rPr>
            <w:webHidden/>
          </w:rPr>
          <w:fldChar w:fldCharType="separate"/>
        </w:r>
        <w:r>
          <w:rPr>
            <w:webHidden/>
          </w:rPr>
          <w:t>43</w:t>
        </w:r>
        <w:r>
          <w:rPr>
            <w:webHidden/>
          </w:rPr>
          <w:fldChar w:fldCharType="end"/>
        </w:r>
      </w:hyperlink>
    </w:p>
    <w:p w14:paraId="6725A57F" w14:textId="454F8A40" w:rsidR="005F0BAD" w:rsidRDefault="005F0BAD">
      <w:pPr>
        <w:pStyle w:val="TOC3"/>
        <w:rPr>
          <w:rFonts w:asciiTheme="minorHAnsi" w:eastAsiaTheme="minorEastAsia" w:hAnsiTheme="minorHAnsi"/>
          <w:kern w:val="2"/>
          <w:sz w:val="24"/>
          <w:szCs w:val="24"/>
          <w:lang w:eastAsia="en-AU"/>
          <w14:ligatures w14:val="standardContextual"/>
        </w:rPr>
      </w:pPr>
      <w:hyperlink w:anchor="_Toc227749050" w:history="1">
        <w:r w:rsidRPr="00EB34D0">
          <w:rPr>
            <w:rStyle w:val="Hyperlink"/>
          </w:rPr>
          <w:t>12.3.5</w:t>
        </w:r>
        <w:r>
          <w:rPr>
            <w:rFonts w:asciiTheme="minorHAnsi" w:eastAsiaTheme="minorEastAsia" w:hAnsiTheme="minorHAnsi"/>
            <w:kern w:val="2"/>
            <w:sz w:val="24"/>
            <w:szCs w:val="24"/>
            <w:lang w:eastAsia="en-AU"/>
            <w14:ligatures w14:val="standardContextual"/>
          </w:rPr>
          <w:tab/>
        </w:r>
        <w:r w:rsidRPr="00EB34D0">
          <w:rPr>
            <w:rStyle w:val="Hyperlink"/>
          </w:rPr>
          <w:t>Program components – Table 2.X.2</w:t>
        </w:r>
        <w:r>
          <w:rPr>
            <w:webHidden/>
          </w:rPr>
          <w:tab/>
        </w:r>
        <w:r>
          <w:rPr>
            <w:webHidden/>
          </w:rPr>
          <w:fldChar w:fldCharType="begin"/>
        </w:r>
        <w:r>
          <w:rPr>
            <w:webHidden/>
          </w:rPr>
          <w:instrText xml:space="preserve"> PAGEREF _Toc227749050 \h </w:instrText>
        </w:r>
        <w:r>
          <w:rPr>
            <w:webHidden/>
          </w:rPr>
        </w:r>
        <w:r>
          <w:rPr>
            <w:webHidden/>
          </w:rPr>
          <w:fldChar w:fldCharType="separate"/>
        </w:r>
        <w:r>
          <w:rPr>
            <w:webHidden/>
          </w:rPr>
          <w:t>43</w:t>
        </w:r>
        <w:r>
          <w:rPr>
            <w:webHidden/>
          </w:rPr>
          <w:fldChar w:fldCharType="end"/>
        </w:r>
      </w:hyperlink>
    </w:p>
    <w:p w14:paraId="2A4AF6A5" w14:textId="5EE5C6F6" w:rsidR="005F0BAD" w:rsidRDefault="005F0BAD">
      <w:pPr>
        <w:pStyle w:val="TOC2"/>
        <w:rPr>
          <w:rFonts w:asciiTheme="minorHAnsi" w:eastAsiaTheme="minorEastAsia" w:hAnsiTheme="minorHAnsi"/>
          <w:kern w:val="2"/>
          <w:sz w:val="24"/>
          <w:szCs w:val="24"/>
          <w:lang w:eastAsia="en-AU"/>
          <w14:ligatures w14:val="standardContextual"/>
        </w:rPr>
      </w:pPr>
      <w:hyperlink w:anchor="_Toc227749051" w:history="1">
        <w:r w:rsidRPr="00EB34D0">
          <w:rPr>
            <w:rStyle w:val="Hyperlink"/>
          </w:rPr>
          <w:t>12.4</w:t>
        </w:r>
        <w:r>
          <w:rPr>
            <w:rFonts w:asciiTheme="minorHAnsi" w:eastAsiaTheme="minorEastAsia" w:hAnsiTheme="minorHAnsi"/>
            <w:kern w:val="2"/>
            <w:sz w:val="24"/>
            <w:szCs w:val="24"/>
            <w:lang w:eastAsia="en-AU"/>
            <w14:ligatures w14:val="standardContextual"/>
          </w:rPr>
          <w:tab/>
        </w:r>
        <w:r w:rsidRPr="00EB34D0">
          <w:rPr>
            <w:rStyle w:val="Hyperlink"/>
          </w:rPr>
          <w:t>Performance measures for Outcome - Table 2.X.3</w:t>
        </w:r>
        <w:r>
          <w:rPr>
            <w:webHidden/>
          </w:rPr>
          <w:tab/>
        </w:r>
        <w:r>
          <w:rPr>
            <w:webHidden/>
          </w:rPr>
          <w:fldChar w:fldCharType="begin"/>
        </w:r>
        <w:r>
          <w:rPr>
            <w:webHidden/>
          </w:rPr>
          <w:instrText xml:space="preserve"> PAGEREF _Toc227749051 \h </w:instrText>
        </w:r>
        <w:r>
          <w:rPr>
            <w:webHidden/>
          </w:rPr>
        </w:r>
        <w:r>
          <w:rPr>
            <w:webHidden/>
          </w:rPr>
          <w:fldChar w:fldCharType="separate"/>
        </w:r>
        <w:r>
          <w:rPr>
            <w:webHidden/>
          </w:rPr>
          <w:t>44</w:t>
        </w:r>
        <w:r>
          <w:rPr>
            <w:webHidden/>
          </w:rPr>
          <w:fldChar w:fldCharType="end"/>
        </w:r>
      </w:hyperlink>
    </w:p>
    <w:p w14:paraId="18E4D4F0" w14:textId="3DFE6741" w:rsidR="005F0BAD" w:rsidRDefault="005F0BAD">
      <w:pPr>
        <w:pStyle w:val="TOC3"/>
        <w:rPr>
          <w:rFonts w:asciiTheme="minorHAnsi" w:eastAsiaTheme="minorEastAsia" w:hAnsiTheme="minorHAnsi"/>
          <w:kern w:val="2"/>
          <w:sz w:val="24"/>
          <w:szCs w:val="24"/>
          <w:lang w:eastAsia="en-AU"/>
          <w14:ligatures w14:val="standardContextual"/>
        </w:rPr>
      </w:pPr>
      <w:hyperlink w:anchor="_Toc227749052" w:history="1">
        <w:r w:rsidRPr="00EB34D0">
          <w:rPr>
            <w:rStyle w:val="Hyperlink"/>
          </w:rPr>
          <w:t>12.4.1</w:t>
        </w:r>
        <w:r>
          <w:rPr>
            <w:rFonts w:asciiTheme="minorHAnsi" w:eastAsiaTheme="minorEastAsia" w:hAnsiTheme="minorHAnsi"/>
            <w:kern w:val="2"/>
            <w:sz w:val="24"/>
            <w:szCs w:val="24"/>
            <w:lang w:eastAsia="en-AU"/>
            <w14:ligatures w14:val="standardContextual"/>
          </w:rPr>
          <w:tab/>
        </w:r>
        <w:r w:rsidRPr="00EB34D0">
          <w:rPr>
            <w:rStyle w:val="Hyperlink"/>
          </w:rPr>
          <w:t>Program title and brief description</w:t>
        </w:r>
        <w:r>
          <w:rPr>
            <w:webHidden/>
          </w:rPr>
          <w:tab/>
        </w:r>
        <w:r>
          <w:rPr>
            <w:webHidden/>
          </w:rPr>
          <w:fldChar w:fldCharType="begin"/>
        </w:r>
        <w:r>
          <w:rPr>
            <w:webHidden/>
          </w:rPr>
          <w:instrText xml:space="preserve"> PAGEREF _Toc227749052 \h </w:instrText>
        </w:r>
        <w:r>
          <w:rPr>
            <w:webHidden/>
          </w:rPr>
        </w:r>
        <w:r>
          <w:rPr>
            <w:webHidden/>
          </w:rPr>
          <w:fldChar w:fldCharType="separate"/>
        </w:r>
        <w:r>
          <w:rPr>
            <w:webHidden/>
          </w:rPr>
          <w:t>45</w:t>
        </w:r>
        <w:r>
          <w:rPr>
            <w:webHidden/>
          </w:rPr>
          <w:fldChar w:fldCharType="end"/>
        </w:r>
      </w:hyperlink>
    </w:p>
    <w:p w14:paraId="1DC9A91F" w14:textId="216D9182" w:rsidR="005F0BAD" w:rsidRDefault="005F0BAD">
      <w:pPr>
        <w:pStyle w:val="TOC3"/>
        <w:rPr>
          <w:rFonts w:asciiTheme="minorHAnsi" w:eastAsiaTheme="minorEastAsia" w:hAnsiTheme="minorHAnsi"/>
          <w:kern w:val="2"/>
          <w:sz w:val="24"/>
          <w:szCs w:val="24"/>
          <w:lang w:eastAsia="en-AU"/>
          <w14:ligatures w14:val="standardContextual"/>
        </w:rPr>
      </w:pPr>
      <w:hyperlink w:anchor="_Toc227749053" w:history="1">
        <w:r w:rsidRPr="00EB34D0">
          <w:rPr>
            <w:rStyle w:val="Hyperlink"/>
          </w:rPr>
          <w:t>12.4.2</w:t>
        </w:r>
        <w:r>
          <w:rPr>
            <w:rFonts w:asciiTheme="minorHAnsi" w:eastAsiaTheme="minorEastAsia" w:hAnsiTheme="minorHAnsi"/>
            <w:kern w:val="2"/>
            <w:sz w:val="24"/>
            <w:szCs w:val="24"/>
            <w:lang w:eastAsia="en-AU"/>
            <w14:ligatures w14:val="standardContextual"/>
          </w:rPr>
          <w:tab/>
        </w:r>
        <w:r w:rsidRPr="00EB34D0">
          <w:rPr>
            <w:rStyle w:val="Hyperlink"/>
          </w:rPr>
          <w:t>Key Activities</w:t>
        </w:r>
        <w:r>
          <w:rPr>
            <w:webHidden/>
          </w:rPr>
          <w:tab/>
        </w:r>
        <w:r>
          <w:rPr>
            <w:webHidden/>
          </w:rPr>
          <w:fldChar w:fldCharType="begin"/>
        </w:r>
        <w:r>
          <w:rPr>
            <w:webHidden/>
          </w:rPr>
          <w:instrText xml:space="preserve"> PAGEREF _Toc227749053 \h </w:instrText>
        </w:r>
        <w:r>
          <w:rPr>
            <w:webHidden/>
          </w:rPr>
        </w:r>
        <w:r>
          <w:rPr>
            <w:webHidden/>
          </w:rPr>
          <w:fldChar w:fldCharType="separate"/>
        </w:r>
        <w:r>
          <w:rPr>
            <w:webHidden/>
          </w:rPr>
          <w:t>45</w:t>
        </w:r>
        <w:r>
          <w:rPr>
            <w:webHidden/>
          </w:rPr>
          <w:fldChar w:fldCharType="end"/>
        </w:r>
      </w:hyperlink>
    </w:p>
    <w:p w14:paraId="5C69CB00" w14:textId="12696FE8" w:rsidR="005F0BAD" w:rsidRDefault="005F0BAD">
      <w:pPr>
        <w:pStyle w:val="TOC3"/>
        <w:rPr>
          <w:rFonts w:asciiTheme="minorHAnsi" w:eastAsiaTheme="minorEastAsia" w:hAnsiTheme="minorHAnsi"/>
          <w:kern w:val="2"/>
          <w:sz w:val="24"/>
          <w:szCs w:val="24"/>
          <w:lang w:eastAsia="en-AU"/>
          <w14:ligatures w14:val="standardContextual"/>
        </w:rPr>
      </w:pPr>
      <w:hyperlink w:anchor="_Toc227749054" w:history="1">
        <w:r w:rsidRPr="00EB34D0">
          <w:rPr>
            <w:rStyle w:val="Hyperlink"/>
          </w:rPr>
          <w:t>12.4.3</w:t>
        </w:r>
        <w:r>
          <w:rPr>
            <w:rFonts w:asciiTheme="minorHAnsi" w:eastAsiaTheme="minorEastAsia" w:hAnsiTheme="minorHAnsi"/>
            <w:kern w:val="2"/>
            <w:sz w:val="24"/>
            <w:szCs w:val="24"/>
            <w:lang w:eastAsia="en-AU"/>
            <w14:ligatures w14:val="standardContextual"/>
          </w:rPr>
          <w:tab/>
        </w:r>
        <w:r w:rsidRPr="00EB34D0">
          <w:rPr>
            <w:rStyle w:val="Hyperlink"/>
          </w:rPr>
          <w:t>Performance measures</w:t>
        </w:r>
        <w:r>
          <w:rPr>
            <w:webHidden/>
          </w:rPr>
          <w:tab/>
        </w:r>
        <w:r>
          <w:rPr>
            <w:webHidden/>
          </w:rPr>
          <w:fldChar w:fldCharType="begin"/>
        </w:r>
        <w:r>
          <w:rPr>
            <w:webHidden/>
          </w:rPr>
          <w:instrText xml:space="preserve"> PAGEREF _Toc227749054 \h </w:instrText>
        </w:r>
        <w:r>
          <w:rPr>
            <w:webHidden/>
          </w:rPr>
        </w:r>
        <w:r>
          <w:rPr>
            <w:webHidden/>
          </w:rPr>
          <w:fldChar w:fldCharType="separate"/>
        </w:r>
        <w:r>
          <w:rPr>
            <w:webHidden/>
          </w:rPr>
          <w:t>46</w:t>
        </w:r>
        <w:r>
          <w:rPr>
            <w:webHidden/>
          </w:rPr>
          <w:fldChar w:fldCharType="end"/>
        </w:r>
      </w:hyperlink>
    </w:p>
    <w:p w14:paraId="619D9671" w14:textId="239F4838" w:rsidR="005F0BAD" w:rsidRDefault="005F0BAD">
      <w:pPr>
        <w:pStyle w:val="TOC3"/>
        <w:rPr>
          <w:rFonts w:asciiTheme="minorHAnsi" w:eastAsiaTheme="minorEastAsia" w:hAnsiTheme="minorHAnsi"/>
          <w:kern w:val="2"/>
          <w:sz w:val="24"/>
          <w:szCs w:val="24"/>
          <w:lang w:eastAsia="en-AU"/>
          <w14:ligatures w14:val="standardContextual"/>
        </w:rPr>
      </w:pPr>
      <w:hyperlink w:anchor="_Toc227749055" w:history="1">
        <w:r w:rsidRPr="00EB34D0">
          <w:rPr>
            <w:rStyle w:val="Hyperlink"/>
          </w:rPr>
          <w:t>12.4.4</w:t>
        </w:r>
        <w:r>
          <w:rPr>
            <w:rFonts w:asciiTheme="minorHAnsi" w:eastAsiaTheme="minorEastAsia" w:hAnsiTheme="minorHAnsi"/>
            <w:kern w:val="2"/>
            <w:sz w:val="24"/>
            <w:szCs w:val="24"/>
            <w:lang w:eastAsia="en-AU"/>
            <w14:ligatures w14:val="standardContextual"/>
          </w:rPr>
          <w:tab/>
        </w:r>
        <w:r w:rsidRPr="00EB34D0">
          <w:rPr>
            <w:rStyle w:val="Hyperlink"/>
          </w:rPr>
          <w:t>Associated targets</w:t>
        </w:r>
        <w:r>
          <w:rPr>
            <w:webHidden/>
          </w:rPr>
          <w:tab/>
        </w:r>
        <w:r>
          <w:rPr>
            <w:webHidden/>
          </w:rPr>
          <w:fldChar w:fldCharType="begin"/>
        </w:r>
        <w:r>
          <w:rPr>
            <w:webHidden/>
          </w:rPr>
          <w:instrText xml:space="preserve"> PAGEREF _Toc227749055 \h </w:instrText>
        </w:r>
        <w:r>
          <w:rPr>
            <w:webHidden/>
          </w:rPr>
        </w:r>
        <w:r>
          <w:rPr>
            <w:webHidden/>
          </w:rPr>
          <w:fldChar w:fldCharType="separate"/>
        </w:r>
        <w:r>
          <w:rPr>
            <w:webHidden/>
          </w:rPr>
          <w:t>46</w:t>
        </w:r>
        <w:r>
          <w:rPr>
            <w:webHidden/>
          </w:rPr>
          <w:fldChar w:fldCharType="end"/>
        </w:r>
      </w:hyperlink>
    </w:p>
    <w:p w14:paraId="75A145EA" w14:textId="5F8D7DE2" w:rsidR="005F0BAD" w:rsidRDefault="005F0BAD">
      <w:pPr>
        <w:pStyle w:val="TOC3"/>
        <w:rPr>
          <w:rFonts w:asciiTheme="minorHAnsi" w:eastAsiaTheme="minorEastAsia" w:hAnsiTheme="minorHAnsi"/>
          <w:kern w:val="2"/>
          <w:sz w:val="24"/>
          <w:szCs w:val="24"/>
          <w:lang w:eastAsia="en-AU"/>
          <w14:ligatures w14:val="standardContextual"/>
        </w:rPr>
      </w:pPr>
      <w:hyperlink w:anchor="_Toc227749056" w:history="1">
        <w:r w:rsidRPr="00EB34D0">
          <w:rPr>
            <w:rStyle w:val="Hyperlink"/>
          </w:rPr>
          <w:t>12.4.5</w:t>
        </w:r>
        <w:r>
          <w:rPr>
            <w:rFonts w:asciiTheme="minorHAnsi" w:eastAsiaTheme="minorEastAsia" w:hAnsiTheme="minorHAnsi"/>
            <w:kern w:val="2"/>
            <w:sz w:val="24"/>
            <w:szCs w:val="24"/>
            <w:lang w:eastAsia="en-AU"/>
            <w14:ligatures w14:val="standardContextual"/>
          </w:rPr>
          <w:tab/>
        </w:r>
        <w:r w:rsidRPr="00EB34D0">
          <w:rPr>
            <w:rStyle w:val="Hyperlink"/>
          </w:rPr>
          <w:t>Expected date of achievement</w:t>
        </w:r>
        <w:r>
          <w:rPr>
            <w:webHidden/>
          </w:rPr>
          <w:tab/>
        </w:r>
        <w:r>
          <w:rPr>
            <w:webHidden/>
          </w:rPr>
          <w:fldChar w:fldCharType="begin"/>
        </w:r>
        <w:r>
          <w:rPr>
            <w:webHidden/>
          </w:rPr>
          <w:instrText xml:space="preserve"> PAGEREF _Toc227749056 \h </w:instrText>
        </w:r>
        <w:r>
          <w:rPr>
            <w:webHidden/>
          </w:rPr>
        </w:r>
        <w:r>
          <w:rPr>
            <w:webHidden/>
          </w:rPr>
          <w:fldChar w:fldCharType="separate"/>
        </w:r>
        <w:r>
          <w:rPr>
            <w:webHidden/>
          </w:rPr>
          <w:t>47</w:t>
        </w:r>
        <w:r>
          <w:rPr>
            <w:webHidden/>
          </w:rPr>
          <w:fldChar w:fldCharType="end"/>
        </w:r>
      </w:hyperlink>
    </w:p>
    <w:p w14:paraId="47040C2E" w14:textId="2DCC9483" w:rsidR="005F0BAD" w:rsidRDefault="005F0BAD">
      <w:pPr>
        <w:pStyle w:val="TOC3"/>
        <w:rPr>
          <w:rFonts w:asciiTheme="minorHAnsi" w:eastAsiaTheme="minorEastAsia" w:hAnsiTheme="minorHAnsi"/>
          <w:kern w:val="2"/>
          <w:sz w:val="24"/>
          <w:szCs w:val="24"/>
          <w:lang w:eastAsia="en-AU"/>
          <w14:ligatures w14:val="standardContextual"/>
        </w:rPr>
      </w:pPr>
      <w:hyperlink w:anchor="_Toc227749057" w:history="1">
        <w:r w:rsidRPr="00EB34D0">
          <w:rPr>
            <w:rStyle w:val="Hyperlink"/>
          </w:rPr>
          <w:t>12.4.6</w:t>
        </w:r>
        <w:r>
          <w:rPr>
            <w:rFonts w:asciiTheme="minorHAnsi" w:eastAsiaTheme="minorEastAsia" w:hAnsiTheme="minorHAnsi"/>
            <w:kern w:val="2"/>
            <w:sz w:val="24"/>
            <w:szCs w:val="24"/>
            <w:lang w:eastAsia="en-AU"/>
            <w14:ligatures w14:val="standardContextual"/>
          </w:rPr>
          <w:tab/>
        </w:r>
        <w:r w:rsidRPr="00EB34D0">
          <w:rPr>
            <w:rStyle w:val="Hyperlink"/>
          </w:rPr>
          <w:t>Performance measures for Commonwealth entities</w:t>
        </w:r>
        <w:r>
          <w:rPr>
            <w:webHidden/>
          </w:rPr>
          <w:tab/>
        </w:r>
        <w:r>
          <w:rPr>
            <w:webHidden/>
          </w:rPr>
          <w:fldChar w:fldCharType="begin"/>
        </w:r>
        <w:r>
          <w:rPr>
            <w:webHidden/>
          </w:rPr>
          <w:instrText xml:space="preserve"> PAGEREF _Toc227749057 \h </w:instrText>
        </w:r>
        <w:r>
          <w:rPr>
            <w:webHidden/>
          </w:rPr>
        </w:r>
        <w:r>
          <w:rPr>
            <w:webHidden/>
          </w:rPr>
          <w:fldChar w:fldCharType="separate"/>
        </w:r>
        <w:r>
          <w:rPr>
            <w:webHidden/>
          </w:rPr>
          <w:t>47</w:t>
        </w:r>
        <w:r>
          <w:rPr>
            <w:webHidden/>
          </w:rPr>
          <w:fldChar w:fldCharType="end"/>
        </w:r>
      </w:hyperlink>
    </w:p>
    <w:p w14:paraId="01542964" w14:textId="2E92645D" w:rsidR="005F0BAD" w:rsidRDefault="005F0BAD">
      <w:pPr>
        <w:pStyle w:val="TOC3"/>
        <w:rPr>
          <w:rFonts w:asciiTheme="minorHAnsi" w:eastAsiaTheme="minorEastAsia" w:hAnsiTheme="minorHAnsi"/>
          <w:kern w:val="2"/>
          <w:sz w:val="24"/>
          <w:szCs w:val="24"/>
          <w:lang w:eastAsia="en-AU"/>
          <w14:ligatures w14:val="standardContextual"/>
        </w:rPr>
      </w:pPr>
      <w:hyperlink w:anchor="_Toc227749058" w:history="1">
        <w:r w:rsidRPr="00EB34D0">
          <w:rPr>
            <w:rStyle w:val="Hyperlink"/>
          </w:rPr>
          <w:t>12.4.7</w:t>
        </w:r>
        <w:r>
          <w:rPr>
            <w:rFonts w:asciiTheme="minorHAnsi" w:eastAsiaTheme="minorEastAsia" w:hAnsiTheme="minorHAnsi"/>
            <w:kern w:val="2"/>
            <w:sz w:val="24"/>
            <w:szCs w:val="24"/>
            <w:lang w:eastAsia="en-AU"/>
            <w14:ligatures w14:val="standardContextual"/>
          </w:rPr>
          <w:tab/>
        </w:r>
        <w:r w:rsidRPr="00EB34D0">
          <w:rPr>
            <w:rStyle w:val="Hyperlink"/>
          </w:rPr>
          <w:t>Achieving a ‘clear read’</w:t>
        </w:r>
        <w:r>
          <w:rPr>
            <w:webHidden/>
          </w:rPr>
          <w:tab/>
        </w:r>
        <w:r>
          <w:rPr>
            <w:webHidden/>
          </w:rPr>
          <w:fldChar w:fldCharType="begin"/>
        </w:r>
        <w:r>
          <w:rPr>
            <w:webHidden/>
          </w:rPr>
          <w:instrText xml:space="preserve"> PAGEREF _Toc227749058 \h </w:instrText>
        </w:r>
        <w:r>
          <w:rPr>
            <w:webHidden/>
          </w:rPr>
        </w:r>
        <w:r>
          <w:rPr>
            <w:webHidden/>
          </w:rPr>
          <w:fldChar w:fldCharType="separate"/>
        </w:r>
        <w:r>
          <w:rPr>
            <w:webHidden/>
          </w:rPr>
          <w:t>47</w:t>
        </w:r>
        <w:r>
          <w:rPr>
            <w:webHidden/>
          </w:rPr>
          <w:fldChar w:fldCharType="end"/>
        </w:r>
      </w:hyperlink>
    </w:p>
    <w:p w14:paraId="14C48B4A" w14:textId="2E3B17A5" w:rsidR="005F0BAD" w:rsidRDefault="005F0BAD">
      <w:pPr>
        <w:pStyle w:val="TOC3"/>
        <w:rPr>
          <w:rFonts w:asciiTheme="minorHAnsi" w:eastAsiaTheme="minorEastAsia" w:hAnsiTheme="minorHAnsi"/>
          <w:kern w:val="2"/>
          <w:sz w:val="24"/>
          <w:szCs w:val="24"/>
          <w:lang w:eastAsia="en-AU"/>
          <w14:ligatures w14:val="standardContextual"/>
        </w:rPr>
      </w:pPr>
      <w:hyperlink w:anchor="_Toc227749059" w:history="1">
        <w:r w:rsidRPr="00EB34D0">
          <w:rPr>
            <w:rStyle w:val="Hyperlink"/>
          </w:rPr>
          <w:t>12.4.8</w:t>
        </w:r>
        <w:r>
          <w:rPr>
            <w:rFonts w:asciiTheme="minorHAnsi" w:eastAsiaTheme="minorEastAsia" w:hAnsiTheme="minorHAnsi"/>
            <w:kern w:val="2"/>
            <w:sz w:val="24"/>
            <w:szCs w:val="24"/>
            <w:lang w:eastAsia="en-AU"/>
            <w14:ligatures w14:val="standardContextual"/>
          </w:rPr>
          <w:tab/>
        </w:r>
        <w:r w:rsidRPr="00EB34D0">
          <w:rPr>
            <w:rStyle w:val="Hyperlink"/>
          </w:rPr>
          <w:t>New or materially changed programs</w:t>
        </w:r>
        <w:r>
          <w:rPr>
            <w:webHidden/>
          </w:rPr>
          <w:tab/>
        </w:r>
        <w:r>
          <w:rPr>
            <w:webHidden/>
          </w:rPr>
          <w:fldChar w:fldCharType="begin"/>
        </w:r>
        <w:r>
          <w:rPr>
            <w:webHidden/>
          </w:rPr>
          <w:instrText xml:space="preserve"> PAGEREF _Toc227749059 \h </w:instrText>
        </w:r>
        <w:r>
          <w:rPr>
            <w:webHidden/>
          </w:rPr>
        </w:r>
        <w:r>
          <w:rPr>
            <w:webHidden/>
          </w:rPr>
          <w:fldChar w:fldCharType="separate"/>
        </w:r>
        <w:r>
          <w:rPr>
            <w:webHidden/>
          </w:rPr>
          <w:t>47</w:t>
        </w:r>
        <w:r>
          <w:rPr>
            <w:webHidden/>
          </w:rPr>
          <w:fldChar w:fldCharType="end"/>
        </w:r>
      </w:hyperlink>
    </w:p>
    <w:p w14:paraId="532064EF" w14:textId="1D48EB44" w:rsidR="005F0BAD" w:rsidRDefault="005F0BAD">
      <w:pPr>
        <w:pStyle w:val="TOC1"/>
        <w:rPr>
          <w:rFonts w:asciiTheme="minorHAnsi" w:eastAsiaTheme="minorEastAsia" w:hAnsiTheme="minorHAnsi"/>
          <w:kern w:val="2"/>
          <w:szCs w:val="24"/>
          <w:lang w:eastAsia="en-AU"/>
          <w14:ligatures w14:val="standardContextual"/>
        </w:rPr>
      </w:pPr>
      <w:hyperlink w:anchor="_Toc227749060" w:history="1">
        <w:r w:rsidRPr="00EB34D0">
          <w:rPr>
            <w:rStyle w:val="Hyperlink"/>
          </w:rPr>
          <w:t>13</w:t>
        </w:r>
        <w:r>
          <w:rPr>
            <w:rFonts w:asciiTheme="minorHAnsi" w:eastAsiaTheme="minorEastAsia" w:hAnsiTheme="minorHAnsi"/>
            <w:kern w:val="2"/>
            <w:szCs w:val="24"/>
            <w:lang w:eastAsia="en-AU"/>
            <w14:ligatures w14:val="standardContextual"/>
          </w:rPr>
          <w:tab/>
        </w:r>
        <w:r w:rsidRPr="00EB34D0">
          <w:rPr>
            <w:rStyle w:val="Hyperlink"/>
          </w:rPr>
          <w:t>Section 3 - Budgeted financial statements</w:t>
        </w:r>
        <w:r>
          <w:rPr>
            <w:webHidden/>
          </w:rPr>
          <w:tab/>
        </w:r>
        <w:r>
          <w:rPr>
            <w:webHidden/>
          </w:rPr>
          <w:fldChar w:fldCharType="begin"/>
        </w:r>
        <w:r>
          <w:rPr>
            <w:webHidden/>
          </w:rPr>
          <w:instrText xml:space="preserve"> PAGEREF _Toc227749060 \h </w:instrText>
        </w:r>
        <w:r>
          <w:rPr>
            <w:webHidden/>
          </w:rPr>
        </w:r>
        <w:r>
          <w:rPr>
            <w:webHidden/>
          </w:rPr>
          <w:fldChar w:fldCharType="separate"/>
        </w:r>
        <w:r>
          <w:rPr>
            <w:webHidden/>
          </w:rPr>
          <w:t>48</w:t>
        </w:r>
        <w:r>
          <w:rPr>
            <w:webHidden/>
          </w:rPr>
          <w:fldChar w:fldCharType="end"/>
        </w:r>
      </w:hyperlink>
    </w:p>
    <w:p w14:paraId="1CCCFC01" w14:textId="04BC2231" w:rsidR="005F0BAD" w:rsidRDefault="005F0BAD">
      <w:pPr>
        <w:pStyle w:val="TOC2"/>
        <w:rPr>
          <w:rFonts w:asciiTheme="minorHAnsi" w:eastAsiaTheme="minorEastAsia" w:hAnsiTheme="minorHAnsi"/>
          <w:kern w:val="2"/>
          <w:sz w:val="24"/>
          <w:szCs w:val="24"/>
          <w:lang w:eastAsia="en-AU"/>
          <w14:ligatures w14:val="standardContextual"/>
        </w:rPr>
      </w:pPr>
      <w:hyperlink w:anchor="_Toc227749061" w:history="1">
        <w:r w:rsidRPr="00EB34D0">
          <w:rPr>
            <w:rStyle w:val="Hyperlink"/>
          </w:rPr>
          <w:t>13.1</w:t>
        </w:r>
        <w:r>
          <w:rPr>
            <w:rFonts w:asciiTheme="minorHAnsi" w:eastAsiaTheme="minorEastAsia" w:hAnsiTheme="minorHAnsi"/>
            <w:kern w:val="2"/>
            <w:sz w:val="24"/>
            <w:szCs w:val="24"/>
            <w:lang w:eastAsia="en-AU"/>
            <w14:ligatures w14:val="standardContextual"/>
          </w:rPr>
          <w:tab/>
        </w:r>
        <w:r w:rsidRPr="00EB34D0">
          <w:rPr>
            <w:rStyle w:val="Hyperlink"/>
          </w:rPr>
          <w:t>Tables constituting the budgeted financial statements</w:t>
        </w:r>
        <w:r>
          <w:rPr>
            <w:webHidden/>
          </w:rPr>
          <w:tab/>
        </w:r>
        <w:r>
          <w:rPr>
            <w:webHidden/>
          </w:rPr>
          <w:fldChar w:fldCharType="begin"/>
        </w:r>
        <w:r>
          <w:rPr>
            <w:webHidden/>
          </w:rPr>
          <w:instrText xml:space="preserve"> PAGEREF _Toc227749061 \h </w:instrText>
        </w:r>
        <w:r>
          <w:rPr>
            <w:webHidden/>
          </w:rPr>
        </w:r>
        <w:r>
          <w:rPr>
            <w:webHidden/>
          </w:rPr>
          <w:fldChar w:fldCharType="separate"/>
        </w:r>
        <w:r>
          <w:rPr>
            <w:webHidden/>
          </w:rPr>
          <w:t>48</w:t>
        </w:r>
        <w:r>
          <w:rPr>
            <w:webHidden/>
          </w:rPr>
          <w:fldChar w:fldCharType="end"/>
        </w:r>
      </w:hyperlink>
    </w:p>
    <w:p w14:paraId="7EEC85FB" w14:textId="66731F38" w:rsidR="005F0BAD" w:rsidRDefault="005F0BAD">
      <w:pPr>
        <w:pStyle w:val="TOC2"/>
        <w:rPr>
          <w:rFonts w:asciiTheme="minorHAnsi" w:eastAsiaTheme="minorEastAsia" w:hAnsiTheme="minorHAnsi"/>
          <w:kern w:val="2"/>
          <w:sz w:val="24"/>
          <w:szCs w:val="24"/>
          <w:lang w:eastAsia="en-AU"/>
          <w14:ligatures w14:val="standardContextual"/>
        </w:rPr>
      </w:pPr>
      <w:hyperlink w:anchor="_Toc227749062" w:history="1">
        <w:r w:rsidRPr="00EB34D0">
          <w:rPr>
            <w:rStyle w:val="Hyperlink"/>
          </w:rPr>
          <w:t>13.2</w:t>
        </w:r>
        <w:r>
          <w:rPr>
            <w:rFonts w:asciiTheme="minorHAnsi" w:eastAsiaTheme="minorEastAsia" w:hAnsiTheme="minorHAnsi"/>
            <w:kern w:val="2"/>
            <w:sz w:val="24"/>
            <w:szCs w:val="24"/>
            <w:lang w:eastAsia="en-AU"/>
            <w14:ligatures w14:val="standardContextual"/>
          </w:rPr>
          <w:tab/>
        </w:r>
        <w:r w:rsidRPr="00EB34D0">
          <w:rPr>
            <w:rStyle w:val="Hyperlink"/>
          </w:rPr>
          <w:t>Departmental financial statements</w:t>
        </w:r>
        <w:r>
          <w:rPr>
            <w:webHidden/>
          </w:rPr>
          <w:tab/>
        </w:r>
        <w:r>
          <w:rPr>
            <w:webHidden/>
          </w:rPr>
          <w:fldChar w:fldCharType="begin"/>
        </w:r>
        <w:r>
          <w:rPr>
            <w:webHidden/>
          </w:rPr>
          <w:instrText xml:space="preserve"> PAGEREF _Toc227749062 \h </w:instrText>
        </w:r>
        <w:r>
          <w:rPr>
            <w:webHidden/>
          </w:rPr>
        </w:r>
        <w:r>
          <w:rPr>
            <w:webHidden/>
          </w:rPr>
          <w:fldChar w:fldCharType="separate"/>
        </w:r>
        <w:r>
          <w:rPr>
            <w:webHidden/>
          </w:rPr>
          <w:t>49</w:t>
        </w:r>
        <w:r>
          <w:rPr>
            <w:webHidden/>
          </w:rPr>
          <w:fldChar w:fldCharType="end"/>
        </w:r>
      </w:hyperlink>
    </w:p>
    <w:p w14:paraId="52DCE34C" w14:textId="2DDD3958" w:rsidR="005F0BAD" w:rsidRDefault="005F0BAD">
      <w:pPr>
        <w:pStyle w:val="TOC3"/>
        <w:rPr>
          <w:rFonts w:asciiTheme="minorHAnsi" w:eastAsiaTheme="minorEastAsia" w:hAnsiTheme="minorHAnsi"/>
          <w:kern w:val="2"/>
          <w:sz w:val="24"/>
          <w:szCs w:val="24"/>
          <w:lang w:eastAsia="en-AU"/>
          <w14:ligatures w14:val="standardContextual"/>
        </w:rPr>
      </w:pPr>
      <w:hyperlink w:anchor="_Toc227749063" w:history="1">
        <w:r w:rsidRPr="00EB34D0">
          <w:rPr>
            <w:rStyle w:val="Hyperlink"/>
          </w:rPr>
          <w:t>13.2.1</w:t>
        </w:r>
        <w:r>
          <w:rPr>
            <w:rFonts w:asciiTheme="minorHAnsi" w:eastAsiaTheme="minorEastAsia" w:hAnsiTheme="minorHAnsi"/>
            <w:kern w:val="2"/>
            <w:sz w:val="24"/>
            <w:szCs w:val="24"/>
            <w:lang w:eastAsia="en-AU"/>
            <w14:ligatures w14:val="standardContextual"/>
          </w:rPr>
          <w:tab/>
        </w:r>
        <w:r w:rsidRPr="00EB34D0">
          <w:rPr>
            <w:rStyle w:val="Hyperlink"/>
          </w:rPr>
          <w:t>Comprehensive income statement (showing net cost of services)</w:t>
        </w:r>
        <w:r>
          <w:rPr>
            <w:webHidden/>
          </w:rPr>
          <w:tab/>
        </w:r>
        <w:r>
          <w:rPr>
            <w:webHidden/>
          </w:rPr>
          <w:fldChar w:fldCharType="begin"/>
        </w:r>
        <w:r>
          <w:rPr>
            <w:webHidden/>
          </w:rPr>
          <w:instrText xml:space="preserve"> PAGEREF _Toc227749063 \h </w:instrText>
        </w:r>
        <w:r>
          <w:rPr>
            <w:webHidden/>
          </w:rPr>
        </w:r>
        <w:r>
          <w:rPr>
            <w:webHidden/>
          </w:rPr>
          <w:fldChar w:fldCharType="separate"/>
        </w:r>
        <w:r>
          <w:rPr>
            <w:webHidden/>
          </w:rPr>
          <w:t>49</w:t>
        </w:r>
        <w:r>
          <w:rPr>
            <w:webHidden/>
          </w:rPr>
          <w:fldChar w:fldCharType="end"/>
        </w:r>
      </w:hyperlink>
    </w:p>
    <w:p w14:paraId="7F08B0D9" w14:textId="2AD27E7F" w:rsidR="005F0BAD" w:rsidRDefault="005F0BAD">
      <w:pPr>
        <w:pStyle w:val="TOC3"/>
        <w:rPr>
          <w:rFonts w:asciiTheme="minorHAnsi" w:eastAsiaTheme="minorEastAsia" w:hAnsiTheme="minorHAnsi"/>
          <w:kern w:val="2"/>
          <w:sz w:val="24"/>
          <w:szCs w:val="24"/>
          <w:lang w:eastAsia="en-AU"/>
          <w14:ligatures w14:val="standardContextual"/>
        </w:rPr>
      </w:pPr>
      <w:hyperlink w:anchor="_Toc227749064" w:history="1">
        <w:r w:rsidRPr="00EB34D0">
          <w:rPr>
            <w:rStyle w:val="Hyperlink"/>
          </w:rPr>
          <w:t>13.2.2</w:t>
        </w:r>
        <w:r>
          <w:rPr>
            <w:rFonts w:asciiTheme="minorHAnsi" w:eastAsiaTheme="minorEastAsia" w:hAnsiTheme="minorHAnsi"/>
            <w:kern w:val="2"/>
            <w:sz w:val="24"/>
            <w:szCs w:val="24"/>
            <w:lang w:eastAsia="en-AU"/>
            <w14:ligatures w14:val="standardContextual"/>
          </w:rPr>
          <w:tab/>
        </w:r>
        <w:r w:rsidRPr="00EB34D0">
          <w:rPr>
            <w:rStyle w:val="Hyperlink"/>
          </w:rPr>
          <w:t>Budgeted departmental balance sheet</w:t>
        </w:r>
        <w:r>
          <w:rPr>
            <w:webHidden/>
          </w:rPr>
          <w:tab/>
        </w:r>
        <w:r>
          <w:rPr>
            <w:webHidden/>
          </w:rPr>
          <w:fldChar w:fldCharType="begin"/>
        </w:r>
        <w:r>
          <w:rPr>
            <w:webHidden/>
          </w:rPr>
          <w:instrText xml:space="preserve"> PAGEREF _Toc227749064 \h </w:instrText>
        </w:r>
        <w:r>
          <w:rPr>
            <w:webHidden/>
          </w:rPr>
        </w:r>
        <w:r>
          <w:rPr>
            <w:webHidden/>
          </w:rPr>
          <w:fldChar w:fldCharType="separate"/>
        </w:r>
        <w:r>
          <w:rPr>
            <w:webHidden/>
          </w:rPr>
          <w:t>49</w:t>
        </w:r>
        <w:r>
          <w:rPr>
            <w:webHidden/>
          </w:rPr>
          <w:fldChar w:fldCharType="end"/>
        </w:r>
      </w:hyperlink>
    </w:p>
    <w:p w14:paraId="0B7577A9" w14:textId="38FF38ED" w:rsidR="005F0BAD" w:rsidRDefault="005F0BAD">
      <w:pPr>
        <w:pStyle w:val="TOC3"/>
        <w:rPr>
          <w:rFonts w:asciiTheme="minorHAnsi" w:eastAsiaTheme="minorEastAsia" w:hAnsiTheme="minorHAnsi"/>
          <w:kern w:val="2"/>
          <w:sz w:val="24"/>
          <w:szCs w:val="24"/>
          <w:lang w:eastAsia="en-AU"/>
          <w14:ligatures w14:val="standardContextual"/>
        </w:rPr>
      </w:pPr>
      <w:hyperlink w:anchor="_Toc227749065" w:history="1">
        <w:r w:rsidRPr="00EB34D0">
          <w:rPr>
            <w:rStyle w:val="Hyperlink"/>
          </w:rPr>
          <w:t>13.2.3</w:t>
        </w:r>
        <w:r>
          <w:rPr>
            <w:rFonts w:asciiTheme="minorHAnsi" w:eastAsiaTheme="minorEastAsia" w:hAnsiTheme="minorHAnsi"/>
            <w:kern w:val="2"/>
            <w:sz w:val="24"/>
            <w:szCs w:val="24"/>
            <w:lang w:eastAsia="en-AU"/>
            <w14:ligatures w14:val="standardContextual"/>
          </w:rPr>
          <w:tab/>
        </w:r>
        <w:r w:rsidRPr="00EB34D0">
          <w:rPr>
            <w:rStyle w:val="Hyperlink"/>
          </w:rPr>
          <w:t>Departmental statement of changes in equity</w:t>
        </w:r>
        <w:r>
          <w:rPr>
            <w:webHidden/>
          </w:rPr>
          <w:tab/>
        </w:r>
        <w:r>
          <w:rPr>
            <w:webHidden/>
          </w:rPr>
          <w:fldChar w:fldCharType="begin"/>
        </w:r>
        <w:r>
          <w:rPr>
            <w:webHidden/>
          </w:rPr>
          <w:instrText xml:space="preserve"> PAGEREF _Toc227749065 \h </w:instrText>
        </w:r>
        <w:r>
          <w:rPr>
            <w:webHidden/>
          </w:rPr>
        </w:r>
        <w:r>
          <w:rPr>
            <w:webHidden/>
          </w:rPr>
          <w:fldChar w:fldCharType="separate"/>
        </w:r>
        <w:r>
          <w:rPr>
            <w:webHidden/>
          </w:rPr>
          <w:t>49</w:t>
        </w:r>
        <w:r>
          <w:rPr>
            <w:webHidden/>
          </w:rPr>
          <w:fldChar w:fldCharType="end"/>
        </w:r>
      </w:hyperlink>
    </w:p>
    <w:p w14:paraId="347C4791" w14:textId="1B6BAAF8" w:rsidR="005F0BAD" w:rsidRDefault="005F0BAD">
      <w:pPr>
        <w:pStyle w:val="TOC3"/>
        <w:rPr>
          <w:rFonts w:asciiTheme="minorHAnsi" w:eastAsiaTheme="minorEastAsia" w:hAnsiTheme="minorHAnsi"/>
          <w:kern w:val="2"/>
          <w:sz w:val="24"/>
          <w:szCs w:val="24"/>
          <w:lang w:eastAsia="en-AU"/>
          <w14:ligatures w14:val="standardContextual"/>
        </w:rPr>
      </w:pPr>
      <w:hyperlink w:anchor="_Toc227749066" w:history="1">
        <w:r w:rsidRPr="00EB34D0">
          <w:rPr>
            <w:rStyle w:val="Hyperlink"/>
          </w:rPr>
          <w:t>13.2.4</w:t>
        </w:r>
        <w:r>
          <w:rPr>
            <w:rFonts w:asciiTheme="minorHAnsi" w:eastAsiaTheme="minorEastAsia" w:hAnsiTheme="minorHAnsi"/>
            <w:kern w:val="2"/>
            <w:sz w:val="24"/>
            <w:szCs w:val="24"/>
            <w:lang w:eastAsia="en-AU"/>
            <w14:ligatures w14:val="standardContextual"/>
          </w:rPr>
          <w:tab/>
        </w:r>
        <w:r w:rsidRPr="00EB34D0">
          <w:rPr>
            <w:rStyle w:val="Hyperlink"/>
          </w:rPr>
          <w:t>Budgeted departmental statement of cash flows</w:t>
        </w:r>
        <w:r>
          <w:rPr>
            <w:webHidden/>
          </w:rPr>
          <w:tab/>
        </w:r>
        <w:r>
          <w:rPr>
            <w:webHidden/>
          </w:rPr>
          <w:fldChar w:fldCharType="begin"/>
        </w:r>
        <w:r>
          <w:rPr>
            <w:webHidden/>
          </w:rPr>
          <w:instrText xml:space="preserve"> PAGEREF _Toc227749066 \h </w:instrText>
        </w:r>
        <w:r>
          <w:rPr>
            <w:webHidden/>
          </w:rPr>
        </w:r>
        <w:r>
          <w:rPr>
            <w:webHidden/>
          </w:rPr>
          <w:fldChar w:fldCharType="separate"/>
        </w:r>
        <w:r>
          <w:rPr>
            <w:webHidden/>
          </w:rPr>
          <w:t>50</w:t>
        </w:r>
        <w:r>
          <w:rPr>
            <w:webHidden/>
          </w:rPr>
          <w:fldChar w:fldCharType="end"/>
        </w:r>
      </w:hyperlink>
    </w:p>
    <w:p w14:paraId="1ED24FDB" w14:textId="3FE71561" w:rsidR="005F0BAD" w:rsidRDefault="005F0BAD">
      <w:pPr>
        <w:pStyle w:val="TOC3"/>
        <w:rPr>
          <w:rFonts w:asciiTheme="minorHAnsi" w:eastAsiaTheme="minorEastAsia" w:hAnsiTheme="minorHAnsi"/>
          <w:kern w:val="2"/>
          <w:sz w:val="24"/>
          <w:szCs w:val="24"/>
          <w:lang w:eastAsia="en-AU"/>
          <w14:ligatures w14:val="standardContextual"/>
        </w:rPr>
      </w:pPr>
      <w:hyperlink w:anchor="_Toc227749067" w:history="1">
        <w:r w:rsidRPr="00EB34D0">
          <w:rPr>
            <w:rStyle w:val="Hyperlink"/>
          </w:rPr>
          <w:t>13.2.5</w:t>
        </w:r>
        <w:r>
          <w:rPr>
            <w:rFonts w:asciiTheme="minorHAnsi" w:eastAsiaTheme="minorEastAsia" w:hAnsiTheme="minorHAnsi"/>
            <w:kern w:val="2"/>
            <w:sz w:val="24"/>
            <w:szCs w:val="24"/>
            <w:lang w:eastAsia="en-AU"/>
            <w14:ligatures w14:val="standardContextual"/>
          </w:rPr>
          <w:tab/>
        </w:r>
        <w:r w:rsidRPr="00EB34D0">
          <w:rPr>
            <w:rStyle w:val="Hyperlink"/>
          </w:rPr>
          <w:t>Departmental capital budget statement</w:t>
        </w:r>
        <w:r>
          <w:rPr>
            <w:webHidden/>
          </w:rPr>
          <w:tab/>
        </w:r>
        <w:r>
          <w:rPr>
            <w:webHidden/>
          </w:rPr>
          <w:fldChar w:fldCharType="begin"/>
        </w:r>
        <w:r>
          <w:rPr>
            <w:webHidden/>
          </w:rPr>
          <w:instrText xml:space="preserve"> PAGEREF _Toc227749067 \h </w:instrText>
        </w:r>
        <w:r>
          <w:rPr>
            <w:webHidden/>
          </w:rPr>
        </w:r>
        <w:r>
          <w:rPr>
            <w:webHidden/>
          </w:rPr>
          <w:fldChar w:fldCharType="separate"/>
        </w:r>
        <w:r>
          <w:rPr>
            <w:webHidden/>
          </w:rPr>
          <w:t>50</w:t>
        </w:r>
        <w:r>
          <w:rPr>
            <w:webHidden/>
          </w:rPr>
          <w:fldChar w:fldCharType="end"/>
        </w:r>
      </w:hyperlink>
    </w:p>
    <w:p w14:paraId="054E57A8" w14:textId="7768BC24" w:rsidR="005F0BAD" w:rsidRDefault="005F0BAD">
      <w:pPr>
        <w:pStyle w:val="TOC3"/>
        <w:rPr>
          <w:rFonts w:asciiTheme="minorHAnsi" w:eastAsiaTheme="minorEastAsia" w:hAnsiTheme="minorHAnsi"/>
          <w:kern w:val="2"/>
          <w:sz w:val="24"/>
          <w:szCs w:val="24"/>
          <w:lang w:eastAsia="en-AU"/>
          <w14:ligatures w14:val="standardContextual"/>
        </w:rPr>
      </w:pPr>
      <w:hyperlink w:anchor="_Toc227749068" w:history="1">
        <w:r w:rsidRPr="00EB34D0">
          <w:rPr>
            <w:rStyle w:val="Hyperlink"/>
          </w:rPr>
          <w:t>13.2.6</w:t>
        </w:r>
        <w:r>
          <w:rPr>
            <w:rFonts w:asciiTheme="minorHAnsi" w:eastAsiaTheme="minorEastAsia" w:hAnsiTheme="minorHAnsi"/>
            <w:kern w:val="2"/>
            <w:sz w:val="24"/>
            <w:szCs w:val="24"/>
            <w:lang w:eastAsia="en-AU"/>
            <w14:ligatures w14:val="standardContextual"/>
          </w:rPr>
          <w:tab/>
        </w:r>
        <w:r w:rsidRPr="00EB34D0">
          <w:rPr>
            <w:rStyle w:val="Hyperlink"/>
          </w:rPr>
          <w:t>Departmental statement of asset movements</w:t>
        </w:r>
        <w:r>
          <w:rPr>
            <w:webHidden/>
          </w:rPr>
          <w:tab/>
        </w:r>
        <w:r>
          <w:rPr>
            <w:webHidden/>
          </w:rPr>
          <w:fldChar w:fldCharType="begin"/>
        </w:r>
        <w:r>
          <w:rPr>
            <w:webHidden/>
          </w:rPr>
          <w:instrText xml:space="preserve"> PAGEREF _Toc227749068 \h </w:instrText>
        </w:r>
        <w:r>
          <w:rPr>
            <w:webHidden/>
          </w:rPr>
        </w:r>
        <w:r>
          <w:rPr>
            <w:webHidden/>
          </w:rPr>
          <w:fldChar w:fldCharType="separate"/>
        </w:r>
        <w:r>
          <w:rPr>
            <w:webHidden/>
          </w:rPr>
          <w:t>50</w:t>
        </w:r>
        <w:r>
          <w:rPr>
            <w:webHidden/>
          </w:rPr>
          <w:fldChar w:fldCharType="end"/>
        </w:r>
      </w:hyperlink>
    </w:p>
    <w:p w14:paraId="29858C5E" w14:textId="01FA3DDC" w:rsidR="005F0BAD" w:rsidRDefault="005F0BAD">
      <w:pPr>
        <w:pStyle w:val="TOC3"/>
        <w:rPr>
          <w:rFonts w:asciiTheme="minorHAnsi" w:eastAsiaTheme="minorEastAsia" w:hAnsiTheme="minorHAnsi"/>
          <w:kern w:val="2"/>
          <w:sz w:val="24"/>
          <w:szCs w:val="24"/>
          <w:lang w:eastAsia="en-AU"/>
          <w14:ligatures w14:val="standardContextual"/>
        </w:rPr>
      </w:pPr>
      <w:hyperlink w:anchor="_Toc227749069" w:history="1">
        <w:r w:rsidRPr="00EB34D0">
          <w:rPr>
            <w:rStyle w:val="Hyperlink"/>
          </w:rPr>
          <w:t>13.2.7</w:t>
        </w:r>
        <w:r>
          <w:rPr>
            <w:rFonts w:asciiTheme="minorHAnsi" w:eastAsiaTheme="minorEastAsia" w:hAnsiTheme="minorHAnsi"/>
            <w:kern w:val="2"/>
            <w:sz w:val="24"/>
            <w:szCs w:val="24"/>
            <w:lang w:eastAsia="en-AU"/>
            <w14:ligatures w14:val="standardContextual"/>
          </w:rPr>
          <w:tab/>
        </w:r>
        <w:r w:rsidRPr="00EB34D0">
          <w:rPr>
            <w:rStyle w:val="Hyperlink"/>
          </w:rPr>
          <w:t>Administered financial statements</w:t>
        </w:r>
        <w:r>
          <w:rPr>
            <w:webHidden/>
          </w:rPr>
          <w:tab/>
        </w:r>
        <w:r>
          <w:rPr>
            <w:webHidden/>
          </w:rPr>
          <w:fldChar w:fldCharType="begin"/>
        </w:r>
        <w:r>
          <w:rPr>
            <w:webHidden/>
          </w:rPr>
          <w:instrText xml:space="preserve"> PAGEREF _Toc227749069 \h </w:instrText>
        </w:r>
        <w:r>
          <w:rPr>
            <w:webHidden/>
          </w:rPr>
        </w:r>
        <w:r>
          <w:rPr>
            <w:webHidden/>
          </w:rPr>
          <w:fldChar w:fldCharType="separate"/>
        </w:r>
        <w:r>
          <w:rPr>
            <w:webHidden/>
          </w:rPr>
          <w:t>51</w:t>
        </w:r>
        <w:r>
          <w:rPr>
            <w:webHidden/>
          </w:rPr>
          <w:fldChar w:fldCharType="end"/>
        </w:r>
      </w:hyperlink>
    </w:p>
    <w:p w14:paraId="0366BECE" w14:textId="0F229B0E" w:rsidR="005F0BAD" w:rsidRDefault="005F0BAD">
      <w:pPr>
        <w:pStyle w:val="TOC1"/>
        <w:rPr>
          <w:rFonts w:asciiTheme="minorHAnsi" w:eastAsiaTheme="minorEastAsia" w:hAnsiTheme="minorHAnsi"/>
          <w:kern w:val="2"/>
          <w:szCs w:val="24"/>
          <w:lang w:eastAsia="en-AU"/>
          <w14:ligatures w14:val="standardContextual"/>
        </w:rPr>
      </w:pPr>
      <w:hyperlink w:anchor="_Toc227749070" w:history="1">
        <w:r w:rsidRPr="00EB34D0">
          <w:rPr>
            <w:rStyle w:val="Hyperlink"/>
          </w:rPr>
          <w:t>14</w:t>
        </w:r>
        <w:r>
          <w:rPr>
            <w:rFonts w:asciiTheme="minorHAnsi" w:eastAsiaTheme="minorEastAsia" w:hAnsiTheme="minorHAnsi"/>
            <w:kern w:val="2"/>
            <w:szCs w:val="24"/>
            <w:lang w:eastAsia="en-AU"/>
            <w14:ligatures w14:val="standardContextual"/>
          </w:rPr>
          <w:tab/>
        </w:r>
        <w:r w:rsidRPr="00EB34D0">
          <w:rPr>
            <w:rStyle w:val="Hyperlink"/>
          </w:rPr>
          <w:t>Related issues</w:t>
        </w:r>
        <w:r>
          <w:rPr>
            <w:webHidden/>
          </w:rPr>
          <w:tab/>
        </w:r>
        <w:r>
          <w:rPr>
            <w:webHidden/>
          </w:rPr>
          <w:fldChar w:fldCharType="begin"/>
        </w:r>
        <w:r>
          <w:rPr>
            <w:webHidden/>
          </w:rPr>
          <w:instrText xml:space="preserve"> PAGEREF _Toc227749070 \h </w:instrText>
        </w:r>
        <w:r>
          <w:rPr>
            <w:webHidden/>
          </w:rPr>
        </w:r>
        <w:r>
          <w:rPr>
            <w:webHidden/>
          </w:rPr>
          <w:fldChar w:fldCharType="separate"/>
        </w:r>
        <w:r>
          <w:rPr>
            <w:webHidden/>
          </w:rPr>
          <w:t>51</w:t>
        </w:r>
        <w:r>
          <w:rPr>
            <w:webHidden/>
          </w:rPr>
          <w:fldChar w:fldCharType="end"/>
        </w:r>
      </w:hyperlink>
    </w:p>
    <w:p w14:paraId="17B29159" w14:textId="360BED7C" w:rsidR="005F0BAD" w:rsidRDefault="005F0BAD">
      <w:pPr>
        <w:pStyle w:val="TOC2"/>
        <w:rPr>
          <w:rFonts w:asciiTheme="minorHAnsi" w:eastAsiaTheme="minorEastAsia" w:hAnsiTheme="minorHAnsi"/>
          <w:kern w:val="2"/>
          <w:sz w:val="24"/>
          <w:szCs w:val="24"/>
          <w:lang w:eastAsia="en-AU"/>
          <w14:ligatures w14:val="standardContextual"/>
        </w:rPr>
      </w:pPr>
      <w:hyperlink w:anchor="_Toc227749071" w:history="1">
        <w:r w:rsidRPr="00EB34D0">
          <w:rPr>
            <w:rStyle w:val="Hyperlink"/>
          </w:rPr>
          <w:t>14.1</w:t>
        </w:r>
        <w:r>
          <w:rPr>
            <w:rFonts w:asciiTheme="minorHAnsi" w:eastAsiaTheme="minorEastAsia" w:hAnsiTheme="minorHAnsi"/>
            <w:kern w:val="2"/>
            <w:sz w:val="24"/>
            <w:szCs w:val="24"/>
            <w:lang w:eastAsia="en-AU"/>
            <w14:ligatures w14:val="standardContextual"/>
          </w:rPr>
          <w:tab/>
        </w:r>
        <w:r w:rsidRPr="00EB34D0">
          <w:rPr>
            <w:rStyle w:val="Hyperlink"/>
          </w:rPr>
          <w:t>Machinery of government changes</w:t>
        </w:r>
        <w:r>
          <w:rPr>
            <w:webHidden/>
          </w:rPr>
          <w:tab/>
        </w:r>
        <w:r>
          <w:rPr>
            <w:webHidden/>
          </w:rPr>
          <w:fldChar w:fldCharType="begin"/>
        </w:r>
        <w:r>
          <w:rPr>
            <w:webHidden/>
          </w:rPr>
          <w:instrText xml:space="preserve"> PAGEREF _Toc227749071 \h </w:instrText>
        </w:r>
        <w:r>
          <w:rPr>
            <w:webHidden/>
          </w:rPr>
        </w:r>
        <w:r>
          <w:rPr>
            <w:webHidden/>
          </w:rPr>
          <w:fldChar w:fldCharType="separate"/>
        </w:r>
        <w:r>
          <w:rPr>
            <w:webHidden/>
          </w:rPr>
          <w:t>51</w:t>
        </w:r>
        <w:r>
          <w:rPr>
            <w:webHidden/>
          </w:rPr>
          <w:fldChar w:fldCharType="end"/>
        </w:r>
      </w:hyperlink>
    </w:p>
    <w:p w14:paraId="387EB2C3" w14:textId="2EDF712D" w:rsidR="005F0BAD" w:rsidRDefault="005F0BAD">
      <w:pPr>
        <w:pStyle w:val="TOC3"/>
        <w:rPr>
          <w:rFonts w:asciiTheme="minorHAnsi" w:eastAsiaTheme="minorEastAsia" w:hAnsiTheme="minorHAnsi"/>
          <w:kern w:val="2"/>
          <w:sz w:val="24"/>
          <w:szCs w:val="24"/>
          <w:lang w:eastAsia="en-AU"/>
          <w14:ligatures w14:val="standardContextual"/>
        </w:rPr>
      </w:pPr>
      <w:hyperlink w:anchor="_Toc227749072" w:history="1">
        <w:r w:rsidRPr="00EB34D0">
          <w:rPr>
            <w:rStyle w:val="Hyperlink"/>
          </w:rPr>
          <w:t>14.1.1</w:t>
        </w:r>
        <w:r>
          <w:rPr>
            <w:rFonts w:asciiTheme="minorHAnsi" w:eastAsiaTheme="minorEastAsia" w:hAnsiTheme="minorHAnsi"/>
            <w:kern w:val="2"/>
            <w:sz w:val="24"/>
            <w:szCs w:val="24"/>
            <w:lang w:eastAsia="en-AU"/>
            <w14:ligatures w14:val="standardContextual"/>
          </w:rPr>
          <w:tab/>
        </w:r>
        <w:r w:rsidRPr="00EB34D0">
          <w:rPr>
            <w:rStyle w:val="Hyperlink"/>
          </w:rPr>
          <w:t>Entity resource statement (Table 1.1)</w:t>
        </w:r>
        <w:r>
          <w:rPr>
            <w:webHidden/>
          </w:rPr>
          <w:tab/>
        </w:r>
        <w:r>
          <w:rPr>
            <w:webHidden/>
          </w:rPr>
          <w:fldChar w:fldCharType="begin"/>
        </w:r>
        <w:r>
          <w:rPr>
            <w:webHidden/>
          </w:rPr>
          <w:instrText xml:space="preserve"> PAGEREF _Toc227749072 \h </w:instrText>
        </w:r>
        <w:r>
          <w:rPr>
            <w:webHidden/>
          </w:rPr>
        </w:r>
        <w:r>
          <w:rPr>
            <w:webHidden/>
          </w:rPr>
          <w:fldChar w:fldCharType="separate"/>
        </w:r>
        <w:r>
          <w:rPr>
            <w:webHidden/>
          </w:rPr>
          <w:t>51</w:t>
        </w:r>
        <w:r>
          <w:rPr>
            <w:webHidden/>
          </w:rPr>
          <w:fldChar w:fldCharType="end"/>
        </w:r>
      </w:hyperlink>
    </w:p>
    <w:p w14:paraId="6F9CBBDA" w14:textId="68A578E4" w:rsidR="005F0BAD" w:rsidRDefault="005F0BAD">
      <w:pPr>
        <w:pStyle w:val="TOC3"/>
        <w:rPr>
          <w:rFonts w:asciiTheme="minorHAnsi" w:eastAsiaTheme="minorEastAsia" w:hAnsiTheme="minorHAnsi"/>
          <w:kern w:val="2"/>
          <w:sz w:val="24"/>
          <w:szCs w:val="24"/>
          <w:lang w:eastAsia="en-AU"/>
          <w14:ligatures w14:val="standardContextual"/>
        </w:rPr>
      </w:pPr>
      <w:hyperlink w:anchor="_Toc227749073" w:history="1">
        <w:r w:rsidRPr="00EB34D0">
          <w:rPr>
            <w:rStyle w:val="Hyperlink"/>
          </w:rPr>
          <w:t>14.1.2</w:t>
        </w:r>
        <w:r>
          <w:rPr>
            <w:rFonts w:asciiTheme="minorHAnsi" w:eastAsiaTheme="minorEastAsia" w:hAnsiTheme="minorHAnsi"/>
            <w:kern w:val="2"/>
            <w:sz w:val="24"/>
            <w:szCs w:val="24"/>
            <w:lang w:eastAsia="en-AU"/>
            <w14:ligatures w14:val="standardContextual"/>
          </w:rPr>
          <w:tab/>
        </w:r>
        <w:r w:rsidRPr="00EB34D0">
          <w:rPr>
            <w:rStyle w:val="Hyperlink"/>
          </w:rPr>
          <w:t>Outcome information</w:t>
        </w:r>
        <w:r>
          <w:rPr>
            <w:webHidden/>
          </w:rPr>
          <w:tab/>
        </w:r>
        <w:r>
          <w:rPr>
            <w:webHidden/>
          </w:rPr>
          <w:fldChar w:fldCharType="begin"/>
        </w:r>
        <w:r>
          <w:rPr>
            <w:webHidden/>
          </w:rPr>
          <w:instrText xml:space="preserve"> PAGEREF _Toc227749073 \h </w:instrText>
        </w:r>
        <w:r>
          <w:rPr>
            <w:webHidden/>
          </w:rPr>
        </w:r>
        <w:r>
          <w:rPr>
            <w:webHidden/>
          </w:rPr>
          <w:fldChar w:fldCharType="separate"/>
        </w:r>
        <w:r>
          <w:rPr>
            <w:webHidden/>
          </w:rPr>
          <w:t>52</w:t>
        </w:r>
        <w:r>
          <w:rPr>
            <w:webHidden/>
          </w:rPr>
          <w:fldChar w:fldCharType="end"/>
        </w:r>
      </w:hyperlink>
    </w:p>
    <w:p w14:paraId="6ADF924E" w14:textId="55D10A31" w:rsidR="005F0BAD" w:rsidRDefault="005F0BAD">
      <w:pPr>
        <w:pStyle w:val="TOC2"/>
        <w:rPr>
          <w:rFonts w:asciiTheme="minorHAnsi" w:eastAsiaTheme="minorEastAsia" w:hAnsiTheme="minorHAnsi"/>
          <w:kern w:val="2"/>
          <w:sz w:val="24"/>
          <w:szCs w:val="24"/>
          <w:lang w:eastAsia="en-AU"/>
          <w14:ligatures w14:val="standardContextual"/>
        </w:rPr>
      </w:pPr>
      <w:hyperlink w:anchor="_Toc227749074" w:history="1">
        <w:r w:rsidRPr="00EB34D0">
          <w:rPr>
            <w:rStyle w:val="Hyperlink"/>
          </w:rPr>
          <w:t>14.2</w:t>
        </w:r>
        <w:r>
          <w:rPr>
            <w:rFonts w:asciiTheme="minorHAnsi" w:eastAsiaTheme="minorEastAsia" w:hAnsiTheme="minorHAnsi"/>
            <w:kern w:val="2"/>
            <w:sz w:val="24"/>
            <w:szCs w:val="24"/>
            <w:lang w:eastAsia="en-AU"/>
            <w14:ligatures w14:val="standardContextual"/>
          </w:rPr>
          <w:tab/>
        </w:r>
        <w:r w:rsidRPr="00EB34D0">
          <w:rPr>
            <w:rStyle w:val="Hyperlink"/>
          </w:rPr>
          <w:t>Budgeted financial statements</w:t>
        </w:r>
        <w:r>
          <w:rPr>
            <w:webHidden/>
          </w:rPr>
          <w:tab/>
        </w:r>
        <w:r>
          <w:rPr>
            <w:webHidden/>
          </w:rPr>
          <w:fldChar w:fldCharType="begin"/>
        </w:r>
        <w:r>
          <w:rPr>
            <w:webHidden/>
          </w:rPr>
          <w:instrText xml:space="preserve"> PAGEREF _Toc227749074 \h </w:instrText>
        </w:r>
        <w:r>
          <w:rPr>
            <w:webHidden/>
          </w:rPr>
        </w:r>
        <w:r>
          <w:rPr>
            <w:webHidden/>
          </w:rPr>
          <w:fldChar w:fldCharType="separate"/>
        </w:r>
        <w:r>
          <w:rPr>
            <w:webHidden/>
          </w:rPr>
          <w:t>52</w:t>
        </w:r>
        <w:r>
          <w:rPr>
            <w:webHidden/>
          </w:rPr>
          <w:fldChar w:fldCharType="end"/>
        </w:r>
      </w:hyperlink>
    </w:p>
    <w:p w14:paraId="1DFC9AC5" w14:textId="1CFEE3D9" w:rsidR="005F0BAD" w:rsidRDefault="005F0BAD">
      <w:pPr>
        <w:pStyle w:val="TOC2"/>
        <w:rPr>
          <w:rFonts w:asciiTheme="minorHAnsi" w:eastAsiaTheme="minorEastAsia" w:hAnsiTheme="minorHAnsi"/>
          <w:kern w:val="2"/>
          <w:sz w:val="24"/>
          <w:szCs w:val="24"/>
          <w:lang w:eastAsia="en-AU"/>
          <w14:ligatures w14:val="standardContextual"/>
        </w:rPr>
      </w:pPr>
      <w:hyperlink w:anchor="_Toc227749075" w:history="1">
        <w:r w:rsidRPr="00EB34D0">
          <w:rPr>
            <w:rStyle w:val="Hyperlink"/>
          </w:rPr>
          <w:t>14.3</w:t>
        </w:r>
        <w:r>
          <w:rPr>
            <w:rFonts w:asciiTheme="minorHAnsi" w:eastAsiaTheme="minorEastAsia" w:hAnsiTheme="minorHAnsi"/>
            <w:kern w:val="2"/>
            <w:sz w:val="24"/>
            <w:szCs w:val="24"/>
            <w:lang w:eastAsia="en-AU"/>
            <w14:ligatures w14:val="standardContextual"/>
          </w:rPr>
          <w:tab/>
        </w:r>
        <w:r w:rsidRPr="00EB34D0">
          <w:rPr>
            <w:rStyle w:val="Hyperlink"/>
          </w:rPr>
          <w:t>Other important information</w:t>
        </w:r>
        <w:r>
          <w:rPr>
            <w:webHidden/>
          </w:rPr>
          <w:tab/>
        </w:r>
        <w:r>
          <w:rPr>
            <w:webHidden/>
          </w:rPr>
          <w:fldChar w:fldCharType="begin"/>
        </w:r>
        <w:r>
          <w:rPr>
            <w:webHidden/>
          </w:rPr>
          <w:instrText xml:space="preserve"> PAGEREF _Toc227749075 \h </w:instrText>
        </w:r>
        <w:r>
          <w:rPr>
            <w:webHidden/>
          </w:rPr>
        </w:r>
        <w:r>
          <w:rPr>
            <w:webHidden/>
          </w:rPr>
          <w:fldChar w:fldCharType="separate"/>
        </w:r>
        <w:r>
          <w:rPr>
            <w:webHidden/>
          </w:rPr>
          <w:t>52</w:t>
        </w:r>
        <w:r>
          <w:rPr>
            <w:webHidden/>
          </w:rPr>
          <w:fldChar w:fldCharType="end"/>
        </w:r>
      </w:hyperlink>
    </w:p>
    <w:p w14:paraId="7ECA48B6" w14:textId="7F95DAFB" w:rsidR="005F0BAD" w:rsidRDefault="005F0BAD">
      <w:pPr>
        <w:pStyle w:val="TOC3"/>
        <w:rPr>
          <w:rFonts w:asciiTheme="minorHAnsi" w:eastAsiaTheme="minorEastAsia" w:hAnsiTheme="minorHAnsi"/>
          <w:kern w:val="2"/>
          <w:sz w:val="24"/>
          <w:szCs w:val="24"/>
          <w:lang w:eastAsia="en-AU"/>
          <w14:ligatures w14:val="standardContextual"/>
        </w:rPr>
      </w:pPr>
      <w:hyperlink w:anchor="_Toc227749076" w:history="1">
        <w:r w:rsidRPr="00EB34D0">
          <w:rPr>
            <w:rStyle w:val="Hyperlink"/>
          </w:rPr>
          <w:t>14.3.1</w:t>
        </w:r>
        <w:r>
          <w:rPr>
            <w:rFonts w:asciiTheme="minorHAnsi" w:eastAsiaTheme="minorEastAsia" w:hAnsiTheme="minorHAnsi"/>
            <w:kern w:val="2"/>
            <w:sz w:val="24"/>
            <w:szCs w:val="24"/>
            <w:lang w:eastAsia="en-AU"/>
            <w14:ligatures w14:val="standardContextual"/>
          </w:rPr>
          <w:tab/>
        </w:r>
        <w:r w:rsidRPr="00EB34D0">
          <w:rPr>
            <w:rStyle w:val="Hyperlink"/>
          </w:rPr>
          <w:t>Subsequent MoG changes following the PB Statements</w:t>
        </w:r>
        <w:r>
          <w:rPr>
            <w:webHidden/>
          </w:rPr>
          <w:tab/>
        </w:r>
        <w:r>
          <w:rPr>
            <w:webHidden/>
          </w:rPr>
          <w:fldChar w:fldCharType="begin"/>
        </w:r>
        <w:r>
          <w:rPr>
            <w:webHidden/>
          </w:rPr>
          <w:instrText xml:space="preserve"> PAGEREF _Toc227749076 \h </w:instrText>
        </w:r>
        <w:r>
          <w:rPr>
            <w:webHidden/>
          </w:rPr>
        </w:r>
        <w:r>
          <w:rPr>
            <w:webHidden/>
          </w:rPr>
          <w:fldChar w:fldCharType="separate"/>
        </w:r>
        <w:r>
          <w:rPr>
            <w:webHidden/>
          </w:rPr>
          <w:t>52</w:t>
        </w:r>
        <w:r>
          <w:rPr>
            <w:webHidden/>
          </w:rPr>
          <w:fldChar w:fldCharType="end"/>
        </w:r>
      </w:hyperlink>
    </w:p>
    <w:p w14:paraId="31546375" w14:textId="727E30B2" w:rsidR="005F0BAD" w:rsidRDefault="005F0BAD">
      <w:pPr>
        <w:pStyle w:val="TOC3"/>
        <w:rPr>
          <w:rFonts w:asciiTheme="minorHAnsi" w:eastAsiaTheme="minorEastAsia" w:hAnsiTheme="minorHAnsi"/>
          <w:kern w:val="2"/>
          <w:sz w:val="24"/>
          <w:szCs w:val="24"/>
          <w:lang w:eastAsia="en-AU"/>
          <w14:ligatures w14:val="standardContextual"/>
        </w:rPr>
      </w:pPr>
      <w:hyperlink w:anchor="_Toc227749077" w:history="1">
        <w:r w:rsidRPr="00EB34D0">
          <w:rPr>
            <w:rStyle w:val="Hyperlink"/>
          </w:rPr>
          <w:t>14.3.2</w:t>
        </w:r>
        <w:r>
          <w:rPr>
            <w:rFonts w:asciiTheme="minorHAnsi" w:eastAsiaTheme="minorEastAsia" w:hAnsiTheme="minorHAnsi"/>
            <w:kern w:val="2"/>
            <w:sz w:val="24"/>
            <w:szCs w:val="24"/>
            <w:lang w:eastAsia="en-AU"/>
            <w14:ligatures w14:val="standardContextual"/>
          </w:rPr>
          <w:tab/>
        </w:r>
        <w:r w:rsidRPr="00EB34D0">
          <w:rPr>
            <w:rStyle w:val="Hyperlink"/>
          </w:rPr>
          <w:t>Program and outcome changes</w:t>
        </w:r>
        <w:r>
          <w:rPr>
            <w:webHidden/>
          </w:rPr>
          <w:tab/>
        </w:r>
        <w:r>
          <w:rPr>
            <w:webHidden/>
          </w:rPr>
          <w:fldChar w:fldCharType="begin"/>
        </w:r>
        <w:r>
          <w:rPr>
            <w:webHidden/>
          </w:rPr>
          <w:instrText xml:space="preserve"> PAGEREF _Toc227749077 \h </w:instrText>
        </w:r>
        <w:r>
          <w:rPr>
            <w:webHidden/>
          </w:rPr>
        </w:r>
        <w:r>
          <w:rPr>
            <w:webHidden/>
          </w:rPr>
          <w:fldChar w:fldCharType="separate"/>
        </w:r>
        <w:r>
          <w:rPr>
            <w:webHidden/>
          </w:rPr>
          <w:t>53</w:t>
        </w:r>
        <w:r>
          <w:rPr>
            <w:webHidden/>
          </w:rPr>
          <w:fldChar w:fldCharType="end"/>
        </w:r>
      </w:hyperlink>
    </w:p>
    <w:p w14:paraId="0D78445E" w14:textId="375EC7F4" w:rsidR="005F0BAD" w:rsidRDefault="005F0BAD">
      <w:pPr>
        <w:pStyle w:val="TOC1"/>
        <w:rPr>
          <w:rFonts w:asciiTheme="minorHAnsi" w:eastAsiaTheme="minorEastAsia" w:hAnsiTheme="minorHAnsi"/>
          <w:kern w:val="2"/>
          <w:szCs w:val="24"/>
          <w:lang w:eastAsia="en-AU"/>
          <w14:ligatures w14:val="standardContextual"/>
        </w:rPr>
      </w:pPr>
      <w:hyperlink w:anchor="_Toc227749078" w:history="1">
        <w:r w:rsidRPr="00EB34D0">
          <w:rPr>
            <w:rStyle w:val="Hyperlink"/>
          </w:rPr>
          <w:t>Appendix 1:</w:t>
        </w:r>
        <w:r>
          <w:rPr>
            <w:webHidden/>
          </w:rPr>
          <w:tab/>
        </w:r>
        <w:r>
          <w:rPr>
            <w:webHidden/>
          </w:rPr>
          <w:fldChar w:fldCharType="begin"/>
        </w:r>
        <w:r>
          <w:rPr>
            <w:webHidden/>
          </w:rPr>
          <w:instrText xml:space="preserve"> PAGEREF _Toc227749078 \h </w:instrText>
        </w:r>
        <w:r>
          <w:rPr>
            <w:webHidden/>
          </w:rPr>
        </w:r>
        <w:r>
          <w:rPr>
            <w:webHidden/>
          </w:rPr>
          <w:fldChar w:fldCharType="separate"/>
        </w:r>
        <w:r>
          <w:rPr>
            <w:webHidden/>
          </w:rPr>
          <w:t>54</w:t>
        </w:r>
        <w:r>
          <w:rPr>
            <w:webHidden/>
          </w:rPr>
          <w:fldChar w:fldCharType="end"/>
        </w:r>
      </w:hyperlink>
    </w:p>
    <w:p w14:paraId="59E37ADA" w14:textId="3E93F0CD" w:rsidR="005F0BAD" w:rsidRDefault="005F0BAD">
      <w:pPr>
        <w:pStyle w:val="TOC1"/>
        <w:rPr>
          <w:rFonts w:asciiTheme="minorHAnsi" w:eastAsiaTheme="minorEastAsia" w:hAnsiTheme="minorHAnsi"/>
          <w:kern w:val="2"/>
          <w:szCs w:val="24"/>
          <w:lang w:eastAsia="en-AU"/>
          <w14:ligatures w14:val="standardContextual"/>
        </w:rPr>
      </w:pPr>
      <w:hyperlink w:anchor="_Toc227749079" w:history="1">
        <w:r w:rsidRPr="00EB34D0">
          <w:rPr>
            <w:rStyle w:val="Hyperlink"/>
          </w:rPr>
          <w:t>15</w:t>
        </w:r>
        <w:r>
          <w:rPr>
            <w:rFonts w:asciiTheme="minorHAnsi" w:eastAsiaTheme="minorEastAsia" w:hAnsiTheme="minorHAnsi"/>
            <w:kern w:val="2"/>
            <w:szCs w:val="24"/>
            <w:lang w:eastAsia="en-AU"/>
            <w14:ligatures w14:val="standardContextual"/>
          </w:rPr>
          <w:tab/>
        </w:r>
        <w:r w:rsidRPr="00EB34D0">
          <w:rPr>
            <w:rStyle w:val="Hyperlink"/>
          </w:rPr>
          <w:t>Index of Source Information</w:t>
        </w:r>
        <w:r>
          <w:rPr>
            <w:webHidden/>
          </w:rPr>
          <w:tab/>
        </w:r>
        <w:r>
          <w:rPr>
            <w:webHidden/>
          </w:rPr>
          <w:fldChar w:fldCharType="begin"/>
        </w:r>
        <w:r>
          <w:rPr>
            <w:webHidden/>
          </w:rPr>
          <w:instrText xml:space="preserve"> PAGEREF _Toc227749079 \h </w:instrText>
        </w:r>
        <w:r>
          <w:rPr>
            <w:webHidden/>
          </w:rPr>
        </w:r>
        <w:r>
          <w:rPr>
            <w:webHidden/>
          </w:rPr>
          <w:fldChar w:fldCharType="separate"/>
        </w:r>
        <w:r>
          <w:rPr>
            <w:webHidden/>
          </w:rPr>
          <w:t>54</w:t>
        </w:r>
        <w:r>
          <w:rPr>
            <w:webHidden/>
          </w:rPr>
          <w:fldChar w:fldCharType="end"/>
        </w:r>
      </w:hyperlink>
    </w:p>
    <w:p w14:paraId="06ECD996" w14:textId="5D4EF8F5" w:rsidR="005F0BAD" w:rsidRDefault="005F0BAD">
      <w:pPr>
        <w:pStyle w:val="TOC3"/>
        <w:rPr>
          <w:rFonts w:asciiTheme="minorHAnsi" w:eastAsiaTheme="minorEastAsia" w:hAnsiTheme="minorHAnsi"/>
          <w:kern w:val="2"/>
          <w:sz w:val="24"/>
          <w:szCs w:val="24"/>
          <w:lang w:eastAsia="en-AU"/>
          <w14:ligatures w14:val="standardContextual"/>
        </w:rPr>
      </w:pPr>
      <w:hyperlink w:anchor="_Toc227749080" w:history="1">
        <w:r w:rsidRPr="00EB34D0">
          <w:rPr>
            <w:rStyle w:val="Hyperlink"/>
          </w:rPr>
          <w:t>15.1.1</w:t>
        </w:r>
        <w:r>
          <w:rPr>
            <w:rFonts w:asciiTheme="minorHAnsi" w:eastAsiaTheme="minorEastAsia" w:hAnsiTheme="minorHAnsi"/>
            <w:kern w:val="2"/>
            <w:sz w:val="24"/>
            <w:szCs w:val="24"/>
            <w:lang w:eastAsia="en-AU"/>
            <w14:ligatures w14:val="standardContextual"/>
          </w:rPr>
          <w:tab/>
        </w:r>
        <w:r w:rsidRPr="00EB34D0">
          <w:rPr>
            <w:rStyle w:val="Hyperlink"/>
          </w:rPr>
          <w:t>Portfolio structure and outcomes</w:t>
        </w:r>
        <w:r>
          <w:rPr>
            <w:webHidden/>
          </w:rPr>
          <w:tab/>
        </w:r>
        <w:r>
          <w:rPr>
            <w:webHidden/>
          </w:rPr>
          <w:fldChar w:fldCharType="begin"/>
        </w:r>
        <w:r>
          <w:rPr>
            <w:webHidden/>
          </w:rPr>
          <w:instrText xml:space="preserve"> PAGEREF _Toc227749080 \h </w:instrText>
        </w:r>
        <w:r>
          <w:rPr>
            <w:webHidden/>
          </w:rPr>
        </w:r>
        <w:r>
          <w:rPr>
            <w:webHidden/>
          </w:rPr>
          <w:fldChar w:fldCharType="separate"/>
        </w:r>
        <w:r>
          <w:rPr>
            <w:webHidden/>
          </w:rPr>
          <w:t>54</w:t>
        </w:r>
        <w:r>
          <w:rPr>
            <w:webHidden/>
          </w:rPr>
          <w:fldChar w:fldCharType="end"/>
        </w:r>
      </w:hyperlink>
    </w:p>
    <w:p w14:paraId="4764018B" w14:textId="6EFABFE6" w:rsidR="005F0BAD" w:rsidRDefault="005F0BAD">
      <w:pPr>
        <w:pStyle w:val="TOC3"/>
        <w:rPr>
          <w:rFonts w:asciiTheme="minorHAnsi" w:eastAsiaTheme="minorEastAsia" w:hAnsiTheme="minorHAnsi"/>
          <w:kern w:val="2"/>
          <w:sz w:val="24"/>
          <w:szCs w:val="24"/>
          <w:lang w:eastAsia="en-AU"/>
          <w14:ligatures w14:val="standardContextual"/>
        </w:rPr>
      </w:pPr>
      <w:hyperlink w:anchor="_Toc227749081" w:history="1">
        <w:r w:rsidRPr="00EB34D0">
          <w:rPr>
            <w:rStyle w:val="Hyperlink"/>
          </w:rPr>
          <w:t>15.1.2</w:t>
        </w:r>
        <w:r>
          <w:rPr>
            <w:rFonts w:asciiTheme="minorHAnsi" w:eastAsiaTheme="minorEastAsia" w:hAnsiTheme="minorHAnsi"/>
            <w:kern w:val="2"/>
            <w:sz w:val="24"/>
            <w:szCs w:val="24"/>
            <w:lang w:eastAsia="en-AU"/>
            <w14:ligatures w14:val="standardContextual"/>
          </w:rPr>
          <w:tab/>
        </w:r>
        <w:r w:rsidRPr="00EB34D0">
          <w:rPr>
            <w:rStyle w:val="Hyperlink"/>
          </w:rPr>
          <w:t>Table 1.1 Entity Resource Statement - CBMS Reports</w:t>
        </w:r>
        <w:r>
          <w:rPr>
            <w:webHidden/>
          </w:rPr>
          <w:tab/>
        </w:r>
        <w:r>
          <w:rPr>
            <w:webHidden/>
          </w:rPr>
          <w:fldChar w:fldCharType="begin"/>
        </w:r>
        <w:r>
          <w:rPr>
            <w:webHidden/>
          </w:rPr>
          <w:instrText xml:space="preserve"> PAGEREF _Toc227749081 \h </w:instrText>
        </w:r>
        <w:r>
          <w:rPr>
            <w:webHidden/>
          </w:rPr>
        </w:r>
        <w:r>
          <w:rPr>
            <w:webHidden/>
          </w:rPr>
          <w:fldChar w:fldCharType="separate"/>
        </w:r>
        <w:r>
          <w:rPr>
            <w:webHidden/>
          </w:rPr>
          <w:t>54</w:t>
        </w:r>
        <w:r>
          <w:rPr>
            <w:webHidden/>
          </w:rPr>
          <w:fldChar w:fldCharType="end"/>
        </w:r>
      </w:hyperlink>
    </w:p>
    <w:p w14:paraId="629C1839" w14:textId="46B37BBA" w:rsidR="005F0BAD" w:rsidRDefault="005F0BAD">
      <w:pPr>
        <w:pStyle w:val="TOC3"/>
        <w:rPr>
          <w:rFonts w:asciiTheme="minorHAnsi" w:eastAsiaTheme="minorEastAsia" w:hAnsiTheme="minorHAnsi"/>
          <w:kern w:val="2"/>
          <w:sz w:val="24"/>
          <w:szCs w:val="24"/>
          <w:lang w:eastAsia="en-AU"/>
          <w14:ligatures w14:val="standardContextual"/>
        </w:rPr>
      </w:pPr>
      <w:hyperlink w:anchor="_Toc227749082" w:history="1">
        <w:r w:rsidRPr="00EB34D0">
          <w:rPr>
            <w:rStyle w:val="Hyperlink"/>
          </w:rPr>
          <w:t>15.1.3</w:t>
        </w:r>
        <w:r>
          <w:rPr>
            <w:rFonts w:asciiTheme="minorHAnsi" w:eastAsiaTheme="minorEastAsia" w:hAnsiTheme="minorHAnsi"/>
            <w:kern w:val="2"/>
            <w:sz w:val="24"/>
            <w:szCs w:val="24"/>
            <w:lang w:eastAsia="en-AU"/>
            <w14:ligatures w14:val="standardContextual"/>
          </w:rPr>
          <w:tab/>
        </w:r>
        <w:r w:rsidRPr="00EB34D0">
          <w:rPr>
            <w:rStyle w:val="Hyperlink"/>
          </w:rPr>
          <w:t>Appropriation Bills 1 and 2 (for 2026–27)</w:t>
        </w:r>
        <w:r>
          <w:rPr>
            <w:webHidden/>
          </w:rPr>
          <w:tab/>
        </w:r>
        <w:r>
          <w:rPr>
            <w:webHidden/>
          </w:rPr>
          <w:fldChar w:fldCharType="begin"/>
        </w:r>
        <w:r>
          <w:rPr>
            <w:webHidden/>
          </w:rPr>
          <w:instrText xml:space="preserve"> PAGEREF _Toc227749082 \h </w:instrText>
        </w:r>
        <w:r>
          <w:rPr>
            <w:webHidden/>
          </w:rPr>
        </w:r>
        <w:r>
          <w:rPr>
            <w:webHidden/>
          </w:rPr>
          <w:fldChar w:fldCharType="separate"/>
        </w:r>
        <w:r>
          <w:rPr>
            <w:webHidden/>
          </w:rPr>
          <w:t>54</w:t>
        </w:r>
        <w:r>
          <w:rPr>
            <w:webHidden/>
          </w:rPr>
          <w:fldChar w:fldCharType="end"/>
        </w:r>
      </w:hyperlink>
    </w:p>
    <w:p w14:paraId="195A1DAC" w14:textId="4FF2A07A" w:rsidR="005F0BAD" w:rsidRDefault="005F0BAD">
      <w:pPr>
        <w:pStyle w:val="TOC3"/>
        <w:rPr>
          <w:rFonts w:asciiTheme="minorHAnsi" w:eastAsiaTheme="minorEastAsia" w:hAnsiTheme="minorHAnsi"/>
          <w:kern w:val="2"/>
          <w:sz w:val="24"/>
          <w:szCs w:val="24"/>
          <w:lang w:eastAsia="en-AU"/>
          <w14:ligatures w14:val="standardContextual"/>
        </w:rPr>
      </w:pPr>
      <w:hyperlink w:anchor="_Toc227749083" w:history="1">
        <w:r w:rsidRPr="00EB34D0">
          <w:rPr>
            <w:rStyle w:val="Hyperlink"/>
          </w:rPr>
          <w:t>15.1.4</w:t>
        </w:r>
        <w:r>
          <w:rPr>
            <w:rFonts w:asciiTheme="minorHAnsi" w:eastAsiaTheme="minorEastAsia" w:hAnsiTheme="minorHAnsi"/>
            <w:kern w:val="2"/>
            <w:sz w:val="24"/>
            <w:szCs w:val="24"/>
            <w:lang w:eastAsia="en-AU"/>
            <w14:ligatures w14:val="standardContextual"/>
          </w:rPr>
          <w:tab/>
        </w:r>
        <w:r w:rsidRPr="00EB34D0">
          <w:rPr>
            <w:rStyle w:val="Hyperlink"/>
          </w:rPr>
          <w:t>Appropriation Bills 3 and 4 (for 2025–26)</w:t>
        </w:r>
        <w:r>
          <w:rPr>
            <w:webHidden/>
          </w:rPr>
          <w:tab/>
        </w:r>
        <w:r>
          <w:rPr>
            <w:webHidden/>
          </w:rPr>
          <w:fldChar w:fldCharType="begin"/>
        </w:r>
        <w:r>
          <w:rPr>
            <w:webHidden/>
          </w:rPr>
          <w:instrText xml:space="preserve"> PAGEREF _Toc227749083 \h </w:instrText>
        </w:r>
        <w:r>
          <w:rPr>
            <w:webHidden/>
          </w:rPr>
        </w:r>
        <w:r>
          <w:rPr>
            <w:webHidden/>
          </w:rPr>
          <w:fldChar w:fldCharType="separate"/>
        </w:r>
        <w:r>
          <w:rPr>
            <w:webHidden/>
          </w:rPr>
          <w:t>54</w:t>
        </w:r>
        <w:r>
          <w:rPr>
            <w:webHidden/>
          </w:rPr>
          <w:fldChar w:fldCharType="end"/>
        </w:r>
      </w:hyperlink>
    </w:p>
    <w:p w14:paraId="31311698" w14:textId="5B94DEFA" w:rsidR="005F0BAD" w:rsidRDefault="005F0BAD">
      <w:pPr>
        <w:pStyle w:val="TOC3"/>
        <w:rPr>
          <w:rFonts w:asciiTheme="minorHAnsi" w:eastAsiaTheme="minorEastAsia" w:hAnsiTheme="minorHAnsi"/>
          <w:kern w:val="2"/>
          <w:sz w:val="24"/>
          <w:szCs w:val="24"/>
          <w:lang w:eastAsia="en-AU"/>
          <w14:ligatures w14:val="standardContextual"/>
        </w:rPr>
      </w:pPr>
      <w:hyperlink w:anchor="_Toc227749084" w:history="1">
        <w:r w:rsidRPr="00EB34D0">
          <w:rPr>
            <w:rStyle w:val="Hyperlink"/>
          </w:rPr>
          <w:t>15.1.5</w:t>
        </w:r>
        <w:r>
          <w:rPr>
            <w:rFonts w:asciiTheme="minorHAnsi" w:eastAsiaTheme="minorEastAsia" w:hAnsiTheme="minorHAnsi"/>
            <w:kern w:val="2"/>
            <w:sz w:val="24"/>
            <w:szCs w:val="24"/>
            <w:lang w:eastAsia="en-AU"/>
            <w14:ligatures w14:val="standardContextual"/>
          </w:rPr>
          <w:tab/>
        </w:r>
        <w:r w:rsidRPr="00EB34D0">
          <w:rPr>
            <w:rStyle w:val="Hyperlink"/>
          </w:rPr>
          <w:t>Other reports</w:t>
        </w:r>
        <w:r>
          <w:rPr>
            <w:webHidden/>
          </w:rPr>
          <w:tab/>
        </w:r>
        <w:r>
          <w:rPr>
            <w:webHidden/>
          </w:rPr>
          <w:fldChar w:fldCharType="begin"/>
        </w:r>
        <w:r>
          <w:rPr>
            <w:webHidden/>
          </w:rPr>
          <w:instrText xml:space="preserve"> PAGEREF _Toc227749084 \h </w:instrText>
        </w:r>
        <w:r>
          <w:rPr>
            <w:webHidden/>
          </w:rPr>
        </w:r>
        <w:r>
          <w:rPr>
            <w:webHidden/>
          </w:rPr>
          <w:fldChar w:fldCharType="separate"/>
        </w:r>
        <w:r>
          <w:rPr>
            <w:webHidden/>
          </w:rPr>
          <w:t>54</w:t>
        </w:r>
        <w:r>
          <w:rPr>
            <w:webHidden/>
          </w:rPr>
          <w:fldChar w:fldCharType="end"/>
        </w:r>
      </w:hyperlink>
    </w:p>
    <w:p w14:paraId="433C8728" w14:textId="684329FA" w:rsidR="005F0BAD" w:rsidRDefault="005F0BAD">
      <w:pPr>
        <w:pStyle w:val="TOC3"/>
        <w:rPr>
          <w:rFonts w:asciiTheme="minorHAnsi" w:eastAsiaTheme="minorEastAsia" w:hAnsiTheme="minorHAnsi"/>
          <w:kern w:val="2"/>
          <w:sz w:val="24"/>
          <w:szCs w:val="24"/>
          <w:lang w:eastAsia="en-AU"/>
          <w14:ligatures w14:val="standardContextual"/>
        </w:rPr>
      </w:pPr>
      <w:hyperlink w:anchor="_Toc227749085" w:history="1">
        <w:r w:rsidRPr="00EB34D0">
          <w:rPr>
            <w:rStyle w:val="Hyperlink"/>
          </w:rPr>
          <w:t>15.1.6</w:t>
        </w:r>
        <w:r>
          <w:rPr>
            <w:rFonts w:asciiTheme="minorHAnsi" w:eastAsiaTheme="minorEastAsia" w:hAnsiTheme="minorHAnsi"/>
            <w:kern w:val="2"/>
            <w:sz w:val="24"/>
            <w:szCs w:val="24"/>
            <w:lang w:eastAsia="en-AU"/>
            <w14:ligatures w14:val="standardContextual"/>
          </w:rPr>
          <w:tab/>
        </w:r>
        <w:r w:rsidRPr="00EB34D0">
          <w:rPr>
            <w:rStyle w:val="Hyperlink"/>
          </w:rPr>
          <w:t>Prior year annual appropriation balances</w:t>
        </w:r>
        <w:r>
          <w:rPr>
            <w:webHidden/>
          </w:rPr>
          <w:tab/>
        </w:r>
        <w:r>
          <w:rPr>
            <w:webHidden/>
          </w:rPr>
          <w:fldChar w:fldCharType="begin"/>
        </w:r>
        <w:r>
          <w:rPr>
            <w:webHidden/>
          </w:rPr>
          <w:instrText xml:space="preserve"> PAGEREF _Toc227749085 \h </w:instrText>
        </w:r>
        <w:r>
          <w:rPr>
            <w:webHidden/>
          </w:rPr>
        </w:r>
        <w:r>
          <w:rPr>
            <w:webHidden/>
          </w:rPr>
          <w:fldChar w:fldCharType="separate"/>
        </w:r>
        <w:r>
          <w:rPr>
            <w:webHidden/>
          </w:rPr>
          <w:t>55</w:t>
        </w:r>
        <w:r>
          <w:rPr>
            <w:webHidden/>
          </w:rPr>
          <w:fldChar w:fldCharType="end"/>
        </w:r>
      </w:hyperlink>
    </w:p>
    <w:p w14:paraId="0419DD61" w14:textId="7E27DC3C" w:rsidR="005F0BAD" w:rsidRDefault="005F0BAD">
      <w:pPr>
        <w:pStyle w:val="TOC3"/>
        <w:rPr>
          <w:rFonts w:asciiTheme="minorHAnsi" w:eastAsiaTheme="minorEastAsia" w:hAnsiTheme="minorHAnsi"/>
          <w:kern w:val="2"/>
          <w:sz w:val="24"/>
          <w:szCs w:val="24"/>
          <w:lang w:eastAsia="en-AU"/>
          <w14:ligatures w14:val="standardContextual"/>
        </w:rPr>
      </w:pPr>
      <w:hyperlink w:anchor="_Toc227749086" w:history="1">
        <w:r w:rsidRPr="00EB34D0">
          <w:rPr>
            <w:rStyle w:val="Hyperlink"/>
          </w:rPr>
          <w:t>15.1.7</w:t>
        </w:r>
        <w:r>
          <w:rPr>
            <w:rFonts w:asciiTheme="minorHAnsi" w:eastAsiaTheme="minorEastAsia" w:hAnsiTheme="minorHAnsi"/>
            <w:kern w:val="2"/>
            <w:sz w:val="24"/>
            <w:szCs w:val="24"/>
            <w:lang w:eastAsia="en-AU"/>
            <w14:ligatures w14:val="standardContextual"/>
          </w:rPr>
          <w:tab/>
        </w:r>
        <w:r w:rsidRPr="00EB34D0">
          <w:rPr>
            <w:rStyle w:val="Hyperlink"/>
          </w:rPr>
          <w:t>Section 74 Receipts Reports</w:t>
        </w:r>
        <w:r>
          <w:rPr>
            <w:webHidden/>
          </w:rPr>
          <w:tab/>
        </w:r>
        <w:r>
          <w:rPr>
            <w:webHidden/>
          </w:rPr>
          <w:fldChar w:fldCharType="begin"/>
        </w:r>
        <w:r>
          <w:rPr>
            <w:webHidden/>
          </w:rPr>
          <w:instrText xml:space="preserve"> PAGEREF _Toc227749086 \h </w:instrText>
        </w:r>
        <w:r>
          <w:rPr>
            <w:webHidden/>
          </w:rPr>
        </w:r>
        <w:r>
          <w:rPr>
            <w:webHidden/>
          </w:rPr>
          <w:fldChar w:fldCharType="separate"/>
        </w:r>
        <w:r>
          <w:rPr>
            <w:webHidden/>
          </w:rPr>
          <w:t>55</w:t>
        </w:r>
        <w:r>
          <w:rPr>
            <w:webHidden/>
          </w:rPr>
          <w:fldChar w:fldCharType="end"/>
        </w:r>
      </w:hyperlink>
    </w:p>
    <w:p w14:paraId="6F4E8F87" w14:textId="5378DF20" w:rsidR="005F0BAD" w:rsidRDefault="005F0BAD">
      <w:pPr>
        <w:pStyle w:val="TOC3"/>
        <w:rPr>
          <w:rFonts w:asciiTheme="minorHAnsi" w:eastAsiaTheme="minorEastAsia" w:hAnsiTheme="minorHAnsi"/>
          <w:kern w:val="2"/>
          <w:sz w:val="24"/>
          <w:szCs w:val="24"/>
          <w:lang w:eastAsia="en-AU"/>
          <w14:ligatures w14:val="standardContextual"/>
        </w:rPr>
      </w:pPr>
      <w:hyperlink w:anchor="_Toc227749087" w:history="1">
        <w:r w:rsidRPr="00EB34D0">
          <w:rPr>
            <w:rStyle w:val="Hyperlink"/>
          </w:rPr>
          <w:t>15.1.8</w:t>
        </w:r>
        <w:r>
          <w:rPr>
            <w:rFonts w:asciiTheme="minorHAnsi" w:eastAsiaTheme="minorEastAsia" w:hAnsiTheme="minorHAnsi"/>
            <w:kern w:val="2"/>
            <w:sz w:val="24"/>
            <w:szCs w:val="24"/>
            <w:lang w:eastAsia="en-AU"/>
            <w14:ligatures w14:val="standardContextual"/>
          </w:rPr>
          <w:tab/>
        </w:r>
        <w:r w:rsidRPr="00EB34D0">
          <w:rPr>
            <w:rStyle w:val="Hyperlink"/>
          </w:rPr>
          <w:t>Departmental / administered capital budget</w:t>
        </w:r>
        <w:r>
          <w:rPr>
            <w:webHidden/>
          </w:rPr>
          <w:tab/>
        </w:r>
        <w:r>
          <w:rPr>
            <w:webHidden/>
          </w:rPr>
          <w:fldChar w:fldCharType="begin"/>
        </w:r>
        <w:r>
          <w:rPr>
            <w:webHidden/>
          </w:rPr>
          <w:instrText xml:space="preserve"> PAGEREF _Toc227749087 \h </w:instrText>
        </w:r>
        <w:r>
          <w:rPr>
            <w:webHidden/>
          </w:rPr>
        </w:r>
        <w:r>
          <w:rPr>
            <w:webHidden/>
          </w:rPr>
          <w:fldChar w:fldCharType="separate"/>
        </w:r>
        <w:r>
          <w:rPr>
            <w:webHidden/>
          </w:rPr>
          <w:t>55</w:t>
        </w:r>
        <w:r>
          <w:rPr>
            <w:webHidden/>
          </w:rPr>
          <w:fldChar w:fldCharType="end"/>
        </w:r>
      </w:hyperlink>
    </w:p>
    <w:p w14:paraId="33E51E36" w14:textId="3A24A5A6" w:rsidR="005F0BAD" w:rsidRDefault="005F0BAD">
      <w:pPr>
        <w:pStyle w:val="TOC3"/>
        <w:rPr>
          <w:rFonts w:asciiTheme="minorHAnsi" w:eastAsiaTheme="minorEastAsia" w:hAnsiTheme="minorHAnsi"/>
          <w:kern w:val="2"/>
          <w:sz w:val="24"/>
          <w:szCs w:val="24"/>
          <w:lang w:eastAsia="en-AU"/>
          <w14:ligatures w14:val="standardContextual"/>
        </w:rPr>
      </w:pPr>
      <w:hyperlink w:anchor="_Toc227749088" w:history="1">
        <w:r w:rsidRPr="00EB34D0">
          <w:rPr>
            <w:rStyle w:val="Hyperlink"/>
          </w:rPr>
          <w:t>15.1.9</w:t>
        </w:r>
        <w:r>
          <w:rPr>
            <w:rFonts w:asciiTheme="minorHAnsi" w:eastAsiaTheme="minorEastAsia" w:hAnsiTheme="minorHAnsi"/>
            <w:kern w:val="2"/>
            <w:sz w:val="24"/>
            <w:szCs w:val="24"/>
            <w:lang w:eastAsia="en-AU"/>
            <w14:ligatures w14:val="standardContextual"/>
          </w:rPr>
          <w:tab/>
        </w:r>
        <w:r w:rsidRPr="00EB34D0">
          <w:rPr>
            <w:rStyle w:val="Hyperlink"/>
          </w:rPr>
          <w:t>Annual Appropriations – other services</w:t>
        </w:r>
        <w:r>
          <w:rPr>
            <w:webHidden/>
          </w:rPr>
          <w:tab/>
        </w:r>
        <w:r>
          <w:rPr>
            <w:webHidden/>
          </w:rPr>
          <w:fldChar w:fldCharType="begin"/>
        </w:r>
        <w:r>
          <w:rPr>
            <w:webHidden/>
          </w:rPr>
          <w:instrText xml:space="preserve"> PAGEREF _Toc227749088 \h </w:instrText>
        </w:r>
        <w:r>
          <w:rPr>
            <w:webHidden/>
          </w:rPr>
        </w:r>
        <w:r>
          <w:rPr>
            <w:webHidden/>
          </w:rPr>
          <w:fldChar w:fldCharType="separate"/>
        </w:r>
        <w:r>
          <w:rPr>
            <w:webHidden/>
          </w:rPr>
          <w:t>55</w:t>
        </w:r>
        <w:r>
          <w:rPr>
            <w:webHidden/>
          </w:rPr>
          <w:fldChar w:fldCharType="end"/>
        </w:r>
      </w:hyperlink>
    </w:p>
    <w:p w14:paraId="77C4D44E" w14:textId="5F5E6E9B" w:rsidR="005F0BAD" w:rsidRDefault="005F0BAD">
      <w:pPr>
        <w:pStyle w:val="TOC3"/>
        <w:rPr>
          <w:rFonts w:asciiTheme="minorHAnsi" w:eastAsiaTheme="minorEastAsia" w:hAnsiTheme="minorHAnsi"/>
          <w:kern w:val="2"/>
          <w:sz w:val="24"/>
          <w:szCs w:val="24"/>
          <w:lang w:eastAsia="en-AU"/>
          <w14:ligatures w14:val="standardContextual"/>
        </w:rPr>
      </w:pPr>
      <w:hyperlink w:anchor="_Toc227749089" w:history="1">
        <w:r w:rsidRPr="00EB34D0">
          <w:rPr>
            <w:rStyle w:val="Hyperlink"/>
          </w:rPr>
          <w:t>15.1.10</w:t>
        </w:r>
        <w:r>
          <w:rPr>
            <w:rFonts w:asciiTheme="minorHAnsi" w:eastAsiaTheme="minorEastAsia" w:hAnsiTheme="minorHAnsi"/>
            <w:kern w:val="2"/>
            <w:sz w:val="24"/>
            <w:szCs w:val="24"/>
            <w:lang w:eastAsia="en-AU"/>
            <w14:ligatures w14:val="standardContextual"/>
          </w:rPr>
          <w:tab/>
        </w:r>
        <w:r w:rsidRPr="00EB34D0">
          <w:rPr>
            <w:rStyle w:val="Hyperlink"/>
          </w:rPr>
          <w:t>Payments to corporate entities</w:t>
        </w:r>
        <w:r>
          <w:rPr>
            <w:webHidden/>
          </w:rPr>
          <w:tab/>
        </w:r>
        <w:r>
          <w:rPr>
            <w:webHidden/>
          </w:rPr>
          <w:fldChar w:fldCharType="begin"/>
        </w:r>
        <w:r>
          <w:rPr>
            <w:webHidden/>
          </w:rPr>
          <w:instrText xml:space="preserve"> PAGEREF _Toc227749089 \h </w:instrText>
        </w:r>
        <w:r>
          <w:rPr>
            <w:webHidden/>
          </w:rPr>
        </w:r>
        <w:r>
          <w:rPr>
            <w:webHidden/>
          </w:rPr>
          <w:fldChar w:fldCharType="separate"/>
        </w:r>
        <w:r>
          <w:rPr>
            <w:webHidden/>
          </w:rPr>
          <w:t>55</w:t>
        </w:r>
        <w:r>
          <w:rPr>
            <w:webHidden/>
          </w:rPr>
          <w:fldChar w:fldCharType="end"/>
        </w:r>
      </w:hyperlink>
    </w:p>
    <w:p w14:paraId="5511BA9B" w14:textId="7E82AE53" w:rsidR="005F0BAD" w:rsidRDefault="005F0BAD">
      <w:pPr>
        <w:pStyle w:val="TOC3"/>
        <w:rPr>
          <w:rFonts w:asciiTheme="minorHAnsi" w:eastAsiaTheme="minorEastAsia" w:hAnsiTheme="minorHAnsi"/>
          <w:kern w:val="2"/>
          <w:sz w:val="24"/>
          <w:szCs w:val="24"/>
          <w:lang w:eastAsia="en-AU"/>
          <w14:ligatures w14:val="standardContextual"/>
        </w:rPr>
      </w:pPr>
      <w:hyperlink w:anchor="_Toc227749090" w:history="1">
        <w:r w:rsidRPr="00EB34D0">
          <w:rPr>
            <w:rStyle w:val="Hyperlink"/>
          </w:rPr>
          <w:t>15.1.11</w:t>
        </w:r>
        <w:r>
          <w:rPr>
            <w:rFonts w:asciiTheme="minorHAnsi" w:eastAsiaTheme="minorEastAsia" w:hAnsiTheme="minorHAnsi"/>
            <w:kern w:val="2"/>
            <w:sz w:val="24"/>
            <w:szCs w:val="24"/>
            <w:lang w:eastAsia="en-AU"/>
            <w14:ligatures w14:val="standardContextual"/>
          </w:rPr>
          <w:tab/>
        </w:r>
        <w:r w:rsidRPr="00EB34D0">
          <w:rPr>
            <w:rStyle w:val="Hyperlink"/>
          </w:rPr>
          <w:t>Special Appropriations</w:t>
        </w:r>
        <w:r>
          <w:rPr>
            <w:webHidden/>
          </w:rPr>
          <w:tab/>
        </w:r>
        <w:r>
          <w:rPr>
            <w:webHidden/>
          </w:rPr>
          <w:fldChar w:fldCharType="begin"/>
        </w:r>
        <w:r>
          <w:rPr>
            <w:webHidden/>
          </w:rPr>
          <w:instrText xml:space="preserve"> PAGEREF _Toc227749090 \h </w:instrText>
        </w:r>
        <w:r>
          <w:rPr>
            <w:webHidden/>
          </w:rPr>
        </w:r>
        <w:r>
          <w:rPr>
            <w:webHidden/>
          </w:rPr>
          <w:fldChar w:fldCharType="separate"/>
        </w:r>
        <w:r>
          <w:rPr>
            <w:webHidden/>
          </w:rPr>
          <w:t>56</w:t>
        </w:r>
        <w:r>
          <w:rPr>
            <w:webHidden/>
          </w:rPr>
          <w:fldChar w:fldCharType="end"/>
        </w:r>
      </w:hyperlink>
    </w:p>
    <w:p w14:paraId="2430B955" w14:textId="59A732A3" w:rsidR="005F0BAD" w:rsidRDefault="005F0BAD">
      <w:pPr>
        <w:pStyle w:val="TOC3"/>
        <w:rPr>
          <w:rFonts w:asciiTheme="minorHAnsi" w:eastAsiaTheme="minorEastAsia" w:hAnsiTheme="minorHAnsi"/>
          <w:kern w:val="2"/>
          <w:sz w:val="24"/>
          <w:szCs w:val="24"/>
          <w:lang w:eastAsia="en-AU"/>
          <w14:ligatures w14:val="standardContextual"/>
        </w:rPr>
      </w:pPr>
      <w:hyperlink w:anchor="_Toc227749091" w:history="1">
        <w:r w:rsidRPr="00EB34D0">
          <w:rPr>
            <w:rStyle w:val="Hyperlink"/>
          </w:rPr>
          <w:t>15.1.12</w:t>
        </w:r>
        <w:r>
          <w:rPr>
            <w:rFonts w:asciiTheme="minorHAnsi" w:eastAsiaTheme="minorEastAsia" w:hAnsiTheme="minorHAnsi"/>
            <w:kern w:val="2"/>
            <w:sz w:val="24"/>
            <w:szCs w:val="24"/>
            <w:lang w:eastAsia="en-AU"/>
            <w14:ligatures w14:val="standardContextual"/>
          </w:rPr>
          <w:tab/>
        </w:r>
        <w:r w:rsidRPr="00EB34D0">
          <w:rPr>
            <w:rStyle w:val="Hyperlink"/>
          </w:rPr>
          <w:t>Special accounts and Exclusion of Trust Moneys</w:t>
        </w:r>
        <w:r>
          <w:rPr>
            <w:webHidden/>
          </w:rPr>
          <w:tab/>
        </w:r>
        <w:r>
          <w:rPr>
            <w:webHidden/>
          </w:rPr>
          <w:fldChar w:fldCharType="begin"/>
        </w:r>
        <w:r>
          <w:rPr>
            <w:webHidden/>
          </w:rPr>
          <w:instrText xml:space="preserve"> PAGEREF _Toc227749091 \h </w:instrText>
        </w:r>
        <w:r>
          <w:rPr>
            <w:webHidden/>
          </w:rPr>
        </w:r>
        <w:r>
          <w:rPr>
            <w:webHidden/>
          </w:rPr>
          <w:fldChar w:fldCharType="separate"/>
        </w:r>
        <w:r>
          <w:rPr>
            <w:webHidden/>
          </w:rPr>
          <w:t>56</w:t>
        </w:r>
        <w:r>
          <w:rPr>
            <w:webHidden/>
          </w:rPr>
          <w:fldChar w:fldCharType="end"/>
        </w:r>
      </w:hyperlink>
    </w:p>
    <w:p w14:paraId="7C42B05E" w14:textId="237EEA4F" w:rsidR="005F0BAD" w:rsidRDefault="005F0BAD">
      <w:pPr>
        <w:pStyle w:val="TOC2"/>
        <w:rPr>
          <w:rFonts w:asciiTheme="minorHAnsi" w:eastAsiaTheme="minorEastAsia" w:hAnsiTheme="minorHAnsi"/>
          <w:kern w:val="2"/>
          <w:sz w:val="24"/>
          <w:szCs w:val="24"/>
          <w:lang w:eastAsia="en-AU"/>
          <w14:ligatures w14:val="standardContextual"/>
        </w:rPr>
      </w:pPr>
      <w:hyperlink w:anchor="_Toc227749092" w:history="1">
        <w:r w:rsidRPr="00EB34D0">
          <w:rPr>
            <w:rStyle w:val="Hyperlink"/>
          </w:rPr>
          <w:t>15.2</w:t>
        </w:r>
        <w:r>
          <w:rPr>
            <w:rFonts w:asciiTheme="minorHAnsi" w:eastAsiaTheme="minorEastAsia" w:hAnsiTheme="minorHAnsi"/>
            <w:kern w:val="2"/>
            <w:sz w:val="24"/>
            <w:szCs w:val="24"/>
            <w:lang w:eastAsia="en-AU"/>
            <w14:ligatures w14:val="standardContextual"/>
          </w:rPr>
          <w:tab/>
        </w:r>
        <w:r w:rsidRPr="00EB34D0">
          <w:rPr>
            <w:rStyle w:val="Hyperlink"/>
          </w:rPr>
          <w:t>Budgeted financial statements</w:t>
        </w:r>
        <w:r>
          <w:rPr>
            <w:webHidden/>
          </w:rPr>
          <w:tab/>
        </w:r>
        <w:r>
          <w:rPr>
            <w:webHidden/>
          </w:rPr>
          <w:fldChar w:fldCharType="begin"/>
        </w:r>
        <w:r>
          <w:rPr>
            <w:webHidden/>
          </w:rPr>
          <w:instrText xml:space="preserve"> PAGEREF _Toc227749092 \h </w:instrText>
        </w:r>
        <w:r>
          <w:rPr>
            <w:webHidden/>
          </w:rPr>
        </w:r>
        <w:r>
          <w:rPr>
            <w:webHidden/>
          </w:rPr>
          <w:fldChar w:fldCharType="separate"/>
        </w:r>
        <w:r>
          <w:rPr>
            <w:webHidden/>
          </w:rPr>
          <w:t>56</w:t>
        </w:r>
        <w:r>
          <w:rPr>
            <w:webHidden/>
          </w:rPr>
          <w:fldChar w:fldCharType="end"/>
        </w:r>
      </w:hyperlink>
    </w:p>
    <w:p w14:paraId="2574F2B9" w14:textId="4398B5B4" w:rsidR="005F0BAD" w:rsidRDefault="005F0BAD">
      <w:pPr>
        <w:pStyle w:val="TOC3"/>
        <w:rPr>
          <w:rFonts w:asciiTheme="minorHAnsi" w:eastAsiaTheme="minorEastAsia" w:hAnsiTheme="minorHAnsi"/>
          <w:kern w:val="2"/>
          <w:sz w:val="24"/>
          <w:szCs w:val="24"/>
          <w:lang w:eastAsia="en-AU"/>
          <w14:ligatures w14:val="standardContextual"/>
        </w:rPr>
      </w:pPr>
      <w:hyperlink w:anchor="_Toc227749093" w:history="1">
        <w:r w:rsidRPr="00EB34D0">
          <w:rPr>
            <w:rStyle w:val="Hyperlink"/>
          </w:rPr>
          <w:t>15.2.1</w:t>
        </w:r>
        <w:r>
          <w:rPr>
            <w:rFonts w:asciiTheme="minorHAnsi" w:eastAsiaTheme="minorEastAsia" w:hAnsiTheme="minorHAnsi"/>
            <w:kern w:val="2"/>
            <w:sz w:val="24"/>
            <w:szCs w:val="24"/>
            <w:lang w:eastAsia="en-AU"/>
            <w14:ligatures w14:val="standardContextual"/>
          </w:rPr>
          <w:tab/>
        </w:r>
        <w:r w:rsidRPr="00EB34D0">
          <w:rPr>
            <w:rStyle w:val="Hyperlink"/>
          </w:rPr>
          <w:t>CBMS Chart of account mappings</w:t>
        </w:r>
        <w:r>
          <w:rPr>
            <w:webHidden/>
          </w:rPr>
          <w:tab/>
        </w:r>
        <w:r>
          <w:rPr>
            <w:webHidden/>
          </w:rPr>
          <w:fldChar w:fldCharType="begin"/>
        </w:r>
        <w:r>
          <w:rPr>
            <w:webHidden/>
          </w:rPr>
          <w:instrText xml:space="preserve"> PAGEREF _Toc227749093 \h </w:instrText>
        </w:r>
        <w:r>
          <w:rPr>
            <w:webHidden/>
          </w:rPr>
        </w:r>
        <w:r>
          <w:rPr>
            <w:webHidden/>
          </w:rPr>
          <w:fldChar w:fldCharType="separate"/>
        </w:r>
        <w:r>
          <w:rPr>
            <w:webHidden/>
          </w:rPr>
          <w:t>56</w:t>
        </w:r>
        <w:r>
          <w:rPr>
            <w:webHidden/>
          </w:rPr>
          <w:fldChar w:fldCharType="end"/>
        </w:r>
      </w:hyperlink>
    </w:p>
    <w:p w14:paraId="12905E54" w14:textId="3CA8B5A4" w:rsidR="005F0BAD" w:rsidRDefault="005F0BAD">
      <w:pPr>
        <w:pStyle w:val="TOC3"/>
        <w:rPr>
          <w:rFonts w:asciiTheme="minorHAnsi" w:eastAsiaTheme="minorEastAsia" w:hAnsiTheme="minorHAnsi"/>
          <w:kern w:val="2"/>
          <w:sz w:val="24"/>
          <w:szCs w:val="24"/>
          <w:lang w:eastAsia="en-AU"/>
          <w14:ligatures w14:val="standardContextual"/>
        </w:rPr>
      </w:pPr>
      <w:hyperlink w:anchor="_Toc227749094" w:history="1">
        <w:r w:rsidRPr="00EB34D0">
          <w:rPr>
            <w:rStyle w:val="Hyperlink"/>
          </w:rPr>
          <w:t>15.2.2</w:t>
        </w:r>
        <w:r>
          <w:rPr>
            <w:rFonts w:asciiTheme="minorHAnsi" w:eastAsiaTheme="minorEastAsia" w:hAnsiTheme="minorHAnsi"/>
            <w:kern w:val="2"/>
            <w:sz w:val="24"/>
            <w:szCs w:val="24"/>
            <w:lang w:eastAsia="en-AU"/>
            <w14:ligatures w14:val="standardContextual"/>
          </w:rPr>
          <w:tab/>
        </w:r>
        <w:r w:rsidRPr="00EB34D0">
          <w:rPr>
            <w:rStyle w:val="Hyperlink"/>
          </w:rPr>
          <w:t>Transactional Annual Estimates Data</w:t>
        </w:r>
        <w:r>
          <w:rPr>
            <w:webHidden/>
          </w:rPr>
          <w:tab/>
        </w:r>
        <w:r>
          <w:rPr>
            <w:webHidden/>
          </w:rPr>
          <w:fldChar w:fldCharType="begin"/>
        </w:r>
        <w:r>
          <w:rPr>
            <w:webHidden/>
          </w:rPr>
          <w:instrText xml:space="preserve"> PAGEREF _Toc227749094 \h </w:instrText>
        </w:r>
        <w:r>
          <w:rPr>
            <w:webHidden/>
          </w:rPr>
        </w:r>
        <w:r>
          <w:rPr>
            <w:webHidden/>
          </w:rPr>
          <w:fldChar w:fldCharType="separate"/>
        </w:r>
        <w:r>
          <w:rPr>
            <w:webHidden/>
          </w:rPr>
          <w:t>56</w:t>
        </w:r>
        <w:r>
          <w:rPr>
            <w:webHidden/>
          </w:rPr>
          <w:fldChar w:fldCharType="end"/>
        </w:r>
      </w:hyperlink>
    </w:p>
    <w:p w14:paraId="477F7C0E" w14:textId="3F6D8B5F" w:rsidR="005F0BAD" w:rsidRDefault="005F0BAD">
      <w:pPr>
        <w:pStyle w:val="TOC3"/>
        <w:rPr>
          <w:rFonts w:asciiTheme="minorHAnsi" w:eastAsiaTheme="minorEastAsia" w:hAnsiTheme="minorHAnsi"/>
          <w:kern w:val="2"/>
          <w:sz w:val="24"/>
          <w:szCs w:val="24"/>
          <w:lang w:eastAsia="en-AU"/>
          <w14:ligatures w14:val="standardContextual"/>
        </w:rPr>
      </w:pPr>
      <w:hyperlink w:anchor="_Toc227749095" w:history="1">
        <w:r w:rsidRPr="00EB34D0">
          <w:rPr>
            <w:rStyle w:val="Hyperlink"/>
          </w:rPr>
          <w:t>15.2.3</w:t>
        </w:r>
        <w:r>
          <w:rPr>
            <w:rFonts w:asciiTheme="minorHAnsi" w:eastAsiaTheme="minorEastAsia" w:hAnsiTheme="minorHAnsi"/>
            <w:kern w:val="2"/>
            <w:sz w:val="24"/>
            <w:szCs w:val="24"/>
            <w:lang w:eastAsia="en-AU"/>
            <w14:ligatures w14:val="standardContextual"/>
          </w:rPr>
          <w:tab/>
        </w:r>
        <w:r w:rsidRPr="00EB34D0">
          <w:rPr>
            <w:rStyle w:val="Hyperlink"/>
          </w:rPr>
          <w:t>PBS T3.01 Comprehensive income statement (showing net cost of services)</w:t>
        </w:r>
        <w:r>
          <w:rPr>
            <w:webHidden/>
          </w:rPr>
          <w:tab/>
        </w:r>
        <w:r>
          <w:rPr>
            <w:webHidden/>
          </w:rPr>
          <w:fldChar w:fldCharType="begin"/>
        </w:r>
        <w:r>
          <w:rPr>
            <w:webHidden/>
          </w:rPr>
          <w:instrText xml:space="preserve"> PAGEREF _Toc227749095 \h </w:instrText>
        </w:r>
        <w:r>
          <w:rPr>
            <w:webHidden/>
          </w:rPr>
        </w:r>
        <w:r>
          <w:rPr>
            <w:webHidden/>
          </w:rPr>
          <w:fldChar w:fldCharType="separate"/>
        </w:r>
        <w:r>
          <w:rPr>
            <w:webHidden/>
          </w:rPr>
          <w:t>56</w:t>
        </w:r>
        <w:r>
          <w:rPr>
            <w:webHidden/>
          </w:rPr>
          <w:fldChar w:fldCharType="end"/>
        </w:r>
      </w:hyperlink>
    </w:p>
    <w:p w14:paraId="00C70021" w14:textId="591043CD" w:rsidR="005F0BAD" w:rsidRDefault="005F0BAD">
      <w:pPr>
        <w:pStyle w:val="TOC3"/>
        <w:rPr>
          <w:rFonts w:asciiTheme="minorHAnsi" w:eastAsiaTheme="minorEastAsia" w:hAnsiTheme="minorHAnsi"/>
          <w:kern w:val="2"/>
          <w:sz w:val="24"/>
          <w:szCs w:val="24"/>
          <w:lang w:eastAsia="en-AU"/>
          <w14:ligatures w14:val="standardContextual"/>
        </w:rPr>
      </w:pPr>
      <w:hyperlink w:anchor="_Toc227749096" w:history="1">
        <w:r w:rsidRPr="00EB34D0">
          <w:rPr>
            <w:rStyle w:val="Hyperlink"/>
          </w:rPr>
          <w:t>15.2.4</w:t>
        </w:r>
        <w:r>
          <w:rPr>
            <w:rFonts w:asciiTheme="minorHAnsi" w:eastAsiaTheme="minorEastAsia" w:hAnsiTheme="minorHAnsi"/>
            <w:kern w:val="2"/>
            <w:sz w:val="24"/>
            <w:szCs w:val="24"/>
            <w:lang w:eastAsia="en-AU"/>
            <w14:ligatures w14:val="standardContextual"/>
          </w:rPr>
          <w:tab/>
        </w:r>
        <w:r w:rsidRPr="00EB34D0">
          <w:rPr>
            <w:rStyle w:val="Hyperlink"/>
          </w:rPr>
          <w:t>PBS T3.02 Budgeted departmental balance sheet</w:t>
        </w:r>
        <w:r>
          <w:rPr>
            <w:webHidden/>
          </w:rPr>
          <w:tab/>
        </w:r>
        <w:r>
          <w:rPr>
            <w:webHidden/>
          </w:rPr>
          <w:fldChar w:fldCharType="begin"/>
        </w:r>
        <w:r>
          <w:rPr>
            <w:webHidden/>
          </w:rPr>
          <w:instrText xml:space="preserve"> PAGEREF _Toc227749096 \h </w:instrText>
        </w:r>
        <w:r>
          <w:rPr>
            <w:webHidden/>
          </w:rPr>
        </w:r>
        <w:r>
          <w:rPr>
            <w:webHidden/>
          </w:rPr>
          <w:fldChar w:fldCharType="separate"/>
        </w:r>
        <w:r>
          <w:rPr>
            <w:webHidden/>
          </w:rPr>
          <w:t>56</w:t>
        </w:r>
        <w:r>
          <w:rPr>
            <w:webHidden/>
          </w:rPr>
          <w:fldChar w:fldCharType="end"/>
        </w:r>
      </w:hyperlink>
    </w:p>
    <w:p w14:paraId="6D5C99B3" w14:textId="5D9AF652" w:rsidR="005F0BAD" w:rsidRDefault="005F0BAD">
      <w:pPr>
        <w:pStyle w:val="TOC3"/>
        <w:rPr>
          <w:rFonts w:asciiTheme="minorHAnsi" w:eastAsiaTheme="minorEastAsia" w:hAnsiTheme="minorHAnsi"/>
          <w:kern w:val="2"/>
          <w:sz w:val="24"/>
          <w:szCs w:val="24"/>
          <w:lang w:eastAsia="en-AU"/>
          <w14:ligatures w14:val="standardContextual"/>
        </w:rPr>
      </w:pPr>
      <w:hyperlink w:anchor="_Toc227749097" w:history="1">
        <w:r w:rsidRPr="00EB34D0">
          <w:rPr>
            <w:rStyle w:val="Hyperlink"/>
          </w:rPr>
          <w:t>15.2.5</w:t>
        </w:r>
        <w:r>
          <w:rPr>
            <w:rFonts w:asciiTheme="minorHAnsi" w:eastAsiaTheme="minorEastAsia" w:hAnsiTheme="minorHAnsi"/>
            <w:kern w:val="2"/>
            <w:sz w:val="24"/>
            <w:szCs w:val="24"/>
            <w:lang w:eastAsia="en-AU"/>
            <w14:ligatures w14:val="standardContextual"/>
          </w:rPr>
          <w:tab/>
        </w:r>
        <w:r w:rsidRPr="00EB34D0">
          <w:rPr>
            <w:rStyle w:val="Hyperlink"/>
          </w:rPr>
          <w:t>PBS T3.03 Departmental statement of changes in equity</w:t>
        </w:r>
        <w:r>
          <w:rPr>
            <w:webHidden/>
          </w:rPr>
          <w:tab/>
        </w:r>
        <w:r>
          <w:rPr>
            <w:webHidden/>
          </w:rPr>
          <w:fldChar w:fldCharType="begin"/>
        </w:r>
        <w:r>
          <w:rPr>
            <w:webHidden/>
          </w:rPr>
          <w:instrText xml:space="preserve"> PAGEREF _Toc227749097 \h </w:instrText>
        </w:r>
        <w:r>
          <w:rPr>
            <w:webHidden/>
          </w:rPr>
        </w:r>
        <w:r>
          <w:rPr>
            <w:webHidden/>
          </w:rPr>
          <w:fldChar w:fldCharType="separate"/>
        </w:r>
        <w:r>
          <w:rPr>
            <w:webHidden/>
          </w:rPr>
          <w:t>57</w:t>
        </w:r>
        <w:r>
          <w:rPr>
            <w:webHidden/>
          </w:rPr>
          <w:fldChar w:fldCharType="end"/>
        </w:r>
      </w:hyperlink>
    </w:p>
    <w:p w14:paraId="14814C36" w14:textId="1F8B061C" w:rsidR="005F0BAD" w:rsidRDefault="005F0BAD">
      <w:pPr>
        <w:pStyle w:val="TOC3"/>
        <w:rPr>
          <w:rFonts w:asciiTheme="minorHAnsi" w:eastAsiaTheme="minorEastAsia" w:hAnsiTheme="minorHAnsi"/>
          <w:kern w:val="2"/>
          <w:sz w:val="24"/>
          <w:szCs w:val="24"/>
          <w:lang w:eastAsia="en-AU"/>
          <w14:ligatures w14:val="standardContextual"/>
        </w:rPr>
      </w:pPr>
      <w:hyperlink w:anchor="_Toc227749098" w:history="1">
        <w:r w:rsidRPr="00EB34D0">
          <w:rPr>
            <w:rStyle w:val="Hyperlink"/>
          </w:rPr>
          <w:t>15.2.6</w:t>
        </w:r>
        <w:r>
          <w:rPr>
            <w:rFonts w:asciiTheme="minorHAnsi" w:eastAsiaTheme="minorEastAsia" w:hAnsiTheme="minorHAnsi"/>
            <w:kern w:val="2"/>
            <w:sz w:val="24"/>
            <w:szCs w:val="24"/>
            <w:lang w:eastAsia="en-AU"/>
            <w14:ligatures w14:val="standardContextual"/>
          </w:rPr>
          <w:tab/>
        </w:r>
        <w:r w:rsidRPr="00EB34D0">
          <w:rPr>
            <w:rStyle w:val="Hyperlink"/>
          </w:rPr>
          <w:t>PBS T3.04 Budgeted departmental statement of cash flows</w:t>
        </w:r>
        <w:r>
          <w:rPr>
            <w:webHidden/>
          </w:rPr>
          <w:tab/>
        </w:r>
        <w:r>
          <w:rPr>
            <w:webHidden/>
          </w:rPr>
          <w:fldChar w:fldCharType="begin"/>
        </w:r>
        <w:r>
          <w:rPr>
            <w:webHidden/>
          </w:rPr>
          <w:instrText xml:space="preserve"> PAGEREF _Toc227749098 \h </w:instrText>
        </w:r>
        <w:r>
          <w:rPr>
            <w:webHidden/>
          </w:rPr>
        </w:r>
        <w:r>
          <w:rPr>
            <w:webHidden/>
          </w:rPr>
          <w:fldChar w:fldCharType="separate"/>
        </w:r>
        <w:r>
          <w:rPr>
            <w:webHidden/>
          </w:rPr>
          <w:t>57</w:t>
        </w:r>
        <w:r>
          <w:rPr>
            <w:webHidden/>
          </w:rPr>
          <w:fldChar w:fldCharType="end"/>
        </w:r>
      </w:hyperlink>
    </w:p>
    <w:p w14:paraId="3F556D16" w14:textId="568E79F0" w:rsidR="005F0BAD" w:rsidRDefault="005F0BAD">
      <w:pPr>
        <w:pStyle w:val="TOC3"/>
        <w:rPr>
          <w:rFonts w:asciiTheme="minorHAnsi" w:eastAsiaTheme="minorEastAsia" w:hAnsiTheme="minorHAnsi"/>
          <w:kern w:val="2"/>
          <w:sz w:val="24"/>
          <w:szCs w:val="24"/>
          <w:lang w:eastAsia="en-AU"/>
          <w14:ligatures w14:val="standardContextual"/>
        </w:rPr>
      </w:pPr>
      <w:hyperlink w:anchor="_Toc227749099" w:history="1">
        <w:r w:rsidRPr="00EB34D0">
          <w:rPr>
            <w:rStyle w:val="Hyperlink"/>
          </w:rPr>
          <w:t>15.2.7</w:t>
        </w:r>
        <w:r>
          <w:rPr>
            <w:rFonts w:asciiTheme="minorHAnsi" w:eastAsiaTheme="minorEastAsia" w:hAnsiTheme="minorHAnsi"/>
            <w:kern w:val="2"/>
            <w:sz w:val="24"/>
            <w:szCs w:val="24"/>
            <w:lang w:eastAsia="en-AU"/>
            <w14:ligatures w14:val="standardContextual"/>
          </w:rPr>
          <w:tab/>
        </w:r>
        <w:r w:rsidRPr="00EB34D0">
          <w:rPr>
            <w:rStyle w:val="Hyperlink"/>
          </w:rPr>
          <w:t>PBS T3.05 Departmental capital budget statement</w:t>
        </w:r>
        <w:r>
          <w:rPr>
            <w:webHidden/>
          </w:rPr>
          <w:tab/>
        </w:r>
        <w:r>
          <w:rPr>
            <w:webHidden/>
          </w:rPr>
          <w:fldChar w:fldCharType="begin"/>
        </w:r>
        <w:r>
          <w:rPr>
            <w:webHidden/>
          </w:rPr>
          <w:instrText xml:space="preserve"> PAGEREF _Toc227749099 \h </w:instrText>
        </w:r>
        <w:r>
          <w:rPr>
            <w:webHidden/>
          </w:rPr>
        </w:r>
        <w:r>
          <w:rPr>
            <w:webHidden/>
          </w:rPr>
          <w:fldChar w:fldCharType="separate"/>
        </w:r>
        <w:r>
          <w:rPr>
            <w:webHidden/>
          </w:rPr>
          <w:t>57</w:t>
        </w:r>
        <w:r>
          <w:rPr>
            <w:webHidden/>
          </w:rPr>
          <w:fldChar w:fldCharType="end"/>
        </w:r>
      </w:hyperlink>
    </w:p>
    <w:p w14:paraId="4B46CB0B" w14:textId="28327E82" w:rsidR="005F0BAD" w:rsidRDefault="005F0BAD">
      <w:pPr>
        <w:pStyle w:val="TOC3"/>
        <w:rPr>
          <w:rFonts w:asciiTheme="minorHAnsi" w:eastAsiaTheme="minorEastAsia" w:hAnsiTheme="minorHAnsi"/>
          <w:kern w:val="2"/>
          <w:sz w:val="24"/>
          <w:szCs w:val="24"/>
          <w:lang w:eastAsia="en-AU"/>
          <w14:ligatures w14:val="standardContextual"/>
        </w:rPr>
      </w:pPr>
      <w:hyperlink w:anchor="_Toc227749100" w:history="1">
        <w:r w:rsidRPr="00EB34D0">
          <w:rPr>
            <w:rStyle w:val="Hyperlink"/>
          </w:rPr>
          <w:t>15.2.8</w:t>
        </w:r>
        <w:r>
          <w:rPr>
            <w:rFonts w:asciiTheme="minorHAnsi" w:eastAsiaTheme="minorEastAsia" w:hAnsiTheme="minorHAnsi"/>
            <w:kern w:val="2"/>
            <w:sz w:val="24"/>
            <w:szCs w:val="24"/>
            <w:lang w:eastAsia="en-AU"/>
            <w14:ligatures w14:val="standardContextual"/>
          </w:rPr>
          <w:tab/>
        </w:r>
        <w:r w:rsidRPr="00EB34D0">
          <w:rPr>
            <w:rStyle w:val="Hyperlink"/>
          </w:rPr>
          <w:t>PBS T3.06 Departmental statement of asset movements</w:t>
        </w:r>
        <w:r>
          <w:rPr>
            <w:webHidden/>
          </w:rPr>
          <w:tab/>
        </w:r>
        <w:r>
          <w:rPr>
            <w:webHidden/>
          </w:rPr>
          <w:fldChar w:fldCharType="begin"/>
        </w:r>
        <w:r>
          <w:rPr>
            <w:webHidden/>
          </w:rPr>
          <w:instrText xml:space="preserve"> PAGEREF _Toc227749100 \h </w:instrText>
        </w:r>
        <w:r>
          <w:rPr>
            <w:webHidden/>
          </w:rPr>
        </w:r>
        <w:r>
          <w:rPr>
            <w:webHidden/>
          </w:rPr>
          <w:fldChar w:fldCharType="separate"/>
        </w:r>
        <w:r>
          <w:rPr>
            <w:webHidden/>
          </w:rPr>
          <w:t>57</w:t>
        </w:r>
        <w:r>
          <w:rPr>
            <w:webHidden/>
          </w:rPr>
          <w:fldChar w:fldCharType="end"/>
        </w:r>
      </w:hyperlink>
    </w:p>
    <w:p w14:paraId="75E84DF8" w14:textId="18CCC73C" w:rsidR="005F0BAD" w:rsidRDefault="005F0BAD">
      <w:pPr>
        <w:pStyle w:val="TOC3"/>
        <w:rPr>
          <w:rFonts w:asciiTheme="minorHAnsi" w:eastAsiaTheme="minorEastAsia" w:hAnsiTheme="minorHAnsi"/>
          <w:kern w:val="2"/>
          <w:sz w:val="24"/>
          <w:szCs w:val="24"/>
          <w:lang w:eastAsia="en-AU"/>
          <w14:ligatures w14:val="standardContextual"/>
        </w:rPr>
      </w:pPr>
      <w:hyperlink w:anchor="_Toc227749101" w:history="1">
        <w:r w:rsidRPr="00EB34D0">
          <w:rPr>
            <w:rStyle w:val="Hyperlink"/>
          </w:rPr>
          <w:t>15.2.9</w:t>
        </w:r>
        <w:r>
          <w:rPr>
            <w:rFonts w:asciiTheme="minorHAnsi" w:eastAsiaTheme="minorEastAsia" w:hAnsiTheme="minorHAnsi"/>
            <w:kern w:val="2"/>
            <w:sz w:val="24"/>
            <w:szCs w:val="24"/>
            <w:lang w:eastAsia="en-AU"/>
            <w14:ligatures w14:val="standardContextual"/>
          </w:rPr>
          <w:tab/>
        </w:r>
        <w:r w:rsidRPr="00EB34D0">
          <w:rPr>
            <w:rStyle w:val="Hyperlink"/>
          </w:rPr>
          <w:t>Administered financial statements</w:t>
        </w:r>
        <w:r>
          <w:rPr>
            <w:webHidden/>
          </w:rPr>
          <w:tab/>
        </w:r>
        <w:r>
          <w:rPr>
            <w:webHidden/>
          </w:rPr>
          <w:fldChar w:fldCharType="begin"/>
        </w:r>
        <w:r>
          <w:rPr>
            <w:webHidden/>
          </w:rPr>
          <w:instrText xml:space="preserve"> PAGEREF _Toc227749101 \h </w:instrText>
        </w:r>
        <w:r>
          <w:rPr>
            <w:webHidden/>
          </w:rPr>
        </w:r>
        <w:r>
          <w:rPr>
            <w:webHidden/>
          </w:rPr>
          <w:fldChar w:fldCharType="separate"/>
        </w:r>
        <w:r>
          <w:rPr>
            <w:webHidden/>
          </w:rPr>
          <w:t>58</w:t>
        </w:r>
        <w:r>
          <w:rPr>
            <w:webHidden/>
          </w:rPr>
          <w:fldChar w:fldCharType="end"/>
        </w:r>
      </w:hyperlink>
    </w:p>
    <w:p w14:paraId="6C040F4A" w14:textId="4A622191" w:rsidR="005F0BAD" w:rsidRDefault="005F0BAD">
      <w:pPr>
        <w:pStyle w:val="TOC1"/>
        <w:rPr>
          <w:rFonts w:asciiTheme="minorHAnsi" w:eastAsiaTheme="minorEastAsia" w:hAnsiTheme="minorHAnsi"/>
          <w:kern w:val="2"/>
          <w:szCs w:val="24"/>
          <w:lang w:eastAsia="en-AU"/>
          <w14:ligatures w14:val="standardContextual"/>
        </w:rPr>
      </w:pPr>
      <w:hyperlink w:anchor="_Toc227749102" w:history="1">
        <w:r w:rsidRPr="00EB34D0">
          <w:rPr>
            <w:rStyle w:val="Hyperlink"/>
          </w:rPr>
          <w:t>Appendix 2:</w:t>
        </w:r>
        <w:r>
          <w:rPr>
            <w:webHidden/>
          </w:rPr>
          <w:tab/>
        </w:r>
        <w:r>
          <w:rPr>
            <w:webHidden/>
          </w:rPr>
          <w:fldChar w:fldCharType="begin"/>
        </w:r>
        <w:r>
          <w:rPr>
            <w:webHidden/>
          </w:rPr>
          <w:instrText xml:space="preserve"> PAGEREF _Toc227749102 \h </w:instrText>
        </w:r>
        <w:r>
          <w:rPr>
            <w:webHidden/>
          </w:rPr>
        </w:r>
        <w:r>
          <w:rPr>
            <w:webHidden/>
          </w:rPr>
          <w:fldChar w:fldCharType="separate"/>
        </w:r>
        <w:r>
          <w:rPr>
            <w:webHidden/>
          </w:rPr>
          <w:t>59</w:t>
        </w:r>
        <w:r>
          <w:rPr>
            <w:webHidden/>
          </w:rPr>
          <w:fldChar w:fldCharType="end"/>
        </w:r>
      </w:hyperlink>
    </w:p>
    <w:p w14:paraId="72CB6ECF" w14:textId="132245D6" w:rsidR="005F0BAD" w:rsidRDefault="005F0BAD">
      <w:pPr>
        <w:pStyle w:val="TOC1"/>
        <w:rPr>
          <w:rFonts w:asciiTheme="minorHAnsi" w:eastAsiaTheme="minorEastAsia" w:hAnsiTheme="minorHAnsi"/>
          <w:kern w:val="2"/>
          <w:szCs w:val="24"/>
          <w:lang w:eastAsia="en-AU"/>
          <w14:ligatures w14:val="standardContextual"/>
        </w:rPr>
      </w:pPr>
      <w:hyperlink w:anchor="_Toc227749103" w:history="1">
        <w:r w:rsidRPr="00EB34D0">
          <w:rPr>
            <w:rStyle w:val="Hyperlink"/>
          </w:rPr>
          <w:t>16</w:t>
        </w:r>
        <w:r>
          <w:rPr>
            <w:rFonts w:asciiTheme="minorHAnsi" w:eastAsiaTheme="minorEastAsia" w:hAnsiTheme="minorHAnsi"/>
            <w:kern w:val="2"/>
            <w:szCs w:val="24"/>
            <w:lang w:eastAsia="en-AU"/>
            <w14:ligatures w14:val="standardContextual"/>
          </w:rPr>
          <w:tab/>
        </w:r>
        <w:r w:rsidRPr="00EB34D0">
          <w:rPr>
            <w:rStyle w:val="Hyperlink"/>
          </w:rPr>
          <w:t>Working with the templates</w:t>
        </w:r>
        <w:r>
          <w:rPr>
            <w:webHidden/>
          </w:rPr>
          <w:tab/>
        </w:r>
        <w:r>
          <w:rPr>
            <w:webHidden/>
          </w:rPr>
          <w:fldChar w:fldCharType="begin"/>
        </w:r>
        <w:r>
          <w:rPr>
            <w:webHidden/>
          </w:rPr>
          <w:instrText xml:space="preserve"> PAGEREF _Toc227749103 \h </w:instrText>
        </w:r>
        <w:r>
          <w:rPr>
            <w:webHidden/>
          </w:rPr>
        </w:r>
        <w:r>
          <w:rPr>
            <w:webHidden/>
          </w:rPr>
          <w:fldChar w:fldCharType="separate"/>
        </w:r>
        <w:r>
          <w:rPr>
            <w:webHidden/>
          </w:rPr>
          <w:t>59</w:t>
        </w:r>
        <w:r>
          <w:rPr>
            <w:webHidden/>
          </w:rPr>
          <w:fldChar w:fldCharType="end"/>
        </w:r>
      </w:hyperlink>
    </w:p>
    <w:p w14:paraId="0166EED1" w14:textId="6D5BD4EB" w:rsidR="005F0BAD" w:rsidRDefault="005F0BAD">
      <w:pPr>
        <w:pStyle w:val="TOC2"/>
        <w:rPr>
          <w:rFonts w:asciiTheme="minorHAnsi" w:eastAsiaTheme="minorEastAsia" w:hAnsiTheme="minorHAnsi"/>
          <w:kern w:val="2"/>
          <w:sz w:val="24"/>
          <w:szCs w:val="24"/>
          <w:lang w:eastAsia="en-AU"/>
          <w14:ligatures w14:val="standardContextual"/>
        </w:rPr>
      </w:pPr>
      <w:hyperlink w:anchor="_Toc227749104" w:history="1">
        <w:r w:rsidRPr="00EB34D0">
          <w:rPr>
            <w:rStyle w:val="Hyperlink"/>
          </w:rPr>
          <w:t>16.1</w:t>
        </w:r>
        <w:r>
          <w:rPr>
            <w:rFonts w:asciiTheme="minorHAnsi" w:eastAsiaTheme="minorEastAsia" w:hAnsiTheme="minorHAnsi"/>
            <w:kern w:val="2"/>
            <w:sz w:val="24"/>
            <w:szCs w:val="24"/>
            <w:lang w:eastAsia="en-AU"/>
            <w14:ligatures w14:val="standardContextual"/>
          </w:rPr>
          <w:tab/>
        </w:r>
        <w:r w:rsidRPr="00EB34D0">
          <w:rPr>
            <w:rStyle w:val="Hyperlink"/>
          </w:rPr>
          <w:t>Saving the files</w:t>
        </w:r>
        <w:r>
          <w:rPr>
            <w:webHidden/>
          </w:rPr>
          <w:tab/>
        </w:r>
        <w:r>
          <w:rPr>
            <w:webHidden/>
          </w:rPr>
          <w:fldChar w:fldCharType="begin"/>
        </w:r>
        <w:r>
          <w:rPr>
            <w:webHidden/>
          </w:rPr>
          <w:instrText xml:space="preserve"> PAGEREF _Toc227749104 \h </w:instrText>
        </w:r>
        <w:r>
          <w:rPr>
            <w:webHidden/>
          </w:rPr>
        </w:r>
        <w:r>
          <w:rPr>
            <w:webHidden/>
          </w:rPr>
          <w:fldChar w:fldCharType="separate"/>
        </w:r>
        <w:r>
          <w:rPr>
            <w:webHidden/>
          </w:rPr>
          <w:t>59</w:t>
        </w:r>
        <w:r>
          <w:rPr>
            <w:webHidden/>
          </w:rPr>
          <w:fldChar w:fldCharType="end"/>
        </w:r>
      </w:hyperlink>
    </w:p>
    <w:p w14:paraId="64E485E4" w14:textId="76EFF96C" w:rsidR="005F0BAD" w:rsidRDefault="005F0BAD">
      <w:pPr>
        <w:pStyle w:val="TOC2"/>
        <w:rPr>
          <w:rFonts w:asciiTheme="minorHAnsi" w:eastAsiaTheme="minorEastAsia" w:hAnsiTheme="minorHAnsi"/>
          <w:kern w:val="2"/>
          <w:sz w:val="24"/>
          <w:szCs w:val="24"/>
          <w:lang w:eastAsia="en-AU"/>
          <w14:ligatures w14:val="standardContextual"/>
        </w:rPr>
      </w:pPr>
      <w:hyperlink w:anchor="_Toc227749105" w:history="1">
        <w:r w:rsidRPr="00EB34D0">
          <w:rPr>
            <w:rStyle w:val="Hyperlink"/>
          </w:rPr>
          <w:t>16.2</w:t>
        </w:r>
        <w:r>
          <w:rPr>
            <w:rFonts w:asciiTheme="minorHAnsi" w:eastAsiaTheme="minorEastAsia" w:hAnsiTheme="minorHAnsi"/>
            <w:kern w:val="2"/>
            <w:sz w:val="24"/>
            <w:szCs w:val="24"/>
            <w:lang w:eastAsia="en-AU"/>
            <w14:ligatures w14:val="standardContextual"/>
          </w:rPr>
          <w:tab/>
        </w:r>
        <w:r w:rsidRPr="00EB34D0">
          <w:rPr>
            <w:rStyle w:val="Hyperlink"/>
          </w:rPr>
          <w:t>Excel table specifications</w:t>
        </w:r>
        <w:r>
          <w:rPr>
            <w:webHidden/>
          </w:rPr>
          <w:tab/>
        </w:r>
        <w:r>
          <w:rPr>
            <w:webHidden/>
          </w:rPr>
          <w:fldChar w:fldCharType="begin"/>
        </w:r>
        <w:r>
          <w:rPr>
            <w:webHidden/>
          </w:rPr>
          <w:instrText xml:space="preserve"> PAGEREF _Toc227749105 \h </w:instrText>
        </w:r>
        <w:r>
          <w:rPr>
            <w:webHidden/>
          </w:rPr>
        </w:r>
        <w:r>
          <w:rPr>
            <w:webHidden/>
          </w:rPr>
          <w:fldChar w:fldCharType="separate"/>
        </w:r>
        <w:r>
          <w:rPr>
            <w:webHidden/>
          </w:rPr>
          <w:t>59</w:t>
        </w:r>
        <w:r>
          <w:rPr>
            <w:webHidden/>
          </w:rPr>
          <w:fldChar w:fldCharType="end"/>
        </w:r>
      </w:hyperlink>
    </w:p>
    <w:p w14:paraId="2DF15DFD" w14:textId="1BE0463C" w:rsidR="005F0BAD" w:rsidRDefault="005F0BAD">
      <w:pPr>
        <w:pStyle w:val="TOC2"/>
        <w:rPr>
          <w:rFonts w:asciiTheme="minorHAnsi" w:eastAsiaTheme="minorEastAsia" w:hAnsiTheme="minorHAnsi"/>
          <w:kern w:val="2"/>
          <w:sz w:val="24"/>
          <w:szCs w:val="24"/>
          <w:lang w:eastAsia="en-AU"/>
          <w14:ligatures w14:val="standardContextual"/>
        </w:rPr>
      </w:pPr>
      <w:hyperlink w:anchor="_Toc227749106" w:history="1">
        <w:r w:rsidRPr="00EB34D0">
          <w:rPr>
            <w:rStyle w:val="Hyperlink"/>
          </w:rPr>
          <w:t>16.3</w:t>
        </w:r>
        <w:r>
          <w:rPr>
            <w:rFonts w:asciiTheme="minorHAnsi" w:eastAsiaTheme="minorEastAsia" w:hAnsiTheme="minorHAnsi"/>
            <w:kern w:val="2"/>
            <w:sz w:val="24"/>
            <w:szCs w:val="24"/>
            <w:lang w:eastAsia="en-AU"/>
            <w14:ligatures w14:val="standardContextual"/>
          </w:rPr>
          <w:tab/>
        </w:r>
        <w:r w:rsidRPr="00EB34D0">
          <w:rPr>
            <w:rStyle w:val="Hyperlink"/>
          </w:rPr>
          <w:t>Formatting an existing table to budget standards</w:t>
        </w:r>
        <w:r>
          <w:rPr>
            <w:webHidden/>
          </w:rPr>
          <w:tab/>
        </w:r>
        <w:r>
          <w:rPr>
            <w:webHidden/>
          </w:rPr>
          <w:fldChar w:fldCharType="begin"/>
        </w:r>
        <w:r>
          <w:rPr>
            <w:webHidden/>
          </w:rPr>
          <w:instrText xml:space="preserve"> PAGEREF _Toc227749106 \h </w:instrText>
        </w:r>
        <w:r>
          <w:rPr>
            <w:webHidden/>
          </w:rPr>
        </w:r>
        <w:r>
          <w:rPr>
            <w:webHidden/>
          </w:rPr>
          <w:fldChar w:fldCharType="separate"/>
        </w:r>
        <w:r>
          <w:rPr>
            <w:webHidden/>
          </w:rPr>
          <w:t>60</w:t>
        </w:r>
        <w:r>
          <w:rPr>
            <w:webHidden/>
          </w:rPr>
          <w:fldChar w:fldCharType="end"/>
        </w:r>
      </w:hyperlink>
    </w:p>
    <w:p w14:paraId="1FAF6FE7" w14:textId="5AA7963D" w:rsidR="005F0BAD" w:rsidRDefault="005F0BAD">
      <w:pPr>
        <w:pStyle w:val="TOC3"/>
        <w:rPr>
          <w:rFonts w:asciiTheme="minorHAnsi" w:eastAsiaTheme="minorEastAsia" w:hAnsiTheme="minorHAnsi"/>
          <w:kern w:val="2"/>
          <w:sz w:val="24"/>
          <w:szCs w:val="24"/>
          <w:lang w:eastAsia="en-AU"/>
          <w14:ligatures w14:val="standardContextual"/>
        </w:rPr>
      </w:pPr>
      <w:hyperlink w:anchor="_Toc227749107" w:history="1">
        <w:r w:rsidRPr="00EB34D0">
          <w:rPr>
            <w:rStyle w:val="Hyperlink"/>
          </w:rPr>
          <w:t>16.3.1</w:t>
        </w:r>
        <w:r>
          <w:rPr>
            <w:rFonts w:asciiTheme="minorHAnsi" w:eastAsiaTheme="minorEastAsia" w:hAnsiTheme="minorHAnsi"/>
            <w:kern w:val="2"/>
            <w:sz w:val="24"/>
            <w:szCs w:val="24"/>
            <w:lang w:eastAsia="en-AU"/>
            <w14:ligatures w14:val="standardContextual"/>
          </w:rPr>
          <w:tab/>
        </w:r>
        <w:r w:rsidRPr="00EB34D0">
          <w:rPr>
            <w:rStyle w:val="Hyperlink"/>
          </w:rPr>
          <w:t>For Portrait tables</w:t>
        </w:r>
        <w:r>
          <w:rPr>
            <w:webHidden/>
          </w:rPr>
          <w:tab/>
        </w:r>
        <w:r>
          <w:rPr>
            <w:webHidden/>
          </w:rPr>
          <w:fldChar w:fldCharType="begin"/>
        </w:r>
        <w:r>
          <w:rPr>
            <w:webHidden/>
          </w:rPr>
          <w:instrText xml:space="preserve"> PAGEREF _Toc227749107 \h </w:instrText>
        </w:r>
        <w:r>
          <w:rPr>
            <w:webHidden/>
          </w:rPr>
        </w:r>
        <w:r>
          <w:rPr>
            <w:webHidden/>
          </w:rPr>
          <w:fldChar w:fldCharType="separate"/>
        </w:r>
        <w:r>
          <w:rPr>
            <w:webHidden/>
          </w:rPr>
          <w:t>60</w:t>
        </w:r>
        <w:r>
          <w:rPr>
            <w:webHidden/>
          </w:rPr>
          <w:fldChar w:fldCharType="end"/>
        </w:r>
      </w:hyperlink>
    </w:p>
    <w:p w14:paraId="2864C537" w14:textId="0983817C" w:rsidR="005F0BAD" w:rsidRDefault="005F0BAD">
      <w:pPr>
        <w:pStyle w:val="TOC3"/>
        <w:rPr>
          <w:rFonts w:asciiTheme="minorHAnsi" w:eastAsiaTheme="minorEastAsia" w:hAnsiTheme="minorHAnsi"/>
          <w:kern w:val="2"/>
          <w:sz w:val="24"/>
          <w:szCs w:val="24"/>
          <w:lang w:eastAsia="en-AU"/>
          <w14:ligatures w14:val="standardContextual"/>
        </w:rPr>
      </w:pPr>
      <w:hyperlink w:anchor="_Toc227749108" w:history="1">
        <w:r w:rsidRPr="00EB34D0">
          <w:rPr>
            <w:rStyle w:val="Hyperlink"/>
          </w:rPr>
          <w:t>16.3.2</w:t>
        </w:r>
        <w:r>
          <w:rPr>
            <w:rFonts w:asciiTheme="minorHAnsi" w:eastAsiaTheme="minorEastAsia" w:hAnsiTheme="minorHAnsi"/>
            <w:kern w:val="2"/>
            <w:sz w:val="24"/>
            <w:szCs w:val="24"/>
            <w:lang w:eastAsia="en-AU"/>
            <w14:ligatures w14:val="standardContextual"/>
          </w:rPr>
          <w:tab/>
        </w:r>
        <w:r w:rsidRPr="00EB34D0">
          <w:rPr>
            <w:rStyle w:val="Hyperlink"/>
          </w:rPr>
          <w:t>For Landscape tables</w:t>
        </w:r>
        <w:r>
          <w:rPr>
            <w:webHidden/>
          </w:rPr>
          <w:tab/>
        </w:r>
        <w:r>
          <w:rPr>
            <w:webHidden/>
          </w:rPr>
          <w:fldChar w:fldCharType="begin"/>
        </w:r>
        <w:r>
          <w:rPr>
            <w:webHidden/>
          </w:rPr>
          <w:instrText xml:space="preserve"> PAGEREF _Toc227749108 \h </w:instrText>
        </w:r>
        <w:r>
          <w:rPr>
            <w:webHidden/>
          </w:rPr>
        </w:r>
        <w:r>
          <w:rPr>
            <w:webHidden/>
          </w:rPr>
          <w:fldChar w:fldCharType="separate"/>
        </w:r>
        <w:r>
          <w:rPr>
            <w:webHidden/>
          </w:rPr>
          <w:t>60</w:t>
        </w:r>
        <w:r>
          <w:rPr>
            <w:webHidden/>
          </w:rPr>
          <w:fldChar w:fldCharType="end"/>
        </w:r>
      </w:hyperlink>
    </w:p>
    <w:p w14:paraId="3CEE8FB8" w14:textId="6532F3CD" w:rsidR="005F0BAD" w:rsidRDefault="005F0BAD">
      <w:pPr>
        <w:pStyle w:val="TOC3"/>
        <w:rPr>
          <w:rFonts w:asciiTheme="minorHAnsi" w:eastAsiaTheme="minorEastAsia" w:hAnsiTheme="minorHAnsi"/>
          <w:kern w:val="2"/>
          <w:sz w:val="24"/>
          <w:szCs w:val="24"/>
          <w:lang w:eastAsia="en-AU"/>
          <w14:ligatures w14:val="standardContextual"/>
        </w:rPr>
      </w:pPr>
      <w:hyperlink w:anchor="_Toc227749109" w:history="1">
        <w:r w:rsidRPr="00EB34D0">
          <w:rPr>
            <w:rStyle w:val="Hyperlink"/>
          </w:rPr>
          <w:t>16.3.3</w:t>
        </w:r>
        <w:r>
          <w:rPr>
            <w:rFonts w:asciiTheme="minorHAnsi" w:eastAsiaTheme="minorEastAsia" w:hAnsiTheme="minorHAnsi"/>
            <w:kern w:val="2"/>
            <w:sz w:val="24"/>
            <w:szCs w:val="24"/>
            <w:lang w:eastAsia="en-AU"/>
            <w14:ligatures w14:val="standardContextual"/>
          </w:rPr>
          <w:tab/>
        </w:r>
        <w:r w:rsidRPr="00EB34D0">
          <w:rPr>
            <w:rStyle w:val="Hyperlink"/>
          </w:rPr>
          <w:t>Setting font and text alignment</w:t>
        </w:r>
        <w:r>
          <w:rPr>
            <w:webHidden/>
          </w:rPr>
          <w:tab/>
        </w:r>
        <w:r>
          <w:rPr>
            <w:webHidden/>
          </w:rPr>
          <w:fldChar w:fldCharType="begin"/>
        </w:r>
        <w:r>
          <w:rPr>
            <w:webHidden/>
          </w:rPr>
          <w:instrText xml:space="preserve"> PAGEREF _Toc227749109 \h </w:instrText>
        </w:r>
        <w:r>
          <w:rPr>
            <w:webHidden/>
          </w:rPr>
        </w:r>
        <w:r>
          <w:rPr>
            <w:webHidden/>
          </w:rPr>
          <w:fldChar w:fldCharType="separate"/>
        </w:r>
        <w:r>
          <w:rPr>
            <w:webHidden/>
          </w:rPr>
          <w:t>60</w:t>
        </w:r>
        <w:r>
          <w:rPr>
            <w:webHidden/>
          </w:rPr>
          <w:fldChar w:fldCharType="end"/>
        </w:r>
      </w:hyperlink>
    </w:p>
    <w:p w14:paraId="270C5D49" w14:textId="5492BA9C" w:rsidR="005F0BAD" w:rsidRDefault="005F0BAD">
      <w:pPr>
        <w:pStyle w:val="TOC3"/>
        <w:rPr>
          <w:rFonts w:asciiTheme="minorHAnsi" w:eastAsiaTheme="minorEastAsia" w:hAnsiTheme="minorHAnsi"/>
          <w:kern w:val="2"/>
          <w:sz w:val="24"/>
          <w:szCs w:val="24"/>
          <w:lang w:eastAsia="en-AU"/>
          <w14:ligatures w14:val="standardContextual"/>
        </w:rPr>
      </w:pPr>
      <w:hyperlink w:anchor="_Toc227749110" w:history="1">
        <w:r w:rsidRPr="00EB34D0">
          <w:rPr>
            <w:rStyle w:val="Hyperlink"/>
          </w:rPr>
          <w:t>16.3.4</w:t>
        </w:r>
        <w:r>
          <w:rPr>
            <w:rFonts w:asciiTheme="minorHAnsi" w:eastAsiaTheme="minorEastAsia" w:hAnsiTheme="minorHAnsi"/>
            <w:kern w:val="2"/>
            <w:sz w:val="24"/>
            <w:szCs w:val="24"/>
            <w:lang w:eastAsia="en-AU"/>
            <w14:ligatures w14:val="standardContextual"/>
          </w:rPr>
          <w:tab/>
        </w:r>
        <w:r w:rsidRPr="00EB34D0">
          <w:rPr>
            <w:rStyle w:val="Hyperlink"/>
          </w:rPr>
          <w:t>Row height</w:t>
        </w:r>
        <w:r>
          <w:rPr>
            <w:webHidden/>
          </w:rPr>
          <w:tab/>
        </w:r>
        <w:r>
          <w:rPr>
            <w:webHidden/>
          </w:rPr>
          <w:fldChar w:fldCharType="begin"/>
        </w:r>
        <w:r>
          <w:rPr>
            <w:webHidden/>
          </w:rPr>
          <w:instrText xml:space="preserve"> PAGEREF _Toc227749110 \h </w:instrText>
        </w:r>
        <w:r>
          <w:rPr>
            <w:webHidden/>
          </w:rPr>
        </w:r>
        <w:r>
          <w:rPr>
            <w:webHidden/>
          </w:rPr>
          <w:fldChar w:fldCharType="separate"/>
        </w:r>
        <w:r>
          <w:rPr>
            <w:webHidden/>
          </w:rPr>
          <w:t>61</w:t>
        </w:r>
        <w:r>
          <w:rPr>
            <w:webHidden/>
          </w:rPr>
          <w:fldChar w:fldCharType="end"/>
        </w:r>
      </w:hyperlink>
    </w:p>
    <w:p w14:paraId="20639263" w14:textId="576E9AA4" w:rsidR="005F0BAD" w:rsidRDefault="005F0BAD">
      <w:pPr>
        <w:pStyle w:val="TOC3"/>
        <w:rPr>
          <w:rFonts w:asciiTheme="minorHAnsi" w:eastAsiaTheme="minorEastAsia" w:hAnsiTheme="minorHAnsi"/>
          <w:kern w:val="2"/>
          <w:sz w:val="24"/>
          <w:szCs w:val="24"/>
          <w:lang w:eastAsia="en-AU"/>
          <w14:ligatures w14:val="standardContextual"/>
        </w:rPr>
      </w:pPr>
      <w:hyperlink w:anchor="_Toc227749111" w:history="1">
        <w:r w:rsidRPr="00EB34D0">
          <w:rPr>
            <w:rStyle w:val="Hyperlink"/>
          </w:rPr>
          <w:t>16.3.5</w:t>
        </w:r>
        <w:r>
          <w:rPr>
            <w:rFonts w:asciiTheme="minorHAnsi" w:eastAsiaTheme="minorEastAsia" w:hAnsiTheme="minorHAnsi"/>
            <w:kern w:val="2"/>
            <w:sz w:val="24"/>
            <w:szCs w:val="24"/>
            <w:lang w:eastAsia="en-AU"/>
            <w14:ligatures w14:val="standardContextual"/>
          </w:rPr>
          <w:tab/>
        </w:r>
        <w:r w:rsidRPr="00EB34D0">
          <w:rPr>
            <w:rStyle w:val="Hyperlink"/>
          </w:rPr>
          <w:t>Table borders</w:t>
        </w:r>
        <w:r>
          <w:rPr>
            <w:webHidden/>
          </w:rPr>
          <w:tab/>
        </w:r>
        <w:r>
          <w:rPr>
            <w:webHidden/>
          </w:rPr>
          <w:fldChar w:fldCharType="begin"/>
        </w:r>
        <w:r>
          <w:rPr>
            <w:webHidden/>
          </w:rPr>
          <w:instrText xml:space="preserve"> PAGEREF _Toc227749111 \h </w:instrText>
        </w:r>
        <w:r>
          <w:rPr>
            <w:webHidden/>
          </w:rPr>
        </w:r>
        <w:r>
          <w:rPr>
            <w:webHidden/>
          </w:rPr>
          <w:fldChar w:fldCharType="separate"/>
        </w:r>
        <w:r>
          <w:rPr>
            <w:webHidden/>
          </w:rPr>
          <w:t>61</w:t>
        </w:r>
        <w:r>
          <w:rPr>
            <w:webHidden/>
          </w:rPr>
          <w:fldChar w:fldCharType="end"/>
        </w:r>
      </w:hyperlink>
    </w:p>
    <w:p w14:paraId="26F3A3C7" w14:textId="3BF60051" w:rsidR="005F0BAD" w:rsidRDefault="005F0BAD">
      <w:pPr>
        <w:pStyle w:val="TOC3"/>
        <w:rPr>
          <w:rFonts w:asciiTheme="minorHAnsi" w:eastAsiaTheme="minorEastAsia" w:hAnsiTheme="minorHAnsi"/>
          <w:kern w:val="2"/>
          <w:sz w:val="24"/>
          <w:szCs w:val="24"/>
          <w:lang w:eastAsia="en-AU"/>
          <w14:ligatures w14:val="standardContextual"/>
        </w:rPr>
      </w:pPr>
      <w:hyperlink w:anchor="_Toc227749112" w:history="1">
        <w:r w:rsidRPr="00EB34D0">
          <w:rPr>
            <w:rStyle w:val="Hyperlink"/>
          </w:rPr>
          <w:t>16.3.6</w:t>
        </w:r>
        <w:r>
          <w:rPr>
            <w:rFonts w:asciiTheme="minorHAnsi" w:eastAsiaTheme="minorEastAsia" w:hAnsiTheme="minorHAnsi"/>
            <w:kern w:val="2"/>
            <w:sz w:val="24"/>
            <w:szCs w:val="24"/>
            <w:lang w:eastAsia="en-AU"/>
            <w14:ligatures w14:val="standardContextual"/>
          </w:rPr>
          <w:tab/>
        </w:r>
        <w:r w:rsidRPr="00EB34D0">
          <w:rPr>
            <w:rStyle w:val="Hyperlink"/>
          </w:rPr>
          <w:t>Shading</w:t>
        </w:r>
        <w:r>
          <w:rPr>
            <w:webHidden/>
          </w:rPr>
          <w:tab/>
        </w:r>
        <w:r>
          <w:rPr>
            <w:webHidden/>
          </w:rPr>
          <w:fldChar w:fldCharType="begin"/>
        </w:r>
        <w:r>
          <w:rPr>
            <w:webHidden/>
          </w:rPr>
          <w:instrText xml:space="preserve"> PAGEREF _Toc227749112 \h </w:instrText>
        </w:r>
        <w:r>
          <w:rPr>
            <w:webHidden/>
          </w:rPr>
        </w:r>
        <w:r>
          <w:rPr>
            <w:webHidden/>
          </w:rPr>
          <w:fldChar w:fldCharType="separate"/>
        </w:r>
        <w:r>
          <w:rPr>
            <w:webHidden/>
          </w:rPr>
          <w:t>62</w:t>
        </w:r>
        <w:r>
          <w:rPr>
            <w:webHidden/>
          </w:rPr>
          <w:fldChar w:fldCharType="end"/>
        </w:r>
      </w:hyperlink>
    </w:p>
    <w:p w14:paraId="6BDECB87" w14:textId="59357E84" w:rsidR="005F0BAD" w:rsidRDefault="005F0BAD">
      <w:pPr>
        <w:pStyle w:val="TOC3"/>
        <w:rPr>
          <w:rFonts w:asciiTheme="minorHAnsi" w:eastAsiaTheme="minorEastAsia" w:hAnsiTheme="minorHAnsi"/>
          <w:kern w:val="2"/>
          <w:sz w:val="24"/>
          <w:szCs w:val="24"/>
          <w:lang w:eastAsia="en-AU"/>
          <w14:ligatures w14:val="standardContextual"/>
        </w:rPr>
      </w:pPr>
      <w:hyperlink w:anchor="_Toc227749113" w:history="1">
        <w:r w:rsidRPr="00EB34D0">
          <w:rPr>
            <w:rStyle w:val="Hyperlink"/>
          </w:rPr>
          <w:t>16.3.7</w:t>
        </w:r>
        <w:r>
          <w:rPr>
            <w:rFonts w:asciiTheme="minorHAnsi" w:eastAsiaTheme="minorEastAsia" w:hAnsiTheme="minorHAnsi"/>
            <w:kern w:val="2"/>
            <w:sz w:val="24"/>
            <w:szCs w:val="24"/>
            <w:lang w:eastAsia="en-AU"/>
            <w14:ligatures w14:val="standardContextual"/>
          </w:rPr>
          <w:tab/>
        </w:r>
        <w:r w:rsidRPr="00EB34D0">
          <w:rPr>
            <w:rStyle w:val="Hyperlink"/>
          </w:rPr>
          <w:t>Indenting text</w:t>
        </w:r>
        <w:r>
          <w:rPr>
            <w:webHidden/>
          </w:rPr>
          <w:tab/>
        </w:r>
        <w:r>
          <w:rPr>
            <w:webHidden/>
          </w:rPr>
          <w:fldChar w:fldCharType="begin"/>
        </w:r>
        <w:r>
          <w:rPr>
            <w:webHidden/>
          </w:rPr>
          <w:instrText xml:space="preserve"> PAGEREF _Toc227749113 \h </w:instrText>
        </w:r>
        <w:r>
          <w:rPr>
            <w:webHidden/>
          </w:rPr>
        </w:r>
        <w:r>
          <w:rPr>
            <w:webHidden/>
          </w:rPr>
          <w:fldChar w:fldCharType="separate"/>
        </w:r>
        <w:r>
          <w:rPr>
            <w:webHidden/>
          </w:rPr>
          <w:t>62</w:t>
        </w:r>
        <w:r>
          <w:rPr>
            <w:webHidden/>
          </w:rPr>
          <w:fldChar w:fldCharType="end"/>
        </w:r>
      </w:hyperlink>
    </w:p>
    <w:p w14:paraId="5D32E9C2" w14:textId="584AEFEB" w:rsidR="005F0BAD" w:rsidRDefault="005F0BAD">
      <w:pPr>
        <w:pStyle w:val="TOC2"/>
        <w:rPr>
          <w:rFonts w:asciiTheme="minorHAnsi" w:eastAsiaTheme="minorEastAsia" w:hAnsiTheme="minorHAnsi"/>
          <w:kern w:val="2"/>
          <w:sz w:val="24"/>
          <w:szCs w:val="24"/>
          <w:lang w:eastAsia="en-AU"/>
          <w14:ligatures w14:val="standardContextual"/>
        </w:rPr>
      </w:pPr>
      <w:hyperlink w:anchor="_Toc227749114" w:history="1">
        <w:r w:rsidRPr="00EB34D0">
          <w:rPr>
            <w:rStyle w:val="Hyperlink"/>
          </w:rPr>
          <w:t>16.4</w:t>
        </w:r>
        <w:r>
          <w:rPr>
            <w:rFonts w:asciiTheme="minorHAnsi" w:eastAsiaTheme="minorEastAsia" w:hAnsiTheme="minorHAnsi"/>
            <w:kern w:val="2"/>
            <w:sz w:val="24"/>
            <w:szCs w:val="24"/>
            <w:lang w:eastAsia="en-AU"/>
            <w14:ligatures w14:val="standardContextual"/>
          </w:rPr>
          <w:tab/>
        </w:r>
        <w:r w:rsidRPr="00EB34D0">
          <w:rPr>
            <w:rStyle w:val="Hyperlink"/>
          </w:rPr>
          <w:t>Inserting linked Excel tables into the Word template</w:t>
        </w:r>
        <w:r>
          <w:rPr>
            <w:webHidden/>
          </w:rPr>
          <w:tab/>
        </w:r>
        <w:r>
          <w:rPr>
            <w:webHidden/>
          </w:rPr>
          <w:fldChar w:fldCharType="begin"/>
        </w:r>
        <w:r>
          <w:rPr>
            <w:webHidden/>
          </w:rPr>
          <w:instrText xml:space="preserve"> PAGEREF _Toc227749114 \h </w:instrText>
        </w:r>
        <w:r>
          <w:rPr>
            <w:webHidden/>
          </w:rPr>
        </w:r>
        <w:r>
          <w:rPr>
            <w:webHidden/>
          </w:rPr>
          <w:fldChar w:fldCharType="separate"/>
        </w:r>
        <w:r>
          <w:rPr>
            <w:webHidden/>
          </w:rPr>
          <w:t>63</w:t>
        </w:r>
        <w:r>
          <w:rPr>
            <w:webHidden/>
          </w:rPr>
          <w:fldChar w:fldCharType="end"/>
        </w:r>
      </w:hyperlink>
    </w:p>
    <w:p w14:paraId="053EB117" w14:textId="159BAECF" w:rsidR="005F0BAD" w:rsidRDefault="005F0BAD">
      <w:pPr>
        <w:pStyle w:val="TOC2"/>
        <w:rPr>
          <w:rFonts w:asciiTheme="minorHAnsi" w:eastAsiaTheme="minorEastAsia" w:hAnsiTheme="minorHAnsi"/>
          <w:kern w:val="2"/>
          <w:sz w:val="24"/>
          <w:szCs w:val="24"/>
          <w:lang w:eastAsia="en-AU"/>
          <w14:ligatures w14:val="standardContextual"/>
        </w:rPr>
      </w:pPr>
      <w:hyperlink w:anchor="_Toc227749115" w:history="1">
        <w:r w:rsidRPr="00EB34D0">
          <w:rPr>
            <w:rStyle w:val="Hyperlink"/>
          </w:rPr>
          <w:t>16.5</w:t>
        </w:r>
        <w:r>
          <w:rPr>
            <w:rFonts w:asciiTheme="minorHAnsi" w:eastAsiaTheme="minorEastAsia" w:hAnsiTheme="minorHAnsi"/>
            <w:kern w:val="2"/>
            <w:sz w:val="24"/>
            <w:szCs w:val="24"/>
            <w:lang w:eastAsia="en-AU"/>
            <w14:ligatures w14:val="standardContextual"/>
          </w:rPr>
          <w:tab/>
        </w:r>
        <w:r w:rsidRPr="00EB34D0">
          <w:rPr>
            <w:rStyle w:val="Hyperlink"/>
          </w:rPr>
          <w:t>To insert a linked Excel table into the Word template:</w:t>
        </w:r>
        <w:r>
          <w:rPr>
            <w:webHidden/>
          </w:rPr>
          <w:tab/>
        </w:r>
        <w:r>
          <w:rPr>
            <w:webHidden/>
          </w:rPr>
          <w:fldChar w:fldCharType="begin"/>
        </w:r>
        <w:r>
          <w:rPr>
            <w:webHidden/>
          </w:rPr>
          <w:instrText xml:space="preserve"> PAGEREF _Toc227749115 \h </w:instrText>
        </w:r>
        <w:r>
          <w:rPr>
            <w:webHidden/>
          </w:rPr>
        </w:r>
        <w:r>
          <w:rPr>
            <w:webHidden/>
          </w:rPr>
          <w:fldChar w:fldCharType="separate"/>
        </w:r>
        <w:r>
          <w:rPr>
            <w:webHidden/>
          </w:rPr>
          <w:t>63</w:t>
        </w:r>
        <w:r>
          <w:rPr>
            <w:webHidden/>
          </w:rPr>
          <w:fldChar w:fldCharType="end"/>
        </w:r>
      </w:hyperlink>
    </w:p>
    <w:p w14:paraId="511C6B43" w14:textId="2FCAF75E" w:rsidR="005F0BAD" w:rsidRDefault="005F0BAD">
      <w:pPr>
        <w:pStyle w:val="TOC2"/>
        <w:rPr>
          <w:rFonts w:asciiTheme="minorHAnsi" w:eastAsiaTheme="minorEastAsia" w:hAnsiTheme="minorHAnsi"/>
          <w:kern w:val="2"/>
          <w:sz w:val="24"/>
          <w:szCs w:val="24"/>
          <w:lang w:eastAsia="en-AU"/>
          <w14:ligatures w14:val="standardContextual"/>
        </w:rPr>
      </w:pPr>
      <w:hyperlink w:anchor="_Toc227749116" w:history="1">
        <w:r w:rsidRPr="00EB34D0">
          <w:rPr>
            <w:rStyle w:val="Hyperlink"/>
          </w:rPr>
          <w:t>16.6</w:t>
        </w:r>
        <w:r>
          <w:rPr>
            <w:rFonts w:asciiTheme="minorHAnsi" w:eastAsiaTheme="minorEastAsia" w:hAnsiTheme="minorHAnsi"/>
            <w:kern w:val="2"/>
            <w:sz w:val="24"/>
            <w:szCs w:val="24"/>
            <w:lang w:eastAsia="en-AU"/>
            <w14:ligatures w14:val="standardContextual"/>
          </w:rPr>
          <w:tab/>
        </w:r>
        <w:r w:rsidRPr="00EB34D0">
          <w:rPr>
            <w:rStyle w:val="Hyperlink"/>
          </w:rPr>
          <w:t>To update linked tables</w:t>
        </w:r>
        <w:r>
          <w:rPr>
            <w:webHidden/>
          </w:rPr>
          <w:tab/>
        </w:r>
        <w:r>
          <w:rPr>
            <w:webHidden/>
          </w:rPr>
          <w:fldChar w:fldCharType="begin"/>
        </w:r>
        <w:r>
          <w:rPr>
            <w:webHidden/>
          </w:rPr>
          <w:instrText xml:space="preserve"> PAGEREF _Toc227749116 \h </w:instrText>
        </w:r>
        <w:r>
          <w:rPr>
            <w:webHidden/>
          </w:rPr>
        </w:r>
        <w:r>
          <w:rPr>
            <w:webHidden/>
          </w:rPr>
          <w:fldChar w:fldCharType="separate"/>
        </w:r>
        <w:r>
          <w:rPr>
            <w:webHidden/>
          </w:rPr>
          <w:t>63</w:t>
        </w:r>
        <w:r>
          <w:rPr>
            <w:webHidden/>
          </w:rPr>
          <w:fldChar w:fldCharType="end"/>
        </w:r>
      </w:hyperlink>
    </w:p>
    <w:p w14:paraId="4A4BD41D" w14:textId="17722885" w:rsidR="005F0BAD" w:rsidRDefault="005F0BAD">
      <w:pPr>
        <w:pStyle w:val="TOC2"/>
        <w:rPr>
          <w:rFonts w:asciiTheme="minorHAnsi" w:eastAsiaTheme="minorEastAsia" w:hAnsiTheme="minorHAnsi"/>
          <w:kern w:val="2"/>
          <w:sz w:val="24"/>
          <w:szCs w:val="24"/>
          <w:lang w:eastAsia="en-AU"/>
          <w14:ligatures w14:val="standardContextual"/>
        </w:rPr>
      </w:pPr>
      <w:hyperlink w:anchor="_Toc227749117" w:history="1">
        <w:r w:rsidRPr="00EB34D0">
          <w:rPr>
            <w:rStyle w:val="Hyperlink"/>
          </w:rPr>
          <w:t>16.7</w:t>
        </w:r>
        <w:r>
          <w:rPr>
            <w:rFonts w:asciiTheme="minorHAnsi" w:eastAsiaTheme="minorEastAsia" w:hAnsiTheme="minorHAnsi"/>
            <w:kern w:val="2"/>
            <w:sz w:val="24"/>
            <w:szCs w:val="24"/>
            <w:lang w:eastAsia="en-AU"/>
            <w14:ligatures w14:val="standardContextual"/>
          </w:rPr>
          <w:tab/>
        </w:r>
        <w:r w:rsidRPr="00EB34D0">
          <w:rPr>
            <w:rStyle w:val="Hyperlink"/>
          </w:rPr>
          <w:t>Preparing the Word template for printing</w:t>
        </w:r>
        <w:r>
          <w:rPr>
            <w:webHidden/>
          </w:rPr>
          <w:tab/>
        </w:r>
        <w:r>
          <w:rPr>
            <w:webHidden/>
          </w:rPr>
          <w:fldChar w:fldCharType="begin"/>
        </w:r>
        <w:r>
          <w:rPr>
            <w:webHidden/>
          </w:rPr>
          <w:instrText xml:space="preserve"> PAGEREF _Toc227749117 \h </w:instrText>
        </w:r>
        <w:r>
          <w:rPr>
            <w:webHidden/>
          </w:rPr>
        </w:r>
        <w:r>
          <w:rPr>
            <w:webHidden/>
          </w:rPr>
          <w:fldChar w:fldCharType="separate"/>
        </w:r>
        <w:r>
          <w:rPr>
            <w:webHidden/>
          </w:rPr>
          <w:t>63</w:t>
        </w:r>
        <w:r>
          <w:rPr>
            <w:webHidden/>
          </w:rPr>
          <w:fldChar w:fldCharType="end"/>
        </w:r>
      </w:hyperlink>
    </w:p>
    <w:p w14:paraId="5A153027" w14:textId="59D53739" w:rsidR="005F0BAD" w:rsidRDefault="005F0BAD">
      <w:pPr>
        <w:pStyle w:val="TOC2"/>
        <w:rPr>
          <w:rFonts w:asciiTheme="minorHAnsi" w:eastAsiaTheme="minorEastAsia" w:hAnsiTheme="minorHAnsi"/>
          <w:kern w:val="2"/>
          <w:sz w:val="24"/>
          <w:szCs w:val="24"/>
          <w:lang w:eastAsia="en-AU"/>
          <w14:ligatures w14:val="standardContextual"/>
        </w:rPr>
      </w:pPr>
      <w:hyperlink w:anchor="_Toc227749118" w:history="1">
        <w:r w:rsidRPr="00EB34D0">
          <w:rPr>
            <w:rStyle w:val="Hyperlink"/>
          </w:rPr>
          <w:t>16.8</w:t>
        </w:r>
        <w:r>
          <w:rPr>
            <w:rFonts w:asciiTheme="minorHAnsi" w:eastAsiaTheme="minorEastAsia" w:hAnsiTheme="minorHAnsi"/>
            <w:kern w:val="2"/>
            <w:sz w:val="24"/>
            <w:szCs w:val="24"/>
            <w:lang w:eastAsia="en-AU"/>
            <w14:ligatures w14:val="standardContextual"/>
          </w:rPr>
          <w:tab/>
        </w:r>
        <w:r w:rsidRPr="00EB34D0">
          <w:rPr>
            <w:rStyle w:val="Hyperlink"/>
          </w:rPr>
          <w:t>Preparing the Word template for online publication</w:t>
        </w:r>
        <w:r>
          <w:rPr>
            <w:webHidden/>
          </w:rPr>
          <w:tab/>
        </w:r>
        <w:r>
          <w:rPr>
            <w:webHidden/>
          </w:rPr>
          <w:fldChar w:fldCharType="begin"/>
        </w:r>
        <w:r>
          <w:rPr>
            <w:webHidden/>
          </w:rPr>
          <w:instrText xml:space="preserve"> PAGEREF _Toc227749118 \h </w:instrText>
        </w:r>
        <w:r>
          <w:rPr>
            <w:webHidden/>
          </w:rPr>
        </w:r>
        <w:r>
          <w:rPr>
            <w:webHidden/>
          </w:rPr>
          <w:fldChar w:fldCharType="separate"/>
        </w:r>
        <w:r>
          <w:rPr>
            <w:webHidden/>
          </w:rPr>
          <w:t>63</w:t>
        </w:r>
        <w:r>
          <w:rPr>
            <w:webHidden/>
          </w:rPr>
          <w:fldChar w:fldCharType="end"/>
        </w:r>
      </w:hyperlink>
    </w:p>
    <w:p w14:paraId="79E53D47" w14:textId="1A63484B" w:rsidR="005F0BAD" w:rsidRDefault="005F0BAD">
      <w:pPr>
        <w:pStyle w:val="TOC2"/>
        <w:rPr>
          <w:rFonts w:asciiTheme="minorHAnsi" w:eastAsiaTheme="minorEastAsia" w:hAnsiTheme="minorHAnsi"/>
          <w:kern w:val="2"/>
          <w:sz w:val="24"/>
          <w:szCs w:val="24"/>
          <w:lang w:eastAsia="en-AU"/>
          <w14:ligatures w14:val="standardContextual"/>
        </w:rPr>
      </w:pPr>
      <w:hyperlink w:anchor="_Toc227749119" w:history="1">
        <w:r w:rsidRPr="00EB34D0">
          <w:rPr>
            <w:rStyle w:val="Hyperlink"/>
          </w:rPr>
          <w:t>16.9</w:t>
        </w:r>
        <w:r>
          <w:rPr>
            <w:rFonts w:asciiTheme="minorHAnsi" w:eastAsiaTheme="minorEastAsia" w:hAnsiTheme="minorHAnsi"/>
            <w:kern w:val="2"/>
            <w:sz w:val="24"/>
            <w:szCs w:val="24"/>
            <w:lang w:eastAsia="en-AU"/>
            <w14:ligatures w14:val="standardContextual"/>
          </w:rPr>
          <w:tab/>
        </w:r>
        <w:r w:rsidRPr="00EB34D0">
          <w:rPr>
            <w:rStyle w:val="Hyperlink"/>
          </w:rPr>
          <w:t>Accessibility requirements</w:t>
        </w:r>
        <w:r>
          <w:rPr>
            <w:webHidden/>
          </w:rPr>
          <w:tab/>
        </w:r>
        <w:r>
          <w:rPr>
            <w:webHidden/>
          </w:rPr>
          <w:fldChar w:fldCharType="begin"/>
        </w:r>
        <w:r>
          <w:rPr>
            <w:webHidden/>
          </w:rPr>
          <w:instrText xml:space="preserve"> PAGEREF _Toc227749119 \h </w:instrText>
        </w:r>
        <w:r>
          <w:rPr>
            <w:webHidden/>
          </w:rPr>
        </w:r>
        <w:r>
          <w:rPr>
            <w:webHidden/>
          </w:rPr>
          <w:fldChar w:fldCharType="separate"/>
        </w:r>
        <w:r>
          <w:rPr>
            <w:webHidden/>
          </w:rPr>
          <w:t>64</w:t>
        </w:r>
        <w:r>
          <w:rPr>
            <w:webHidden/>
          </w:rPr>
          <w:fldChar w:fldCharType="end"/>
        </w:r>
      </w:hyperlink>
    </w:p>
    <w:p w14:paraId="6A6CC952" w14:textId="3C6E04B1" w:rsidR="005F0BAD" w:rsidRDefault="005F0BAD">
      <w:pPr>
        <w:pStyle w:val="TOC3"/>
        <w:rPr>
          <w:rFonts w:asciiTheme="minorHAnsi" w:eastAsiaTheme="minorEastAsia" w:hAnsiTheme="minorHAnsi"/>
          <w:kern w:val="2"/>
          <w:sz w:val="24"/>
          <w:szCs w:val="24"/>
          <w:lang w:eastAsia="en-AU"/>
          <w14:ligatures w14:val="standardContextual"/>
        </w:rPr>
      </w:pPr>
      <w:hyperlink w:anchor="_Toc227749120" w:history="1">
        <w:r w:rsidRPr="00EB34D0">
          <w:rPr>
            <w:rStyle w:val="Hyperlink"/>
          </w:rPr>
          <w:t>16.9.1</w:t>
        </w:r>
        <w:r>
          <w:rPr>
            <w:rFonts w:asciiTheme="minorHAnsi" w:eastAsiaTheme="minorEastAsia" w:hAnsiTheme="minorHAnsi"/>
            <w:kern w:val="2"/>
            <w:sz w:val="24"/>
            <w:szCs w:val="24"/>
            <w:lang w:eastAsia="en-AU"/>
            <w14:ligatures w14:val="standardContextual"/>
          </w:rPr>
          <w:tab/>
        </w:r>
        <w:r w:rsidRPr="00EB34D0">
          <w:rPr>
            <w:rStyle w:val="Hyperlink"/>
          </w:rPr>
          <w:t>Online accessibility</w:t>
        </w:r>
        <w:r>
          <w:rPr>
            <w:webHidden/>
          </w:rPr>
          <w:tab/>
        </w:r>
        <w:r>
          <w:rPr>
            <w:webHidden/>
          </w:rPr>
          <w:fldChar w:fldCharType="begin"/>
        </w:r>
        <w:r>
          <w:rPr>
            <w:webHidden/>
          </w:rPr>
          <w:instrText xml:space="preserve"> PAGEREF _Toc227749120 \h </w:instrText>
        </w:r>
        <w:r>
          <w:rPr>
            <w:webHidden/>
          </w:rPr>
        </w:r>
        <w:r>
          <w:rPr>
            <w:webHidden/>
          </w:rPr>
          <w:fldChar w:fldCharType="separate"/>
        </w:r>
        <w:r>
          <w:rPr>
            <w:webHidden/>
          </w:rPr>
          <w:t>64</w:t>
        </w:r>
        <w:r>
          <w:rPr>
            <w:webHidden/>
          </w:rPr>
          <w:fldChar w:fldCharType="end"/>
        </w:r>
      </w:hyperlink>
    </w:p>
    <w:p w14:paraId="6A744ACB" w14:textId="7509DC5F" w:rsidR="005F0BAD" w:rsidRDefault="005F0BAD">
      <w:pPr>
        <w:pStyle w:val="TOC3"/>
        <w:rPr>
          <w:rFonts w:asciiTheme="minorHAnsi" w:eastAsiaTheme="minorEastAsia" w:hAnsiTheme="minorHAnsi"/>
          <w:kern w:val="2"/>
          <w:sz w:val="24"/>
          <w:szCs w:val="24"/>
          <w:lang w:eastAsia="en-AU"/>
          <w14:ligatures w14:val="standardContextual"/>
        </w:rPr>
      </w:pPr>
      <w:hyperlink w:anchor="_Toc227749121" w:history="1">
        <w:r w:rsidRPr="00EB34D0">
          <w:rPr>
            <w:rStyle w:val="Hyperlink"/>
          </w:rPr>
          <w:t>16.9.2</w:t>
        </w:r>
        <w:r>
          <w:rPr>
            <w:rFonts w:asciiTheme="minorHAnsi" w:eastAsiaTheme="minorEastAsia" w:hAnsiTheme="minorHAnsi"/>
            <w:kern w:val="2"/>
            <w:sz w:val="24"/>
            <w:szCs w:val="24"/>
            <w:lang w:eastAsia="en-AU"/>
            <w14:ligatures w14:val="standardContextual"/>
          </w:rPr>
          <w:tab/>
        </w:r>
        <w:r w:rsidRPr="00EB34D0">
          <w:rPr>
            <w:rStyle w:val="Hyperlink"/>
          </w:rPr>
          <w:t>Improving documents accessibility</w:t>
        </w:r>
        <w:r>
          <w:rPr>
            <w:webHidden/>
          </w:rPr>
          <w:tab/>
        </w:r>
        <w:r>
          <w:rPr>
            <w:webHidden/>
          </w:rPr>
          <w:fldChar w:fldCharType="begin"/>
        </w:r>
        <w:r>
          <w:rPr>
            <w:webHidden/>
          </w:rPr>
          <w:instrText xml:space="preserve"> PAGEREF _Toc227749121 \h </w:instrText>
        </w:r>
        <w:r>
          <w:rPr>
            <w:webHidden/>
          </w:rPr>
        </w:r>
        <w:r>
          <w:rPr>
            <w:webHidden/>
          </w:rPr>
          <w:fldChar w:fldCharType="separate"/>
        </w:r>
        <w:r>
          <w:rPr>
            <w:webHidden/>
          </w:rPr>
          <w:t>64</w:t>
        </w:r>
        <w:r>
          <w:rPr>
            <w:webHidden/>
          </w:rPr>
          <w:fldChar w:fldCharType="end"/>
        </w:r>
      </w:hyperlink>
    </w:p>
    <w:p w14:paraId="0A663F31" w14:textId="4EA60BA9" w:rsidR="005F0BAD" w:rsidRDefault="005F0BAD">
      <w:pPr>
        <w:pStyle w:val="TOC1"/>
        <w:rPr>
          <w:rFonts w:asciiTheme="minorHAnsi" w:eastAsiaTheme="minorEastAsia" w:hAnsiTheme="minorHAnsi"/>
          <w:kern w:val="2"/>
          <w:szCs w:val="24"/>
          <w:lang w:eastAsia="en-AU"/>
          <w14:ligatures w14:val="standardContextual"/>
        </w:rPr>
      </w:pPr>
      <w:hyperlink w:anchor="_Toc227749122" w:history="1">
        <w:r w:rsidRPr="00EB34D0">
          <w:rPr>
            <w:rStyle w:val="Hyperlink"/>
          </w:rPr>
          <w:t>Appendix 3:</w:t>
        </w:r>
        <w:r>
          <w:rPr>
            <w:webHidden/>
          </w:rPr>
          <w:tab/>
        </w:r>
        <w:r>
          <w:rPr>
            <w:webHidden/>
          </w:rPr>
          <w:fldChar w:fldCharType="begin"/>
        </w:r>
        <w:r>
          <w:rPr>
            <w:webHidden/>
          </w:rPr>
          <w:instrText xml:space="preserve"> PAGEREF _Toc227749122 \h </w:instrText>
        </w:r>
        <w:r>
          <w:rPr>
            <w:webHidden/>
          </w:rPr>
        </w:r>
        <w:r>
          <w:rPr>
            <w:webHidden/>
          </w:rPr>
          <w:fldChar w:fldCharType="separate"/>
        </w:r>
        <w:r>
          <w:rPr>
            <w:webHidden/>
          </w:rPr>
          <w:t>66</w:t>
        </w:r>
        <w:r>
          <w:rPr>
            <w:webHidden/>
          </w:rPr>
          <w:fldChar w:fldCharType="end"/>
        </w:r>
      </w:hyperlink>
    </w:p>
    <w:p w14:paraId="0F92EE6E" w14:textId="2C4B408D" w:rsidR="005F0BAD" w:rsidRDefault="005F0BAD">
      <w:pPr>
        <w:pStyle w:val="TOC1"/>
        <w:rPr>
          <w:rFonts w:asciiTheme="minorHAnsi" w:eastAsiaTheme="minorEastAsia" w:hAnsiTheme="minorHAnsi"/>
          <w:kern w:val="2"/>
          <w:szCs w:val="24"/>
          <w:lang w:eastAsia="en-AU"/>
          <w14:ligatures w14:val="standardContextual"/>
        </w:rPr>
      </w:pPr>
      <w:hyperlink w:anchor="_Toc227749123" w:history="1">
        <w:r w:rsidRPr="00EB34D0">
          <w:rPr>
            <w:rStyle w:val="Hyperlink"/>
          </w:rPr>
          <w:t>17</w:t>
        </w:r>
        <w:r>
          <w:rPr>
            <w:rFonts w:asciiTheme="minorHAnsi" w:eastAsiaTheme="minorEastAsia" w:hAnsiTheme="minorHAnsi"/>
            <w:kern w:val="2"/>
            <w:szCs w:val="24"/>
            <w:lang w:eastAsia="en-AU"/>
            <w14:ligatures w14:val="standardContextual"/>
          </w:rPr>
          <w:tab/>
        </w:r>
        <w:r w:rsidRPr="00EB34D0">
          <w:rPr>
            <w:rStyle w:val="Hyperlink"/>
          </w:rPr>
          <w:t>Contacts</w:t>
        </w:r>
        <w:r>
          <w:rPr>
            <w:webHidden/>
          </w:rPr>
          <w:tab/>
        </w:r>
        <w:r>
          <w:rPr>
            <w:webHidden/>
          </w:rPr>
          <w:fldChar w:fldCharType="begin"/>
        </w:r>
        <w:r>
          <w:rPr>
            <w:webHidden/>
          </w:rPr>
          <w:instrText xml:space="preserve"> PAGEREF _Toc227749123 \h </w:instrText>
        </w:r>
        <w:r>
          <w:rPr>
            <w:webHidden/>
          </w:rPr>
        </w:r>
        <w:r>
          <w:rPr>
            <w:webHidden/>
          </w:rPr>
          <w:fldChar w:fldCharType="separate"/>
        </w:r>
        <w:r>
          <w:rPr>
            <w:webHidden/>
          </w:rPr>
          <w:t>66</w:t>
        </w:r>
        <w:r>
          <w:rPr>
            <w:webHidden/>
          </w:rPr>
          <w:fldChar w:fldCharType="end"/>
        </w:r>
      </w:hyperlink>
    </w:p>
    <w:p w14:paraId="12D1AB36" w14:textId="141BE7B9" w:rsidR="005F0BAD" w:rsidRDefault="005F0BAD">
      <w:pPr>
        <w:pStyle w:val="TOC2"/>
        <w:rPr>
          <w:rFonts w:asciiTheme="minorHAnsi" w:eastAsiaTheme="minorEastAsia" w:hAnsiTheme="minorHAnsi"/>
          <w:kern w:val="2"/>
          <w:sz w:val="24"/>
          <w:szCs w:val="24"/>
          <w:lang w:eastAsia="en-AU"/>
          <w14:ligatures w14:val="standardContextual"/>
        </w:rPr>
      </w:pPr>
      <w:hyperlink w:anchor="_Toc227749124" w:history="1">
        <w:r w:rsidRPr="00EB34D0">
          <w:rPr>
            <w:rStyle w:val="Hyperlink"/>
          </w:rPr>
          <w:t>17.1</w:t>
        </w:r>
        <w:r>
          <w:rPr>
            <w:rFonts w:asciiTheme="minorHAnsi" w:eastAsiaTheme="minorEastAsia" w:hAnsiTheme="minorHAnsi"/>
            <w:kern w:val="2"/>
            <w:sz w:val="24"/>
            <w:szCs w:val="24"/>
            <w:lang w:eastAsia="en-AU"/>
            <w14:ligatures w14:val="standardContextual"/>
          </w:rPr>
          <w:tab/>
        </w:r>
        <w:r w:rsidRPr="00EB34D0">
          <w:rPr>
            <w:rStyle w:val="Hyperlink"/>
          </w:rPr>
          <w:t>Department of Finance</w:t>
        </w:r>
        <w:r>
          <w:rPr>
            <w:webHidden/>
          </w:rPr>
          <w:tab/>
        </w:r>
        <w:r>
          <w:rPr>
            <w:webHidden/>
          </w:rPr>
          <w:fldChar w:fldCharType="begin"/>
        </w:r>
        <w:r>
          <w:rPr>
            <w:webHidden/>
          </w:rPr>
          <w:instrText xml:space="preserve"> PAGEREF _Toc227749124 \h </w:instrText>
        </w:r>
        <w:r>
          <w:rPr>
            <w:webHidden/>
          </w:rPr>
        </w:r>
        <w:r>
          <w:rPr>
            <w:webHidden/>
          </w:rPr>
          <w:fldChar w:fldCharType="separate"/>
        </w:r>
        <w:r>
          <w:rPr>
            <w:webHidden/>
          </w:rPr>
          <w:t>66</w:t>
        </w:r>
        <w:r>
          <w:rPr>
            <w:webHidden/>
          </w:rPr>
          <w:fldChar w:fldCharType="end"/>
        </w:r>
      </w:hyperlink>
    </w:p>
    <w:p w14:paraId="10A1E168" w14:textId="38BE5ECD" w:rsidR="005F0BAD" w:rsidRDefault="005F0BAD">
      <w:pPr>
        <w:pStyle w:val="TOC2"/>
        <w:rPr>
          <w:rFonts w:asciiTheme="minorHAnsi" w:eastAsiaTheme="minorEastAsia" w:hAnsiTheme="minorHAnsi"/>
          <w:kern w:val="2"/>
          <w:sz w:val="24"/>
          <w:szCs w:val="24"/>
          <w:lang w:eastAsia="en-AU"/>
          <w14:ligatures w14:val="standardContextual"/>
        </w:rPr>
      </w:pPr>
      <w:hyperlink w:anchor="_Toc227749125" w:history="1">
        <w:r w:rsidRPr="00EB34D0">
          <w:rPr>
            <w:rStyle w:val="Hyperlink"/>
          </w:rPr>
          <w:t>17.2</w:t>
        </w:r>
        <w:r>
          <w:rPr>
            <w:rFonts w:asciiTheme="minorHAnsi" w:eastAsiaTheme="minorEastAsia" w:hAnsiTheme="minorHAnsi"/>
            <w:kern w:val="2"/>
            <w:sz w:val="24"/>
            <w:szCs w:val="24"/>
            <w:lang w:eastAsia="en-AU"/>
            <w14:ligatures w14:val="standardContextual"/>
          </w:rPr>
          <w:tab/>
        </w:r>
        <w:r w:rsidRPr="00EB34D0">
          <w:rPr>
            <w:rStyle w:val="Hyperlink"/>
          </w:rPr>
          <w:t>CanPrint</w:t>
        </w:r>
        <w:r>
          <w:rPr>
            <w:webHidden/>
          </w:rPr>
          <w:tab/>
        </w:r>
        <w:r>
          <w:rPr>
            <w:webHidden/>
          </w:rPr>
          <w:fldChar w:fldCharType="begin"/>
        </w:r>
        <w:r>
          <w:rPr>
            <w:webHidden/>
          </w:rPr>
          <w:instrText xml:space="preserve"> PAGEREF _Toc227749125 \h </w:instrText>
        </w:r>
        <w:r>
          <w:rPr>
            <w:webHidden/>
          </w:rPr>
        </w:r>
        <w:r>
          <w:rPr>
            <w:webHidden/>
          </w:rPr>
          <w:fldChar w:fldCharType="separate"/>
        </w:r>
        <w:r>
          <w:rPr>
            <w:webHidden/>
          </w:rPr>
          <w:t>66</w:t>
        </w:r>
        <w:r>
          <w:rPr>
            <w:webHidden/>
          </w:rPr>
          <w:fldChar w:fldCharType="end"/>
        </w:r>
      </w:hyperlink>
    </w:p>
    <w:p w14:paraId="2D50FB65" w14:textId="2DC137DD" w:rsidR="005F0BAD" w:rsidRDefault="005F0BAD">
      <w:pPr>
        <w:pStyle w:val="TOC2"/>
        <w:rPr>
          <w:rFonts w:asciiTheme="minorHAnsi" w:eastAsiaTheme="minorEastAsia" w:hAnsiTheme="minorHAnsi"/>
          <w:kern w:val="2"/>
          <w:sz w:val="24"/>
          <w:szCs w:val="24"/>
          <w:lang w:eastAsia="en-AU"/>
          <w14:ligatures w14:val="standardContextual"/>
        </w:rPr>
      </w:pPr>
      <w:hyperlink w:anchor="_Toc227749126" w:history="1">
        <w:r w:rsidRPr="00EB34D0">
          <w:rPr>
            <w:rStyle w:val="Hyperlink"/>
          </w:rPr>
          <w:t>17.3</w:t>
        </w:r>
        <w:r>
          <w:rPr>
            <w:rFonts w:asciiTheme="minorHAnsi" w:eastAsiaTheme="minorEastAsia" w:hAnsiTheme="minorHAnsi"/>
            <w:kern w:val="2"/>
            <w:sz w:val="24"/>
            <w:szCs w:val="24"/>
            <w:lang w:eastAsia="en-AU"/>
            <w14:ligatures w14:val="standardContextual"/>
          </w:rPr>
          <w:tab/>
        </w:r>
        <w:r w:rsidRPr="00EB34D0">
          <w:rPr>
            <w:rStyle w:val="Hyperlink"/>
          </w:rPr>
          <w:t>Treasury</w:t>
        </w:r>
        <w:r>
          <w:rPr>
            <w:webHidden/>
          </w:rPr>
          <w:tab/>
        </w:r>
        <w:r>
          <w:rPr>
            <w:webHidden/>
          </w:rPr>
          <w:fldChar w:fldCharType="begin"/>
        </w:r>
        <w:r>
          <w:rPr>
            <w:webHidden/>
          </w:rPr>
          <w:instrText xml:space="preserve"> PAGEREF _Toc227749126 \h </w:instrText>
        </w:r>
        <w:r>
          <w:rPr>
            <w:webHidden/>
          </w:rPr>
        </w:r>
        <w:r>
          <w:rPr>
            <w:webHidden/>
          </w:rPr>
          <w:fldChar w:fldCharType="separate"/>
        </w:r>
        <w:r>
          <w:rPr>
            <w:webHidden/>
          </w:rPr>
          <w:t>67</w:t>
        </w:r>
        <w:r>
          <w:rPr>
            <w:webHidden/>
          </w:rPr>
          <w:fldChar w:fldCharType="end"/>
        </w:r>
      </w:hyperlink>
    </w:p>
    <w:p w14:paraId="16C91667" w14:textId="66CD3C59" w:rsidR="005F0BAD" w:rsidRDefault="005F0BAD">
      <w:pPr>
        <w:pStyle w:val="TOC2"/>
        <w:rPr>
          <w:rFonts w:asciiTheme="minorHAnsi" w:eastAsiaTheme="minorEastAsia" w:hAnsiTheme="minorHAnsi"/>
          <w:kern w:val="2"/>
          <w:sz w:val="24"/>
          <w:szCs w:val="24"/>
          <w:lang w:eastAsia="en-AU"/>
          <w14:ligatures w14:val="standardContextual"/>
        </w:rPr>
      </w:pPr>
      <w:hyperlink w:anchor="_Toc227749127" w:history="1">
        <w:r w:rsidRPr="00EB34D0">
          <w:rPr>
            <w:rStyle w:val="Hyperlink"/>
          </w:rPr>
          <w:t>17.4</w:t>
        </w:r>
        <w:r>
          <w:rPr>
            <w:rFonts w:asciiTheme="minorHAnsi" w:eastAsiaTheme="minorEastAsia" w:hAnsiTheme="minorHAnsi"/>
            <w:kern w:val="2"/>
            <w:sz w:val="24"/>
            <w:szCs w:val="24"/>
            <w:lang w:eastAsia="en-AU"/>
            <w14:ligatures w14:val="standardContextual"/>
          </w:rPr>
          <w:tab/>
        </w:r>
        <w:r w:rsidRPr="00EB34D0">
          <w:rPr>
            <w:rStyle w:val="Hyperlink"/>
          </w:rPr>
          <w:t>Senate Table Office</w:t>
        </w:r>
        <w:r>
          <w:rPr>
            <w:webHidden/>
          </w:rPr>
          <w:tab/>
        </w:r>
        <w:r>
          <w:rPr>
            <w:webHidden/>
          </w:rPr>
          <w:fldChar w:fldCharType="begin"/>
        </w:r>
        <w:r>
          <w:rPr>
            <w:webHidden/>
          </w:rPr>
          <w:instrText xml:space="preserve"> PAGEREF _Toc227749127 \h </w:instrText>
        </w:r>
        <w:r>
          <w:rPr>
            <w:webHidden/>
          </w:rPr>
        </w:r>
        <w:r>
          <w:rPr>
            <w:webHidden/>
          </w:rPr>
          <w:fldChar w:fldCharType="separate"/>
        </w:r>
        <w:r>
          <w:rPr>
            <w:webHidden/>
          </w:rPr>
          <w:t>67</w:t>
        </w:r>
        <w:r>
          <w:rPr>
            <w:webHidden/>
          </w:rPr>
          <w:fldChar w:fldCharType="end"/>
        </w:r>
      </w:hyperlink>
    </w:p>
    <w:p w14:paraId="3B6D368C" w14:textId="5CB8B582" w:rsidR="005F0BAD" w:rsidRDefault="005F0BAD">
      <w:pPr>
        <w:pStyle w:val="TOC1"/>
        <w:rPr>
          <w:rFonts w:asciiTheme="minorHAnsi" w:eastAsiaTheme="minorEastAsia" w:hAnsiTheme="minorHAnsi"/>
          <w:kern w:val="2"/>
          <w:szCs w:val="24"/>
          <w:lang w:eastAsia="en-AU"/>
          <w14:ligatures w14:val="standardContextual"/>
        </w:rPr>
      </w:pPr>
      <w:hyperlink w:anchor="_Toc227749128" w:history="1">
        <w:r w:rsidRPr="00EB34D0">
          <w:rPr>
            <w:rStyle w:val="Hyperlink"/>
          </w:rPr>
          <w:t>18</w:t>
        </w:r>
        <w:r>
          <w:rPr>
            <w:rFonts w:asciiTheme="minorHAnsi" w:eastAsiaTheme="minorEastAsia" w:hAnsiTheme="minorHAnsi"/>
            <w:kern w:val="2"/>
            <w:szCs w:val="24"/>
            <w:lang w:eastAsia="en-AU"/>
            <w14:ligatures w14:val="standardContextual"/>
          </w:rPr>
          <w:tab/>
        </w:r>
        <w:r w:rsidRPr="00EB34D0">
          <w:rPr>
            <w:rStyle w:val="Hyperlink"/>
          </w:rPr>
          <w:t>Glossary of terms</w:t>
        </w:r>
        <w:r>
          <w:rPr>
            <w:webHidden/>
          </w:rPr>
          <w:tab/>
        </w:r>
        <w:r>
          <w:rPr>
            <w:webHidden/>
          </w:rPr>
          <w:fldChar w:fldCharType="begin"/>
        </w:r>
        <w:r>
          <w:rPr>
            <w:webHidden/>
          </w:rPr>
          <w:instrText xml:space="preserve"> PAGEREF _Toc227749128 \h </w:instrText>
        </w:r>
        <w:r>
          <w:rPr>
            <w:webHidden/>
          </w:rPr>
        </w:r>
        <w:r>
          <w:rPr>
            <w:webHidden/>
          </w:rPr>
          <w:fldChar w:fldCharType="separate"/>
        </w:r>
        <w:r>
          <w:rPr>
            <w:webHidden/>
          </w:rPr>
          <w:t>68</w:t>
        </w:r>
        <w:r>
          <w:rPr>
            <w:webHidden/>
          </w:rPr>
          <w:fldChar w:fldCharType="end"/>
        </w:r>
      </w:hyperlink>
    </w:p>
    <w:p w14:paraId="67D27D7C" w14:textId="7C23ED07" w:rsidR="005F0BAD" w:rsidRDefault="005F0BAD">
      <w:pPr>
        <w:pStyle w:val="TOC2"/>
        <w:rPr>
          <w:rFonts w:asciiTheme="minorHAnsi" w:eastAsiaTheme="minorEastAsia" w:hAnsiTheme="minorHAnsi"/>
          <w:kern w:val="2"/>
          <w:sz w:val="24"/>
          <w:szCs w:val="24"/>
          <w:lang w:eastAsia="en-AU"/>
          <w14:ligatures w14:val="standardContextual"/>
        </w:rPr>
      </w:pPr>
      <w:hyperlink w:anchor="_Toc227749129" w:history="1">
        <w:r w:rsidRPr="00EB34D0">
          <w:rPr>
            <w:rStyle w:val="Hyperlink"/>
          </w:rPr>
          <w:t>18.1</w:t>
        </w:r>
        <w:r>
          <w:rPr>
            <w:rFonts w:asciiTheme="minorHAnsi" w:eastAsiaTheme="minorEastAsia" w:hAnsiTheme="minorHAnsi"/>
            <w:kern w:val="2"/>
            <w:sz w:val="24"/>
            <w:szCs w:val="24"/>
            <w:lang w:eastAsia="en-AU"/>
            <w14:ligatures w14:val="standardContextual"/>
          </w:rPr>
          <w:tab/>
        </w:r>
        <w:r w:rsidRPr="00EB34D0">
          <w:rPr>
            <w:rStyle w:val="Hyperlink"/>
          </w:rPr>
          <w:t>Activities</w:t>
        </w:r>
        <w:r>
          <w:rPr>
            <w:webHidden/>
          </w:rPr>
          <w:tab/>
        </w:r>
        <w:r>
          <w:rPr>
            <w:webHidden/>
          </w:rPr>
          <w:fldChar w:fldCharType="begin"/>
        </w:r>
        <w:r>
          <w:rPr>
            <w:webHidden/>
          </w:rPr>
          <w:instrText xml:space="preserve"> PAGEREF _Toc227749129 \h </w:instrText>
        </w:r>
        <w:r>
          <w:rPr>
            <w:webHidden/>
          </w:rPr>
        </w:r>
        <w:r>
          <w:rPr>
            <w:webHidden/>
          </w:rPr>
          <w:fldChar w:fldCharType="separate"/>
        </w:r>
        <w:r>
          <w:rPr>
            <w:webHidden/>
          </w:rPr>
          <w:t>68</w:t>
        </w:r>
        <w:r>
          <w:rPr>
            <w:webHidden/>
          </w:rPr>
          <w:fldChar w:fldCharType="end"/>
        </w:r>
      </w:hyperlink>
    </w:p>
    <w:p w14:paraId="1124FC14" w14:textId="56CF5B68" w:rsidR="005F0BAD" w:rsidRDefault="005F0BAD">
      <w:pPr>
        <w:pStyle w:val="TOC2"/>
        <w:rPr>
          <w:rFonts w:asciiTheme="minorHAnsi" w:eastAsiaTheme="minorEastAsia" w:hAnsiTheme="minorHAnsi"/>
          <w:kern w:val="2"/>
          <w:sz w:val="24"/>
          <w:szCs w:val="24"/>
          <w:lang w:eastAsia="en-AU"/>
          <w14:ligatures w14:val="standardContextual"/>
        </w:rPr>
      </w:pPr>
      <w:hyperlink w:anchor="_Toc227749130" w:history="1">
        <w:r w:rsidRPr="00EB34D0">
          <w:rPr>
            <w:rStyle w:val="Hyperlink"/>
          </w:rPr>
          <w:t>18.2</w:t>
        </w:r>
        <w:r>
          <w:rPr>
            <w:rFonts w:asciiTheme="minorHAnsi" w:eastAsiaTheme="minorEastAsia" w:hAnsiTheme="minorHAnsi"/>
            <w:kern w:val="2"/>
            <w:sz w:val="24"/>
            <w:szCs w:val="24"/>
            <w:lang w:eastAsia="en-AU"/>
            <w14:ligatures w14:val="standardContextual"/>
          </w:rPr>
          <w:tab/>
        </w:r>
        <w:r w:rsidRPr="00EB34D0">
          <w:rPr>
            <w:rStyle w:val="Hyperlink"/>
          </w:rPr>
          <w:t>Actual available appropriation</w:t>
        </w:r>
        <w:r>
          <w:rPr>
            <w:webHidden/>
          </w:rPr>
          <w:tab/>
        </w:r>
        <w:r>
          <w:rPr>
            <w:webHidden/>
          </w:rPr>
          <w:fldChar w:fldCharType="begin"/>
        </w:r>
        <w:r>
          <w:rPr>
            <w:webHidden/>
          </w:rPr>
          <w:instrText xml:space="preserve"> PAGEREF _Toc227749130 \h </w:instrText>
        </w:r>
        <w:r>
          <w:rPr>
            <w:webHidden/>
          </w:rPr>
        </w:r>
        <w:r>
          <w:rPr>
            <w:webHidden/>
          </w:rPr>
          <w:fldChar w:fldCharType="separate"/>
        </w:r>
        <w:r>
          <w:rPr>
            <w:webHidden/>
          </w:rPr>
          <w:t>68</w:t>
        </w:r>
        <w:r>
          <w:rPr>
            <w:webHidden/>
          </w:rPr>
          <w:fldChar w:fldCharType="end"/>
        </w:r>
      </w:hyperlink>
    </w:p>
    <w:p w14:paraId="52E752AC" w14:textId="544BE4C4" w:rsidR="005F0BAD" w:rsidRDefault="005F0BAD">
      <w:pPr>
        <w:pStyle w:val="TOC2"/>
        <w:rPr>
          <w:rFonts w:asciiTheme="minorHAnsi" w:eastAsiaTheme="minorEastAsia" w:hAnsiTheme="minorHAnsi"/>
          <w:kern w:val="2"/>
          <w:sz w:val="24"/>
          <w:szCs w:val="24"/>
          <w:lang w:eastAsia="en-AU"/>
          <w14:ligatures w14:val="standardContextual"/>
        </w:rPr>
      </w:pPr>
      <w:hyperlink w:anchor="_Toc227749131" w:history="1">
        <w:r w:rsidRPr="00EB34D0">
          <w:rPr>
            <w:rStyle w:val="Hyperlink"/>
          </w:rPr>
          <w:t>18.3</w:t>
        </w:r>
        <w:r>
          <w:rPr>
            <w:rFonts w:asciiTheme="minorHAnsi" w:eastAsiaTheme="minorEastAsia" w:hAnsiTheme="minorHAnsi"/>
            <w:kern w:val="2"/>
            <w:sz w:val="24"/>
            <w:szCs w:val="24"/>
            <w:lang w:eastAsia="en-AU"/>
            <w14:ligatures w14:val="standardContextual"/>
          </w:rPr>
          <w:tab/>
        </w:r>
        <w:r w:rsidRPr="00EB34D0">
          <w:rPr>
            <w:rStyle w:val="Hyperlink"/>
          </w:rPr>
          <w:t>Administered item</w:t>
        </w:r>
        <w:r>
          <w:rPr>
            <w:webHidden/>
          </w:rPr>
          <w:tab/>
        </w:r>
        <w:r>
          <w:rPr>
            <w:webHidden/>
          </w:rPr>
          <w:fldChar w:fldCharType="begin"/>
        </w:r>
        <w:r>
          <w:rPr>
            <w:webHidden/>
          </w:rPr>
          <w:instrText xml:space="preserve"> PAGEREF _Toc227749131 \h </w:instrText>
        </w:r>
        <w:r>
          <w:rPr>
            <w:webHidden/>
          </w:rPr>
        </w:r>
        <w:r>
          <w:rPr>
            <w:webHidden/>
          </w:rPr>
          <w:fldChar w:fldCharType="separate"/>
        </w:r>
        <w:r>
          <w:rPr>
            <w:webHidden/>
          </w:rPr>
          <w:t>68</w:t>
        </w:r>
        <w:r>
          <w:rPr>
            <w:webHidden/>
          </w:rPr>
          <w:fldChar w:fldCharType="end"/>
        </w:r>
      </w:hyperlink>
    </w:p>
    <w:p w14:paraId="0F5B6E4C" w14:textId="10077935" w:rsidR="005F0BAD" w:rsidRDefault="005F0BAD">
      <w:pPr>
        <w:pStyle w:val="TOC2"/>
        <w:rPr>
          <w:rFonts w:asciiTheme="minorHAnsi" w:eastAsiaTheme="minorEastAsia" w:hAnsiTheme="minorHAnsi"/>
          <w:kern w:val="2"/>
          <w:sz w:val="24"/>
          <w:szCs w:val="24"/>
          <w:lang w:eastAsia="en-AU"/>
          <w14:ligatures w14:val="standardContextual"/>
        </w:rPr>
      </w:pPr>
      <w:hyperlink w:anchor="_Toc227749132" w:history="1">
        <w:r w:rsidRPr="00EB34D0">
          <w:rPr>
            <w:rStyle w:val="Hyperlink"/>
          </w:rPr>
          <w:t>18.4</w:t>
        </w:r>
        <w:r>
          <w:rPr>
            <w:rFonts w:asciiTheme="minorHAnsi" w:eastAsiaTheme="minorEastAsia" w:hAnsiTheme="minorHAnsi"/>
            <w:kern w:val="2"/>
            <w:sz w:val="24"/>
            <w:szCs w:val="24"/>
            <w:lang w:eastAsia="en-AU"/>
            <w14:ligatures w14:val="standardContextual"/>
          </w:rPr>
          <w:tab/>
        </w:r>
        <w:r w:rsidRPr="00EB34D0">
          <w:rPr>
            <w:rStyle w:val="Hyperlink"/>
          </w:rPr>
          <w:t>Administrative Arrangements Order</w:t>
        </w:r>
        <w:r>
          <w:rPr>
            <w:webHidden/>
          </w:rPr>
          <w:tab/>
        </w:r>
        <w:r>
          <w:rPr>
            <w:webHidden/>
          </w:rPr>
          <w:fldChar w:fldCharType="begin"/>
        </w:r>
        <w:r>
          <w:rPr>
            <w:webHidden/>
          </w:rPr>
          <w:instrText xml:space="preserve"> PAGEREF _Toc227749132 \h </w:instrText>
        </w:r>
        <w:r>
          <w:rPr>
            <w:webHidden/>
          </w:rPr>
        </w:r>
        <w:r>
          <w:rPr>
            <w:webHidden/>
          </w:rPr>
          <w:fldChar w:fldCharType="separate"/>
        </w:r>
        <w:r>
          <w:rPr>
            <w:webHidden/>
          </w:rPr>
          <w:t>68</w:t>
        </w:r>
        <w:r>
          <w:rPr>
            <w:webHidden/>
          </w:rPr>
          <w:fldChar w:fldCharType="end"/>
        </w:r>
      </w:hyperlink>
    </w:p>
    <w:p w14:paraId="41A31CF8" w14:textId="63A6676E" w:rsidR="005F0BAD" w:rsidRDefault="005F0BAD">
      <w:pPr>
        <w:pStyle w:val="TOC2"/>
        <w:rPr>
          <w:rFonts w:asciiTheme="minorHAnsi" w:eastAsiaTheme="minorEastAsia" w:hAnsiTheme="minorHAnsi"/>
          <w:kern w:val="2"/>
          <w:sz w:val="24"/>
          <w:szCs w:val="24"/>
          <w:lang w:eastAsia="en-AU"/>
          <w14:ligatures w14:val="standardContextual"/>
        </w:rPr>
      </w:pPr>
      <w:hyperlink w:anchor="_Toc227749133" w:history="1">
        <w:r w:rsidRPr="00EB34D0">
          <w:rPr>
            <w:rStyle w:val="Hyperlink"/>
          </w:rPr>
          <w:t>18.5</w:t>
        </w:r>
        <w:r>
          <w:rPr>
            <w:rFonts w:asciiTheme="minorHAnsi" w:eastAsiaTheme="minorEastAsia" w:hAnsiTheme="minorHAnsi"/>
            <w:kern w:val="2"/>
            <w:sz w:val="24"/>
            <w:szCs w:val="24"/>
            <w:lang w:eastAsia="en-AU"/>
            <w14:ligatures w14:val="standardContextual"/>
          </w:rPr>
          <w:tab/>
        </w:r>
        <w:r w:rsidRPr="00EB34D0">
          <w:rPr>
            <w:rStyle w:val="Hyperlink"/>
          </w:rPr>
          <w:t>Agency Advice Unit</w:t>
        </w:r>
        <w:r>
          <w:rPr>
            <w:webHidden/>
          </w:rPr>
          <w:tab/>
        </w:r>
        <w:r>
          <w:rPr>
            <w:webHidden/>
          </w:rPr>
          <w:fldChar w:fldCharType="begin"/>
        </w:r>
        <w:r>
          <w:rPr>
            <w:webHidden/>
          </w:rPr>
          <w:instrText xml:space="preserve"> PAGEREF _Toc227749133 \h </w:instrText>
        </w:r>
        <w:r>
          <w:rPr>
            <w:webHidden/>
          </w:rPr>
        </w:r>
        <w:r>
          <w:rPr>
            <w:webHidden/>
          </w:rPr>
          <w:fldChar w:fldCharType="separate"/>
        </w:r>
        <w:r>
          <w:rPr>
            <w:webHidden/>
          </w:rPr>
          <w:t>68</w:t>
        </w:r>
        <w:r>
          <w:rPr>
            <w:webHidden/>
          </w:rPr>
          <w:fldChar w:fldCharType="end"/>
        </w:r>
      </w:hyperlink>
    </w:p>
    <w:p w14:paraId="299B3B40" w14:textId="441CDC5D" w:rsidR="005F0BAD" w:rsidRDefault="005F0BAD">
      <w:pPr>
        <w:pStyle w:val="TOC2"/>
        <w:rPr>
          <w:rFonts w:asciiTheme="minorHAnsi" w:eastAsiaTheme="minorEastAsia" w:hAnsiTheme="minorHAnsi"/>
          <w:kern w:val="2"/>
          <w:sz w:val="24"/>
          <w:szCs w:val="24"/>
          <w:lang w:eastAsia="en-AU"/>
          <w14:ligatures w14:val="standardContextual"/>
        </w:rPr>
      </w:pPr>
      <w:hyperlink w:anchor="_Toc227749134" w:history="1">
        <w:r w:rsidRPr="00EB34D0">
          <w:rPr>
            <w:rStyle w:val="Hyperlink"/>
          </w:rPr>
          <w:t>18.6</w:t>
        </w:r>
        <w:r>
          <w:rPr>
            <w:rFonts w:asciiTheme="minorHAnsi" w:eastAsiaTheme="minorEastAsia" w:hAnsiTheme="minorHAnsi"/>
            <w:kern w:val="2"/>
            <w:sz w:val="24"/>
            <w:szCs w:val="24"/>
            <w:lang w:eastAsia="en-AU"/>
            <w14:ligatures w14:val="standardContextual"/>
          </w:rPr>
          <w:tab/>
        </w:r>
        <w:r w:rsidRPr="00EB34D0">
          <w:rPr>
            <w:rStyle w:val="Hyperlink"/>
          </w:rPr>
          <w:t>Appropriation</w:t>
        </w:r>
        <w:r>
          <w:rPr>
            <w:webHidden/>
          </w:rPr>
          <w:tab/>
        </w:r>
        <w:r>
          <w:rPr>
            <w:webHidden/>
          </w:rPr>
          <w:fldChar w:fldCharType="begin"/>
        </w:r>
        <w:r>
          <w:rPr>
            <w:webHidden/>
          </w:rPr>
          <w:instrText xml:space="preserve"> PAGEREF _Toc227749134 \h </w:instrText>
        </w:r>
        <w:r>
          <w:rPr>
            <w:webHidden/>
          </w:rPr>
        </w:r>
        <w:r>
          <w:rPr>
            <w:webHidden/>
          </w:rPr>
          <w:fldChar w:fldCharType="separate"/>
        </w:r>
        <w:r>
          <w:rPr>
            <w:webHidden/>
          </w:rPr>
          <w:t>68</w:t>
        </w:r>
        <w:r>
          <w:rPr>
            <w:webHidden/>
          </w:rPr>
          <w:fldChar w:fldCharType="end"/>
        </w:r>
      </w:hyperlink>
    </w:p>
    <w:p w14:paraId="433CC1F8" w14:textId="5A912663" w:rsidR="005F0BAD" w:rsidRDefault="005F0BAD">
      <w:pPr>
        <w:pStyle w:val="TOC2"/>
        <w:rPr>
          <w:rFonts w:asciiTheme="minorHAnsi" w:eastAsiaTheme="minorEastAsia" w:hAnsiTheme="minorHAnsi"/>
          <w:kern w:val="2"/>
          <w:sz w:val="24"/>
          <w:szCs w:val="24"/>
          <w:lang w:eastAsia="en-AU"/>
          <w14:ligatures w14:val="standardContextual"/>
        </w:rPr>
      </w:pPr>
      <w:hyperlink w:anchor="_Toc227749135" w:history="1">
        <w:r w:rsidRPr="00EB34D0">
          <w:rPr>
            <w:rStyle w:val="Hyperlink"/>
          </w:rPr>
          <w:t>18.7</w:t>
        </w:r>
        <w:r>
          <w:rPr>
            <w:rFonts w:asciiTheme="minorHAnsi" w:eastAsiaTheme="minorEastAsia" w:hAnsiTheme="minorHAnsi"/>
            <w:kern w:val="2"/>
            <w:sz w:val="24"/>
            <w:szCs w:val="24"/>
            <w:lang w:eastAsia="en-AU"/>
            <w14:ligatures w14:val="standardContextual"/>
          </w:rPr>
          <w:tab/>
        </w:r>
        <w:r w:rsidRPr="00EB34D0">
          <w:rPr>
            <w:rStyle w:val="Hyperlink"/>
          </w:rPr>
          <w:t>Cash Management module</w:t>
        </w:r>
        <w:r>
          <w:rPr>
            <w:webHidden/>
          </w:rPr>
          <w:tab/>
        </w:r>
        <w:r>
          <w:rPr>
            <w:webHidden/>
          </w:rPr>
          <w:fldChar w:fldCharType="begin"/>
        </w:r>
        <w:r>
          <w:rPr>
            <w:webHidden/>
          </w:rPr>
          <w:instrText xml:space="preserve"> PAGEREF _Toc227749135 \h </w:instrText>
        </w:r>
        <w:r>
          <w:rPr>
            <w:webHidden/>
          </w:rPr>
        </w:r>
        <w:r>
          <w:rPr>
            <w:webHidden/>
          </w:rPr>
          <w:fldChar w:fldCharType="separate"/>
        </w:r>
        <w:r>
          <w:rPr>
            <w:webHidden/>
          </w:rPr>
          <w:t>68</w:t>
        </w:r>
        <w:r>
          <w:rPr>
            <w:webHidden/>
          </w:rPr>
          <w:fldChar w:fldCharType="end"/>
        </w:r>
      </w:hyperlink>
    </w:p>
    <w:p w14:paraId="0CEA1805" w14:textId="2EA6801B" w:rsidR="005F0BAD" w:rsidRDefault="005F0BAD">
      <w:pPr>
        <w:pStyle w:val="TOC2"/>
        <w:rPr>
          <w:rFonts w:asciiTheme="minorHAnsi" w:eastAsiaTheme="minorEastAsia" w:hAnsiTheme="minorHAnsi"/>
          <w:kern w:val="2"/>
          <w:sz w:val="24"/>
          <w:szCs w:val="24"/>
          <w:lang w:eastAsia="en-AU"/>
          <w14:ligatures w14:val="standardContextual"/>
        </w:rPr>
      </w:pPr>
      <w:hyperlink w:anchor="_Toc227749136" w:history="1">
        <w:r w:rsidRPr="00EB34D0">
          <w:rPr>
            <w:rStyle w:val="Hyperlink"/>
          </w:rPr>
          <w:t>18.8</w:t>
        </w:r>
        <w:r>
          <w:rPr>
            <w:rFonts w:asciiTheme="minorHAnsi" w:eastAsiaTheme="minorEastAsia" w:hAnsiTheme="minorHAnsi"/>
            <w:kern w:val="2"/>
            <w:sz w:val="24"/>
            <w:szCs w:val="24"/>
            <w:lang w:eastAsia="en-AU"/>
            <w14:ligatures w14:val="standardContextual"/>
          </w:rPr>
          <w:tab/>
        </w:r>
        <w:r w:rsidRPr="00EB34D0">
          <w:rPr>
            <w:rStyle w:val="Hyperlink"/>
          </w:rPr>
          <w:t>Australian Government Organisation Register</w:t>
        </w:r>
        <w:r>
          <w:rPr>
            <w:webHidden/>
          </w:rPr>
          <w:tab/>
        </w:r>
        <w:r>
          <w:rPr>
            <w:webHidden/>
          </w:rPr>
          <w:fldChar w:fldCharType="begin"/>
        </w:r>
        <w:r>
          <w:rPr>
            <w:webHidden/>
          </w:rPr>
          <w:instrText xml:space="preserve"> PAGEREF _Toc227749136 \h </w:instrText>
        </w:r>
        <w:r>
          <w:rPr>
            <w:webHidden/>
          </w:rPr>
        </w:r>
        <w:r>
          <w:rPr>
            <w:webHidden/>
          </w:rPr>
          <w:fldChar w:fldCharType="separate"/>
        </w:r>
        <w:r>
          <w:rPr>
            <w:webHidden/>
          </w:rPr>
          <w:t>69</w:t>
        </w:r>
        <w:r>
          <w:rPr>
            <w:webHidden/>
          </w:rPr>
          <w:fldChar w:fldCharType="end"/>
        </w:r>
      </w:hyperlink>
    </w:p>
    <w:p w14:paraId="0BA831E4" w14:textId="7C70A647" w:rsidR="005F0BAD" w:rsidRDefault="005F0BAD">
      <w:pPr>
        <w:pStyle w:val="TOC2"/>
        <w:rPr>
          <w:rFonts w:asciiTheme="minorHAnsi" w:eastAsiaTheme="minorEastAsia" w:hAnsiTheme="minorHAnsi"/>
          <w:kern w:val="2"/>
          <w:sz w:val="24"/>
          <w:szCs w:val="24"/>
          <w:lang w:eastAsia="en-AU"/>
          <w14:ligatures w14:val="standardContextual"/>
        </w:rPr>
      </w:pPr>
      <w:hyperlink w:anchor="_Toc227749137" w:history="1">
        <w:r w:rsidRPr="00EB34D0">
          <w:rPr>
            <w:rStyle w:val="Hyperlink"/>
          </w:rPr>
          <w:t>18.9</w:t>
        </w:r>
        <w:r>
          <w:rPr>
            <w:rFonts w:asciiTheme="minorHAnsi" w:eastAsiaTheme="minorEastAsia" w:hAnsiTheme="minorHAnsi"/>
            <w:kern w:val="2"/>
            <w:sz w:val="24"/>
            <w:szCs w:val="24"/>
            <w:lang w:eastAsia="en-AU"/>
            <w14:ligatures w14:val="standardContextual"/>
          </w:rPr>
          <w:tab/>
        </w:r>
        <w:r w:rsidRPr="00EB34D0">
          <w:rPr>
            <w:rStyle w:val="Hyperlink"/>
          </w:rPr>
          <w:t>Budget Paper 1 (BP No. 1)</w:t>
        </w:r>
        <w:r>
          <w:rPr>
            <w:webHidden/>
          </w:rPr>
          <w:tab/>
        </w:r>
        <w:r>
          <w:rPr>
            <w:webHidden/>
          </w:rPr>
          <w:fldChar w:fldCharType="begin"/>
        </w:r>
        <w:r>
          <w:rPr>
            <w:webHidden/>
          </w:rPr>
          <w:instrText xml:space="preserve"> PAGEREF _Toc227749137 \h </w:instrText>
        </w:r>
        <w:r>
          <w:rPr>
            <w:webHidden/>
          </w:rPr>
        </w:r>
        <w:r>
          <w:rPr>
            <w:webHidden/>
          </w:rPr>
          <w:fldChar w:fldCharType="separate"/>
        </w:r>
        <w:r>
          <w:rPr>
            <w:webHidden/>
          </w:rPr>
          <w:t>69</w:t>
        </w:r>
        <w:r>
          <w:rPr>
            <w:webHidden/>
          </w:rPr>
          <w:fldChar w:fldCharType="end"/>
        </w:r>
      </w:hyperlink>
    </w:p>
    <w:p w14:paraId="4E8EA289" w14:textId="2FCA607D" w:rsidR="005F0BAD" w:rsidRDefault="005F0BAD">
      <w:pPr>
        <w:pStyle w:val="TOC2"/>
        <w:rPr>
          <w:rFonts w:asciiTheme="minorHAnsi" w:eastAsiaTheme="minorEastAsia" w:hAnsiTheme="minorHAnsi"/>
          <w:kern w:val="2"/>
          <w:sz w:val="24"/>
          <w:szCs w:val="24"/>
          <w:lang w:eastAsia="en-AU"/>
          <w14:ligatures w14:val="standardContextual"/>
        </w:rPr>
      </w:pPr>
      <w:hyperlink w:anchor="_Toc227749138" w:history="1">
        <w:r w:rsidRPr="00EB34D0">
          <w:rPr>
            <w:rStyle w:val="Hyperlink"/>
          </w:rPr>
          <w:t>18.10</w:t>
        </w:r>
        <w:r>
          <w:rPr>
            <w:rFonts w:asciiTheme="minorHAnsi" w:eastAsiaTheme="minorEastAsia" w:hAnsiTheme="minorHAnsi"/>
            <w:kern w:val="2"/>
            <w:sz w:val="24"/>
            <w:szCs w:val="24"/>
            <w:lang w:eastAsia="en-AU"/>
            <w14:ligatures w14:val="standardContextual"/>
          </w:rPr>
          <w:tab/>
        </w:r>
        <w:r w:rsidRPr="00EB34D0">
          <w:rPr>
            <w:rStyle w:val="Hyperlink"/>
          </w:rPr>
          <w:t>Budget Paper 2 (BP No. 2)</w:t>
        </w:r>
        <w:r>
          <w:rPr>
            <w:webHidden/>
          </w:rPr>
          <w:tab/>
        </w:r>
        <w:r>
          <w:rPr>
            <w:webHidden/>
          </w:rPr>
          <w:fldChar w:fldCharType="begin"/>
        </w:r>
        <w:r>
          <w:rPr>
            <w:webHidden/>
          </w:rPr>
          <w:instrText xml:space="preserve"> PAGEREF _Toc227749138 \h </w:instrText>
        </w:r>
        <w:r>
          <w:rPr>
            <w:webHidden/>
          </w:rPr>
        </w:r>
        <w:r>
          <w:rPr>
            <w:webHidden/>
          </w:rPr>
          <w:fldChar w:fldCharType="separate"/>
        </w:r>
        <w:r>
          <w:rPr>
            <w:webHidden/>
          </w:rPr>
          <w:t>69</w:t>
        </w:r>
        <w:r>
          <w:rPr>
            <w:webHidden/>
          </w:rPr>
          <w:fldChar w:fldCharType="end"/>
        </w:r>
      </w:hyperlink>
    </w:p>
    <w:p w14:paraId="50FE5023" w14:textId="32AF9E3A" w:rsidR="005F0BAD" w:rsidRDefault="005F0BAD">
      <w:pPr>
        <w:pStyle w:val="TOC2"/>
        <w:rPr>
          <w:rFonts w:asciiTheme="minorHAnsi" w:eastAsiaTheme="minorEastAsia" w:hAnsiTheme="minorHAnsi"/>
          <w:kern w:val="2"/>
          <w:sz w:val="24"/>
          <w:szCs w:val="24"/>
          <w:lang w:eastAsia="en-AU"/>
          <w14:ligatures w14:val="standardContextual"/>
        </w:rPr>
      </w:pPr>
      <w:hyperlink w:anchor="_Toc227749139" w:history="1">
        <w:r w:rsidRPr="00EB34D0">
          <w:rPr>
            <w:rStyle w:val="Hyperlink"/>
          </w:rPr>
          <w:t>18.11</w:t>
        </w:r>
        <w:r>
          <w:rPr>
            <w:rFonts w:asciiTheme="minorHAnsi" w:eastAsiaTheme="minorEastAsia" w:hAnsiTheme="minorHAnsi"/>
            <w:kern w:val="2"/>
            <w:sz w:val="24"/>
            <w:szCs w:val="24"/>
            <w:lang w:eastAsia="en-AU"/>
            <w14:ligatures w14:val="standardContextual"/>
          </w:rPr>
          <w:tab/>
        </w:r>
        <w:r w:rsidRPr="00EB34D0">
          <w:rPr>
            <w:rStyle w:val="Hyperlink"/>
          </w:rPr>
          <w:t>Budget Paper 3 (BP No. 3)</w:t>
        </w:r>
        <w:r>
          <w:rPr>
            <w:webHidden/>
          </w:rPr>
          <w:tab/>
        </w:r>
        <w:r>
          <w:rPr>
            <w:webHidden/>
          </w:rPr>
          <w:fldChar w:fldCharType="begin"/>
        </w:r>
        <w:r>
          <w:rPr>
            <w:webHidden/>
          </w:rPr>
          <w:instrText xml:space="preserve"> PAGEREF _Toc227749139 \h </w:instrText>
        </w:r>
        <w:r>
          <w:rPr>
            <w:webHidden/>
          </w:rPr>
        </w:r>
        <w:r>
          <w:rPr>
            <w:webHidden/>
          </w:rPr>
          <w:fldChar w:fldCharType="separate"/>
        </w:r>
        <w:r>
          <w:rPr>
            <w:webHidden/>
          </w:rPr>
          <w:t>69</w:t>
        </w:r>
        <w:r>
          <w:rPr>
            <w:webHidden/>
          </w:rPr>
          <w:fldChar w:fldCharType="end"/>
        </w:r>
      </w:hyperlink>
    </w:p>
    <w:p w14:paraId="47553DE9" w14:textId="79306D04" w:rsidR="005F0BAD" w:rsidRDefault="005F0BAD">
      <w:pPr>
        <w:pStyle w:val="TOC2"/>
        <w:rPr>
          <w:rFonts w:asciiTheme="minorHAnsi" w:eastAsiaTheme="minorEastAsia" w:hAnsiTheme="minorHAnsi"/>
          <w:kern w:val="2"/>
          <w:sz w:val="24"/>
          <w:szCs w:val="24"/>
          <w:lang w:eastAsia="en-AU"/>
          <w14:ligatures w14:val="standardContextual"/>
        </w:rPr>
      </w:pPr>
      <w:hyperlink w:anchor="_Toc227749140" w:history="1">
        <w:r w:rsidRPr="00EB34D0">
          <w:rPr>
            <w:rStyle w:val="Hyperlink"/>
          </w:rPr>
          <w:t>18.12</w:t>
        </w:r>
        <w:r>
          <w:rPr>
            <w:rFonts w:asciiTheme="minorHAnsi" w:eastAsiaTheme="minorEastAsia" w:hAnsiTheme="minorHAnsi"/>
            <w:kern w:val="2"/>
            <w:sz w:val="24"/>
            <w:szCs w:val="24"/>
            <w:lang w:eastAsia="en-AU"/>
            <w14:ligatures w14:val="standardContextual"/>
          </w:rPr>
          <w:tab/>
        </w:r>
        <w:r w:rsidRPr="00EB34D0">
          <w:rPr>
            <w:rStyle w:val="Hyperlink"/>
          </w:rPr>
          <w:t>Budget Paper 4 (BP No. 4)</w:t>
        </w:r>
        <w:r>
          <w:rPr>
            <w:webHidden/>
          </w:rPr>
          <w:tab/>
        </w:r>
        <w:r>
          <w:rPr>
            <w:webHidden/>
          </w:rPr>
          <w:fldChar w:fldCharType="begin"/>
        </w:r>
        <w:r>
          <w:rPr>
            <w:webHidden/>
          </w:rPr>
          <w:instrText xml:space="preserve"> PAGEREF _Toc227749140 \h </w:instrText>
        </w:r>
        <w:r>
          <w:rPr>
            <w:webHidden/>
          </w:rPr>
        </w:r>
        <w:r>
          <w:rPr>
            <w:webHidden/>
          </w:rPr>
          <w:fldChar w:fldCharType="separate"/>
        </w:r>
        <w:r>
          <w:rPr>
            <w:webHidden/>
          </w:rPr>
          <w:t>69</w:t>
        </w:r>
        <w:r>
          <w:rPr>
            <w:webHidden/>
          </w:rPr>
          <w:fldChar w:fldCharType="end"/>
        </w:r>
      </w:hyperlink>
    </w:p>
    <w:p w14:paraId="2C34DC67" w14:textId="2D317574" w:rsidR="005F0BAD" w:rsidRDefault="005F0BAD">
      <w:pPr>
        <w:pStyle w:val="TOC2"/>
        <w:rPr>
          <w:rFonts w:asciiTheme="minorHAnsi" w:eastAsiaTheme="minorEastAsia" w:hAnsiTheme="minorHAnsi"/>
          <w:kern w:val="2"/>
          <w:sz w:val="24"/>
          <w:szCs w:val="24"/>
          <w:lang w:eastAsia="en-AU"/>
          <w14:ligatures w14:val="standardContextual"/>
        </w:rPr>
      </w:pPr>
      <w:hyperlink w:anchor="_Toc227749141" w:history="1">
        <w:r w:rsidRPr="00EB34D0">
          <w:rPr>
            <w:rStyle w:val="Hyperlink"/>
          </w:rPr>
          <w:t>18.13</w:t>
        </w:r>
        <w:r>
          <w:rPr>
            <w:rFonts w:asciiTheme="minorHAnsi" w:eastAsiaTheme="minorEastAsia" w:hAnsiTheme="minorHAnsi"/>
            <w:kern w:val="2"/>
            <w:sz w:val="24"/>
            <w:szCs w:val="24"/>
            <w:lang w:eastAsia="en-AU"/>
            <w14:ligatures w14:val="standardContextual"/>
          </w:rPr>
          <w:tab/>
        </w:r>
        <w:r w:rsidRPr="00EB34D0">
          <w:rPr>
            <w:rStyle w:val="Hyperlink"/>
          </w:rPr>
          <w:t>Central Budget Management System (CBMS)</w:t>
        </w:r>
        <w:r>
          <w:rPr>
            <w:webHidden/>
          </w:rPr>
          <w:tab/>
        </w:r>
        <w:r>
          <w:rPr>
            <w:webHidden/>
          </w:rPr>
          <w:fldChar w:fldCharType="begin"/>
        </w:r>
        <w:r>
          <w:rPr>
            <w:webHidden/>
          </w:rPr>
          <w:instrText xml:space="preserve"> PAGEREF _Toc227749141 \h </w:instrText>
        </w:r>
        <w:r>
          <w:rPr>
            <w:webHidden/>
          </w:rPr>
        </w:r>
        <w:r>
          <w:rPr>
            <w:webHidden/>
          </w:rPr>
          <w:fldChar w:fldCharType="separate"/>
        </w:r>
        <w:r>
          <w:rPr>
            <w:webHidden/>
          </w:rPr>
          <w:t>69</w:t>
        </w:r>
        <w:r>
          <w:rPr>
            <w:webHidden/>
          </w:rPr>
          <w:fldChar w:fldCharType="end"/>
        </w:r>
      </w:hyperlink>
    </w:p>
    <w:p w14:paraId="02F81D36" w14:textId="3A682EE7" w:rsidR="005F0BAD" w:rsidRDefault="005F0BAD">
      <w:pPr>
        <w:pStyle w:val="TOC2"/>
        <w:rPr>
          <w:rFonts w:asciiTheme="minorHAnsi" w:eastAsiaTheme="minorEastAsia" w:hAnsiTheme="minorHAnsi"/>
          <w:kern w:val="2"/>
          <w:sz w:val="24"/>
          <w:szCs w:val="24"/>
          <w:lang w:eastAsia="en-AU"/>
          <w14:ligatures w14:val="standardContextual"/>
        </w:rPr>
      </w:pPr>
      <w:hyperlink w:anchor="_Toc227749142" w:history="1">
        <w:r w:rsidRPr="00EB34D0">
          <w:rPr>
            <w:rStyle w:val="Hyperlink"/>
          </w:rPr>
          <w:t>18.14</w:t>
        </w:r>
        <w:r>
          <w:rPr>
            <w:rFonts w:asciiTheme="minorHAnsi" w:eastAsiaTheme="minorEastAsia" w:hAnsiTheme="minorHAnsi"/>
            <w:kern w:val="2"/>
            <w:sz w:val="24"/>
            <w:szCs w:val="24"/>
            <w:lang w:eastAsia="en-AU"/>
            <w14:ligatures w14:val="standardContextual"/>
          </w:rPr>
          <w:tab/>
        </w:r>
        <w:r w:rsidRPr="00EB34D0">
          <w:rPr>
            <w:rStyle w:val="Hyperlink"/>
          </w:rPr>
          <w:t>Clear read principle</w:t>
        </w:r>
        <w:r>
          <w:rPr>
            <w:webHidden/>
          </w:rPr>
          <w:tab/>
        </w:r>
        <w:r>
          <w:rPr>
            <w:webHidden/>
          </w:rPr>
          <w:fldChar w:fldCharType="begin"/>
        </w:r>
        <w:r>
          <w:rPr>
            <w:webHidden/>
          </w:rPr>
          <w:instrText xml:space="preserve"> PAGEREF _Toc227749142 \h </w:instrText>
        </w:r>
        <w:r>
          <w:rPr>
            <w:webHidden/>
          </w:rPr>
        </w:r>
        <w:r>
          <w:rPr>
            <w:webHidden/>
          </w:rPr>
          <w:fldChar w:fldCharType="separate"/>
        </w:r>
        <w:r>
          <w:rPr>
            <w:webHidden/>
          </w:rPr>
          <w:t>69</w:t>
        </w:r>
        <w:r>
          <w:rPr>
            <w:webHidden/>
          </w:rPr>
          <w:fldChar w:fldCharType="end"/>
        </w:r>
      </w:hyperlink>
    </w:p>
    <w:p w14:paraId="0385402B" w14:textId="1CC07513" w:rsidR="005F0BAD" w:rsidRDefault="005F0BAD">
      <w:pPr>
        <w:pStyle w:val="TOC2"/>
        <w:rPr>
          <w:rFonts w:asciiTheme="minorHAnsi" w:eastAsiaTheme="minorEastAsia" w:hAnsiTheme="minorHAnsi"/>
          <w:kern w:val="2"/>
          <w:sz w:val="24"/>
          <w:szCs w:val="24"/>
          <w:lang w:eastAsia="en-AU"/>
          <w14:ligatures w14:val="standardContextual"/>
        </w:rPr>
      </w:pPr>
      <w:hyperlink w:anchor="_Toc227749143" w:history="1">
        <w:r w:rsidRPr="00EB34D0">
          <w:rPr>
            <w:rStyle w:val="Hyperlink"/>
          </w:rPr>
          <w:t>18.15</w:t>
        </w:r>
        <w:r>
          <w:rPr>
            <w:rFonts w:asciiTheme="minorHAnsi" w:eastAsiaTheme="minorEastAsia" w:hAnsiTheme="minorHAnsi"/>
            <w:kern w:val="2"/>
            <w:sz w:val="24"/>
            <w:szCs w:val="24"/>
            <w:lang w:eastAsia="en-AU"/>
            <w14:ligatures w14:val="standardContextual"/>
          </w:rPr>
          <w:tab/>
        </w:r>
        <w:r w:rsidRPr="00EB34D0">
          <w:rPr>
            <w:rStyle w:val="Hyperlink"/>
          </w:rPr>
          <w:t>Consolidated Revenue Fund</w:t>
        </w:r>
        <w:r>
          <w:rPr>
            <w:webHidden/>
          </w:rPr>
          <w:tab/>
        </w:r>
        <w:r>
          <w:rPr>
            <w:webHidden/>
          </w:rPr>
          <w:fldChar w:fldCharType="begin"/>
        </w:r>
        <w:r>
          <w:rPr>
            <w:webHidden/>
          </w:rPr>
          <w:instrText xml:space="preserve"> PAGEREF _Toc227749143 \h </w:instrText>
        </w:r>
        <w:r>
          <w:rPr>
            <w:webHidden/>
          </w:rPr>
        </w:r>
        <w:r>
          <w:rPr>
            <w:webHidden/>
          </w:rPr>
          <w:fldChar w:fldCharType="separate"/>
        </w:r>
        <w:r>
          <w:rPr>
            <w:webHidden/>
          </w:rPr>
          <w:t>69</w:t>
        </w:r>
        <w:r>
          <w:rPr>
            <w:webHidden/>
          </w:rPr>
          <w:fldChar w:fldCharType="end"/>
        </w:r>
      </w:hyperlink>
    </w:p>
    <w:p w14:paraId="29FB50CC" w14:textId="37F9BAE1" w:rsidR="005F0BAD" w:rsidRDefault="005F0BAD">
      <w:pPr>
        <w:pStyle w:val="TOC2"/>
        <w:rPr>
          <w:rFonts w:asciiTheme="minorHAnsi" w:eastAsiaTheme="minorEastAsia" w:hAnsiTheme="minorHAnsi"/>
          <w:kern w:val="2"/>
          <w:sz w:val="24"/>
          <w:szCs w:val="24"/>
          <w:lang w:eastAsia="en-AU"/>
          <w14:ligatures w14:val="standardContextual"/>
        </w:rPr>
      </w:pPr>
      <w:hyperlink w:anchor="_Toc227749144" w:history="1">
        <w:r w:rsidRPr="00EB34D0">
          <w:rPr>
            <w:rStyle w:val="Hyperlink"/>
          </w:rPr>
          <w:t>18.16</w:t>
        </w:r>
        <w:r>
          <w:rPr>
            <w:rFonts w:asciiTheme="minorHAnsi" w:eastAsiaTheme="minorEastAsia" w:hAnsiTheme="minorHAnsi"/>
            <w:kern w:val="2"/>
            <w:sz w:val="24"/>
            <w:szCs w:val="24"/>
            <w:lang w:eastAsia="en-AU"/>
            <w14:ligatures w14:val="standardContextual"/>
          </w:rPr>
          <w:tab/>
        </w:r>
        <w:r w:rsidRPr="00EB34D0">
          <w:rPr>
            <w:rStyle w:val="Hyperlink"/>
          </w:rPr>
          <w:t>Contractor</w:t>
        </w:r>
        <w:r>
          <w:rPr>
            <w:webHidden/>
          </w:rPr>
          <w:tab/>
        </w:r>
        <w:r>
          <w:rPr>
            <w:webHidden/>
          </w:rPr>
          <w:fldChar w:fldCharType="begin"/>
        </w:r>
        <w:r>
          <w:rPr>
            <w:webHidden/>
          </w:rPr>
          <w:instrText xml:space="preserve"> PAGEREF _Toc227749144 \h </w:instrText>
        </w:r>
        <w:r>
          <w:rPr>
            <w:webHidden/>
          </w:rPr>
        </w:r>
        <w:r>
          <w:rPr>
            <w:webHidden/>
          </w:rPr>
          <w:fldChar w:fldCharType="separate"/>
        </w:r>
        <w:r>
          <w:rPr>
            <w:webHidden/>
          </w:rPr>
          <w:t>70</w:t>
        </w:r>
        <w:r>
          <w:rPr>
            <w:webHidden/>
          </w:rPr>
          <w:fldChar w:fldCharType="end"/>
        </w:r>
      </w:hyperlink>
    </w:p>
    <w:p w14:paraId="29575BCC" w14:textId="79C26FE9" w:rsidR="005F0BAD" w:rsidRDefault="005F0BAD">
      <w:pPr>
        <w:pStyle w:val="TOC2"/>
        <w:rPr>
          <w:rFonts w:asciiTheme="minorHAnsi" w:eastAsiaTheme="minorEastAsia" w:hAnsiTheme="minorHAnsi"/>
          <w:kern w:val="2"/>
          <w:sz w:val="24"/>
          <w:szCs w:val="24"/>
          <w:lang w:eastAsia="en-AU"/>
          <w14:ligatures w14:val="standardContextual"/>
        </w:rPr>
      </w:pPr>
      <w:hyperlink w:anchor="_Toc227749145" w:history="1">
        <w:r w:rsidRPr="00EB34D0">
          <w:rPr>
            <w:rStyle w:val="Hyperlink"/>
          </w:rPr>
          <w:t>18.17</w:t>
        </w:r>
        <w:r>
          <w:rPr>
            <w:rFonts w:asciiTheme="minorHAnsi" w:eastAsiaTheme="minorEastAsia" w:hAnsiTheme="minorHAnsi"/>
            <w:kern w:val="2"/>
            <w:sz w:val="24"/>
            <w:szCs w:val="24"/>
            <w:lang w:eastAsia="en-AU"/>
            <w14:ligatures w14:val="standardContextual"/>
          </w:rPr>
          <w:tab/>
        </w:r>
        <w:r w:rsidRPr="00EB34D0">
          <w:rPr>
            <w:rStyle w:val="Hyperlink"/>
          </w:rPr>
          <w:t>Departmental item</w:t>
        </w:r>
        <w:r>
          <w:rPr>
            <w:webHidden/>
          </w:rPr>
          <w:tab/>
        </w:r>
        <w:r>
          <w:rPr>
            <w:webHidden/>
          </w:rPr>
          <w:fldChar w:fldCharType="begin"/>
        </w:r>
        <w:r>
          <w:rPr>
            <w:webHidden/>
          </w:rPr>
          <w:instrText xml:space="preserve"> PAGEREF _Toc227749145 \h </w:instrText>
        </w:r>
        <w:r>
          <w:rPr>
            <w:webHidden/>
          </w:rPr>
        </w:r>
        <w:r>
          <w:rPr>
            <w:webHidden/>
          </w:rPr>
          <w:fldChar w:fldCharType="separate"/>
        </w:r>
        <w:r>
          <w:rPr>
            <w:webHidden/>
          </w:rPr>
          <w:t>70</w:t>
        </w:r>
        <w:r>
          <w:rPr>
            <w:webHidden/>
          </w:rPr>
          <w:fldChar w:fldCharType="end"/>
        </w:r>
      </w:hyperlink>
    </w:p>
    <w:p w14:paraId="17696675" w14:textId="0FCAECA1" w:rsidR="005F0BAD" w:rsidRDefault="005F0BAD">
      <w:pPr>
        <w:pStyle w:val="TOC2"/>
        <w:rPr>
          <w:rFonts w:asciiTheme="minorHAnsi" w:eastAsiaTheme="minorEastAsia" w:hAnsiTheme="minorHAnsi"/>
          <w:kern w:val="2"/>
          <w:sz w:val="24"/>
          <w:szCs w:val="24"/>
          <w:lang w:eastAsia="en-AU"/>
          <w14:ligatures w14:val="standardContextual"/>
        </w:rPr>
      </w:pPr>
      <w:hyperlink w:anchor="_Toc227749146" w:history="1">
        <w:r w:rsidRPr="00EB34D0">
          <w:rPr>
            <w:rStyle w:val="Hyperlink"/>
          </w:rPr>
          <w:t>18.18</w:t>
        </w:r>
        <w:r>
          <w:rPr>
            <w:rFonts w:asciiTheme="minorHAnsi" w:eastAsiaTheme="minorEastAsia" w:hAnsiTheme="minorHAnsi"/>
            <w:kern w:val="2"/>
            <w:sz w:val="24"/>
            <w:szCs w:val="24"/>
            <w:lang w:eastAsia="en-AU"/>
            <w14:ligatures w14:val="standardContextual"/>
          </w:rPr>
          <w:tab/>
        </w:r>
        <w:r w:rsidRPr="00EB34D0">
          <w:rPr>
            <w:rStyle w:val="Hyperlink"/>
          </w:rPr>
          <w:t>Entities</w:t>
        </w:r>
        <w:r>
          <w:rPr>
            <w:webHidden/>
          </w:rPr>
          <w:tab/>
        </w:r>
        <w:r>
          <w:rPr>
            <w:webHidden/>
          </w:rPr>
          <w:fldChar w:fldCharType="begin"/>
        </w:r>
        <w:r>
          <w:rPr>
            <w:webHidden/>
          </w:rPr>
          <w:instrText xml:space="preserve"> PAGEREF _Toc227749146 \h </w:instrText>
        </w:r>
        <w:r>
          <w:rPr>
            <w:webHidden/>
          </w:rPr>
        </w:r>
        <w:r>
          <w:rPr>
            <w:webHidden/>
          </w:rPr>
          <w:fldChar w:fldCharType="separate"/>
        </w:r>
        <w:r>
          <w:rPr>
            <w:webHidden/>
          </w:rPr>
          <w:t>70</w:t>
        </w:r>
        <w:r>
          <w:rPr>
            <w:webHidden/>
          </w:rPr>
          <w:fldChar w:fldCharType="end"/>
        </w:r>
      </w:hyperlink>
    </w:p>
    <w:p w14:paraId="418C6152" w14:textId="37827EC7" w:rsidR="005F0BAD" w:rsidRDefault="005F0BAD">
      <w:pPr>
        <w:pStyle w:val="TOC2"/>
        <w:rPr>
          <w:rFonts w:asciiTheme="minorHAnsi" w:eastAsiaTheme="minorEastAsia" w:hAnsiTheme="minorHAnsi"/>
          <w:kern w:val="2"/>
          <w:sz w:val="24"/>
          <w:szCs w:val="24"/>
          <w:lang w:eastAsia="en-AU"/>
          <w14:ligatures w14:val="standardContextual"/>
        </w:rPr>
      </w:pPr>
      <w:hyperlink w:anchor="_Toc227749147" w:history="1">
        <w:r w:rsidRPr="00EB34D0">
          <w:rPr>
            <w:rStyle w:val="Hyperlink"/>
          </w:rPr>
          <w:t>18.19</w:t>
        </w:r>
        <w:r>
          <w:rPr>
            <w:rFonts w:asciiTheme="minorHAnsi" w:eastAsiaTheme="minorEastAsia" w:hAnsiTheme="minorHAnsi"/>
            <w:kern w:val="2"/>
            <w:sz w:val="24"/>
            <w:szCs w:val="24"/>
            <w:lang w:eastAsia="en-AU"/>
            <w14:ligatures w14:val="standardContextual"/>
          </w:rPr>
          <w:tab/>
        </w:r>
        <w:r w:rsidRPr="00EB34D0">
          <w:rPr>
            <w:rStyle w:val="Hyperlink"/>
          </w:rPr>
          <w:t>Estimated actual expenses</w:t>
        </w:r>
        <w:r>
          <w:rPr>
            <w:webHidden/>
          </w:rPr>
          <w:tab/>
        </w:r>
        <w:r>
          <w:rPr>
            <w:webHidden/>
          </w:rPr>
          <w:fldChar w:fldCharType="begin"/>
        </w:r>
        <w:r>
          <w:rPr>
            <w:webHidden/>
          </w:rPr>
          <w:instrText xml:space="preserve"> PAGEREF _Toc227749147 \h </w:instrText>
        </w:r>
        <w:r>
          <w:rPr>
            <w:webHidden/>
          </w:rPr>
        </w:r>
        <w:r>
          <w:rPr>
            <w:webHidden/>
          </w:rPr>
          <w:fldChar w:fldCharType="separate"/>
        </w:r>
        <w:r>
          <w:rPr>
            <w:webHidden/>
          </w:rPr>
          <w:t>70</w:t>
        </w:r>
        <w:r>
          <w:rPr>
            <w:webHidden/>
          </w:rPr>
          <w:fldChar w:fldCharType="end"/>
        </w:r>
      </w:hyperlink>
    </w:p>
    <w:p w14:paraId="417E5B92" w14:textId="3B22B038" w:rsidR="005F0BAD" w:rsidRDefault="005F0BAD">
      <w:pPr>
        <w:pStyle w:val="TOC2"/>
        <w:rPr>
          <w:rFonts w:asciiTheme="minorHAnsi" w:eastAsiaTheme="minorEastAsia" w:hAnsiTheme="minorHAnsi"/>
          <w:kern w:val="2"/>
          <w:sz w:val="24"/>
          <w:szCs w:val="24"/>
          <w:lang w:eastAsia="en-AU"/>
          <w14:ligatures w14:val="standardContextual"/>
        </w:rPr>
      </w:pPr>
      <w:hyperlink w:anchor="_Toc227749148" w:history="1">
        <w:r w:rsidRPr="00EB34D0">
          <w:rPr>
            <w:rStyle w:val="Hyperlink"/>
          </w:rPr>
          <w:t>18.20</w:t>
        </w:r>
        <w:r>
          <w:rPr>
            <w:rFonts w:asciiTheme="minorHAnsi" w:eastAsiaTheme="minorEastAsia" w:hAnsiTheme="minorHAnsi"/>
            <w:kern w:val="2"/>
            <w:sz w:val="24"/>
            <w:szCs w:val="24"/>
            <w:lang w:eastAsia="en-AU"/>
            <w14:ligatures w14:val="standardContextual"/>
          </w:rPr>
          <w:tab/>
        </w:r>
        <w:r w:rsidRPr="00EB34D0">
          <w:rPr>
            <w:rStyle w:val="Hyperlink"/>
          </w:rPr>
          <w:t>Expenses not requiring appropriation in the Budget year</w:t>
        </w:r>
        <w:r>
          <w:rPr>
            <w:webHidden/>
          </w:rPr>
          <w:tab/>
        </w:r>
        <w:r>
          <w:rPr>
            <w:webHidden/>
          </w:rPr>
          <w:fldChar w:fldCharType="begin"/>
        </w:r>
        <w:r>
          <w:rPr>
            <w:webHidden/>
          </w:rPr>
          <w:instrText xml:space="preserve"> PAGEREF _Toc227749148 \h </w:instrText>
        </w:r>
        <w:r>
          <w:rPr>
            <w:webHidden/>
          </w:rPr>
        </w:r>
        <w:r>
          <w:rPr>
            <w:webHidden/>
          </w:rPr>
          <w:fldChar w:fldCharType="separate"/>
        </w:r>
        <w:r>
          <w:rPr>
            <w:webHidden/>
          </w:rPr>
          <w:t>70</w:t>
        </w:r>
        <w:r>
          <w:rPr>
            <w:webHidden/>
          </w:rPr>
          <w:fldChar w:fldCharType="end"/>
        </w:r>
      </w:hyperlink>
    </w:p>
    <w:p w14:paraId="278BCADB" w14:textId="6FC1BA0F" w:rsidR="005F0BAD" w:rsidRDefault="005F0BAD">
      <w:pPr>
        <w:pStyle w:val="TOC2"/>
        <w:rPr>
          <w:rFonts w:asciiTheme="minorHAnsi" w:eastAsiaTheme="minorEastAsia" w:hAnsiTheme="minorHAnsi"/>
          <w:kern w:val="2"/>
          <w:sz w:val="24"/>
          <w:szCs w:val="24"/>
          <w:lang w:eastAsia="en-AU"/>
          <w14:ligatures w14:val="standardContextual"/>
        </w:rPr>
      </w:pPr>
      <w:hyperlink w:anchor="_Toc227749149" w:history="1">
        <w:r w:rsidRPr="00EB34D0">
          <w:rPr>
            <w:rStyle w:val="Hyperlink"/>
          </w:rPr>
          <w:t>18.21</w:t>
        </w:r>
        <w:r>
          <w:rPr>
            <w:rFonts w:asciiTheme="minorHAnsi" w:eastAsiaTheme="minorEastAsia" w:hAnsiTheme="minorHAnsi"/>
            <w:kern w:val="2"/>
            <w:sz w:val="24"/>
            <w:szCs w:val="24"/>
            <w:lang w:eastAsia="en-AU"/>
            <w14:ligatures w14:val="standardContextual"/>
          </w:rPr>
          <w:tab/>
        </w:r>
        <w:r w:rsidRPr="00EB34D0">
          <w:rPr>
            <w:rStyle w:val="Hyperlink"/>
          </w:rPr>
          <w:t>Financial management information system</w:t>
        </w:r>
        <w:r>
          <w:rPr>
            <w:webHidden/>
          </w:rPr>
          <w:tab/>
        </w:r>
        <w:r>
          <w:rPr>
            <w:webHidden/>
          </w:rPr>
          <w:fldChar w:fldCharType="begin"/>
        </w:r>
        <w:r>
          <w:rPr>
            <w:webHidden/>
          </w:rPr>
          <w:instrText xml:space="preserve"> PAGEREF _Toc227749149 \h </w:instrText>
        </w:r>
        <w:r>
          <w:rPr>
            <w:webHidden/>
          </w:rPr>
        </w:r>
        <w:r>
          <w:rPr>
            <w:webHidden/>
          </w:rPr>
          <w:fldChar w:fldCharType="separate"/>
        </w:r>
        <w:r>
          <w:rPr>
            <w:webHidden/>
          </w:rPr>
          <w:t>70</w:t>
        </w:r>
        <w:r>
          <w:rPr>
            <w:webHidden/>
          </w:rPr>
          <w:fldChar w:fldCharType="end"/>
        </w:r>
      </w:hyperlink>
    </w:p>
    <w:p w14:paraId="38F1ECBB" w14:textId="3C6B9CF4" w:rsidR="005F0BAD" w:rsidRDefault="005F0BAD">
      <w:pPr>
        <w:pStyle w:val="TOC2"/>
        <w:rPr>
          <w:rFonts w:asciiTheme="minorHAnsi" w:eastAsiaTheme="minorEastAsia" w:hAnsiTheme="minorHAnsi"/>
          <w:kern w:val="2"/>
          <w:sz w:val="24"/>
          <w:szCs w:val="24"/>
          <w:lang w:eastAsia="en-AU"/>
          <w14:ligatures w14:val="standardContextual"/>
        </w:rPr>
      </w:pPr>
      <w:hyperlink w:anchor="_Toc227749150" w:history="1">
        <w:r w:rsidRPr="00EB34D0">
          <w:rPr>
            <w:rStyle w:val="Hyperlink"/>
          </w:rPr>
          <w:t>18.22</w:t>
        </w:r>
        <w:r>
          <w:rPr>
            <w:rFonts w:asciiTheme="minorHAnsi" w:eastAsiaTheme="minorEastAsia" w:hAnsiTheme="minorHAnsi"/>
            <w:kern w:val="2"/>
            <w:sz w:val="24"/>
            <w:szCs w:val="24"/>
            <w:lang w:eastAsia="en-AU"/>
            <w14:ligatures w14:val="standardContextual"/>
          </w:rPr>
          <w:tab/>
        </w:r>
        <w:r w:rsidRPr="00EB34D0">
          <w:rPr>
            <w:rStyle w:val="Hyperlink"/>
          </w:rPr>
          <w:t>Forward estimates period</w:t>
        </w:r>
        <w:r>
          <w:rPr>
            <w:webHidden/>
          </w:rPr>
          <w:tab/>
        </w:r>
        <w:r>
          <w:rPr>
            <w:webHidden/>
          </w:rPr>
          <w:fldChar w:fldCharType="begin"/>
        </w:r>
        <w:r>
          <w:rPr>
            <w:webHidden/>
          </w:rPr>
          <w:instrText xml:space="preserve"> PAGEREF _Toc227749150 \h </w:instrText>
        </w:r>
        <w:r>
          <w:rPr>
            <w:webHidden/>
          </w:rPr>
        </w:r>
        <w:r>
          <w:rPr>
            <w:webHidden/>
          </w:rPr>
          <w:fldChar w:fldCharType="separate"/>
        </w:r>
        <w:r>
          <w:rPr>
            <w:webHidden/>
          </w:rPr>
          <w:t>70</w:t>
        </w:r>
        <w:r>
          <w:rPr>
            <w:webHidden/>
          </w:rPr>
          <w:fldChar w:fldCharType="end"/>
        </w:r>
      </w:hyperlink>
    </w:p>
    <w:p w14:paraId="34138C1D" w14:textId="16E010B9" w:rsidR="005F0BAD" w:rsidRDefault="005F0BAD">
      <w:pPr>
        <w:pStyle w:val="TOC2"/>
        <w:rPr>
          <w:rFonts w:asciiTheme="minorHAnsi" w:eastAsiaTheme="minorEastAsia" w:hAnsiTheme="minorHAnsi"/>
          <w:kern w:val="2"/>
          <w:sz w:val="24"/>
          <w:szCs w:val="24"/>
          <w:lang w:eastAsia="en-AU"/>
          <w14:ligatures w14:val="standardContextual"/>
        </w:rPr>
      </w:pPr>
      <w:hyperlink w:anchor="_Toc227749151" w:history="1">
        <w:r w:rsidRPr="00EB34D0">
          <w:rPr>
            <w:rStyle w:val="Hyperlink"/>
          </w:rPr>
          <w:t>18.23</w:t>
        </w:r>
        <w:r>
          <w:rPr>
            <w:rFonts w:asciiTheme="minorHAnsi" w:eastAsiaTheme="minorEastAsia" w:hAnsiTheme="minorHAnsi"/>
            <w:kern w:val="2"/>
            <w:sz w:val="24"/>
            <w:szCs w:val="24"/>
            <w:lang w:eastAsia="en-AU"/>
            <w14:ligatures w14:val="standardContextual"/>
          </w:rPr>
          <w:tab/>
        </w:r>
        <w:r w:rsidRPr="00EB34D0">
          <w:rPr>
            <w:rStyle w:val="Hyperlink"/>
          </w:rPr>
          <w:t>General Government Sector (GGS)</w:t>
        </w:r>
        <w:r>
          <w:rPr>
            <w:webHidden/>
          </w:rPr>
          <w:tab/>
        </w:r>
        <w:r>
          <w:rPr>
            <w:webHidden/>
          </w:rPr>
          <w:fldChar w:fldCharType="begin"/>
        </w:r>
        <w:r>
          <w:rPr>
            <w:webHidden/>
          </w:rPr>
          <w:instrText xml:space="preserve"> PAGEREF _Toc227749151 \h </w:instrText>
        </w:r>
        <w:r>
          <w:rPr>
            <w:webHidden/>
          </w:rPr>
        </w:r>
        <w:r>
          <w:rPr>
            <w:webHidden/>
          </w:rPr>
          <w:fldChar w:fldCharType="separate"/>
        </w:r>
        <w:r>
          <w:rPr>
            <w:webHidden/>
          </w:rPr>
          <w:t>70</w:t>
        </w:r>
        <w:r>
          <w:rPr>
            <w:webHidden/>
          </w:rPr>
          <w:fldChar w:fldCharType="end"/>
        </w:r>
      </w:hyperlink>
    </w:p>
    <w:p w14:paraId="6CF307A1" w14:textId="4BFF4736" w:rsidR="005F0BAD" w:rsidRDefault="005F0BAD">
      <w:pPr>
        <w:pStyle w:val="TOC2"/>
        <w:rPr>
          <w:rFonts w:asciiTheme="minorHAnsi" w:eastAsiaTheme="minorEastAsia" w:hAnsiTheme="minorHAnsi"/>
          <w:kern w:val="2"/>
          <w:sz w:val="24"/>
          <w:szCs w:val="24"/>
          <w:lang w:eastAsia="en-AU"/>
          <w14:ligatures w14:val="standardContextual"/>
        </w:rPr>
      </w:pPr>
      <w:hyperlink w:anchor="_Toc227749152" w:history="1">
        <w:r w:rsidRPr="00EB34D0">
          <w:rPr>
            <w:rStyle w:val="Hyperlink"/>
          </w:rPr>
          <w:t>18.24</w:t>
        </w:r>
        <w:r>
          <w:rPr>
            <w:rFonts w:asciiTheme="minorHAnsi" w:eastAsiaTheme="minorEastAsia" w:hAnsiTheme="minorHAnsi"/>
            <w:kern w:val="2"/>
            <w:sz w:val="24"/>
            <w:szCs w:val="24"/>
            <w:lang w:eastAsia="en-AU"/>
            <w14:ligatures w14:val="standardContextual"/>
          </w:rPr>
          <w:tab/>
        </w:r>
        <w:r w:rsidRPr="00EB34D0">
          <w:rPr>
            <w:rStyle w:val="Hyperlink"/>
          </w:rPr>
          <w:t>Government finance statistics</w:t>
        </w:r>
        <w:r>
          <w:rPr>
            <w:webHidden/>
          </w:rPr>
          <w:tab/>
        </w:r>
        <w:r>
          <w:rPr>
            <w:webHidden/>
          </w:rPr>
          <w:fldChar w:fldCharType="begin"/>
        </w:r>
        <w:r>
          <w:rPr>
            <w:webHidden/>
          </w:rPr>
          <w:instrText xml:space="preserve"> PAGEREF _Toc227749152 \h </w:instrText>
        </w:r>
        <w:r>
          <w:rPr>
            <w:webHidden/>
          </w:rPr>
        </w:r>
        <w:r>
          <w:rPr>
            <w:webHidden/>
          </w:rPr>
          <w:fldChar w:fldCharType="separate"/>
        </w:r>
        <w:r>
          <w:rPr>
            <w:webHidden/>
          </w:rPr>
          <w:t>71</w:t>
        </w:r>
        <w:r>
          <w:rPr>
            <w:webHidden/>
          </w:rPr>
          <w:fldChar w:fldCharType="end"/>
        </w:r>
      </w:hyperlink>
    </w:p>
    <w:p w14:paraId="42789630" w14:textId="2770FC2A" w:rsidR="005F0BAD" w:rsidRDefault="005F0BAD">
      <w:pPr>
        <w:pStyle w:val="TOC2"/>
        <w:rPr>
          <w:rFonts w:asciiTheme="minorHAnsi" w:eastAsiaTheme="minorEastAsia" w:hAnsiTheme="minorHAnsi"/>
          <w:kern w:val="2"/>
          <w:sz w:val="24"/>
          <w:szCs w:val="24"/>
          <w:lang w:eastAsia="en-AU"/>
          <w14:ligatures w14:val="standardContextual"/>
        </w:rPr>
      </w:pPr>
      <w:hyperlink w:anchor="_Toc227749153" w:history="1">
        <w:r w:rsidRPr="00EB34D0">
          <w:rPr>
            <w:rStyle w:val="Hyperlink"/>
          </w:rPr>
          <w:t>18.25</w:t>
        </w:r>
        <w:r>
          <w:rPr>
            <w:rFonts w:asciiTheme="minorHAnsi" w:eastAsiaTheme="minorEastAsia" w:hAnsiTheme="minorHAnsi"/>
            <w:kern w:val="2"/>
            <w:sz w:val="24"/>
            <w:szCs w:val="24"/>
            <w:lang w:eastAsia="en-AU"/>
            <w14:ligatures w14:val="standardContextual"/>
          </w:rPr>
          <w:tab/>
        </w:r>
        <w:r w:rsidRPr="00EB34D0">
          <w:rPr>
            <w:rStyle w:val="Hyperlink"/>
          </w:rPr>
          <w:t>Intended result</w:t>
        </w:r>
        <w:r>
          <w:rPr>
            <w:webHidden/>
          </w:rPr>
          <w:tab/>
        </w:r>
        <w:r>
          <w:rPr>
            <w:webHidden/>
          </w:rPr>
          <w:fldChar w:fldCharType="begin"/>
        </w:r>
        <w:r>
          <w:rPr>
            <w:webHidden/>
          </w:rPr>
          <w:instrText xml:space="preserve"> PAGEREF _Toc227749153 \h </w:instrText>
        </w:r>
        <w:r>
          <w:rPr>
            <w:webHidden/>
          </w:rPr>
        </w:r>
        <w:r>
          <w:rPr>
            <w:webHidden/>
          </w:rPr>
          <w:fldChar w:fldCharType="separate"/>
        </w:r>
        <w:r>
          <w:rPr>
            <w:webHidden/>
          </w:rPr>
          <w:t>71</w:t>
        </w:r>
        <w:r>
          <w:rPr>
            <w:webHidden/>
          </w:rPr>
          <w:fldChar w:fldCharType="end"/>
        </w:r>
      </w:hyperlink>
    </w:p>
    <w:p w14:paraId="27267C17" w14:textId="29F50F6B" w:rsidR="005F0BAD" w:rsidRDefault="005F0BAD">
      <w:pPr>
        <w:pStyle w:val="TOC2"/>
        <w:rPr>
          <w:rFonts w:asciiTheme="minorHAnsi" w:eastAsiaTheme="minorEastAsia" w:hAnsiTheme="minorHAnsi"/>
          <w:kern w:val="2"/>
          <w:sz w:val="24"/>
          <w:szCs w:val="24"/>
          <w:lang w:eastAsia="en-AU"/>
          <w14:ligatures w14:val="standardContextual"/>
        </w:rPr>
      </w:pPr>
      <w:hyperlink w:anchor="_Toc227749154" w:history="1">
        <w:r w:rsidRPr="00EB34D0">
          <w:rPr>
            <w:rStyle w:val="Hyperlink"/>
          </w:rPr>
          <w:t>18.26</w:t>
        </w:r>
        <w:r>
          <w:rPr>
            <w:rFonts w:asciiTheme="minorHAnsi" w:eastAsiaTheme="minorEastAsia" w:hAnsiTheme="minorHAnsi"/>
            <w:kern w:val="2"/>
            <w:sz w:val="24"/>
            <w:szCs w:val="24"/>
            <w:lang w:eastAsia="en-AU"/>
            <w14:ligatures w14:val="standardContextual"/>
          </w:rPr>
          <w:tab/>
        </w:r>
        <w:r w:rsidRPr="00EB34D0">
          <w:rPr>
            <w:rStyle w:val="Hyperlink"/>
          </w:rPr>
          <w:t>Machinery of government changes</w:t>
        </w:r>
        <w:r>
          <w:rPr>
            <w:webHidden/>
          </w:rPr>
          <w:tab/>
        </w:r>
        <w:r>
          <w:rPr>
            <w:webHidden/>
          </w:rPr>
          <w:fldChar w:fldCharType="begin"/>
        </w:r>
        <w:r>
          <w:rPr>
            <w:webHidden/>
          </w:rPr>
          <w:instrText xml:space="preserve"> PAGEREF _Toc227749154 \h </w:instrText>
        </w:r>
        <w:r>
          <w:rPr>
            <w:webHidden/>
          </w:rPr>
        </w:r>
        <w:r>
          <w:rPr>
            <w:webHidden/>
          </w:rPr>
          <w:fldChar w:fldCharType="separate"/>
        </w:r>
        <w:r>
          <w:rPr>
            <w:webHidden/>
          </w:rPr>
          <w:t>71</w:t>
        </w:r>
        <w:r>
          <w:rPr>
            <w:webHidden/>
          </w:rPr>
          <w:fldChar w:fldCharType="end"/>
        </w:r>
      </w:hyperlink>
    </w:p>
    <w:p w14:paraId="0A73513B" w14:textId="484CEB3A" w:rsidR="005F0BAD" w:rsidRDefault="005F0BAD">
      <w:pPr>
        <w:pStyle w:val="TOC2"/>
        <w:rPr>
          <w:rFonts w:asciiTheme="minorHAnsi" w:eastAsiaTheme="minorEastAsia" w:hAnsiTheme="minorHAnsi"/>
          <w:kern w:val="2"/>
          <w:sz w:val="24"/>
          <w:szCs w:val="24"/>
          <w:lang w:eastAsia="en-AU"/>
          <w14:ligatures w14:val="standardContextual"/>
        </w:rPr>
      </w:pPr>
      <w:hyperlink w:anchor="_Toc227749155" w:history="1">
        <w:r w:rsidRPr="00EB34D0">
          <w:rPr>
            <w:rStyle w:val="Hyperlink"/>
          </w:rPr>
          <w:t>18.27</w:t>
        </w:r>
        <w:r>
          <w:rPr>
            <w:rFonts w:asciiTheme="minorHAnsi" w:eastAsiaTheme="minorEastAsia" w:hAnsiTheme="minorHAnsi"/>
            <w:kern w:val="2"/>
            <w:sz w:val="24"/>
            <w:szCs w:val="24"/>
            <w:lang w:eastAsia="en-AU"/>
            <w14:ligatures w14:val="standardContextual"/>
          </w:rPr>
          <w:tab/>
        </w:r>
        <w:r w:rsidRPr="00EB34D0">
          <w:rPr>
            <w:rStyle w:val="Hyperlink"/>
          </w:rPr>
          <w:t>Measure</w:t>
        </w:r>
        <w:r>
          <w:rPr>
            <w:webHidden/>
          </w:rPr>
          <w:tab/>
        </w:r>
        <w:r>
          <w:rPr>
            <w:webHidden/>
          </w:rPr>
          <w:fldChar w:fldCharType="begin"/>
        </w:r>
        <w:r>
          <w:rPr>
            <w:webHidden/>
          </w:rPr>
          <w:instrText xml:space="preserve"> PAGEREF _Toc227749155 \h </w:instrText>
        </w:r>
        <w:r>
          <w:rPr>
            <w:webHidden/>
          </w:rPr>
        </w:r>
        <w:r>
          <w:rPr>
            <w:webHidden/>
          </w:rPr>
          <w:fldChar w:fldCharType="separate"/>
        </w:r>
        <w:r>
          <w:rPr>
            <w:webHidden/>
          </w:rPr>
          <w:t>71</w:t>
        </w:r>
        <w:r>
          <w:rPr>
            <w:webHidden/>
          </w:rPr>
          <w:fldChar w:fldCharType="end"/>
        </w:r>
      </w:hyperlink>
    </w:p>
    <w:p w14:paraId="04FFF3DE" w14:textId="06B5E914" w:rsidR="005F0BAD" w:rsidRDefault="005F0BAD">
      <w:pPr>
        <w:pStyle w:val="TOC2"/>
        <w:rPr>
          <w:rFonts w:asciiTheme="minorHAnsi" w:eastAsiaTheme="minorEastAsia" w:hAnsiTheme="minorHAnsi"/>
          <w:kern w:val="2"/>
          <w:sz w:val="24"/>
          <w:szCs w:val="24"/>
          <w:lang w:eastAsia="en-AU"/>
          <w14:ligatures w14:val="standardContextual"/>
        </w:rPr>
      </w:pPr>
      <w:hyperlink w:anchor="_Toc227749156" w:history="1">
        <w:r w:rsidRPr="00EB34D0">
          <w:rPr>
            <w:rStyle w:val="Hyperlink"/>
          </w:rPr>
          <w:t>18.28</w:t>
        </w:r>
        <w:r>
          <w:rPr>
            <w:rFonts w:asciiTheme="minorHAnsi" w:eastAsiaTheme="minorEastAsia" w:hAnsiTheme="minorHAnsi"/>
            <w:kern w:val="2"/>
            <w:sz w:val="24"/>
            <w:szCs w:val="24"/>
            <w:lang w:eastAsia="en-AU"/>
            <w14:ligatures w14:val="standardContextual"/>
          </w:rPr>
          <w:tab/>
        </w:r>
        <w:r w:rsidRPr="00EB34D0">
          <w:rPr>
            <w:rStyle w:val="Hyperlink"/>
          </w:rPr>
          <w:t>Mid-year Economic and Fiscal Outlook</w:t>
        </w:r>
        <w:r>
          <w:rPr>
            <w:webHidden/>
          </w:rPr>
          <w:tab/>
        </w:r>
        <w:r>
          <w:rPr>
            <w:webHidden/>
          </w:rPr>
          <w:fldChar w:fldCharType="begin"/>
        </w:r>
        <w:r>
          <w:rPr>
            <w:webHidden/>
          </w:rPr>
          <w:instrText xml:space="preserve"> PAGEREF _Toc227749156 \h </w:instrText>
        </w:r>
        <w:r>
          <w:rPr>
            <w:webHidden/>
          </w:rPr>
        </w:r>
        <w:r>
          <w:rPr>
            <w:webHidden/>
          </w:rPr>
          <w:fldChar w:fldCharType="separate"/>
        </w:r>
        <w:r>
          <w:rPr>
            <w:webHidden/>
          </w:rPr>
          <w:t>71</w:t>
        </w:r>
        <w:r>
          <w:rPr>
            <w:webHidden/>
          </w:rPr>
          <w:fldChar w:fldCharType="end"/>
        </w:r>
      </w:hyperlink>
    </w:p>
    <w:p w14:paraId="6A3B3E4C" w14:textId="2FA008FC" w:rsidR="005F0BAD" w:rsidRDefault="005F0BAD">
      <w:pPr>
        <w:pStyle w:val="TOC2"/>
        <w:rPr>
          <w:rFonts w:asciiTheme="minorHAnsi" w:eastAsiaTheme="minorEastAsia" w:hAnsiTheme="minorHAnsi"/>
          <w:kern w:val="2"/>
          <w:sz w:val="24"/>
          <w:szCs w:val="24"/>
          <w:lang w:eastAsia="en-AU"/>
          <w14:ligatures w14:val="standardContextual"/>
        </w:rPr>
      </w:pPr>
      <w:hyperlink w:anchor="_Toc227749157" w:history="1">
        <w:r w:rsidRPr="00EB34D0">
          <w:rPr>
            <w:rStyle w:val="Hyperlink"/>
          </w:rPr>
          <w:t>18.29</w:t>
        </w:r>
        <w:r>
          <w:rPr>
            <w:rFonts w:asciiTheme="minorHAnsi" w:eastAsiaTheme="minorEastAsia" w:hAnsiTheme="minorHAnsi"/>
            <w:kern w:val="2"/>
            <w:sz w:val="24"/>
            <w:szCs w:val="24"/>
            <w:lang w:eastAsia="en-AU"/>
            <w14:ligatures w14:val="standardContextual"/>
          </w:rPr>
          <w:tab/>
        </w:r>
        <w:r w:rsidRPr="00EB34D0">
          <w:rPr>
            <w:rStyle w:val="Hyperlink"/>
          </w:rPr>
          <w:t>Official Public Account</w:t>
        </w:r>
        <w:r>
          <w:rPr>
            <w:webHidden/>
          </w:rPr>
          <w:tab/>
        </w:r>
        <w:r>
          <w:rPr>
            <w:webHidden/>
          </w:rPr>
          <w:fldChar w:fldCharType="begin"/>
        </w:r>
        <w:r>
          <w:rPr>
            <w:webHidden/>
          </w:rPr>
          <w:instrText xml:space="preserve"> PAGEREF _Toc227749157 \h </w:instrText>
        </w:r>
        <w:r>
          <w:rPr>
            <w:webHidden/>
          </w:rPr>
        </w:r>
        <w:r>
          <w:rPr>
            <w:webHidden/>
          </w:rPr>
          <w:fldChar w:fldCharType="separate"/>
        </w:r>
        <w:r>
          <w:rPr>
            <w:webHidden/>
          </w:rPr>
          <w:t>71</w:t>
        </w:r>
        <w:r>
          <w:rPr>
            <w:webHidden/>
          </w:rPr>
          <w:fldChar w:fldCharType="end"/>
        </w:r>
      </w:hyperlink>
    </w:p>
    <w:p w14:paraId="7DD1E1B7" w14:textId="0329EF54" w:rsidR="005F0BAD" w:rsidRDefault="005F0BAD">
      <w:pPr>
        <w:pStyle w:val="TOC2"/>
        <w:rPr>
          <w:rFonts w:asciiTheme="minorHAnsi" w:eastAsiaTheme="minorEastAsia" w:hAnsiTheme="minorHAnsi"/>
          <w:kern w:val="2"/>
          <w:sz w:val="24"/>
          <w:szCs w:val="24"/>
          <w:lang w:eastAsia="en-AU"/>
          <w14:ligatures w14:val="standardContextual"/>
        </w:rPr>
      </w:pPr>
      <w:hyperlink w:anchor="_Toc227749158" w:history="1">
        <w:r w:rsidRPr="00EB34D0">
          <w:rPr>
            <w:rStyle w:val="Hyperlink"/>
          </w:rPr>
          <w:t>18.30</w:t>
        </w:r>
        <w:r>
          <w:rPr>
            <w:rFonts w:asciiTheme="minorHAnsi" w:eastAsiaTheme="minorEastAsia" w:hAnsiTheme="minorHAnsi"/>
            <w:kern w:val="2"/>
            <w:sz w:val="24"/>
            <w:szCs w:val="24"/>
            <w:lang w:eastAsia="en-AU"/>
            <w14:ligatures w14:val="standardContextual"/>
          </w:rPr>
          <w:tab/>
        </w:r>
        <w:r w:rsidRPr="00EB34D0">
          <w:rPr>
            <w:rStyle w:val="Hyperlink"/>
          </w:rPr>
          <w:t>Operating expenditure (of heritage and cultural assets)</w:t>
        </w:r>
        <w:r>
          <w:rPr>
            <w:webHidden/>
          </w:rPr>
          <w:tab/>
        </w:r>
        <w:r>
          <w:rPr>
            <w:webHidden/>
          </w:rPr>
          <w:fldChar w:fldCharType="begin"/>
        </w:r>
        <w:r>
          <w:rPr>
            <w:webHidden/>
          </w:rPr>
          <w:instrText xml:space="preserve"> PAGEREF _Toc227749158 \h </w:instrText>
        </w:r>
        <w:r>
          <w:rPr>
            <w:webHidden/>
          </w:rPr>
        </w:r>
        <w:r>
          <w:rPr>
            <w:webHidden/>
          </w:rPr>
          <w:fldChar w:fldCharType="separate"/>
        </w:r>
        <w:r>
          <w:rPr>
            <w:webHidden/>
          </w:rPr>
          <w:t>71</w:t>
        </w:r>
        <w:r>
          <w:rPr>
            <w:webHidden/>
          </w:rPr>
          <w:fldChar w:fldCharType="end"/>
        </w:r>
      </w:hyperlink>
    </w:p>
    <w:p w14:paraId="77CD3033" w14:textId="780DBD22" w:rsidR="005F0BAD" w:rsidRDefault="005F0BAD">
      <w:pPr>
        <w:pStyle w:val="TOC2"/>
        <w:rPr>
          <w:rFonts w:asciiTheme="minorHAnsi" w:eastAsiaTheme="minorEastAsia" w:hAnsiTheme="minorHAnsi"/>
          <w:kern w:val="2"/>
          <w:sz w:val="24"/>
          <w:szCs w:val="24"/>
          <w:lang w:eastAsia="en-AU"/>
          <w14:ligatures w14:val="standardContextual"/>
        </w:rPr>
      </w:pPr>
      <w:hyperlink w:anchor="_Toc227749159" w:history="1">
        <w:r w:rsidRPr="00EB34D0">
          <w:rPr>
            <w:rStyle w:val="Hyperlink"/>
          </w:rPr>
          <w:t>18.31</w:t>
        </w:r>
        <w:r>
          <w:rPr>
            <w:rFonts w:asciiTheme="minorHAnsi" w:eastAsiaTheme="minorEastAsia" w:hAnsiTheme="minorHAnsi"/>
            <w:kern w:val="2"/>
            <w:sz w:val="24"/>
            <w:szCs w:val="24"/>
            <w:lang w:eastAsia="en-AU"/>
            <w14:ligatures w14:val="standardContextual"/>
          </w:rPr>
          <w:tab/>
        </w:r>
        <w:r w:rsidRPr="00EB34D0">
          <w:rPr>
            <w:rStyle w:val="Hyperlink"/>
          </w:rPr>
          <w:t>Outcome</w:t>
        </w:r>
        <w:r>
          <w:rPr>
            <w:webHidden/>
          </w:rPr>
          <w:tab/>
        </w:r>
        <w:r>
          <w:rPr>
            <w:webHidden/>
          </w:rPr>
          <w:fldChar w:fldCharType="begin"/>
        </w:r>
        <w:r>
          <w:rPr>
            <w:webHidden/>
          </w:rPr>
          <w:instrText xml:space="preserve"> PAGEREF _Toc227749159 \h </w:instrText>
        </w:r>
        <w:r>
          <w:rPr>
            <w:webHidden/>
          </w:rPr>
        </w:r>
        <w:r>
          <w:rPr>
            <w:webHidden/>
          </w:rPr>
          <w:fldChar w:fldCharType="separate"/>
        </w:r>
        <w:r>
          <w:rPr>
            <w:webHidden/>
          </w:rPr>
          <w:t>72</w:t>
        </w:r>
        <w:r>
          <w:rPr>
            <w:webHidden/>
          </w:rPr>
          <w:fldChar w:fldCharType="end"/>
        </w:r>
      </w:hyperlink>
    </w:p>
    <w:p w14:paraId="15BF0526" w14:textId="086F4F2B" w:rsidR="005F0BAD" w:rsidRDefault="005F0BAD">
      <w:pPr>
        <w:pStyle w:val="TOC2"/>
        <w:rPr>
          <w:rFonts w:asciiTheme="minorHAnsi" w:eastAsiaTheme="minorEastAsia" w:hAnsiTheme="minorHAnsi"/>
          <w:kern w:val="2"/>
          <w:sz w:val="24"/>
          <w:szCs w:val="24"/>
          <w:lang w:eastAsia="en-AU"/>
          <w14:ligatures w14:val="standardContextual"/>
        </w:rPr>
      </w:pPr>
      <w:hyperlink w:anchor="_Toc227749160" w:history="1">
        <w:r w:rsidRPr="00EB34D0">
          <w:rPr>
            <w:rStyle w:val="Hyperlink"/>
          </w:rPr>
          <w:t>18.32</w:t>
        </w:r>
        <w:r>
          <w:rPr>
            <w:rFonts w:asciiTheme="minorHAnsi" w:eastAsiaTheme="minorEastAsia" w:hAnsiTheme="minorHAnsi"/>
            <w:kern w:val="2"/>
            <w:sz w:val="24"/>
            <w:szCs w:val="24"/>
            <w:lang w:eastAsia="en-AU"/>
            <w14:ligatures w14:val="standardContextual"/>
          </w:rPr>
          <w:tab/>
        </w:r>
        <w:r w:rsidRPr="00EB34D0">
          <w:rPr>
            <w:rStyle w:val="Hyperlink"/>
          </w:rPr>
          <w:t>Outcome statement</w:t>
        </w:r>
        <w:r>
          <w:rPr>
            <w:webHidden/>
          </w:rPr>
          <w:tab/>
        </w:r>
        <w:r>
          <w:rPr>
            <w:webHidden/>
          </w:rPr>
          <w:fldChar w:fldCharType="begin"/>
        </w:r>
        <w:r>
          <w:rPr>
            <w:webHidden/>
          </w:rPr>
          <w:instrText xml:space="preserve"> PAGEREF _Toc227749160 \h </w:instrText>
        </w:r>
        <w:r>
          <w:rPr>
            <w:webHidden/>
          </w:rPr>
        </w:r>
        <w:r>
          <w:rPr>
            <w:webHidden/>
          </w:rPr>
          <w:fldChar w:fldCharType="separate"/>
        </w:r>
        <w:r>
          <w:rPr>
            <w:webHidden/>
          </w:rPr>
          <w:t>72</w:t>
        </w:r>
        <w:r>
          <w:rPr>
            <w:webHidden/>
          </w:rPr>
          <w:fldChar w:fldCharType="end"/>
        </w:r>
      </w:hyperlink>
    </w:p>
    <w:p w14:paraId="5C353694" w14:textId="050D3656" w:rsidR="005F0BAD" w:rsidRDefault="005F0BAD">
      <w:pPr>
        <w:pStyle w:val="TOC2"/>
        <w:rPr>
          <w:rFonts w:asciiTheme="minorHAnsi" w:eastAsiaTheme="minorEastAsia" w:hAnsiTheme="minorHAnsi"/>
          <w:kern w:val="2"/>
          <w:sz w:val="24"/>
          <w:szCs w:val="24"/>
          <w:lang w:eastAsia="en-AU"/>
          <w14:ligatures w14:val="standardContextual"/>
        </w:rPr>
      </w:pPr>
      <w:hyperlink w:anchor="_Toc227749161" w:history="1">
        <w:r w:rsidRPr="00EB34D0">
          <w:rPr>
            <w:rStyle w:val="Hyperlink"/>
          </w:rPr>
          <w:t>18.33</w:t>
        </w:r>
        <w:r>
          <w:rPr>
            <w:rFonts w:asciiTheme="minorHAnsi" w:eastAsiaTheme="minorEastAsia" w:hAnsiTheme="minorHAnsi"/>
            <w:kern w:val="2"/>
            <w:sz w:val="24"/>
            <w:szCs w:val="24"/>
            <w:lang w:eastAsia="en-AU"/>
            <w14:ligatures w14:val="standardContextual"/>
          </w:rPr>
          <w:tab/>
        </w:r>
        <w:r w:rsidRPr="00EB34D0">
          <w:rPr>
            <w:rStyle w:val="Hyperlink"/>
          </w:rPr>
          <w:t>PB Statements</w:t>
        </w:r>
        <w:r>
          <w:rPr>
            <w:webHidden/>
          </w:rPr>
          <w:tab/>
        </w:r>
        <w:r>
          <w:rPr>
            <w:webHidden/>
          </w:rPr>
          <w:fldChar w:fldCharType="begin"/>
        </w:r>
        <w:r>
          <w:rPr>
            <w:webHidden/>
          </w:rPr>
          <w:instrText xml:space="preserve"> PAGEREF _Toc227749161 \h </w:instrText>
        </w:r>
        <w:r>
          <w:rPr>
            <w:webHidden/>
          </w:rPr>
        </w:r>
        <w:r>
          <w:rPr>
            <w:webHidden/>
          </w:rPr>
          <w:fldChar w:fldCharType="separate"/>
        </w:r>
        <w:r>
          <w:rPr>
            <w:webHidden/>
          </w:rPr>
          <w:t>72</w:t>
        </w:r>
        <w:r>
          <w:rPr>
            <w:webHidden/>
          </w:rPr>
          <w:fldChar w:fldCharType="end"/>
        </w:r>
      </w:hyperlink>
    </w:p>
    <w:p w14:paraId="007BB951" w14:textId="437F16CC" w:rsidR="005F0BAD" w:rsidRDefault="005F0BAD">
      <w:pPr>
        <w:pStyle w:val="TOC2"/>
        <w:rPr>
          <w:rFonts w:asciiTheme="minorHAnsi" w:eastAsiaTheme="minorEastAsia" w:hAnsiTheme="minorHAnsi"/>
          <w:kern w:val="2"/>
          <w:sz w:val="24"/>
          <w:szCs w:val="24"/>
          <w:lang w:eastAsia="en-AU"/>
          <w14:ligatures w14:val="standardContextual"/>
        </w:rPr>
      </w:pPr>
      <w:hyperlink w:anchor="_Toc227749162" w:history="1">
        <w:r w:rsidRPr="00EB34D0">
          <w:rPr>
            <w:rStyle w:val="Hyperlink"/>
          </w:rPr>
          <w:t>18.34</w:t>
        </w:r>
        <w:r>
          <w:rPr>
            <w:rFonts w:asciiTheme="minorHAnsi" w:eastAsiaTheme="minorEastAsia" w:hAnsiTheme="minorHAnsi"/>
            <w:kern w:val="2"/>
            <w:sz w:val="24"/>
            <w:szCs w:val="24"/>
            <w:lang w:eastAsia="en-AU"/>
            <w14:ligatures w14:val="standardContextual"/>
          </w:rPr>
          <w:tab/>
        </w:r>
        <w:r w:rsidRPr="00EB34D0">
          <w:rPr>
            <w:rStyle w:val="Hyperlink"/>
          </w:rPr>
          <w:t>PGPA Act flipchart and list</w:t>
        </w:r>
        <w:r>
          <w:rPr>
            <w:webHidden/>
          </w:rPr>
          <w:tab/>
        </w:r>
        <w:r>
          <w:rPr>
            <w:webHidden/>
          </w:rPr>
          <w:fldChar w:fldCharType="begin"/>
        </w:r>
        <w:r>
          <w:rPr>
            <w:webHidden/>
          </w:rPr>
          <w:instrText xml:space="preserve"> PAGEREF _Toc227749162 \h </w:instrText>
        </w:r>
        <w:r>
          <w:rPr>
            <w:webHidden/>
          </w:rPr>
        </w:r>
        <w:r>
          <w:rPr>
            <w:webHidden/>
          </w:rPr>
          <w:fldChar w:fldCharType="separate"/>
        </w:r>
        <w:r>
          <w:rPr>
            <w:webHidden/>
          </w:rPr>
          <w:t>72</w:t>
        </w:r>
        <w:r>
          <w:rPr>
            <w:webHidden/>
          </w:rPr>
          <w:fldChar w:fldCharType="end"/>
        </w:r>
      </w:hyperlink>
    </w:p>
    <w:p w14:paraId="2580FAF8" w14:textId="296EEEF9" w:rsidR="005F0BAD" w:rsidRDefault="005F0BAD">
      <w:pPr>
        <w:pStyle w:val="TOC2"/>
        <w:rPr>
          <w:rFonts w:asciiTheme="minorHAnsi" w:eastAsiaTheme="minorEastAsia" w:hAnsiTheme="minorHAnsi"/>
          <w:kern w:val="2"/>
          <w:sz w:val="24"/>
          <w:szCs w:val="24"/>
          <w:lang w:eastAsia="en-AU"/>
          <w14:ligatures w14:val="standardContextual"/>
        </w:rPr>
      </w:pPr>
      <w:hyperlink w:anchor="_Toc227749163" w:history="1">
        <w:r w:rsidRPr="00EB34D0">
          <w:rPr>
            <w:rStyle w:val="Hyperlink"/>
          </w:rPr>
          <w:t>18.35</w:t>
        </w:r>
        <w:r>
          <w:rPr>
            <w:rFonts w:asciiTheme="minorHAnsi" w:eastAsiaTheme="minorEastAsia" w:hAnsiTheme="minorHAnsi"/>
            <w:kern w:val="2"/>
            <w:sz w:val="24"/>
            <w:szCs w:val="24"/>
            <w:lang w:eastAsia="en-AU"/>
            <w14:ligatures w14:val="standardContextual"/>
          </w:rPr>
          <w:tab/>
        </w:r>
        <w:r w:rsidRPr="00EB34D0">
          <w:rPr>
            <w:rStyle w:val="Hyperlink"/>
          </w:rPr>
          <w:t>Portfolio Additional Estimates Statements</w:t>
        </w:r>
        <w:r>
          <w:rPr>
            <w:webHidden/>
          </w:rPr>
          <w:tab/>
        </w:r>
        <w:r>
          <w:rPr>
            <w:webHidden/>
          </w:rPr>
          <w:fldChar w:fldCharType="begin"/>
        </w:r>
        <w:r>
          <w:rPr>
            <w:webHidden/>
          </w:rPr>
          <w:instrText xml:space="preserve"> PAGEREF _Toc227749163 \h </w:instrText>
        </w:r>
        <w:r>
          <w:rPr>
            <w:webHidden/>
          </w:rPr>
        </w:r>
        <w:r>
          <w:rPr>
            <w:webHidden/>
          </w:rPr>
          <w:fldChar w:fldCharType="separate"/>
        </w:r>
        <w:r>
          <w:rPr>
            <w:webHidden/>
          </w:rPr>
          <w:t>72</w:t>
        </w:r>
        <w:r>
          <w:rPr>
            <w:webHidden/>
          </w:rPr>
          <w:fldChar w:fldCharType="end"/>
        </w:r>
      </w:hyperlink>
    </w:p>
    <w:p w14:paraId="6028CBD1" w14:textId="6EB29166" w:rsidR="005F0BAD" w:rsidRDefault="005F0BAD">
      <w:pPr>
        <w:pStyle w:val="TOC2"/>
        <w:rPr>
          <w:rFonts w:asciiTheme="minorHAnsi" w:eastAsiaTheme="minorEastAsia" w:hAnsiTheme="minorHAnsi"/>
          <w:kern w:val="2"/>
          <w:sz w:val="24"/>
          <w:szCs w:val="24"/>
          <w:lang w:eastAsia="en-AU"/>
          <w14:ligatures w14:val="standardContextual"/>
        </w:rPr>
      </w:pPr>
      <w:hyperlink w:anchor="_Toc227749164" w:history="1">
        <w:r w:rsidRPr="00EB34D0">
          <w:rPr>
            <w:rStyle w:val="Hyperlink"/>
          </w:rPr>
          <w:t>18.36</w:t>
        </w:r>
        <w:r>
          <w:rPr>
            <w:rFonts w:asciiTheme="minorHAnsi" w:eastAsiaTheme="minorEastAsia" w:hAnsiTheme="minorHAnsi"/>
            <w:kern w:val="2"/>
            <w:sz w:val="24"/>
            <w:szCs w:val="24"/>
            <w:lang w:eastAsia="en-AU"/>
            <w14:ligatures w14:val="standardContextual"/>
          </w:rPr>
          <w:tab/>
        </w:r>
        <w:r w:rsidRPr="00EB34D0">
          <w:rPr>
            <w:rStyle w:val="Hyperlink"/>
          </w:rPr>
          <w:t>Portfolio Budget Statements</w:t>
        </w:r>
        <w:r>
          <w:rPr>
            <w:webHidden/>
          </w:rPr>
          <w:tab/>
        </w:r>
        <w:r>
          <w:rPr>
            <w:webHidden/>
          </w:rPr>
          <w:fldChar w:fldCharType="begin"/>
        </w:r>
        <w:r>
          <w:rPr>
            <w:webHidden/>
          </w:rPr>
          <w:instrText xml:space="preserve"> PAGEREF _Toc227749164 \h </w:instrText>
        </w:r>
        <w:r>
          <w:rPr>
            <w:webHidden/>
          </w:rPr>
        </w:r>
        <w:r>
          <w:rPr>
            <w:webHidden/>
          </w:rPr>
          <w:fldChar w:fldCharType="separate"/>
        </w:r>
        <w:r>
          <w:rPr>
            <w:webHidden/>
          </w:rPr>
          <w:t>72</w:t>
        </w:r>
        <w:r>
          <w:rPr>
            <w:webHidden/>
          </w:rPr>
          <w:fldChar w:fldCharType="end"/>
        </w:r>
      </w:hyperlink>
    </w:p>
    <w:p w14:paraId="18200076" w14:textId="141B233F" w:rsidR="005F0BAD" w:rsidRDefault="005F0BAD">
      <w:pPr>
        <w:pStyle w:val="TOC2"/>
        <w:rPr>
          <w:rFonts w:asciiTheme="minorHAnsi" w:eastAsiaTheme="minorEastAsia" w:hAnsiTheme="minorHAnsi"/>
          <w:kern w:val="2"/>
          <w:sz w:val="24"/>
          <w:szCs w:val="24"/>
          <w:lang w:eastAsia="en-AU"/>
          <w14:ligatures w14:val="standardContextual"/>
        </w:rPr>
      </w:pPr>
      <w:hyperlink w:anchor="_Toc227749165" w:history="1">
        <w:r w:rsidRPr="00EB34D0">
          <w:rPr>
            <w:rStyle w:val="Hyperlink"/>
          </w:rPr>
          <w:t>18.37</w:t>
        </w:r>
        <w:r>
          <w:rPr>
            <w:rFonts w:asciiTheme="minorHAnsi" w:eastAsiaTheme="minorEastAsia" w:hAnsiTheme="minorHAnsi"/>
            <w:kern w:val="2"/>
            <w:sz w:val="24"/>
            <w:szCs w:val="24"/>
            <w:lang w:eastAsia="en-AU"/>
            <w14:ligatures w14:val="standardContextual"/>
          </w:rPr>
          <w:tab/>
        </w:r>
        <w:r w:rsidRPr="00EB34D0">
          <w:rPr>
            <w:rStyle w:val="Hyperlink"/>
          </w:rPr>
          <w:t>Pre-Election Fiscal Outlook</w:t>
        </w:r>
        <w:r>
          <w:rPr>
            <w:webHidden/>
          </w:rPr>
          <w:tab/>
        </w:r>
        <w:r>
          <w:rPr>
            <w:webHidden/>
          </w:rPr>
          <w:fldChar w:fldCharType="begin"/>
        </w:r>
        <w:r>
          <w:rPr>
            <w:webHidden/>
          </w:rPr>
          <w:instrText xml:space="preserve"> PAGEREF _Toc227749165 \h </w:instrText>
        </w:r>
        <w:r>
          <w:rPr>
            <w:webHidden/>
          </w:rPr>
        </w:r>
        <w:r>
          <w:rPr>
            <w:webHidden/>
          </w:rPr>
          <w:fldChar w:fldCharType="separate"/>
        </w:r>
        <w:r>
          <w:rPr>
            <w:webHidden/>
          </w:rPr>
          <w:t>73</w:t>
        </w:r>
        <w:r>
          <w:rPr>
            <w:webHidden/>
          </w:rPr>
          <w:fldChar w:fldCharType="end"/>
        </w:r>
      </w:hyperlink>
    </w:p>
    <w:p w14:paraId="1EBE5D7A" w14:textId="2AFC6C73" w:rsidR="005F0BAD" w:rsidRDefault="005F0BAD">
      <w:pPr>
        <w:pStyle w:val="TOC2"/>
        <w:rPr>
          <w:rFonts w:asciiTheme="minorHAnsi" w:eastAsiaTheme="minorEastAsia" w:hAnsiTheme="minorHAnsi"/>
          <w:kern w:val="2"/>
          <w:sz w:val="24"/>
          <w:szCs w:val="24"/>
          <w:lang w:eastAsia="en-AU"/>
          <w14:ligatures w14:val="standardContextual"/>
        </w:rPr>
      </w:pPr>
      <w:hyperlink w:anchor="_Toc227749166" w:history="1">
        <w:r w:rsidRPr="00EB34D0">
          <w:rPr>
            <w:rStyle w:val="Hyperlink"/>
          </w:rPr>
          <w:t>18.38</w:t>
        </w:r>
        <w:r>
          <w:rPr>
            <w:rFonts w:asciiTheme="minorHAnsi" w:eastAsiaTheme="minorEastAsia" w:hAnsiTheme="minorHAnsi"/>
            <w:kern w:val="2"/>
            <w:sz w:val="24"/>
            <w:szCs w:val="24"/>
            <w:lang w:eastAsia="en-AU"/>
            <w14:ligatures w14:val="standardContextual"/>
          </w:rPr>
          <w:tab/>
        </w:r>
        <w:r w:rsidRPr="00EB34D0">
          <w:rPr>
            <w:rStyle w:val="Hyperlink"/>
          </w:rPr>
          <w:t>Primary Reporting and Information Management Aid</w:t>
        </w:r>
        <w:r>
          <w:rPr>
            <w:webHidden/>
          </w:rPr>
          <w:tab/>
        </w:r>
        <w:r>
          <w:rPr>
            <w:webHidden/>
          </w:rPr>
          <w:fldChar w:fldCharType="begin"/>
        </w:r>
        <w:r>
          <w:rPr>
            <w:webHidden/>
          </w:rPr>
          <w:instrText xml:space="preserve"> PAGEREF _Toc227749166 \h </w:instrText>
        </w:r>
        <w:r>
          <w:rPr>
            <w:webHidden/>
          </w:rPr>
        </w:r>
        <w:r>
          <w:rPr>
            <w:webHidden/>
          </w:rPr>
          <w:fldChar w:fldCharType="separate"/>
        </w:r>
        <w:r>
          <w:rPr>
            <w:webHidden/>
          </w:rPr>
          <w:t>73</w:t>
        </w:r>
        <w:r>
          <w:rPr>
            <w:webHidden/>
          </w:rPr>
          <w:fldChar w:fldCharType="end"/>
        </w:r>
      </w:hyperlink>
    </w:p>
    <w:p w14:paraId="0814C40D" w14:textId="1A28C293" w:rsidR="005F0BAD" w:rsidRDefault="005F0BAD">
      <w:pPr>
        <w:pStyle w:val="TOC2"/>
        <w:rPr>
          <w:rFonts w:asciiTheme="minorHAnsi" w:eastAsiaTheme="minorEastAsia" w:hAnsiTheme="minorHAnsi"/>
          <w:kern w:val="2"/>
          <w:sz w:val="24"/>
          <w:szCs w:val="24"/>
          <w:lang w:eastAsia="en-AU"/>
          <w14:ligatures w14:val="standardContextual"/>
        </w:rPr>
      </w:pPr>
      <w:hyperlink w:anchor="_Toc227749167" w:history="1">
        <w:r w:rsidRPr="00EB34D0">
          <w:rPr>
            <w:rStyle w:val="Hyperlink"/>
          </w:rPr>
          <w:t>18.39</w:t>
        </w:r>
        <w:r>
          <w:rPr>
            <w:rFonts w:asciiTheme="minorHAnsi" w:eastAsiaTheme="minorEastAsia" w:hAnsiTheme="minorHAnsi"/>
            <w:kern w:val="2"/>
            <w:sz w:val="24"/>
            <w:szCs w:val="24"/>
            <w:lang w:eastAsia="en-AU"/>
            <w14:ligatures w14:val="standardContextual"/>
          </w:rPr>
          <w:tab/>
        </w:r>
        <w:r w:rsidRPr="00EB34D0">
          <w:rPr>
            <w:rStyle w:val="Hyperlink"/>
          </w:rPr>
          <w:t>Program</w:t>
        </w:r>
        <w:r>
          <w:rPr>
            <w:webHidden/>
          </w:rPr>
          <w:tab/>
        </w:r>
        <w:r>
          <w:rPr>
            <w:webHidden/>
          </w:rPr>
          <w:fldChar w:fldCharType="begin"/>
        </w:r>
        <w:r>
          <w:rPr>
            <w:webHidden/>
          </w:rPr>
          <w:instrText xml:space="preserve"> PAGEREF _Toc227749167 \h </w:instrText>
        </w:r>
        <w:r>
          <w:rPr>
            <w:webHidden/>
          </w:rPr>
        </w:r>
        <w:r>
          <w:rPr>
            <w:webHidden/>
          </w:rPr>
          <w:fldChar w:fldCharType="separate"/>
        </w:r>
        <w:r>
          <w:rPr>
            <w:webHidden/>
          </w:rPr>
          <w:t>73</w:t>
        </w:r>
        <w:r>
          <w:rPr>
            <w:webHidden/>
          </w:rPr>
          <w:fldChar w:fldCharType="end"/>
        </w:r>
      </w:hyperlink>
    </w:p>
    <w:p w14:paraId="1FB1D914" w14:textId="018AC069" w:rsidR="005F0BAD" w:rsidRDefault="005F0BAD">
      <w:pPr>
        <w:pStyle w:val="TOC2"/>
        <w:rPr>
          <w:rFonts w:asciiTheme="minorHAnsi" w:eastAsiaTheme="minorEastAsia" w:hAnsiTheme="minorHAnsi"/>
          <w:kern w:val="2"/>
          <w:sz w:val="24"/>
          <w:szCs w:val="24"/>
          <w:lang w:eastAsia="en-AU"/>
          <w14:ligatures w14:val="standardContextual"/>
        </w:rPr>
      </w:pPr>
      <w:hyperlink w:anchor="_Toc227749168" w:history="1">
        <w:r w:rsidRPr="00EB34D0">
          <w:rPr>
            <w:rStyle w:val="Hyperlink"/>
          </w:rPr>
          <w:t>18.40</w:t>
        </w:r>
        <w:r>
          <w:rPr>
            <w:rFonts w:asciiTheme="minorHAnsi" w:eastAsiaTheme="minorEastAsia" w:hAnsiTheme="minorHAnsi"/>
            <w:kern w:val="2"/>
            <w:sz w:val="24"/>
            <w:szCs w:val="24"/>
            <w:lang w:eastAsia="en-AU"/>
            <w14:ligatures w14:val="standardContextual"/>
          </w:rPr>
          <w:tab/>
        </w:r>
        <w:r w:rsidRPr="00EB34D0">
          <w:rPr>
            <w:rStyle w:val="Hyperlink"/>
          </w:rPr>
          <w:t>Program support</w:t>
        </w:r>
        <w:r>
          <w:rPr>
            <w:webHidden/>
          </w:rPr>
          <w:tab/>
        </w:r>
        <w:r>
          <w:rPr>
            <w:webHidden/>
          </w:rPr>
          <w:fldChar w:fldCharType="begin"/>
        </w:r>
        <w:r>
          <w:rPr>
            <w:webHidden/>
          </w:rPr>
          <w:instrText xml:space="preserve"> PAGEREF _Toc227749168 \h </w:instrText>
        </w:r>
        <w:r>
          <w:rPr>
            <w:webHidden/>
          </w:rPr>
        </w:r>
        <w:r>
          <w:rPr>
            <w:webHidden/>
          </w:rPr>
          <w:fldChar w:fldCharType="separate"/>
        </w:r>
        <w:r>
          <w:rPr>
            <w:webHidden/>
          </w:rPr>
          <w:t>73</w:t>
        </w:r>
        <w:r>
          <w:rPr>
            <w:webHidden/>
          </w:rPr>
          <w:fldChar w:fldCharType="end"/>
        </w:r>
      </w:hyperlink>
    </w:p>
    <w:p w14:paraId="04E18A25" w14:textId="105F1290" w:rsidR="005F0BAD" w:rsidRDefault="005F0BAD">
      <w:pPr>
        <w:pStyle w:val="TOC2"/>
        <w:rPr>
          <w:rFonts w:asciiTheme="minorHAnsi" w:eastAsiaTheme="minorEastAsia" w:hAnsiTheme="minorHAnsi"/>
          <w:kern w:val="2"/>
          <w:sz w:val="24"/>
          <w:szCs w:val="24"/>
          <w:lang w:eastAsia="en-AU"/>
          <w14:ligatures w14:val="standardContextual"/>
        </w:rPr>
      </w:pPr>
      <w:hyperlink w:anchor="_Toc227749169" w:history="1">
        <w:r w:rsidRPr="00EB34D0">
          <w:rPr>
            <w:rStyle w:val="Hyperlink"/>
          </w:rPr>
          <w:t>18.41</w:t>
        </w:r>
        <w:r>
          <w:rPr>
            <w:rFonts w:asciiTheme="minorHAnsi" w:eastAsiaTheme="minorEastAsia" w:hAnsiTheme="minorHAnsi"/>
            <w:kern w:val="2"/>
            <w:sz w:val="24"/>
            <w:szCs w:val="24"/>
            <w:lang w:eastAsia="en-AU"/>
            <w14:ligatures w14:val="standardContextual"/>
          </w:rPr>
          <w:tab/>
        </w:r>
        <w:r w:rsidRPr="00EB34D0">
          <w:rPr>
            <w:rStyle w:val="Hyperlink"/>
          </w:rPr>
          <w:t>Public Governance, Performance and Accountability Act 2013</w:t>
        </w:r>
        <w:r>
          <w:rPr>
            <w:webHidden/>
          </w:rPr>
          <w:tab/>
        </w:r>
        <w:r>
          <w:rPr>
            <w:webHidden/>
          </w:rPr>
          <w:fldChar w:fldCharType="begin"/>
        </w:r>
        <w:r>
          <w:rPr>
            <w:webHidden/>
          </w:rPr>
          <w:instrText xml:space="preserve"> PAGEREF _Toc227749169 \h </w:instrText>
        </w:r>
        <w:r>
          <w:rPr>
            <w:webHidden/>
          </w:rPr>
        </w:r>
        <w:r>
          <w:rPr>
            <w:webHidden/>
          </w:rPr>
          <w:fldChar w:fldCharType="separate"/>
        </w:r>
        <w:r>
          <w:rPr>
            <w:webHidden/>
          </w:rPr>
          <w:t>73</w:t>
        </w:r>
        <w:r>
          <w:rPr>
            <w:webHidden/>
          </w:rPr>
          <w:fldChar w:fldCharType="end"/>
        </w:r>
      </w:hyperlink>
    </w:p>
    <w:p w14:paraId="5B7D518E" w14:textId="0603E4F7" w:rsidR="005F0BAD" w:rsidRDefault="005F0BAD">
      <w:pPr>
        <w:pStyle w:val="TOC2"/>
        <w:rPr>
          <w:rFonts w:asciiTheme="minorHAnsi" w:eastAsiaTheme="minorEastAsia" w:hAnsiTheme="minorHAnsi"/>
          <w:kern w:val="2"/>
          <w:sz w:val="24"/>
          <w:szCs w:val="24"/>
          <w:lang w:eastAsia="en-AU"/>
          <w14:ligatures w14:val="standardContextual"/>
        </w:rPr>
      </w:pPr>
      <w:hyperlink w:anchor="_Toc227749170" w:history="1">
        <w:r w:rsidRPr="00EB34D0">
          <w:rPr>
            <w:rStyle w:val="Hyperlink"/>
          </w:rPr>
          <w:t>18.42</w:t>
        </w:r>
        <w:r>
          <w:rPr>
            <w:rFonts w:asciiTheme="minorHAnsi" w:eastAsiaTheme="minorEastAsia" w:hAnsiTheme="minorHAnsi"/>
            <w:kern w:val="2"/>
            <w:sz w:val="24"/>
            <w:szCs w:val="24"/>
            <w:lang w:eastAsia="en-AU"/>
            <w14:ligatures w14:val="standardContextual"/>
          </w:rPr>
          <w:tab/>
        </w:r>
        <w:r w:rsidRPr="00EB34D0">
          <w:rPr>
            <w:rStyle w:val="Hyperlink"/>
          </w:rPr>
          <w:t>Purposes</w:t>
        </w:r>
        <w:r>
          <w:rPr>
            <w:webHidden/>
          </w:rPr>
          <w:tab/>
        </w:r>
        <w:r>
          <w:rPr>
            <w:webHidden/>
          </w:rPr>
          <w:fldChar w:fldCharType="begin"/>
        </w:r>
        <w:r>
          <w:rPr>
            <w:webHidden/>
          </w:rPr>
          <w:instrText xml:space="preserve"> PAGEREF _Toc227749170 \h </w:instrText>
        </w:r>
        <w:r>
          <w:rPr>
            <w:webHidden/>
          </w:rPr>
        </w:r>
        <w:r>
          <w:rPr>
            <w:webHidden/>
          </w:rPr>
          <w:fldChar w:fldCharType="separate"/>
        </w:r>
        <w:r>
          <w:rPr>
            <w:webHidden/>
          </w:rPr>
          <w:t>73</w:t>
        </w:r>
        <w:r>
          <w:rPr>
            <w:webHidden/>
          </w:rPr>
          <w:fldChar w:fldCharType="end"/>
        </w:r>
      </w:hyperlink>
    </w:p>
    <w:p w14:paraId="71AEA38D" w14:textId="1031F321" w:rsidR="005F0BAD" w:rsidRDefault="005F0BAD">
      <w:pPr>
        <w:pStyle w:val="TOC2"/>
        <w:rPr>
          <w:rFonts w:asciiTheme="minorHAnsi" w:eastAsiaTheme="minorEastAsia" w:hAnsiTheme="minorHAnsi"/>
          <w:kern w:val="2"/>
          <w:sz w:val="24"/>
          <w:szCs w:val="24"/>
          <w:lang w:eastAsia="en-AU"/>
          <w14:ligatures w14:val="standardContextual"/>
        </w:rPr>
      </w:pPr>
      <w:hyperlink w:anchor="_Toc227749171" w:history="1">
        <w:r w:rsidRPr="00EB34D0">
          <w:rPr>
            <w:rStyle w:val="Hyperlink"/>
          </w:rPr>
          <w:t>18.43</w:t>
        </w:r>
        <w:r>
          <w:rPr>
            <w:rFonts w:asciiTheme="minorHAnsi" w:eastAsiaTheme="minorEastAsia" w:hAnsiTheme="minorHAnsi"/>
            <w:kern w:val="2"/>
            <w:sz w:val="24"/>
            <w:szCs w:val="24"/>
            <w:lang w:eastAsia="en-AU"/>
            <w14:ligatures w14:val="standardContextual"/>
          </w:rPr>
          <w:tab/>
        </w:r>
        <w:r w:rsidRPr="00EB34D0">
          <w:rPr>
            <w:rStyle w:val="Hyperlink"/>
          </w:rPr>
          <w:t>Right-of-Use Asset</w:t>
        </w:r>
        <w:r>
          <w:rPr>
            <w:webHidden/>
          </w:rPr>
          <w:tab/>
        </w:r>
        <w:r>
          <w:rPr>
            <w:webHidden/>
          </w:rPr>
          <w:fldChar w:fldCharType="begin"/>
        </w:r>
        <w:r>
          <w:rPr>
            <w:webHidden/>
          </w:rPr>
          <w:instrText xml:space="preserve"> PAGEREF _Toc227749171 \h </w:instrText>
        </w:r>
        <w:r>
          <w:rPr>
            <w:webHidden/>
          </w:rPr>
        </w:r>
        <w:r>
          <w:rPr>
            <w:webHidden/>
          </w:rPr>
          <w:fldChar w:fldCharType="separate"/>
        </w:r>
        <w:r>
          <w:rPr>
            <w:webHidden/>
          </w:rPr>
          <w:t>73</w:t>
        </w:r>
        <w:r>
          <w:rPr>
            <w:webHidden/>
          </w:rPr>
          <w:fldChar w:fldCharType="end"/>
        </w:r>
      </w:hyperlink>
    </w:p>
    <w:p w14:paraId="53C558CC" w14:textId="7539B0AA" w:rsidR="005F0BAD" w:rsidRDefault="005F0BAD">
      <w:pPr>
        <w:pStyle w:val="TOC2"/>
        <w:rPr>
          <w:rFonts w:asciiTheme="minorHAnsi" w:eastAsiaTheme="minorEastAsia" w:hAnsiTheme="minorHAnsi"/>
          <w:kern w:val="2"/>
          <w:sz w:val="24"/>
          <w:szCs w:val="24"/>
          <w:lang w:eastAsia="en-AU"/>
          <w14:ligatures w14:val="standardContextual"/>
        </w:rPr>
      </w:pPr>
      <w:hyperlink w:anchor="_Toc227749172" w:history="1">
        <w:r w:rsidRPr="00EB34D0">
          <w:rPr>
            <w:rStyle w:val="Hyperlink"/>
          </w:rPr>
          <w:t>18.44</w:t>
        </w:r>
        <w:r>
          <w:rPr>
            <w:rFonts w:asciiTheme="minorHAnsi" w:eastAsiaTheme="minorEastAsia" w:hAnsiTheme="minorHAnsi"/>
            <w:kern w:val="2"/>
            <w:sz w:val="24"/>
            <w:szCs w:val="24"/>
            <w:lang w:eastAsia="en-AU"/>
            <w14:ligatures w14:val="standardContextual"/>
          </w:rPr>
          <w:tab/>
        </w:r>
        <w:r w:rsidRPr="00EB34D0">
          <w:rPr>
            <w:rStyle w:val="Hyperlink"/>
          </w:rPr>
          <w:t>Senate estimates hearings</w:t>
        </w:r>
        <w:r>
          <w:rPr>
            <w:webHidden/>
          </w:rPr>
          <w:tab/>
        </w:r>
        <w:r>
          <w:rPr>
            <w:webHidden/>
          </w:rPr>
          <w:fldChar w:fldCharType="begin"/>
        </w:r>
        <w:r>
          <w:rPr>
            <w:webHidden/>
          </w:rPr>
          <w:instrText xml:space="preserve"> PAGEREF _Toc227749172 \h </w:instrText>
        </w:r>
        <w:r>
          <w:rPr>
            <w:webHidden/>
          </w:rPr>
        </w:r>
        <w:r>
          <w:rPr>
            <w:webHidden/>
          </w:rPr>
          <w:fldChar w:fldCharType="separate"/>
        </w:r>
        <w:r>
          <w:rPr>
            <w:webHidden/>
          </w:rPr>
          <w:t>74</w:t>
        </w:r>
        <w:r>
          <w:rPr>
            <w:webHidden/>
          </w:rPr>
          <w:fldChar w:fldCharType="end"/>
        </w:r>
      </w:hyperlink>
    </w:p>
    <w:p w14:paraId="54EC7E9F" w14:textId="1E73FEAB" w:rsidR="005F0BAD" w:rsidRDefault="005F0BAD">
      <w:pPr>
        <w:pStyle w:val="TOC2"/>
        <w:rPr>
          <w:rFonts w:asciiTheme="minorHAnsi" w:eastAsiaTheme="minorEastAsia" w:hAnsiTheme="minorHAnsi"/>
          <w:kern w:val="2"/>
          <w:sz w:val="24"/>
          <w:szCs w:val="24"/>
          <w:lang w:eastAsia="en-AU"/>
          <w14:ligatures w14:val="standardContextual"/>
        </w:rPr>
      </w:pPr>
      <w:hyperlink w:anchor="_Toc227749173" w:history="1">
        <w:r w:rsidRPr="00EB34D0">
          <w:rPr>
            <w:rStyle w:val="Hyperlink"/>
          </w:rPr>
          <w:t>18.45</w:t>
        </w:r>
        <w:r>
          <w:rPr>
            <w:rFonts w:asciiTheme="minorHAnsi" w:eastAsiaTheme="minorEastAsia" w:hAnsiTheme="minorHAnsi"/>
            <w:kern w:val="2"/>
            <w:sz w:val="24"/>
            <w:szCs w:val="24"/>
            <w:lang w:eastAsia="en-AU"/>
            <w14:ligatures w14:val="standardContextual"/>
          </w:rPr>
          <w:tab/>
        </w:r>
        <w:r w:rsidRPr="00EB34D0">
          <w:rPr>
            <w:rStyle w:val="Hyperlink"/>
          </w:rPr>
          <w:t>National Specific purpose payments</w:t>
        </w:r>
        <w:r>
          <w:rPr>
            <w:webHidden/>
          </w:rPr>
          <w:tab/>
        </w:r>
        <w:r>
          <w:rPr>
            <w:webHidden/>
          </w:rPr>
          <w:fldChar w:fldCharType="begin"/>
        </w:r>
        <w:r>
          <w:rPr>
            <w:webHidden/>
          </w:rPr>
          <w:instrText xml:space="preserve"> PAGEREF _Toc227749173 \h </w:instrText>
        </w:r>
        <w:r>
          <w:rPr>
            <w:webHidden/>
          </w:rPr>
        </w:r>
        <w:r>
          <w:rPr>
            <w:webHidden/>
          </w:rPr>
          <w:fldChar w:fldCharType="separate"/>
        </w:r>
        <w:r>
          <w:rPr>
            <w:webHidden/>
          </w:rPr>
          <w:t>74</w:t>
        </w:r>
        <w:r>
          <w:rPr>
            <w:webHidden/>
          </w:rPr>
          <w:fldChar w:fldCharType="end"/>
        </w:r>
      </w:hyperlink>
    </w:p>
    <w:p w14:paraId="0FC284EA" w14:textId="3647F0C3" w:rsidR="005F0BAD" w:rsidRDefault="005F0BAD">
      <w:pPr>
        <w:pStyle w:val="TOC2"/>
        <w:rPr>
          <w:rFonts w:asciiTheme="minorHAnsi" w:eastAsiaTheme="minorEastAsia" w:hAnsiTheme="minorHAnsi"/>
          <w:kern w:val="2"/>
          <w:sz w:val="24"/>
          <w:szCs w:val="24"/>
          <w:lang w:eastAsia="en-AU"/>
          <w14:ligatures w14:val="standardContextual"/>
        </w:rPr>
      </w:pPr>
      <w:hyperlink w:anchor="_Toc227749174" w:history="1">
        <w:r w:rsidRPr="00EB34D0">
          <w:rPr>
            <w:rStyle w:val="Hyperlink"/>
          </w:rPr>
          <w:t>18.46</w:t>
        </w:r>
        <w:r>
          <w:rPr>
            <w:rFonts w:asciiTheme="minorHAnsi" w:eastAsiaTheme="minorEastAsia" w:hAnsiTheme="minorHAnsi"/>
            <w:kern w:val="2"/>
            <w:sz w:val="24"/>
            <w:szCs w:val="24"/>
            <w:lang w:eastAsia="en-AU"/>
            <w14:ligatures w14:val="standardContextual"/>
          </w:rPr>
          <w:tab/>
        </w:r>
        <w:r w:rsidRPr="00EB34D0">
          <w:rPr>
            <w:rStyle w:val="Hyperlink"/>
          </w:rPr>
          <w:t>Sub-function</w:t>
        </w:r>
        <w:r>
          <w:rPr>
            <w:webHidden/>
          </w:rPr>
          <w:tab/>
        </w:r>
        <w:r>
          <w:rPr>
            <w:webHidden/>
          </w:rPr>
          <w:fldChar w:fldCharType="begin"/>
        </w:r>
        <w:r>
          <w:rPr>
            <w:webHidden/>
          </w:rPr>
          <w:instrText xml:space="preserve"> PAGEREF _Toc227749174 \h </w:instrText>
        </w:r>
        <w:r>
          <w:rPr>
            <w:webHidden/>
          </w:rPr>
        </w:r>
        <w:r>
          <w:rPr>
            <w:webHidden/>
          </w:rPr>
          <w:fldChar w:fldCharType="separate"/>
        </w:r>
        <w:r>
          <w:rPr>
            <w:webHidden/>
          </w:rPr>
          <w:t>74</w:t>
        </w:r>
        <w:r>
          <w:rPr>
            <w:webHidden/>
          </w:rPr>
          <w:fldChar w:fldCharType="end"/>
        </w:r>
      </w:hyperlink>
    </w:p>
    <w:p w14:paraId="3471AEBE" w14:textId="03483911" w:rsidR="005F0BAD" w:rsidRDefault="005F0BAD">
      <w:pPr>
        <w:pStyle w:val="TOC2"/>
        <w:rPr>
          <w:rFonts w:asciiTheme="minorHAnsi" w:eastAsiaTheme="minorEastAsia" w:hAnsiTheme="minorHAnsi"/>
          <w:kern w:val="2"/>
          <w:sz w:val="24"/>
          <w:szCs w:val="24"/>
          <w:lang w:eastAsia="en-AU"/>
          <w14:ligatures w14:val="standardContextual"/>
        </w:rPr>
      </w:pPr>
      <w:hyperlink w:anchor="_Toc227749175" w:history="1">
        <w:r w:rsidRPr="00EB34D0">
          <w:rPr>
            <w:rStyle w:val="Hyperlink"/>
          </w:rPr>
          <w:t>18.47</w:t>
        </w:r>
        <w:r>
          <w:rPr>
            <w:rFonts w:asciiTheme="minorHAnsi" w:eastAsiaTheme="minorEastAsia" w:hAnsiTheme="minorHAnsi"/>
            <w:kern w:val="2"/>
            <w:sz w:val="24"/>
            <w:szCs w:val="24"/>
            <w:lang w:eastAsia="en-AU"/>
            <w14:ligatures w14:val="standardContextual"/>
          </w:rPr>
          <w:tab/>
        </w:r>
        <w:r w:rsidRPr="00EB34D0">
          <w:rPr>
            <w:rStyle w:val="Hyperlink"/>
          </w:rPr>
          <w:t>Target group</w:t>
        </w:r>
        <w:r>
          <w:rPr>
            <w:webHidden/>
          </w:rPr>
          <w:tab/>
        </w:r>
        <w:r>
          <w:rPr>
            <w:webHidden/>
          </w:rPr>
          <w:fldChar w:fldCharType="begin"/>
        </w:r>
        <w:r>
          <w:rPr>
            <w:webHidden/>
          </w:rPr>
          <w:instrText xml:space="preserve"> PAGEREF _Toc227749175 \h </w:instrText>
        </w:r>
        <w:r>
          <w:rPr>
            <w:webHidden/>
          </w:rPr>
        </w:r>
        <w:r>
          <w:rPr>
            <w:webHidden/>
          </w:rPr>
          <w:fldChar w:fldCharType="separate"/>
        </w:r>
        <w:r>
          <w:rPr>
            <w:webHidden/>
          </w:rPr>
          <w:t>74</w:t>
        </w:r>
        <w:r>
          <w:rPr>
            <w:webHidden/>
          </w:rPr>
          <w:fldChar w:fldCharType="end"/>
        </w:r>
      </w:hyperlink>
    </w:p>
    <w:p w14:paraId="08498F89" w14:textId="20B69DA0" w:rsidR="005F0BAD" w:rsidRDefault="005F0BAD">
      <w:pPr>
        <w:pStyle w:val="TOC2"/>
        <w:rPr>
          <w:rFonts w:asciiTheme="minorHAnsi" w:eastAsiaTheme="minorEastAsia" w:hAnsiTheme="minorHAnsi"/>
          <w:kern w:val="2"/>
          <w:sz w:val="24"/>
          <w:szCs w:val="24"/>
          <w:lang w:eastAsia="en-AU"/>
          <w14:ligatures w14:val="standardContextual"/>
        </w:rPr>
      </w:pPr>
      <w:hyperlink w:anchor="_Toc227749176" w:history="1">
        <w:r w:rsidRPr="00EB34D0">
          <w:rPr>
            <w:rStyle w:val="Hyperlink"/>
          </w:rPr>
          <w:t>18.48</w:t>
        </w:r>
        <w:r>
          <w:rPr>
            <w:rFonts w:asciiTheme="minorHAnsi" w:eastAsiaTheme="minorEastAsia" w:hAnsiTheme="minorHAnsi"/>
            <w:kern w:val="2"/>
            <w:sz w:val="24"/>
            <w:szCs w:val="24"/>
            <w:lang w:eastAsia="en-AU"/>
            <w14:ligatures w14:val="standardContextual"/>
          </w:rPr>
          <w:tab/>
        </w:r>
        <w:r w:rsidRPr="00EB34D0">
          <w:rPr>
            <w:rStyle w:val="Hyperlink"/>
          </w:rPr>
          <w:t>Third party payments</w:t>
        </w:r>
        <w:r>
          <w:rPr>
            <w:webHidden/>
          </w:rPr>
          <w:tab/>
        </w:r>
        <w:r>
          <w:rPr>
            <w:webHidden/>
          </w:rPr>
          <w:fldChar w:fldCharType="begin"/>
        </w:r>
        <w:r>
          <w:rPr>
            <w:webHidden/>
          </w:rPr>
          <w:instrText xml:space="preserve"> PAGEREF _Toc227749176 \h </w:instrText>
        </w:r>
        <w:r>
          <w:rPr>
            <w:webHidden/>
          </w:rPr>
        </w:r>
        <w:r>
          <w:rPr>
            <w:webHidden/>
          </w:rPr>
          <w:fldChar w:fldCharType="separate"/>
        </w:r>
        <w:r>
          <w:rPr>
            <w:webHidden/>
          </w:rPr>
          <w:t>74</w:t>
        </w:r>
        <w:r>
          <w:rPr>
            <w:webHidden/>
          </w:rPr>
          <w:fldChar w:fldCharType="end"/>
        </w:r>
      </w:hyperlink>
    </w:p>
    <w:p w14:paraId="09142C73" w14:textId="0F119CC7" w:rsidR="005F0BAD" w:rsidRDefault="005F0BAD">
      <w:pPr>
        <w:pStyle w:val="TOC2"/>
        <w:rPr>
          <w:rFonts w:asciiTheme="minorHAnsi" w:eastAsiaTheme="minorEastAsia" w:hAnsiTheme="minorHAnsi"/>
          <w:kern w:val="2"/>
          <w:sz w:val="24"/>
          <w:szCs w:val="24"/>
          <w:lang w:eastAsia="en-AU"/>
          <w14:ligatures w14:val="standardContextual"/>
        </w:rPr>
      </w:pPr>
      <w:hyperlink w:anchor="_Toc227749177" w:history="1">
        <w:r w:rsidRPr="00EB34D0">
          <w:rPr>
            <w:rStyle w:val="Hyperlink"/>
          </w:rPr>
          <w:t>18.49</w:t>
        </w:r>
        <w:r>
          <w:rPr>
            <w:rFonts w:asciiTheme="minorHAnsi" w:eastAsiaTheme="minorEastAsia" w:hAnsiTheme="minorHAnsi"/>
            <w:kern w:val="2"/>
            <w:sz w:val="24"/>
            <w:szCs w:val="24"/>
            <w:lang w:eastAsia="en-AU"/>
            <w14:ligatures w14:val="standardContextual"/>
          </w:rPr>
          <w:tab/>
        </w:r>
        <w:r w:rsidRPr="00EB34D0">
          <w:rPr>
            <w:rStyle w:val="Hyperlink"/>
          </w:rPr>
          <w:t>Transfer</w:t>
        </w:r>
        <w:r>
          <w:rPr>
            <w:webHidden/>
          </w:rPr>
          <w:tab/>
        </w:r>
        <w:r>
          <w:rPr>
            <w:webHidden/>
          </w:rPr>
          <w:fldChar w:fldCharType="begin"/>
        </w:r>
        <w:r>
          <w:rPr>
            <w:webHidden/>
          </w:rPr>
          <w:instrText xml:space="preserve"> PAGEREF _Toc227749177 \h </w:instrText>
        </w:r>
        <w:r>
          <w:rPr>
            <w:webHidden/>
          </w:rPr>
        </w:r>
        <w:r>
          <w:rPr>
            <w:webHidden/>
          </w:rPr>
          <w:fldChar w:fldCharType="separate"/>
        </w:r>
        <w:r>
          <w:rPr>
            <w:webHidden/>
          </w:rPr>
          <w:t>74</w:t>
        </w:r>
        <w:r>
          <w:rPr>
            <w:webHidden/>
          </w:rPr>
          <w:fldChar w:fldCharType="end"/>
        </w:r>
      </w:hyperlink>
    </w:p>
    <w:p w14:paraId="707EDD9F" w14:textId="65F9FBA9" w:rsidR="00D81DFB" w:rsidRPr="0014243A" w:rsidRDefault="006F618C" w:rsidP="00E2661C">
      <w:pPr>
        <w:rPr>
          <w:rStyle w:val="Mention"/>
        </w:rPr>
      </w:pPr>
      <w:r w:rsidRPr="00DD477A">
        <w:rPr>
          <w:noProof/>
        </w:rPr>
        <w:fldChar w:fldCharType="end"/>
      </w:r>
    </w:p>
    <w:p w14:paraId="6A37A8D6" w14:textId="52093719" w:rsidR="00E47F62" w:rsidRPr="00E2661C" w:rsidRDefault="00E47F62" w:rsidP="00E2661C">
      <w:pPr>
        <w:rPr>
          <w:rFonts w:cs="Calibri"/>
          <w:szCs w:val="22"/>
        </w:rPr>
      </w:pPr>
    </w:p>
    <w:p w14:paraId="165BF6C7" w14:textId="4693927F" w:rsidR="007F0C87" w:rsidRPr="00E2661C" w:rsidRDefault="007F0C87" w:rsidP="00E2661C">
      <w:pPr>
        <w:rPr>
          <w:rFonts w:cs="Calibri"/>
          <w:szCs w:val="22"/>
        </w:rPr>
        <w:sectPr w:rsidR="007F0C87" w:rsidRPr="00E2661C" w:rsidSect="0026790A">
          <w:headerReference w:type="even" r:id="rId17"/>
          <w:headerReference w:type="default" r:id="rId18"/>
          <w:footerReference w:type="default" r:id="rId19"/>
          <w:headerReference w:type="first" r:id="rId20"/>
          <w:pgSz w:w="11900" w:h="16840" w:code="9"/>
          <w:pgMar w:top="1418" w:right="851" w:bottom="1418" w:left="1418" w:header="624" w:footer="624" w:gutter="0"/>
          <w:cols w:space="708"/>
          <w:docGrid w:linePitch="360"/>
        </w:sectPr>
      </w:pPr>
    </w:p>
    <w:p w14:paraId="5BE5C2FF" w14:textId="49B94EF0" w:rsidR="00A33FE8" w:rsidRPr="00DD477A" w:rsidRDefault="00A33FE8" w:rsidP="00F81CAE">
      <w:pPr>
        <w:pStyle w:val="Heading1Numbered"/>
      </w:pPr>
      <w:bookmarkStart w:id="1" w:name="_Toc534389757"/>
      <w:bookmarkStart w:id="2" w:name="_Toc534389898"/>
      <w:bookmarkStart w:id="3" w:name="_Toc534406194"/>
      <w:bookmarkStart w:id="4" w:name="_Toc534441471"/>
      <w:bookmarkStart w:id="5" w:name="_Toc534442812"/>
      <w:bookmarkStart w:id="6" w:name="_Toc534442953"/>
      <w:bookmarkStart w:id="7" w:name="_Toc534443094"/>
      <w:bookmarkStart w:id="8" w:name="_Toc534458849"/>
      <w:bookmarkStart w:id="9" w:name="_Toc534459638"/>
      <w:bookmarkStart w:id="10" w:name="_Toc534519133"/>
      <w:bookmarkStart w:id="11" w:name="_Toc534520043"/>
      <w:bookmarkStart w:id="12" w:name="_Toc534520313"/>
      <w:bookmarkStart w:id="13" w:name="_Toc534527525"/>
      <w:bookmarkStart w:id="14" w:name="_Toc534528255"/>
      <w:bookmarkStart w:id="15" w:name="_Toc534803473"/>
      <w:bookmarkStart w:id="16" w:name="_Toc534814164"/>
      <w:bookmarkStart w:id="17" w:name="_Toc536108534"/>
      <w:bookmarkStart w:id="18" w:name="_Toc536802085"/>
      <w:bookmarkStart w:id="19" w:name="Purpose"/>
      <w:bookmarkStart w:id="20" w:name="_Toc227748976"/>
      <w:bookmarkStart w:id="21" w:name="_Toc63347665"/>
      <w:bookmarkStart w:id="22" w:name="_Ref12615433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DD477A">
        <w:t>Introduction</w:t>
      </w:r>
      <w:bookmarkEnd w:id="20"/>
    </w:p>
    <w:p w14:paraId="44382613" w14:textId="16045578" w:rsidR="001768C3" w:rsidRPr="00DD477A" w:rsidRDefault="001768C3" w:rsidP="003D6589">
      <w:pPr>
        <w:pStyle w:val="Heading1"/>
      </w:pPr>
      <w:bookmarkStart w:id="23" w:name="_Toc227748977"/>
      <w:r w:rsidRPr="003D6589">
        <w:t>Purpose</w:t>
      </w:r>
      <w:bookmarkEnd w:id="23"/>
    </w:p>
    <w:p w14:paraId="5973BA39" w14:textId="1E2970D6" w:rsidR="00EB0814" w:rsidRPr="00DD477A" w:rsidRDefault="0038354C" w:rsidP="003D6589">
      <w:pPr>
        <w:pStyle w:val="Heading2"/>
      </w:pPr>
      <w:bookmarkStart w:id="24" w:name="_Toc227748978"/>
      <w:r w:rsidRPr="00DD477A">
        <w:t>Portfolio Budget Statements (PB Statements)</w:t>
      </w:r>
      <w:bookmarkEnd w:id="24"/>
    </w:p>
    <w:p w14:paraId="748F37C5" w14:textId="4D2B4ADE" w:rsidR="0069247D" w:rsidRPr="00DD477A" w:rsidRDefault="0069247D" w:rsidP="0095142C">
      <w:pPr>
        <w:rPr>
          <w:rFonts w:cs="Calibri"/>
        </w:rPr>
      </w:pPr>
      <w:r w:rsidRPr="00DD477A">
        <w:t>PB Statements are an important mechanism by which the Executive Government (through Portfolio Ministers) is accountable to the Parliament. The primary purpose of the PB Statements is to inform stakeholders of proposed allocation of resources, new and amended</w:t>
      </w:r>
      <w:r w:rsidR="00AC7324" w:rsidRPr="00DD477A">
        <w:t>,</w:t>
      </w:r>
      <w:r w:rsidR="00AC7324" w:rsidRPr="00DD477A">
        <w:rPr>
          <w:rFonts w:eastAsia="Times New Roman" w:cs="Calibri"/>
          <w:lang w:eastAsia="en-AU"/>
        </w:rPr>
        <w:t xml:space="preserve"> based on the </w:t>
      </w:r>
      <w:r w:rsidR="00AC7324" w:rsidRPr="00DD477A">
        <w:rPr>
          <w:rFonts w:cs="Calibri"/>
        </w:rPr>
        <w:t>government’s decisions</w:t>
      </w:r>
      <w:r w:rsidR="003A3DDD" w:rsidRPr="00DD477A">
        <w:t>.</w:t>
      </w:r>
      <w:r w:rsidR="00143617" w:rsidRPr="00DD477A">
        <w:rPr>
          <w:rFonts w:cs="Calibri"/>
        </w:rPr>
        <w:t xml:space="preserve"> Together with the Budget Papers (BPs), the PB Statements form a package of documents tabled in Parliament on Budget night</w:t>
      </w:r>
      <w:r w:rsidR="005A0505" w:rsidRPr="00DD477A">
        <w:rPr>
          <w:rFonts w:cs="Calibri"/>
        </w:rPr>
        <w:t xml:space="preserve"> (second Tuesday in May in a non-election year)</w:t>
      </w:r>
      <w:r w:rsidR="00AC7324" w:rsidRPr="00DD477A">
        <w:rPr>
          <w:rFonts w:cs="Calibri"/>
        </w:rPr>
        <w:t xml:space="preserve"> to</w:t>
      </w:r>
      <w:r w:rsidR="00F107F6" w:rsidRPr="00DD477A">
        <w:rPr>
          <w:rFonts w:cs="Calibri"/>
        </w:rPr>
        <w:t xml:space="preserve"> provide information (financial and non-financial) at the portfolio and entity level on the ongoing policy and program delivery initiatives undertaken by the government.</w:t>
      </w:r>
    </w:p>
    <w:p w14:paraId="70C9C55D" w14:textId="68B4DD13" w:rsidR="00E03440" w:rsidRPr="00DD477A" w:rsidRDefault="00E03440" w:rsidP="00157BAB">
      <w:pPr>
        <w:pStyle w:val="Numbered"/>
        <w:numPr>
          <w:ilvl w:val="0"/>
          <w:numId w:val="0"/>
        </w:numPr>
      </w:pPr>
      <w:r w:rsidRPr="00DD477A">
        <w:t>PB Statements</w:t>
      </w:r>
      <w:r w:rsidR="00F107F6" w:rsidRPr="00DD477A">
        <w:t>,</w:t>
      </w:r>
      <w:r w:rsidRPr="00DD477A">
        <w:t xml:space="preserve"> </w:t>
      </w:r>
      <w:r w:rsidR="00F107F6" w:rsidRPr="00DD477A">
        <w:rPr>
          <w:rFonts w:cs="Calibri"/>
        </w:rPr>
        <w:t>formal ministerial documents signed by the responsible Portfolio Minister,</w:t>
      </w:r>
      <w:r w:rsidR="00F107F6" w:rsidRPr="00DD477A">
        <w:t xml:space="preserve"> </w:t>
      </w:r>
      <w:r w:rsidRPr="00DD477A">
        <w:t xml:space="preserve">aid interpretation of Appropriation Bills (No.1 and 2) </w:t>
      </w:r>
      <w:r w:rsidR="00DC026B">
        <w:t>2026</w:t>
      </w:r>
      <w:r w:rsidR="00C917CE">
        <w:t>–</w:t>
      </w:r>
      <w:r w:rsidR="00DC026B">
        <w:t>27</w:t>
      </w:r>
      <w:r w:rsidRPr="00DD477A">
        <w:t xml:space="preserve"> and the Appropriation (Parliamentary Departments) Bill (No. 1) </w:t>
      </w:r>
      <w:r w:rsidR="00DC026B">
        <w:t>2026</w:t>
      </w:r>
      <w:r w:rsidR="00C917CE">
        <w:t>–</w:t>
      </w:r>
      <w:r w:rsidR="00DC026B">
        <w:t>27</w:t>
      </w:r>
      <w:r w:rsidRPr="00DD477A">
        <w:t xml:space="preserve"> (</w:t>
      </w:r>
      <w:r w:rsidR="00DC026B">
        <w:t>2026</w:t>
      </w:r>
      <w:r w:rsidR="00C917CE">
        <w:t>–</w:t>
      </w:r>
      <w:r w:rsidR="00DC026B">
        <w:t>27</w:t>
      </w:r>
      <w:r w:rsidRPr="00DD477A">
        <w:t xml:space="preserve"> Budget Appropriation Bills) as ‘relevant documents’ under the </w:t>
      </w:r>
      <w:r w:rsidRPr="00DD477A">
        <w:rPr>
          <w:i/>
          <w:iCs/>
        </w:rPr>
        <w:t>Acts Interpretation Act 1901</w:t>
      </w:r>
      <w:r w:rsidRPr="00DD477A">
        <w:t>.</w:t>
      </w:r>
    </w:p>
    <w:p w14:paraId="22784A2E" w14:textId="7A8FA04F" w:rsidR="001768C3" w:rsidRPr="00DD477A" w:rsidRDefault="001768C3" w:rsidP="001768C3">
      <w:pPr>
        <w:rPr>
          <w:rFonts w:cs="Calibri"/>
        </w:rPr>
      </w:pPr>
      <w:r w:rsidRPr="00DD477A">
        <w:rPr>
          <w:rFonts w:cs="Calibri"/>
        </w:rPr>
        <w:t xml:space="preserve">The Appropriation Acts (the Acts) refer to the PB Statements as ‘relevant documents’ for the interpretation of the Acts, according to section 15AB of the </w:t>
      </w:r>
      <w:r w:rsidRPr="00DD477A">
        <w:rPr>
          <w:rFonts w:cs="Calibri"/>
          <w:i/>
          <w:iCs/>
        </w:rPr>
        <w:t>Acts Interpretation Act 1901</w:t>
      </w:r>
      <w:r w:rsidRPr="00DD477A">
        <w:rPr>
          <w:rFonts w:cs="Calibri"/>
        </w:rPr>
        <w:t>. As the PB Statements are supplementary explanatory documents to the Appropriation Bills, they must be consistent with the Appropriation Bills. Once passed by Parliament</w:t>
      </w:r>
      <w:r w:rsidR="00DE5763" w:rsidRPr="00DD477A">
        <w:rPr>
          <w:rFonts w:cs="Calibri"/>
        </w:rPr>
        <w:t xml:space="preserve"> and they have received royal assent</w:t>
      </w:r>
      <w:r w:rsidRPr="00DD477A">
        <w:rPr>
          <w:rFonts w:cs="Calibri"/>
        </w:rPr>
        <w:t xml:space="preserve">, the </w:t>
      </w:r>
      <w:r w:rsidR="00DE5763" w:rsidRPr="00DD477A">
        <w:rPr>
          <w:rFonts w:cs="Calibri"/>
        </w:rPr>
        <w:t xml:space="preserve">Appropriation Acts </w:t>
      </w:r>
      <w:r w:rsidRPr="00DD477A">
        <w:rPr>
          <w:rFonts w:cs="Calibri"/>
        </w:rPr>
        <w:t xml:space="preserve">become law. Should a discrepancy occur between the Acts and the PB Statements, </w:t>
      </w:r>
      <w:r w:rsidRPr="00DD477A">
        <w:rPr>
          <w:rFonts w:cs="Calibri"/>
          <w:b/>
        </w:rPr>
        <w:t xml:space="preserve">the </w:t>
      </w:r>
      <w:r w:rsidRPr="00DD477A">
        <w:rPr>
          <w:rFonts w:cs="Calibri"/>
          <w:b/>
          <w:bCs/>
        </w:rPr>
        <w:t>Acts are definitive</w:t>
      </w:r>
      <w:r w:rsidRPr="00DD477A">
        <w:rPr>
          <w:rFonts w:cs="Calibri"/>
        </w:rPr>
        <w:t>.</w:t>
      </w:r>
    </w:p>
    <w:p w14:paraId="17C7CAEF" w14:textId="72574529" w:rsidR="00A2714A" w:rsidRPr="00DD477A" w:rsidRDefault="00EB0814" w:rsidP="003D6589">
      <w:pPr>
        <w:pStyle w:val="Heading2"/>
      </w:pPr>
      <w:bookmarkStart w:id="25" w:name="_Toc227748979"/>
      <w:r w:rsidRPr="00DD477A">
        <w:t>P</w:t>
      </w:r>
      <w:r w:rsidR="00A2714A" w:rsidRPr="00DD477A">
        <w:t>B</w:t>
      </w:r>
      <w:r w:rsidR="004D4B57" w:rsidRPr="00DD477A">
        <w:t xml:space="preserve"> </w:t>
      </w:r>
      <w:r w:rsidR="00A2714A" w:rsidRPr="00DD477A">
        <w:t>S</w:t>
      </w:r>
      <w:r w:rsidR="004D4B57" w:rsidRPr="00DD477A">
        <w:t>tatements</w:t>
      </w:r>
      <w:r w:rsidR="00A2714A" w:rsidRPr="00DD477A">
        <w:t xml:space="preserve"> Guide</w:t>
      </w:r>
      <w:bookmarkEnd w:id="25"/>
      <w:r w:rsidR="00A2714A" w:rsidRPr="00DD477A">
        <w:t xml:space="preserve"> </w:t>
      </w:r>
    </w:p>
    <w:p w14:paraId="720C701F" w14:textId="67C3738B" w:rsidR="001768C3" w:rsidRPr="00DD477A" w:rsidRDefault="007B6774" w:rsidP="001768C3">
      <w:pPr>
        <w:rPr>
          <w:rFonts w:cs="Calibri"/>
        </w:rPr>
      </w:pPr>
      <w:r w:rsidRPr="00DD477A">
        <w:rPr>
          <w:rFonts w:cs="Calibri"/>
        </w:rPr>
        <w:t xml:space="preserve">Information </w:t>
      </w:r>
      <w:r w:rsidR="006901B3" w:rsidRPr="00DD477A">
        <w:rPr>
          <w:rFonts w:cs="Calibri"/>
        </w:rPr>
        <w:t>relating to</w:t>
      </w:r>
      <w:r w:rsidR="00780222" w:rsidRPr="00DD477A">
        <w:rPr>
          <w:rFonts w:cs="Calibri"/>
        </w:rPr>
        <w:t xml:space="preserve"> the process to prepare </w:t>
      </w:r>
      <w:r w:rsidR="004D4B57" w:rsidRPr="00DD477A">
        <w:rPr>
          <w:rFonts w:cs="Calibri"/>
        </w:rPr>
        <w:t xml:space="preserve">PB </w:t>
      </w:r>
      <w:r w:rsidR="002E381E" w:rsidRPr="00DD477A">
        <w:rPr>
          <w:rFonts w:cs="Calibri"/>
        </w:rPr>
        <w:t xml:space="preserve">Statements is provided </w:t>
      </w:r>
      <w:r w:rsidR="006901B3" w:rsidRPr="00DD477A">
        <w:rPr>
          <w:rFonts w:cs="Calibri"/>
        </w:rPr>
        <w:t xml:space="preserve">annually </w:t>
      </w:r>
      <w:r w:rsidR="002E381E" w:rsidRPr="00DD477A">
        <w:rPr>
          <w:rFonts w:cs="Calibri"/>
        </w:rPr>
        <w:t>through an Estimate</w:t>
      </w:r>
      <w:r w:rsidR="0087220A" w:rsidRPr="00DD477A">
        <w:rPr>
          <w:rFonts w:cs="Calibri"/>
        </w:rPr>
        <w:t>s Memorandum</w:t>
      </w:r>
      <w:r w:rsidR="003030C8" w:rsidRPr="00DD477A">
        <w:rPr>
          <w:rFonts w:cs="Calibri"/>
        </w:rPr>
        <w:t xml:space="preserve"> (EM)</w:t>
      </w:r>
      <w:r w:rsidR="00CB49F6" w:rsidRPr="00DD477A">
        <w:t xml:space="preserve"> made available on the Central Budget Management System (CBMS)</w:t>
      </w:r>
      <w:r w:rsidR="006901B3" w:rsidRPr="00DD477A">
        <w:rPr>
          <w:rFonts w:cs="Calibri"/>
        </w:rPr>
        <w:t>.</w:t>
      </w:r>
      <w:r w:rsidR="0087220A" w:rsidRPr="00DD477A">
        <w:rPr>
          <w:rFonts w:cs="Calibri"/>
        </w:rPr>
        <w:t xml:space="preserve"> </w:t>
      </w:r>
      <w:r w:rsidR="00C82FD9" w:rsidRPr="00DD477A">
        <w:rPr>
          <w:rFonts w:cs="Calibri"/>
        </w:rPr>
        <w:t xml:space="preserve">This guide is </w:t>
      </w:r>
      <w:r w:rsidR="0024487C" w:rsidRPr="00DD477A">
        <w:rPr>
          <w:rFonts w:cs="Calibri"/>
        </w:rPr>
        <w:t xml:space="preserve">the key </w:t>
      </w:r>
      <w:r w:rsidR="004D4B57" w:rsidRPr="00DD477A">
        <w:rPr>
          <w:rFonts w:cs="Calibri"/>
        </w:rPr>
        <w:t xml:space="preserve">component of </w:t>
      </w:r>
      <w:r w:rsidR="00844C44" w:rsidRPr="00DD477A">
        <w:rPr>
          <w:rFonts w:cs="Calibri"/>
        </w:rPr>
        <w:t>the</w:t>
      </w:r>
      <w:r w:rsidR="00185231" w:rsidRPr="00DD477A">
        <w:rPr>
          <w:rFonts w:cs="Calibri"/>
        </w:rPr>
        <w:t xml:space="preserve"> </w:t>
      </w:r>
      <w:r w:rsidR="00844C44" w:rsidRPr="00DD477A">
        <w:rPr>
          <w:rFonts w:cs="Calibri"/>
        </w:rPr>
        <w:t>E</w:t>
      </w:r>
      <w:r w:rsidR="003030C8" w:rsidRPr="00DD477A">
        <w:rPr>
          <w:rFonts w:cs="Calibri"/>
        </w:rPr>
        <w:t>M</w:t>
      </w:r>
      <w:r w:rsidR="00BD1148" w:rsidRPr="00DD477A">
        <w:rPr>
          <w:rFonts w:cs="Calibri"/>
        </w:rPr>
        <w:t xml:space="preserve"> </w:t>
      </w:r>
      <w:r w:rsidR="004D4B57" w:rsidRPr="00DD477A">
        <w:rPr>
          <w:rFonts w:cs="Calibri"/>
        </w:rPr>
        <w:t xml:space="preserve">on the </w:t>
      </w:r>
      <w:r w:rsidR="00DC026B">
        <w:rPr>
          <w:rFonts w:cs="Calibri"/>
        </w:rPr>
        <w:t>2026</w:t>
      </w:r>
      <w:r w:rsidR="00C917CE">
        <w:rPr>
          <w:rFonts w:cs="Calibri"/>
        </w:rPr>
        <w:t>–</w:t>
      </w:r>
      <w:r w:rsidR="00DC026B">
        <w:rPr>
          <w:rFonts w:cs="Calibri"/>
        </w:rPr>
        <w:t>27</w:t>
      </w:r>
      <w:r w:rsidR="008136F4" w:rsidRPr="00DD477A">
        <w:rPr>
          <w:rFonts w:cs="Calibri"/>
        </w:rPr>
        <w:t xml:space="preserve"> </w:t>
      </w:r>
      <w:r w:rsidR="004D4B57" w:rsidRPr="00DD477A">
        <w:rPr>
          <w:rFonts w:cs="Calibri"/>
        </w:rPr>
        <w:t xml:space="preserve">PB </w:t>
      </w:r>
      <w:r w:rsidR="008136F4" w:rsidRPr="00DD477A">
        <w:rPr>
          <w:rFonts w:cs="Calibri"/>
        </w:rPr>
        <w:t>Statements</w:t>
      </w:r>
      <w:r w:rsidR="00287908" w:rsidRPr="00DD477A">
        <w:rPr>
          <w:rFonts w:cs="Calibri"/>
        </w:rPr>
        <w:t xml:space="preserve">. </w:t>
      </w:r>
      <w:r w:rsidR="00BE45C2" w:rsidRPr="00DD477A">
        <w:rPr>
          <w:rFonts w:cs="Calibri"/>
        </w:rPr>
        <w:t>T</w:t>
      </w:r>
      <w:r w:rsidR="001768C3" w:rsidRPr="00DD477A">
        <w:rPr>
          <w:rFonts w:cs="Calibri"/>
        </w:rPr>
        <w:t>his guide</w:t>
      </w:r>
      <w:r w:rsidR="00287908" w:rsidRPr="00DD477A">
        <w:rPr>
          <w:rFonts w:cs="Calibri"/>
        </w:rPr>
        <w:t xml:space="preserve"> (</w:t>
      </w:r>
      <w:r w:rsidR="00287908" w:rsidRPr="00DD477A">
        <w:rPr>
          <w:rFonts w:cs="Calibri"/>
          <w:u w:val="single"/>
        </w:rPr>
        <w:t>Att</w:t>
      </w:r>
      <w:r w:rsidR="000C5F8B" w:rsidRPr="00DD477A">
        <w:rPr>
          <w:rFonts w:cs="Calibri"/>
          <w:u w:val="single"/>
        </w:rPr>
        <w:t>a</w:t>
      </w:r>
      <w:r w:rsidR="00287908" w:rsidRPr="00DD477A">
        <w:rPr>
          <w:rFonts w:cs="Calibri"/>
          <w:u w:val="single"/>
        </w:rPr>
        <w:t>chment A</w:t>
      </w:r>
      <w:r w:rsidR="00D37CEC" w:rsidRPr="00DD477A">
        <w:rPr>
          <w:rFonts w:cs="Calibri"/>
        </w:rPr>
        <w:t xml:space="preserve"> of the </w:t>
      </w:r>
      <w:r w:rsidR="00073DDA" w:rsidRPr="00DD477A">
        <w:rPr>
          <w:rFonts w:cs="Calibri"/>
        </w:rPr>
        <w:t xml:space="preserve">EM </w:t>
      </w:r>
      <w:r w:rsidR="00D37CEC" w:rsidRPr="00DD477A">
        <w:rPr>
          <w:rFonts w:cs="Calibri"/>
        </w:rPr>
        <w:t>package</w:t>
      </w:r>
      <w:r w:rsidR="00287908" w:rsidRPr="00DD477A">
        <w:rPr>
          <w:rFonts w:cs="Calibri"/>
        </w:rPr>
        <w:t>)</w:t>
      </w:r>
      <w:r w:rsidR="001768C3" w:rsidRPr="00DD477A">
        <w:rPr>
          <w:rFonts w:cs="Calibri"/>
        </w:rPr>
        <w:t xml:space="preserve"> </w:t>
      </w:r>
      <w:r w:rsidR="00BE45C2" w:rsidRPr="00DD477A">
        <w:rPr>
          <w:rFonts w:cs="Calibri"/>
        </w:rPr>
        <w:t>will</w:t>
      </w:r>
      <w:r w:rsidR="001768C3" w:rsidRPr="00DD477A">
        <w:rPr>
          <w:rFonts w:cs="Calibri"/>
        </w:rPr>
        <w:t xml:space="preserve"> assist users in the preparation of the </w:t>
      </w:r>
      <w:r w:rsidR="00DC026B">
        <w:rPr>
          <w:rFonts w:cs="Calibri"/>
        </w:rPr>
        <w:t>2026</w:t>
      </w:r>
      <w:r w:rsidR="00C917CE">
        <w:rPr>
          <w:rFonts w:cs="Calibri"/>
        </w:rPr>
        <w:t>–</w:t>
      </w:r>
      <w:r w:rsidR="00DC026B">
        <w:rPr>
          <w:rFonts w:cs="Calibri"/>
        </w:rPr>
        <w:t>27</w:t>
      </w:r>
      <w:r w:rsidR="001768C3" w:rsidRPr="00DD477A">
        <w:rPr>
          <w:rFonts w:cs="Calibri"/>
        </w:rPr>
        <w:t xml:space="preserve"> PB Statements</w:t>
      </w:r>
      <w:r w:rsidR="009E41C2" w:rsidRPr="00DD477A">
        <w:rPr>
          <w:rFonts w:cs="Calibri"/>
        </w:rPr>
        <w:t xml:space="preserve">, providing </w:t>
      </w:r>
      <w:r w:rsidR="001768C3" w:rsidRPr="00DD477A">
        <w:rPr>
          <w:rFonts w:cs="Calibri"/>
        </w:rPr>
        <w:t>information on:</w:t>
      </w:r>
    </w:p>
    <w:p w14:paraId="30389854" w14:textId="503480E0" w:rsidR="004D4B57" w:rsidRPr="00DD477A" w:rsidRDefault="004D4B57" w:rsidP="00B54999">
      <w:pPr>
        <w:pStyle w:val="Bullet1"/>
      </w:pPr>
      <w:r w:rsidRPr="00DD477A">
        <w:t>key deliverables and deadlines for portfolios</w:t>
      </w:r>
    </w:p>
    <w:p w14:paraId="4F5ECF00" w14:textId="0940E200" w:rsidR="00181FDE" w:rsidRPr="00DD477A" w:rsidRDefault="004D4B57" w:rsidP="00B54999">
      <w:pPr>
        <w:pStyle w:val="Bullet1"/>
      </w:pPr>
      <w:r w:rsidRPr="00DD477A">
        <w:t xml:space="preserve">the </w:t>
      </w:r>
      <w:r w:rsidR="00181FDE" w:rsidRPr="00DD477A">
        <w:t xml:space="preserve">mandatory templates to be </w:t>
      </w:r>
      <w:r w:rsidR="00616B52" w:rsidRPr="00DD477A">
        <w:t>utilised</w:t>
      </w:r>
    </w:p>
    <w:p w14:paraId="6236394A" w14:textId="0A883693" w:rsidR="001768C3" w:rsidRPr="00DD477A" w:rsidRDefault="004D4B57" w:rsidP="00B54999">
      <w:pPr>
        <w:pStyle w:val="Bullet1"/>
      </w:pPr>
      <w:r w:rsidRPr="00DD477A">
        <w:t xml:space="preserve">format </w:t>
      </w:r>
      <w:r w:rsidR="001768C3" w:rsidRPr="00DD477A">
        <w:t xml:space="preserve">and </w:t>
      </w:r>
      <w:r w:rsidR="00E3295B" w:rsidRPr="00DD477A">
        <w:t>s</w:t>
      </w:r>
      <w:r w:rsidR="001768C3" w:rsidRPr="00DD477A">
        <w:t>tyle</w:t>
      </w:r>
      <w:r w:rsidR="00F800F3" w:rsidRPr="00DD477A">
        <w:t xml:space="preserve"> requirements</w:t>
      </w:r>
      <w:r w:rsidR="00E3295B" w:rsidRPr="00DD477A">
        <w:t xml:space="preserve"> and assistance</w:t>
      </w:r>
    </w:p>
    <w:p w14:paraId="5540B89A" w14:textId="26A269F7" w:rsidR="001768C3" w:rsidRPr="00DD477A" w:rsidRDefault="004D4B57" w:rsidP="00B54999">
      <w:pPr>
        <w:pStyle w:val="Bullet1"/>
      </w:pPr>
      <w:r w:rsidRPr="00DD477A">
        <w:t xml:space="preserve">mandatory </w:t>
      </w:r>
      <w:r w:rsidR="001768C3" w:rsidRPr="00DD477A">
        <w:t>inclusions and key requirements</w:t>
      </w:r>
    </w:p>
    <w:p w14:paraId="4F477C93" w14:textId="2A332E3A" w:rsidR="001768C3" w:rsidRPr="00DD477A" w:rsidRDefault="004D4B57" w:rsidP="00B54999">
      <w:pPr>
        <w:pStyle w:val="Bullet1"/>
      </w:pPr>
      <w:r w:rsidRPr="00DD477A">
        <w:t xml:space="preserve">sources </w:t>
      </w:r>
      <w:r w:rsidR="001768C3" w:rsidRPr="00DD477A">
        <w:t>of data and data preparation</w:t>
      </w:r>
      <w:r w:rsidRPr="00DD477A">
        <w:t>.</w:t>
      </w:r>
    </w:p>
    <w:p w14:paraId="22CFBD0A" w14:textId="192ADE90" w:rsidR="005D5FF5" w:rsidRPr="00DD477A" w:rsidRDefault="00AD4D8B" w:rsidP="00463CED">
      <w:pPr>
        <w:rPr>
          <w:rFonts w:cs="Calibri"/>
        </w:rPr>
      </w:pPr>
      <w:r w:rsidRPr="00DD477A">
        <w:rPr>
          <w:rFonts w:cs="Calibri"/>
        </w:rPr>
        <w:t xml:space="preserve">Details of relevant templates and </w:t>
      </w:r>
      <w:r w:rsidR="005B4A01" w:rsidRPr="00DD477A">
        <w:rPr>
          <w:rFonts w:cs="Calibri"/>
        </w:rPr>
        <w:t xml:space="preserve">source data is provided at the beginning of </w:t>
      </w:r>
      <w:r w:rsidR="006C0ED7" w:rsidRPr="00DD477A">
        <w:rPr>
          <w:rFonts w:cs="Calibri"/>
        </w:rPr>
        <w:t xml:space="preserve">the detailed guidance topic for </w:t>
      </w:r>
      <w:r w:rsidR="005B4A01" w:rsidRPr="00DD477A">
        <w:rPr>
          <w:rFonts w:cs="Calibri"/>
        </w:rPr>
        <w:t xml:space="preserve">each </w:t>
      </w:r>
      <w:r w:rsidR="006C0ED7" w:rsidRPr="00DD477A">
        <w:rPr>
          <w:rFonts w:cs="Calibri"/>
        </w:rPr>
        <w:t xml:space="preserve">of the </w:t>
      </w:r>
      <w:r w:rsidR="005D5FF5" w:rsidRPr="00DD477A">
        <w:rPr>
          <w:rFonts w:cs="Calibri"/>
        </w:rPr>
        <w:t xml:space="preserve">PB Statement </w:t>
      </w:r>
      <w:r w:rsidR="006C0ED7" w:rsidRPr="00DD477A">
        <w:rPr>
          <w:rFonts w:cs="Calibri"/>
        </w:rPr>
        <w:t>sections.</w:t>
      </w:r>
    </w:p>
    <w:p w14:paraId="0482F351" w14:textId="32EE09AA" w:rsidR="001768C3" w:rsidRPr="00DD477A" w:rsidRDefault="001768C3" w:rsidP="001768C3">
      <w:pPr>
        <w:pStyle w:val="ListParagraph"/>
        <w:ind w:left="0" w:firstLine="0"/>
        <w:rPr>
          <w:rFonts w:cs="Calibri"/>
          <w:lang w:val="en-AU"/>
        </w:rPr>
      </w:pPr>
      <w:r w:rsidRPr="00DD477A">
        <w:rPr>
          <w:rFonts w:ascii="Calibri" w:hAnsi="Calibri" w:cs="Calibri"/>
          <w:lang w:val="en-AU"/>
        </w:rPr>
        <w:t>Topics in this guide assist in the drafting of the following PB Statement sections:</w:t>
      </w:r>
    </w:p>
    <w:p w14:paraId="2EBD0AB9" w14:textId="1CA8F582" w:rsidR="001768C3" w:rsidRPr="00DD477A" w:rsidRDefault="001768C3" w:rsidP="00B54999">
      <w:pPr>
        <w:pStyle w:val="Bullet1"/>
      </w:pPr>
      <w:r w:rsidRPr="00DD477A">
        <w:t>User Guide</w:t>
      </w:r>
    </w:p>
    <w:p w14:paraId="255119B3" w14:textId="77777777" w:rsidR="001768C3" w:rsidRPr="00DD477A" w:rsidRDefault="001768C3" w:rsidP="00B54999">
      <w:pPr>
        <w:pStyle w:val="Bullet1"/>
      </w:pPr>
      <w:r w:rsidRPr="00DD477A">
        <w:t>Portfolio overview</w:t>
      </w:r>
    </w:p>
    <w:p w14:paraId="796D3FAA" w14:textId="3130ED27" w:rsidR="00325DAA" w:rsidRPr="00DD477A" w:rsidRDefault="00325DAA" w:rsidP="00B54999">
      <w:pPr>
        <w:pStyle w:val="Bullet1"/>
      </w:pPr>
      <w:r w:rsidRPr="00DD477A">
        <w:t>Entity resources and planned performance</w:t>
      </w:r>
    </w:p>
    <w:p w14:paraId="3353AE3C" w14:textId="4D950B29" w:rsidR="001768C3" w:rsidRPr="00DD477A" w:rsidRDefault="001768C3" w:rsidP="00A85E0D">
      <w:pPr>
        <w:pStyle w:val="Bullet2"/>
      </w:pPr>
      <w:r w:rsidRPr="00DD477A">
        <w:t xml:space="preserve">Section </w:t>
      </w:r>
      <w:r w:rsidR="00325DAA" w:rsidRPr="00DD477A">
        <w:t>1</w:t>
      </w:r>
      <w:r w:rsidRPr="00DD477A">
        <w:t xml:space="preserve"> - Entity overview and resources</w:t>
      </w:r>
    </w:p>
    <w:p w14:paraId="2C501535" w14:textId="70E9BEE1" w:rsidR="001768C3" w:rsidRPr="00DD477A" w:rsidRDefault="001768C3" w:rsidP="00A85E0D">
      <w:pPr>
        <w:pStyle w:val="Bullet2"/>
      </w:pPr>
      <w:r w:rsidRPr="00DD477A">
        <w:t xml:space="preserve">Section </w:t>
      </w:r>
      <w:r w:rsidR="00325DAA" w:rsidRPr="00DD477A">
        <w:t>2</w:t>
      </w:r>
      <w:r w:rsidRPr="00DD477A">
        <w:t xml:space="preserve"> - Outcomes and planned performance</w:t>
      </w:r>
    </w:p>
    <w:p w14:paraId="174A4AD4" w14:textId="08813586" w:rsidR="001768C3" w:rsidRPr="00DD477A" w:rsidRDefault="001768C3" w:rsidP="00A85E0D">
      <w:pPr>
        <w:pStyle w:val="Bullet2"/>
      </w:pPr>
      <w:r w:rsidRPr="00DD477A">
        <w:t xml:space="preserve">Section </w:t>
      </w:r>
      <w:r w:rsidR="00325DAA" w:rsidRPr="00DD477A">
        <w:t>3</w:t>
      </w:r>
      <w:r w:rsidRPr="00DD477A">
        <w:t xml:space="preserve"> </w:t>
      </w:r>
      <w:r w:rsidR="00BA0E58" w:rsidRPr="00DD477A">
        <w:t>-</w:t>
      </w:r>
      <w:r w:rsidRPr="00DD477A">
        <w:t xml:space="preserve"> Budgeted financial statements</w:t>
      </w:r>
    </w:p>
    <w:p w14:paraId="6116E305" w14:textId="04C3214E" w:rsidR="00A10310" w:rsidRPr="00DD477A" w:rsidRDefault="00B54FB3" w:rsidP="003D6589">
      <w:pPr>
        <w:pStyle w:val="Heading1"/>
      </w:pPr>
      <w:bookmarkStart w:id="26" w:name="_Toc227748980"/>
      <w:r w:rsidRPr="00DD477A">
        <w:t>General guidance</w:t>
      </w:r>
      <w:bookmarkEnd w:id="26"/>
      <w:r w:rsidRPr="00DD477A">
        <w:t xml:space="preserve"> </w:t>
      </w:r>
      <w:bookmarkEnd w:id="21"/>
      <w:bookmarkEnd w:id="22"/>
    </w:p>
    <w:p w14:paraId="1E8794E8" w14:textId="2EB38E67" w:rsidR="002621F2" w:rsidRPr="00DD477A" w:rsidRDefault="002621F2" w:rsidP="003D6589">
      <w:pPr>
        <w:pStyle w:val="Heading2"/>
      </w:pPr>
      <w:bookmarkStart w:id="27" w:name="_Toc227748981"/>
      <w:r w:rsidRPr="00DD477A">
        <w:t>The PB</w:t>
      </w:r>
      <w:r w:rsidR="007E4A9C" w:rsidRPr="00DD477A">
        <w:t xml:space="preserve"> </w:t>
      </w:r>
      <w:r w:rsidRPr="00DD477A">
        <w:t>S</w:t>
      </w:r>
      <w:r w:rsidR="007E4A9C" w:rsidRPr="00DD477A">
        <w:t>tatements</w:t>
      </w:r>
      <w:r w:rsidRPr="00DD477A">
        <w:t xml:space="preserve"> </w:t>
      </w:r>
      <w:r w:rsidR="00987630" w:rsidRPr="00DD477A">
        <w:t xml:space="preserve">Preparation </w:t>
      </w:r>
      <w:r w:rsidRPr="00DD477A">
        <w:t>Process</w:t>
      </w:r>
      <w:bookmarkEnd w:id="27"/>
    </w:p>
    <w:p w14:paraId="6A7788BF" w14:textId="7CF8E252" w:rsidR="002621F2" w:rsidRPr="00DD477A" w:rsidRDefault="00842D8B" w:rsidP="002621F2">
      <w:r w:rsidRPr="00DD477A">
        <w:t>Broadly the process</w:t>
      </w:r>
      <w:r w:rsidR="004C6813" w:rsidRPr="00DD477A">
        <w:t xml:space="preserve"> for portfolios</w:t>
      </w:r>
      <w:r w:rsidR="00CD6C1B" w:rsidRPr="00DD477A">
        <w:t>, from the initial release of the</w:t>
      </w:r>
      <w:r w:rsidR="00F11A78" w:rsidRPr="00DD477A">
        <w:t xml:space="preserve"> EM </w:t>
      </w:r>
      <w:r w:rsidR="00832B4F" w:rsidRPr="00DD477A">
        <w:t>through to P</w:t>
      </w:r>
      <w:r w:rsidR="00F103EE" w:rsidRPr="00DD477A">
        <w:t>B</w:t>
      </w:r>
      <w:r w:rsidR="00B862FC" w:rsidRPr="00DD477A">
        <w:t> </w:t>
      </w:r>
      <w:r w:rsidR="00F103EE" w:rsidRPr="00DD477A">
        <w:t>S</w:t>
      </w:r>
      <w:r w:rsidR="007E4A9C" w:rsidRPr="00DD477A">
        <w:t>tatements</w:t>
      </w:r>
      <w:r w:rsidR="00832B4F" w:rsidRPr="00DD477A">
        <w:t xml:space="preserve"> publication and tabling </w:t>
      </w:r>
      <w:r w:rsidR="00B862FC" w:rsidRPr="00DD477A">
        <w:t xml:space="preserve">is </w:t>
      </w:r>
      <w:r w:rsidR="001D5A6E" w:rsidRPr="00DD477A">
        <w:t>as follows:</w:t>
      </w:r>
      <w:r w:rsidR="002C3F45" w:rsidRPr="00DD477A">
        <w:t xml:space="preserve"> </w:t>
      </w:r>
    </w:p>
    <w:p w14:paraId="5A6755B8" w14:textId="70292AF0" w:rsidR="00487D89" w:rsidRPr="00DD477A" w:rsidRDefault="00710611" w:rsidP="00157BAB">
      <w:pPr>
        <w:pStyle w:val="Numbered"/>
      </w:pPr>
      <w:r w:rsidRPr="00DD477A">
        <w:t>E</w:t>
      </w:r>
      <w:r w:rsidR="004E39B3" w:rsidRPr="00DD477A">
        <w:t>M</w:t>
      </w:r>
      <w:r w:rsidR="0001164D" w:rsidRPr="00DD477A">
        <w:t xml:space="preserve">, including </w:t>
      </w:r>
      <w:r w:rsidR="001D6966" w:rsidRPr="00DD477A">
        <w:t xml:space="preserve">updated </w:t>
      </w:r>
      <w:r w:rsidR="003E309A" w:rsidRPr="00DD477A">
        <w:t xml:space="preserve">mandatory </w:t>
      </w:r>
      <w:r w:rsidR="0001164D" w:rsidRPr="00DD477A">
        <w:t>templates</w:t>
      </w:r>
      <w:r w:rsidR="000C7A2B" w:rsidRPr="00DD477A">
        <w:t>,</w:t>
      </w:r>
      <w:r w:rsidR="00C63370" w:rsidRPr="00DD477A">
        <w:t xml:space="preserve"> </w:t>
      </w:r>
      <w:r w:rsidR="003F647E" w:rsidRPr="00DD477A">
        <w:t>circulated</w:t>
      </w:r>
      <w:r w:rsidR="00C63370" w:rsidRPr="00DD477A">
        <w:t xml:space="preserve"> to </w:t>
      </w:r>
      <w:r w:rsidR="007F0366" w:rsidRPr="00DD477A">
        <w:t xml:space="preserve">entities </w:t>
      </w:r>
      <w:r w:rsidR="004C6813" w:rsidRPr="00DD477A">
        <w:t>in early March (non</w:t>
      </w:r>
      <w:r w:rsidR="001D6966" w:rsidRPr="00DD477A">
        <w:noBreakHyphen/>
      </w:r>
      <w:r w:rsidR="004C6813" w:rsidRPr="00DD477A">
        <w:t>election year</w:t>
      </w:r>
      <w:r w:rsidR="001D6966" w:rsidRPr="00DD477A">
        <w:t>s</w:t>
      </w:r>
      <w:r w:rsidR="004C6813" w:rsidRPr="00DD477A">
        <w:t>)</w:t>
      </w:r>
      <w:r w:rsidR="0017584E" w:rsidRPr="00DD477A">
        <w:t>.</w:t>
      </w:r>
    </w:p>
    <w:p w14:paraId="4480894F" w14:textId="09F4EDBD" w:rsidR="00B862FC" w:rsidRPr="00DD477A" w:rsidRDefault="00B862FC" w:rsidP="00157BAB">
      <w:pPr>
        <w:pStyle w:val="Numbered"/>
        <w:rPr>
          <w:rFonts w:cs="Calibri"/>
        </w:rPr>
      </w:pPr>
      <w:r w:rsidRPr="00DD477A">
        <w:rPr>
          <w:rFonts w:cs="Calibri"/>
        </w:rPr>
        <w:t>Portfolios to forward Ministerial requests for new or changes to existing outcome statement changes</w:t>
      </w:r>
      <w:r w:rsidR="00CE2DB5" w:rsidRPr="00DD477A">
        <w:rPr>
          <w:rFonts w:cs="Calibri"/>
        </w:rPr>
        <w:t xml:space="preserve"> to Minister for Finance</w:t>
      </w:r>
      <w:r w:rsidR="0017584E" w:rsidRPr="00DD477A">
        <w:rPr>
          <w:rFonts w:cs="Calibri"/>
        </w:rPr>
        <w:t>.</w:t>
      </w:r>
    </w:p>
    <w:p w14:paraId="6C5C481F" w14:textId="14511B8B" w:rsidR="00B862FC" w:rsidRPr="00DD477A" w:rsidRDefault="00B862FC" w:rsidP="00157BAB">
      <w:pPr>
        <w:pStyle w:val="Numbered"/>
        <w:rPr>
          <w:rFonts w:cs="Calibri"/>
        </w:rPr>
      </w:pPr>
      <w:r w:rsidRPr="00DD477A">
        <w:rPr>
          <w:rFonts w:cs="Calibri"/>
        </w:rPr>
        <w:t xml:space="preserve">Government decisions made </w:t>
      </w:r>
      <w:r w:rsidR="008226D1" w:rsidRPr="00DD477A">
        <w:rPr>
          <w:rFonts w:cs="Calibri"/>
        </w:rPr>
        <w:t>and whole of Government budget processes are conducted as part of the budget process</w:t>
      </w:r>
      <w:r w:rsidRPr="00DD477A">
        <w:rPr>
          <w:rFonts w:cs="Calibri"/>
        </w:rPr>
        <w:t>, including on movements of funds, reclassification and operating losses</w:t>
      </w:r>
      <w:r w:rsidR="0017584E" w:rsidRPr="00DD477A">
        <w:rPr>
          <w:rFonts w:cs="Calibri"/>
        </w:rPr>
        <w:t>.</w:t>
      </w:r>
    </w:p>
    <w:p w14:paraId="0CD2F6F0" w14:textId="4008B12D" w:rsidR="00B862FC" w:rsidRPr="00DD477A" w:rsidRDefault="00B862FC" w:rsidP="00157BAB">
      <w:pPr>
        <w:pStyle w:val="Numbered"/>
        <w:rPr>
          <w:rFonts w:cs="Calibri"/>
        </w:rPr>
      </w:pPr>
      <w:r w:rsidRPr="00DD477A">
        <w:rPr>
          <w:rFonts w:cs="Calibri"/>
        </w:rPr>
        <w:t>Section 51 withholding and quarantine processes</w:t>
      </w:r>
      <w:r w:rsidR="0017584E" w:rsidRPr="00DD477A">
        <w:rPr>
          <w:rFonts w:cs="Calibri"/>
        </w:rPr>
        <w:t>.</w:t>
      </w:r>
    </w:p>
    <w:p w14:paraId="63CBC455" w14:textId="59CD6D8F" w:rsidR="0001164D" w:rsidRPr="00DD477A" w:rsidRDefault="004C6813" w:rsidP="00157BAB">
      <w:pPr>
        <w:pStyle w:val="Numbered"/>
        <w:rPr>
          <w:rFonts w:cs="Calibri"/>
        </w:rPr>
      </w:pPr>
      <w:r w:rsidRPr="00DD477A">
        <w:rPr>
          <w:rFonts w:cs="Calibri"/>
        </w:rPr>
        <w:t xml:space="preserve">Budget estimates update round opens in CBMS </w:t>
      </w:r>
      <w:r w:rsidR="00B862FC" w:rsidRPr="00DD477A">
        <w:rPr>
          <w:rFonts w:cs="Calibri"/>
        </w:rPr>
        <w:t xml:space="preserve">– entities to update annual estimates and download relevant </w:t>
      </w:r>
      <w:r w:rsidR="000C7A2B" w:rsidRPr="00DD477A">
        <w:rPr>
          <w:rFonts w:cs="Calibri"/>
        </w:rPr>
        <w:t>PB</w:t>
      </w:r>
      <w:r w:rsidR="007E4A9C" w:rsidRPr="00DD477A">
        <w:rPr>
          <w:rFonts w:cs="Calibri"/>
        </w:rPr>
        <w:t xml:space="preserve"> </w:t>
      </w:r>
      <w:r w:rsidR="000C7A2B" w:rsidRPr="00DD477A">
        <w:rPr>
          <w:rFonts w:cs="Calibri"/>
        </w:rPr>
        <w:t>S</w:t>
      </w:r>
      <w:r w:rsidR="007E4A9C" w:rsidRPr="00DD477A">
        <w:rPr>
          <w:rFonts w:cs="Calibri"/>
        </w:rPr>
        <w:t>tatements</w:t>
      </w:r>
      <w:r w:rsidR="000C7A2B" w:rsidRPr="00DD477A">
        <w:rPr>
          <w:rFonts w:cs="Calibri"/>
        </w:rPr>
        <w:t xml:space="preserve"> </w:t>
      </w:r>
      <w:r w:rsidR="00B862FC" w:rsidRPr="00DD477A">
        <w:rPr>
          <w:rFonts w:cs="Calibri"/>
        </w:rPr>
        <w:t xml:space="preserve">reports </w:t>
      </w:r>
      <w:r w:rsidR="000C7A2B" w:rsidRPr="00DD477A">
        <w:rPr>
          <w:rFonts w:cs="Calibri"/>
        </w:rPr>
        <w:t>data</w:t>
      </w:r>
      <w:r w:rsidR="0017584E" w:rsidRPr="00DD477A">
        <w:rPr>
          <w:rFonts w:cs="Calibri"/>
        </w:rPr>
        <w:t>.</w:t>
      </w:r>
    </w:p>
    <w:p w14:paraId="1BA2F161" w14:textId="5FEB4748" w:rsidR="00B862FC" w:rsidRPr="00DD477A" w:rsidRDefault="00B862FC" w:rsidP="00157BAB">
      <w:pPr>
        <w:pStyle w:val="Numbered"/>
        <w:rPr>
          <w:rFonts w:cs="Calibri"/>
        </w:rPr>
      </w:pPr>
      <w:r w:rsidRPr="00DD477A">
        <w:rPr>
          <w:rFonts w:cs="Calibri"/>
        </w:rPr>
        <w:t xml:space="preserve">Portfolios to seek quotes and sign contracts with relevant printing provider, such as </w:t>
      </w:r>
      <w:r w:rsidR="006F2D46" w:rsidRPr="00DD477A">
        <w:rPr>
          <w:rFonts w:cs="Calibri"/>
        </w:rPr>
        <w:t>CanPrint</w:t>
      </w:r>
      <w:r w:rsidR="0017584E" w:rsidRPr="00DD477A">
        <w:rPr>
          <w:rFonts w:cs="Calibri"/>
        </w:rPr>
        <w:t>.</w:t>
      </w:r>
      <w:r w:rsidR="004E39B3" w:rsidRPr="00DD477A">
        <w:rPr>
          <w:rFonts w:cs="Calibri"/>
        </w:rPr>
        <w:br/>
      </w:r>
      <w:r w:rsidR="004E39B3" w:rsidRPr="00DD477A">
        <w:rPr>
          <w:rFonts w:cs="Calibri"/>
          <w:color w:val="FF0000"/>
        </w:rPr>
        <w:t>[</w:t>
      </w:r>
      <w:r w:rsidR="004E39B3" w:rsidRPr="00DD477A">
        <w:rPr>
          <w:rFonts w:cs="Calibri"/>
          <w:i/>
          <w:iCs/>
          <w:color w:val="FF0000"/>
        </w:rPr>
        <w:t>note:</w:t>
      </w:r>
      <w:r w:rsidR="00994760" w:rsidRPr="00DD477A">
        <w:rPr>
          <w:rFonts w:cs="Calibri"/>
          <w:i/>
          <w:iCs/>
          <w:color w:val="FF0000"/>
        </w:rPr>
        <w:t xml:space="preserve"> </w:t>
      </w:r>
      <w:r w:rsidR="00523D13" w:rsidRPr="00DD477A">
        <w:rPr>
          <w:rFonts w:cs="Calibri"/>
          <w:i/>
          <w:iCs/>
          <w:color w:val="FF0000"/>
        </w:rPr>
        <w:t xml:space="preserve">the Department of the </w:t>
      </w:r>
      <w:r w:rsidR="004E39B3" w:rsidRPr="00DD477A">
        <w:rPr>
          <w:rFonts w:cs="Calibri"/>
          <w:i/>
          <w:iCs/>
          <w:color w:val="FF0000"/>
        </w:rPr>
        <w:t xml:space="preserve">Treasury </w:t>
      </w:r>
      <w:r w:rsidR="00523D13" w:rsidRPr="00DD477A">
        <w:rPr>
          <w:rFonts w:cs="Calibri"/>
          <w:i/>
          <w:iCs/>
          <w:color w:val="FF0000"/>
        </w:rPr>
        <w:t xml:space="preserve">(Treasury) </w:t>
      </w:r>
      <w:r w:rsidR="004E39B3" w:rsidRPr="00DD477A">
        <w:rPr>
          <w:rFonts w:cs="Calibri"/>
          <w:i/>
          <w:iCs/>
          <w:color w:val="FF0000"/>
        </w:rPr>
        <w:t xml:space="preserve">will provide their required book numbers </w:t>
      </w:r>
      <w:r w:rsidR="00F11A78" w:rsidRPr="00DD477A">
        <w:rPr>
          <w:rFonts w:cs="Calibri"/>
          <w:i/>
          <w:iCs/>
          <w:color w:val="FF0000"/>
        </w:rPr>
        <w:t xml:space="preserve">to Portfolio Coordinators </w:t>
      </w:r>
      <w:r w:rsidR="004E39B3" w:rsidRPr="00DD477A">
        <w:rPr>
          <w:rFonts w:cs="Calibri"/>
          <w:i/>
          <w:iCs/>
          <w:color w:val="FF0000"/>
        </w:rPr>
        <w:t>for lockup separate to this EM</w:t>
      </w:r>
      <w:r w:rsidR="004E39B3" w:rsidRPr="00DD477A">
        <w:rPr>
          <w:rFonts w:cs="Calibri"/>
          <w:color w:val="FF0000"/>
        </w:rPr>
        <w:t>]</w:t>
      </w:r>
    </w:p>
    <w:p w14:paraId="6755C336" w14:textId="01C69BFF" w:rsidR="00F11A78" w:rsidRPr="00DD477A" w:rsidRDefault="00B862FC" w:rsidP="00157BAB">
      <w:pPr>
        <w:pStyle w:val="Numbered"/>
        <w:rPr>
          <w:rFonts w:cs="Calibri"/>
        </w:rPr>
      </w:pPr>
      <w:r w:rsidRPr="00DD477A">
        <w:rPr>
          <w:rFonts w:cs="Calibri"/>
        </w:rPr>
        <w:t>Portfolios to request Minister’s signature on the letter of transmittal</w:t>
      </w:r>
      <w:r w:rsidR="0017584E" w:rsidRPr="00DD477A">
        <w:rPr>
          <w:rFonts w:cs="Calibri"/>
        </w:rPr>
        <w:t>.</w:t>
      </w:r>
    </w:p>
    <w:p w14:paraId="2B408B30" w14:textId="0A9E0B37" w:rsidR="00B862FC" w:rsidRPr="00DD477A" w:rsidRDefault="00B862FC" w:rsidP="00157BAB">
      <w:pPr>
        <w:pStyle w:val="Numbered"/>
        <w:rPr>
          <w:rFonts w:cs="Calibri"/>
        </w:rPr>
      </w:pPr>
      <w:r w:rsidRPr="00DD477A">
        <w:rPr>
          <w:rFonts w:cs="Calibri"/>
        </w:rPr>
        <w:t xml:space="preserve">Portfolios to seek chapter </w:t>
      </w:r>
      <w:r w:rsidR="007F0366" w:rsidRPr="00DD477A">
        <w:rPr>
          <w:rFonts w:cs="Calibri"/>
        </w:rPr>
        <w:t xml:space="preserve">input </w:t>
      </w:r>
      <w:r w:rsidRPr="00DD477A">
        <w:rPr>
          <w:rFonts w:cs="Calibri"/>
        </w:rPr>
        <w:t>from portfolio entities</w:t>
      </w:r>
      <w:r w:rsidR="0017584E" w:rsidRPr="00DD477A">
        <w:rPr>
          <w:rFonts w:cs="Calibri"/>
        </w:rPr>
        <w:t>.</w:t>
      </w:r>
    </w:p>
    <w:p w14:paraId="28660266" w14:textId="4726A25C" w:rsidR="00B862FC" w:rsidRPr="00DD477A" w:rsidRDefault="00B862FC" w:rsidP="00157BAB">
      <w:pPr>
        <w:pStyle w:val="Numbered"/>
        <w:rPr>
          <w:rFonts w:cs="Calibri"/>
        </w:rPr>
      </w:pPr>
      <w:r w:rsidRPr="00DD477A">
        <w:rPr>
          <w:rFonts w:cs="Calibri"/>
        </w:rPr>
        <w:t>Portfolios to seek program and performance information from relevant program/policy areas</w:t>
      </w:r>
      <w:r w:rsidR="0017584E" w:rsidRPr="00DD477A">
        <w:rPr>
          <w:rFonts w:cs="Calibri"/>
        </w:rPr>
        <w:t>.</w:t>
      </w:r>
    </w:p>
    <w:p w14:paraId="1F32B580" w14:textId="78926812" w:rsidR="000C7A2B" w:rsidRPr="00DD477A" w:rsidRDefault="00B862FC" w:rsidP="00157BAB">
      <w:pPr>
        <w:pStyle w:val="Numbered"/>
        <w:rPr>
          <w:rFonts w:cs="Calibri"/>
        </w:rPr>
      </w:pPr>
      <w:r w:rsidRPr="00DD477A">
        <w:rPr>
          <w:rFonts w:cs="Calibri"/>
        </w:rPr>
        <w:t xml:space="preserve">Internal </w:t>
      </w:r>
      <w:r w:rsidR="006B29C8" w:rsidRPr="00DD477A">
        <w:rPr>
          <w:rFonts w:cs="Calibri"/>
        </w:rPr>
        <w:t>Portfolio</w:t>
      </w:r>
      <w:r w:rsidR="00B46CD3" w:rsidRPr="00DD477A">
        <w:rPr>
          <w:rFonts w:cs="Calibri"/>
        </w:rPr>
        <w:t xml:space="preserve"> clearances</w:t>
      </w:r>
      <w:r w:rsidRPr="00DD477A">
        <w:rPr>
          <w:rFonts w:cs="Calibri"/>
        </w:rPr>
        <w:t xml:space="preserve"> of </w:t>
      </w:r>
      <w:r w:rsidR="004A0126" w:rsidRPr="00DD477A">
        <w:rPr>
          <w:rFonts w:cs="Calibri"/>
        </w:rPr>
        <w:t xml:space="preserve">PB Statement </w:t>
      </w:r>
      <w:r w:rsidRPr="00DD477A">
        <w:rPr>
          <w:rFonts w:cs="Calibri"/>
        </w:rPr>
        <w:t>text</w:t>
      </w:r>
      <w:r w:rsidR="004A0126" w:rsidRPr="00DD477A">
        <w:rPr>
          <w:rFonts w:cs="Calibri"/>
        </w:rPr>
        <w:t xml:space="preserve"> (and if required associated draft media releases)</w:t>
      </w:r>
      <w:r w:rsidR="0017584E" w:rsidRPr="00DD477A">
        <w:rPr>
          <w:rFonts w:cs="Calibri"/>
        </w:rPr>
        <w:t>.</w:t>
      </w:r>
    </w:p>
    <w:p w14:paraId="54F2728E" w14:textId="12564F78" w:rsidR="007F0366" w:rsidRPr="00DD477A" w:rsidRDefault="007F0366" w:rsidP="00157BAB">
      <w:pPr>
        <w:pStyle w:val="Numbered"/>
        <w:rPr>
          <w:rFonts w:cs="Calibri"/>
        </w:rPr>
      </w:pPr>
      <w:r w:rsidRPr="00DD477A">
        <w:rPr>
          <w:rFonts w:cs="Calibri"/>
        </w:rPr>
        <w:t>If required, Portfolios provide preliminary</w:t>
      </w:r>
      <w:r w:rsidR="00EB7710" w:rsidRPr="00DD477A">
        <w:rPr>
          <w:rFonts w:cs="Calibri"/>
        </w:rPr>
        <w:t>/</w:t>
      </w:r>
      <w:r w:rsidRPr="00DD477A">
        <w:rPr>
          <w:rFonts w:cs="Calibri"/>
        </w:rPr>
        <w:t xml:space="preserve">draft </w:t>
      </w:r>
      <w:r w:rsidR="00EB7710" w:rsidRPr="00DD477A">
        <w:rPr>
          <w:rFonts w:cs="Calibri"/>
        </w:rPr>
        <w:t>PB Statement text</w:t>
      </w:r>
      <w:r w:rsidRPr="00DD477A">
        <w:rPr>
          <w:rFonts w:cs="Calibri"/>
        </w:rPr>
        <w:t xml:space="preserve"> to their Minister’s office for review/clearance</w:t>
      </w:r>
      <w:r w:rsidR="0017584E" w:rsidRPr="00DD477A">
        <w:rPr>
          <w:rFonts w:cs="Calibri"/>
        </w:rPr>
        <w:t>.</w:t>
      </w:r>
    </w:p>
    <w:p w14:paraId="329E9C3C" w14:textId="61F42702" w:rsidR="002A0F02" w:rsidRPr="00DD477A" w:rsidRDefault="001A5EEB" w:rsidP="00157BAB">
      <w:pPr>
        <w:pStyle w:val="Numbered"/>
        <w:rPr>
          <w:rFonts w:cs="Calibri"/>
        </w:rPr>
      </w:pPr>
      <w:r w:rsidRPr="00DD477A">
        <w:rPr>
          <w:rFonts w:cs="Calibri"/>
        </w:rPr>
        <w:t xml:space="preserve">CBMS closes </w:t>
      </w:r>
      <w:r w:rsidR="003430F1" w:rsidRPr="00DD477A">
        <w:rPr>
          <w:rFonts w:cs="Calibri"/>
        </w:rPr>
        <w:t>to entities</w:t>
      </w:r>
      <w:r w:rsidR="00B862FC" w:rsidRPr="00DD477A">
        <w:rPr>
          <w:rFonts w:cs="Calibri"/>
        </w:rPr>
        <w:t xml:space="preserve">, with Chief Financial Officers to sign off on Appropriation Bills and Budget Paper No. 4 figures. </w:t>
      </w:r>
    </w:p>
    <w:p w14:paraId="21CC8F90" w14:textId="5F264247" w:rsidR="00F11A78" w:rsidRPr="00DD477A" w:rsidRDefault="00F11A78" w:rsidP="00157BAB">
      <w:pPr>
        <w:pStyle w:val="Numbered"/>
        <w:rPr>
          <w:rFonts w:cs="Calibri"/>
        </w:rPr>
      </w:pPr>
      <w:r w:rsidRPr="00DD477A">
        <w:rPr>
          <w:rFonts w:cs="Calibri"/>
        </w:rPr>
        <w:t>Portfolios finalise PB Statements hard cover proofs with printing provider</w:t>
      </w:r>
      <w:r w:rsidR="0017584E" w:rsidRPr="00DD477A">
        <w:rPr>
          <w:rFonts w:cs="Calibri"/>
        </w:rPr>
        <w:t>.</w:t>
      </w:r>
    </w:p>
    <w:p w14:paraId="6147270C" w14:textId="2740667F" w:rsidR="00B862FC" w:rsidRPr="00DD477A" w:rsidRDefault="00B862FC" w:rsidP="00157BAB">
      <w:pPr>
        <w:pStyle w:val="Numbered"/>
        <w:rPr>
          <w:rFonts w:cs="Calibri"/>
        </w:rPr>
      </w:pPr>
      <w:r w:rsidRPr="00DD477A">
        <w:rPr>
          <w:rFonts w:cs="Calibri"/>
        </w:rPr>
        <w:t>Portfolios prepare PB Statement</w:t>
      </w:r>
      <w:r w:rsidR="00F11A78" w:rsidRPr="00DD477A">
        <w:rPr>
          <w:rFonts w:cs="Calibri"/>
        </w:rPr>
        <w:t>s</w:t>
      </w:r>
      <w:r w:rsidRPr="00DD477A">
        <w:rPr>
          <w:rFonts w:cs="Calibri"/>
        </w:rPr>
        <w:t xml:space="preserve"> financial tables, consistent with CBMS, Appropriation Bills and Budget Paper No. 4.</w:t>
      </w:r>
    </w:p>
    <w:p w14:paraId="53BA3360" w14:textId="09C787E0" w:rsidR="007F0366" w:rsidRPr="00DD477A" w:rsidRDefault="007F0366" w:rsidP="00157BAB">
      <w:pPr>
        <w:pStyle w:val="Numbered"/>
        <w:rPr>
          <w:rFonts w:cs="Calibri"/>
        </w:rPr>
      </w:pPr>
      <w:r w:rsidRPr="00DD477A">
        <w:rPr>
          <w:rFonts w:cs="Calibri"/>
        </w:rPr>
        <w:t xml:space="preserve">Portfolios compile the final </w:t>
      </w:r>
      <w:r w:rsidR="00F11A78" w:rsidRPr="00DD477A">
        <w:rPr>
          <w:rFonts w:cs="Calibri"/>
        </w:rPr>
        <w:t>P</w:t>
      </w:r>
      <w:r w:rsidRPr="00DD477A">
        <w:rPr>
          <w:rFonts w:cs="Calibri"/>
        </w:rPr>
        <w:t>B Statement</w:t>
      </w:r>
      <w:r w:rsidR="00F11A78" w:rsidRPr="00DD477A">
        <w:rPr>
          <w:rFonts w:cs="Calibri"/>
        </w:rPr>
        <w:t>s</w:t>
      </w:r>
      <w:r w:rsidRPr="00DD477A">
        <w:rPr>
          <w:rFonts w:cs="Calibri"/>
        </w:rPr>
        <w:t xml:space="preserve"> book and perform proofing checks</w:t>
      </w:r>
      <w:r w:rsidR="0017584E" w:rsidRPr="00DD477A">
        <w:rPr>
          <w:rFonts w:cs="Calibri"/>
        </w:rPr>
        <w:t>.</w:t>
      </w:r>
    </w:p>
    <w:p w14:paraId="078ECE91" w14:textId="481209C5" w:rsidR="007F0366" w:rsidRPr="00DD477A" w:rsidRDefault="007F0366" w:rsidP="00157BAB">
      <w:pPr>
        <w:pStyle w:val="Numbered"/>
        <w:rPr>
          <w:rFonts w:cs="Calibri"/>
        </w:rPr>
      </w:pPr>
      <w:r w:rsidRPr="00DD477A">
        <w:rPr>
          <w:rFonts w:cs="Calibri"/>
        </w:rPr>
        <w:t>Portfolios to check all measure titles and figures through match the final list provided by their Finance Agency Advice Unit (AAU)</w:t>
      </w:r>
      <w:r w:rsidR="0017584E" w:rsidRPr="00DD477A">
        <w:rPr>
          <w:rFonts w:cs="Calibri"/>
        </w:rPr>
        <w:t>.</w:t>
      </w:r>
    </w:p>
    <w:p w14:paraId="7CCFBD2C" w14:textId="2B24E3EA" w:rsidR="007F0366" w:rsidRPr="00DD477A" w:rsidRDefault="007F0366" w:rsidP="00157BAB">
      <w:pPr>
        <w:pStyle w:val="Numbered"/>
        <w:rPr>
          <w:rFonts w:cs="Calibri"/>
        </w:rPr>
      </w:pPr>
      <w:r w:rsidRPr="00DD477A">
        <w:rPr>
          <w:rFonts w:cs="Calibri"/>
        </w:rPr>
        <w:t>If required, Portfolios provide final PB Statements to their Minister’s office for review/clearance</w:t>
      </w:r>
      <w:r w:rsidR="0017584E" w:rsidRPr="00DD477A">
        <w:rPr>
          <w:rFonts w:cs="Calibri"/>
        </w:rPr>
        <w:t>.</w:t>
      </w:r>
    </w:p>
    <w:p w14:paraId="0FDD52A0" w14:textId="7523F7F9" w:rsidR="007F0366" w:rsidRPr="00DD477A" w:rsidRDefault="007F0366" w:rsidP="00157BAB">
      <w:pPr>
        <w:pStyle w:val="Numbered"/>
        <w:rPr>
          <w:rFonts w:cs="Calibri"/>
        </w:rPr>
      </w:pPr>
      <w:r w:rsidRPr="00DD477A">
        <w:rPr>
          <w:rFonts w:cs="Calibri"/>
        </w:rPr>
        <w:t>Following clearance, Portfolios provide final PB</w:t>
      </w:r>
      <w:r w:rsidR="00EB7710" w:rsidRPr="00DD477A">
        <w:rPr>
          <w:rFonts w:cs="Calibri"/>
        </w:rPr>
        <w:t> </w:t>
      </w:r>
      <w:r w:rsidRPr="00DD477A">
        <w:rPr>
          <w:rFonts w:cs="Calibri"/>
        </w:rPr>
        <w:t>Statements to printing provider</w:t>
      </w:r>
      <w:r w:rsidR="0017584E" w:rsidRPr="00DD477A">
        <w:rPr>
          <w:rFonts w:cs="Calibri"/>
        </w:rPr>
        <w:t>.</w:t>
      </w:r>
    </w:p>
    <w:p w14:paraId="5A15B1D4" w14:textId="66F76FAA" w:rsidR="007F0366" w:rsidRPr="00DD477A" w:rsidRDefault="007F0366" w:rsidP="00157BAB">
      <w:pPr>
        <w:pStyle w:val="Numbered"/>
        <w:rPr>
          <w:rFonts w:cs="Calibri"/>
        </w:rPr>
      </w:pPr>
      <w:r w:rsidRPr="00DD477A">
        <w:rPr>
          <w:rFonts w:cs="Calibri"/>
        </w:rPr>
        <w:t>Portfolios complete review of final printing proof</w:t>
      </w:r>
      <w:r w:rsidR="00F11A78" w:rsidRPr="00DD477A">
        <w:rPr>
          <w:rFonts w:cs="Calibri"/>
        </w:rPr>
        <w:t xml:space="preserve"> and PB Statements printed</w:t>
      </w:r>
      <w:r w:rsidR="0017584E" w:rsidRPr="00DD477A">
        <w:rPr>
          <w:rFonts w:cs="Calibri"/>
        </w:rPr>
        <w:t>.</w:t>
      </w:r>
    </w:p>
    <w:p w14:paraId="7892E0FF" w14:textId="45F6DB65" w:rsidR="00B862FC" w:rsidRPr="00DD477A" w:rsidRDefault="00B862FC" w:rsidP="00157BAB">
      <w:pPr>
        <w:pStyle w:val="Numbered"/>
        <w:rPr>
          <w:rFonts w:cs="Calibri"/>
        </w:rPr>
      </w:pPr>
      <w:r w:rsidRPr="00DD477A">
        <w:rPr>
          <w:rFonts w:cs="Calibri"/>
        </w:rPr>
        <w:t>Portfolios to provide final PB Statements to Finance (hard and soft copies</w:t>
      </w:r>
      <w:r w:rsidR="00F11A78" w:rsidRPr="00DD477A">
        <w:rPr>
          <w:rFonts w:cs="Calibri"/>
        </w:rPr>
        <w:t xml:space="preserve"> and Excel tables</w:t>
      </w:r>
      <w:r w:rsidRPr="00DD477A">
        <w:rPr>
          <w:rFonts w:cs="Calibri"/>
        </w:rPr>
        <w:t>) and Department of the Senate (hard copies) to coordinate tabling</w:t>
      </w:r>
      <w:r w:rsidR="0017584E" w:rsidRPr="00DD477A">
        <w:rPr>
          <w:rFonts w:cs="Calibri"/>
        </w:rPr>
        <w:t>.</w:t>
      </w:r>
    </w:p>
    <w:p w14:paraId="51E7AF7A" w14:textId="444C191C" w:rsidR="00D42D13" w:rsidRPr="00DD477A" w:rsidRDefault="00B862FC" w:rsidP="00D42D13">
      <w:pPr>
        <w:pStyle w:val="Numbered"/>
      </w:pPr>
      <w:r w:rsidRPr="00DD477A">
        <w:rPr>
          <w:rFonts w:cs="Calibri"/>
        </w:rPr>
        <w:t xml:space="preserve">Portfolios to provide </w:t>
      </w:r>
      <w:r w:rsidR="00370569">
        <w:rPr>
          <w:rFonts w:cs="Calibri"/>
        </w:rPr>
        <w:t xml:space="preserve">PDF soft copies and </w:t>
      </w:r>
      <w:r w:rsidRPr="00DD477A">
        <w:rPr>
          <w:rFonts w:cs="Calibri"/>
        </w:rPr>
        <w:t xml:space="preserve">input to </w:t>
      </w:r>
      <w:r w:rsidR="00784268" w:rsidRPr="00DD477A">
        <w:rPr>
          <w:rFonts w:cs="Calibri"/>
        </w:rPr>
        <w:t xml:space="preserve">Treasury </w:t>
      </w:r>
      <w:r w:rsidRPr="00DD477A">
        <w:rPr>
          <w:rFonts w:cs="Calibri"/>
        </w:rPr>
        <w:t xml:space="preserve">for the </w:t>
      </w:r>
      <w:r w:rsidR="00784268" w:rsidRPr="00DD477A">
        <w:rPr>
          <w:rFonts w:cs="Calibri"/>
        </w:rPr>
        <w:t>media and stakeholder Budget lockups</w:t>
      </w:r>
      <w:r w:rsidR="00CA472F">
        <w:rPr>
          <w:rFonts w:cs="Calibri"/>
        </w:rPr>
        <w:t xml:space="preserve"> </w:t>
      </w:r>
      <w:r w:rsidR="00AD38B3">
        <w:rPr>
          <w:rFonts w:cs="Calibri"/>
        </w:rPr>
        <w:t>.</w:t>
      </w:r>
      <w:r w:rsidR="000E614D">
        <w:rPr>
          <w:rFonts w:cs="Calibri"/>
        </w:rPr>
        <w:t xml:space="preserve"> Treasury will provide separate advice on PB</w:t>
      </w:r>
      <w:r w:rsidR="00606ED8">
        <w:rPr>
          <w:rFonts w:cs="Calibri"/>
        </w:rPr>
        <w:t xml:space="preserve"> </w:t>
      </w:r>
      <w:r w:rsidR="000E614D">
        <w:rPr>
          <w:rFonts w:cs="Calibri"/>
        </w:rPr>
        <w:t>S</w:t>
      </w:r>
      <w:r w:rsidR="00606ED8">
        <w:rPr>
          <w:rFonts w:cs="Calibri"/>
        </w:rPr>
        <w:t>tatement</w:t>
      </w:r>
      <w:r w:rsidR="000E614D">
        <w:rPr>
          <w:rFonts w:cs="Calibri"/>
        </w:rPr>
        <w:t xml:space="preserve"> </w:t>
      </w:r>
      <w:r w:rsidR="00045AC1">
        <w:rPr>
          <w:rFonts w:cs="Calibri"/>
        </w:rPr>
        <w:t>hard copies requirement.</w:t>
      </w:r>
      <w:r w:rsidR="00D42D13">
        <w:br/>
      </w:r>
      <w:r w:rsidR="00D42D13">
        <w:br/>
        <w:t xml:space="preserve">Refer to section </w:t>
      </w:r>
      <w:r w:rsidR="00D42D13" w:rsidRPr="002A62A3">
        <w:rPr>
          <w:rStyle w:val="CrossReferenceChar"/>
        </w:rPr>
        <w:fldChar w:fldCharType="begin"/>
      </w:r>
      <w:r w:rsidR="00D42D13" w:rsidRPr="002A62A3">
        <w:rPr>
          <w:rStyle w:val="CrossReferenceChar"/>
        </w:rPr>
        <w:instrText xml:space="preserve"> REF _Ref222319663 \w \h </w:instrText>
      </w:r>
      <w:r w:rsidR="002A62A3">
        <w:rPr>
          <w:rStyle w:val="CrossReferenceChar"/>
        </w:rPr>
        <w:instrText xml:space="preserve"> \* MERGEFORMAT </w:instrText>
      </w:r>
      <w:r w:rsidR="00D42D13" w:rsidRPr="002A62A3">
        <w:rPr>
          <w:rStyle w:val="CrossReferenceChar"/>
        </w:rPr>
      </w:r>
      <w:r w:rsidR="00D42D13" w:rsidRPr="002A62A3">
        <w:rPr>
          <w:rStyle w:val="CrossReferenceChar"/>
        </w:rPr>
        <w:fldChar w:fldCharType="separate"/>
      </w:r>
      <w:r w:rsidR="009E5625">
        <w:rPr>
          <w:rStyle w:val="CrossReferenceChar"/>
        </w:rPr>
        <w:t>3.7</w:t>
      </w:r>
      <w:r w:rsidR="00D42D13" w:rsidRPr="002A62A3">
        <w:rPr>
          <w:rStyle w:val="CrossReferenceChar"/>
        </w:rPr>
        <w:fldChar w:fldCharType="end"/>
      </w:r>
      <w:r w:rsidR="00D42D13" w:rsidRPr="002A62A3">
        <w:rPr>
          <w:rStyle w:val="CrossReferenceChar"/>
        </w:rPr>
        <w:t xml:space="preserve"> </w:t>
      </w:r>
      <w:r w:rsidR="00D42D13" w:rsidRPr="002A62A3">
        <w:rPr>
          <w:rStyle w:val="CrossReferenceChar"/>
        </w:rPr>
        <w:fldChar w:fldCharType="begin"/>
      </w:r>
      <w:r w:rsidR="00D42D13" w:rsidRPr="002A62A3">
        <w:rPr>
          <w:rStyle w:val="CrossReferenceChar"/>
        </w:rPr>
        <w:instrText xml:space="preserve"> REF _Ref222319671 \h </w:instrText>
      </w:r>
      <w:r w:rsidR="002A62A3">
        <w:rPr>
          <w:rStyle w:val="CrossReferenceChar"/>
        </w:rPr>
        <w:instrText xml:space="preserve"> \* MERGEFORMAT </w:instrText>
      </w:r>
      <w:r w:rsidR="00D42D13" w:rsidRPr="002A62A3">
        <w:rPr>
          <w:rStyle w:val="CrossReferenceChar"/>
        </w:rPr>
      </w:r>
      <w:r w:rsidR="00D42D13" w:rsidRPr="002A62A3">
        <w:rPr>
          <w:rStyle w:val="CrossReferenceChar"/>
        </w:rPr>
        <w:fldChar w:fldCharType="separate"/>
      </w:r>
      <w:r w:rsidR="009E5625" w:rsidRPr="009E5625">
        <w:rPr>
          <w:rStyle w:val="CrossReferenceChar"/>
        </w:rPr>
        <w:t>Budget media lockup hard copy and PDF requirements</w:t>
      </w:r>
      <w:r w:rsidR="00D42D13" w:rsidRPr="002A62A3">
        <w:rPr>
          <w:rStyle w:val="CrossReferenceChar"/>
        </w:rPr>
        <w:fldChar w:fldCharType="end"/>
      </w:r>
      <w:r w:rsidR="00E03517">
        <w:t xml:space="preserve"> for due date </w:t>
      </w:r>
      <w:r w:rsidR="002018B7">
        <w:t xml:space="preserve">and </w:t>
      </w:r>
      <w:r w:rsidR="00FC7AE0">
        <w:t>instructions</w:t>
      </w:r>
      <w:r w:rsidR="004D16E3">
        <w:t>.</w:t>
      </w:r>
    </w:p>
    <w:p w14:paraId="6B7436CD" w14:textId="686C3E56" w:rsidR="000C7A2B" w:rsidRPr="00DD477A" w:rsidRDefault="00CC144A" w:rsidP="00157BAB">
      <w:pPr>
        <w:pStyle w:val="Numbered"/>
        <w:rPr>
          <w:rFonts w:cs="Calibri"/>
        </w:rPr>
      </w:pPr>
      <w:r w:rsidRPr="00DD477A">
        <w:rPr>
          <w:rFonts w:cs="Calibri"/>
        </w:rPr>
        <w:t>Final PB</w:t>
      </w:r>
      <w:r w:rsidR="00B862FC" w:rsidRPr="00DD477A">
        <w:rPr>
          <w:rFonts w:cs="Calibri"/>
        </w:rPr>
        <w:t xml:space="preserve"> </w:t>
      </w:r>
      <w:r w:rsidRPr="00DD477A">
        <w:rPr>
          <w:rFonts w:cs="Calibri"/>
        </w:rPr>
        <w:t>S</w:t>
      </w:r>
      <w:r w:rsidR="00B862FC" w:rsidRPr="00DD477A">
        <w:rPr>
          <w:rFonts w:cs="Calibri"/>
        </w:rPr>
        <w:t>tatements</w:t>
      </w:r>
      <w:r w:rsidRPr="00DD477A">
        <w:rPr>
          <w:rFonts w:cs="Calibri"/>
        </w:rPr>
        <w:t xml:space="preserve"> </w:t>
      </w:r>
      <w:r w:rsidR="00B862FC" w:rsidRPr="00DD477A">
        <w:rPr>
          <w:rFonts w:cs="Calibri"/>
        </w:rPr>
        <w:t>published on websites following tabled in Parliament.</w:t>
      </w:r>
    </w:p>
    <w:p w14:paraId="7206D3A3" w14:textId="728B919A" w:rsidR="001D5A6E" w:rsidRPr="00DD477A" w:rsidRDefault="001D5A6E" w:rsidP="002A08E2">
      <w:r w:rsidRPr="00DD477A">
        <w:t xml:space="preserve">It is also suggested that </w:t>
      </w:r>
      <w:r w:rsidR="007F0366" w:rsidRPr="00DD477A">
        <w:t xml:space="preserve">entities </w:t>
      </w:r>
      <w:r w:rsidRPr="00DD477A">
        <w:t>contact the</w:t>
      </w:r>
      <w:r w:rsidR="00AD38B3">
        <w:t>ir</w:t>
      </w:r>
      <w:r w:rsidRPr="00DD477A">
        <w:t xml:space="preserve"> relevant printing provider early in the process to </w:t>
      </w:r>
      <w:r w:rsidR="008660DA" w:rsidRPr="00DD477A">
        <w:t>m</w:t>
      </w:r>
      <w:r w:rsidR="004574A9" w:rsidRPr="00DD477A">
        <w:t>anage printing timelines.</w:t>
      </w:r>
    </w:p>
    <w:p w14:paraId="1A39BE91" w14:textId="5360238D" w:rsidR="002621F2" w:rsidRPr="00DD477A" w:rsidRDefault="00A62964" w:rsidP="003D6589">
      <w:pPr>
        <w:pStyle w:val="Heading2"/>
      </w:pPr>
      <w:bookmarkStart w:id="28" w:name="_Toc227748982"/>
      <w:r w:rsidRPr="00DD477A">
        <w:t xml:space="preserve">PB Statements Estimates Memorandum – Templates and </w:t>
      </w:r>
      <w:r w:rsidR="00211471" w:rsidRPr="00DD477A">
        <w:t>Data Sources</w:t>
      </w:r>
      <w:bookmarkEnd w:id="28"/>
      <w:r w:rsidR="00211471" w:rsidRPr="00DD477A">
        <w:t xml:space="preserve"> </w:t>
      </w:r>
    </w:p>
    <w:p w14:paraId="5BFC8954" w14:textId="533C6065" w:rsidR="00E551A7" w:rsidRPr="00DD477A" w:rsidRDefault="00E551A7" w:rsidP="00DB70D2">
      <w:pPr>
        <w:pStyle w:val="Numbered"/>
        <w:numPr>
          <w:ilvl w:val="0"/>
          <w:numId w:val="50"/>
        </w:numPr>
      </w:pPr>
      <w:bookmarkStart w:id="29" w:name="_Ref32914694"/>
      <w:r w:rsidRPr="00DD477A" w:rsidDel="00DA5C2D">
        <w:t xml:space="preserve">Entities </w:t>
      </w:r>
      <w:r w:rsidRPr="00DB70D2" w:rsidDel="00DA5C2D">
        <w:rPr>
          <w:b/>
        </w:rPr>
        <w:t>must</w:t>
      </w:r>
      <w:r w:rsidRPr="00DD477A" w:rsidDel="00DA5C2D">
        <w:t xml:space="preserve"> use the templates at </w:t>
      </w:r>
      <w:r w:rsidRPr="00DB70D2" w:rsidDel="00DA5C2D">
        <w:rPr>
          <w:u w:val="single"/>
        </w:rPr>
        <w:t>Attachments B</w:t>
      </w:r>
      <w:r w:rsidRPr="00DD477A" w:rsidDel="00DA5C2D">
        <w:t xml:space="preserve">, </w:t>
      </w:r>
      <w:r w:rsidRPr="00DB70D2" w:rsidDel="00DA5C2D">
        <w:rPr>
          <w:u w:val="single"/>
        </w:rPr>
        <w:t>C</w:t>
      </w:r>
      <w:r w:rsidRPr="00DD477A" w:rsidDel="00DA5C2D">
        <w:t xml:space="preserve"> and </w:t>
      </w:r>
      <w:r w:rsidRPr="00DB70D2" w:rsidDel="00DA5C2D">
        <w:rPr>
          <w:u w:val="single"/>
        </w:rPr>
        <w:t>E</w:t>
      </w:r>
      <w:r w:rsidRPr="00DD477A" w:rsidDel="00DA5C2D">
        <w:t xml:space="preserve"> to prepare their PB Statements, </w:t>
      </w:r>
      <w:r w:rsidRPr="00DD477A">
        <w:t>to provide consistency with</w:t>
      </w:r>
      <w:r w:rsidRPr="00DD477A" w:rsidDel="00DA5C2D">
        <w:t xml:space="preserve"> the BPs</w:t>
      </w:r>
      <w:r w:rsidR="00FC0BC2" w:rsidRPr="00DD477A">
        <w:t xml:space="preserve"> and ensure transparency and accountability to the Parliament over the use of public resources</w:t>
      </w:r>
      <w:r w:rsidRPr="00DD477A" w:rsidDel="00DA5C2D">
        <w:t>.</w:t>
      </w:r>
      <w:r w:rsidR="005E7BE4" w:rsidRPr="00DD477A">
        <w:t xml:space="preserve"> These attachments are available through CBMS. Refer to </w:t>
      </w:r>
      <w:r w:rsidR="005E780B" w:rsidRPr="00DD477A">
        <w:t>Appendix C</w:t>
      </w:r>
      <w:r w:rsidR="005E7BE4" w:rsidRPr="00DB70D2">
        <w:rPr>
          <w:i/>
          <w:iCs/>
        </w:rPr>
        <w:t xml:space="preserve"> </w:t>
      </w:r>
      <w:r w:rsidR="005E7BE4" w:rsidRPr="00DD477A">
        <w:t>in this guide on how to access these templates.</w:t>
      </w:r>
    </w:p>
    <w:p w14:paraId="11D0FF3B" w14:textId="39087B64" w:rsidR="006E6370" w:rsidRPr="00DD477A" w:rsidRDefault="002A5177" w:rsidP="00157BAB">
      <w:pPr>
        <w:pStyle w:val="Numbered"/>
      </w:pPr>
      <w:r w:rsidRPr="00DD477A">
        <w:rPr>
          <w:u w:val="single"/>
        </w:rPr>
        <w:t>Attachments B</w:t>
      </w:r>
      <w:r w:rsidRPr="00DD477A">
        <w:t> and </w:t>
      </w:r>
      <w:r w:rsidR="001B350F" w:rsidRPr="00DD477A">
        <w:rPr>
          <w:u w:val="single"/>
        </w:rPr>
        <w:t>C</w:t>
      </w:r>
      <w:r w:rsidR="001B350F" w:rsidRPr="00DD477A">
        <w:t xml:space="preserve"> </w:t>
      </w:r>
      <w:r w:rsidR="0088721C">
        <w:t>included with</w:t>
      </w:r>
      <w:r w:rsidR="00D47A89">
        <w:t xml:space="preserve"> </w:t>
      </w:r>
      <w:r w:rsidR="00597937" w:rsidRPr="00DD477A">
        <w:t xml:space="preserve">the EM </w:t>
      </w:r>
      <w:r w:rsidR="001A2AAF">
        <w:t xml:space="preserve">contain </w:t>
      </w:r>
      <w:r w:rsidR="00597937" w:rsidRPr="00DD477A">
        <w:t xml:space="preserve">the mandatory </w:t>
      </w:r>
      <w:r w:rsidR="00D134C2" w:rsidRPr="00DD477A">
        <w:t xml:space="preserve">Microsoft Excel </w:t>
      </w:r>
      <w:r w:rsidR="00197E7A" w:rsidRPr="00DD477A">
        <w:t>(</w:t>
      </w:r>
      <w:r w:rsidR="65AC33CB" w:rsidRPr="00DD477A">
        <w:t>Excel</w:t>
      </w:r>
      <w:r w:rsidR="00197E7A" w:rsidRPr="00DD477A">
        <w:t>)</w:t>
      </w:r>
      <w:r w:rsidR="65AC33CB" w:rsidRPr="00DD477A">
        <w:t xml:space="preserve"> and </w:t>
      </w:r>
      <w:r w:rsidR="00197E7A" w:rsidRPr="00DD477A">
        <w:t xml:space="preserve">Microsoft Word </w:t>
      </w:r>
      <w:r w:rsidR="00535A65" w:rsidRPr="00DD477A">
        <w:t>(</w:t>
      </w:r>
      <w:r w:rsidR="65AC33CB" w:rsidRPr="00DD477A">
        <w:t>Word</w:t>
      </w:r>
      <w:r w:rsidR="00535A65" w:rsidRPr="00DD477A">
        <w:t>)</w:t>
      </w:r>
      <w:r w:rsidR="65AC33CB" w:rsidRPr="00DD477A">
        <w:t xml:space="preserve"> templates </w:t>
      </w:r>
      <w:r w:rsidR="008472F9">
        <w:t xml:space="preserve">to be used </w:t>
      </w:r>
      <w:r w:rsidR="002F723B" w:rsidRPr="00DD477A">
        <w:t xml:space="preserve">for </w:t>
      </w:r>
      <w:r w:rsidR="008472F9">
        <w:t>publication purposes when prepar</w:t>
      </w:r>
      <w:r w:rsidR="005C2043">
        <w:t>ing</w:t>
      </w:r>
      <w:r w:rsidR="008472F9">
        <w:t xml:space="preserve"> their </w:t>
      </w:r>
      <w:r w:rsidR="002F723B" w:rsidRPr="00DD477A">
        <w:t>PB</w:t>
      </w:r>
      <w:r w:rsidR="008472F9">
        <w:t> </w:t>
      </w:r>
      <w:r w:rsidR="002F723B" w:rsidRPr="00DD477A">
        <w:t>Statement</w:t>
      </w:r>
      <w:r w:rsidR="005C2043">
        <w:t xml:space="preserve"> book</w:t>
      </w:r>
      <w:r w:rsidR="002F723B" w:rsidRPr="00DD477A">
        <w:t>.</w:t>
      </w:r>
    </w:p>
    <w:p w14:paraId="57829845" w14:textId="65D02FC4" w:rsidR="00C57088" w:rsidRPr="00DD477A" w:rsidRDefault="00C57088" w:rsidP="00157BAB">
      <w:pPr>
        <w:pStyle w:val="Numbered"/>
      </w:pPr>
      <w:r w:rsidRPr="00DD477A">
        <w:rPr>
          <w:u w:val="single"/>
        </w:rPr>
        <w:t>Attachment D</w:t>
      </w:r>
      <w:r w:rsidRPr="00DD477A">
        <w:t xml:space="preserve"> to the EM </w:t>
      </w:r>
      <w:r w:rsidR="00CA49F5">
        <w:t>contains</w:t>
      </w:r>
      <w:r w:rsidR="00CA49F5" w:rsidRPr="00DD477A">
        <w:t xml:space="preserve"> </w:t>
      </w:r>
      <w:r w:rsidRPr="00DD477A">
        <w:t xml:space="preserve">a checklist </w:t>
      </w:r>
      <w:r w:rsidR="00CA49F5">
        <w:t>to assist portfolios and entities alike when</w:t>
      </w:r>
      <w:r w:rsidRPr="00DD477A">
        <w:t xml:space="preserve"> preparing </w:t>
      </w:r>
      <w:r w:rsidR="00CA49F5">
        <w:t xml:space="preserve">their </w:t>
      </w:r>
      <w:r w:rsidRPr="00DD477A">
        <w:t>files for online publication</w:t>
      </w:r>
      <w:r w:rsidR="00CA49F5">
        <w:t xml:space="preserve"> purposes</w:t>
      </w:r>
      <w:r w:rsidR="00C23A91" w:rsidRPr="00DD477A">
        <w:t>.</w:t>
      </w:r>
    </w:p>
    <w:p w14:paraId="16E9CE37" w14:textId="158E1F58" w:rsidR="002234EA" w:rsidRPr="00DD477A" w:rsidRDefault="002234EA" w:rsidP="00157BAB">
      <w:pPr>
        <w:pStyle w:val="Numbered"/>
      </w:pPr>
      <w:r w:rsidRPr="00DD477A">
        <w:rPr>
          <w:u w:val="single"/>
        </w:rPr>
        <w:t>Attachment E</w:t>
      </w:r>
      <w:r w:rsidRPr="00DD477A">
        <w:t xml:space="preserve"> </w:t>
      </w:r>
      <w:r w:rsidR="00B80C7D">
        <w:t xml:space="preserve">noted by this </w:t>
      </w:r>
      <w:r w:rsidRPr="00DD477A">
        <w:t xml:space="preserve">EM </w:t>
      </w:r>
      <w:r w:rsidR="00B80C7D">
        <w:t>mentions</w:t>
      </w:r>
      <w:r w:rsidR="00B80C7D" w:rsidRPr="00DD477A">
        <w:t xml:space="preserve"> </w:t>
      </w:r>
      <w:r w:rsidRPr="00DD477A">
        <w:t xml:space="preserve">the covers for the </w:t>
      </w:r>
      <w:r w:rsidR="00DC026B">
        <w:t>2026</w:t>
      </w:r>
      <w:r w:rsidR="00C917CE">
        <w:t>–</w:t>
      </w:r>
      <w:r w:rsidR="00DC026B">
        <w:t>27</w:t>
      </w:r>
      <w:r w:rsidRPr="00DD477A">
        <w:t xml:space="preserve"> PB Statements</w:t>
      </w:r>
      <w:r w:rsidR="00B80C7D">
        <w:t xml:space="preserve">. </w:t>
      </w:r>
      <w:r w:rsidR="005B5C87">
        <w:t>Once the</w:t>
      </w:r>
      <w:r w:rsidR="00B80C7D">
        <w:t xml:space="preserve"> cover</w:t>
      </w:r>
      <w:r w:rsidR="005B5C87">
        <w:t>’</w:t>
      </w:r>
      <w:r w:rsidR="00B80C7D">
        <w:t xml:space="preserve">s </w:t>
      </w:r>
      <w:r w:rsidR="005B5C87">
        <w:t>format are finalised by Treasury the</w:t>
      </w:r>
      <w:r w:rsidR="00812F88">
        <w:t xml:space="preserve">y </w:t>
      </w:r>
      <w:r w:rsidR="00B80C7D">
        <w:t>will be sent separately to th</w:t>
      </w:r>
      <w:r w:rsidR="00CA574B">
        <w:t>is</w:t>
      </w:r>
      <w:r w:rsidR="00B80C7D">
        <w:t xml:space="preserve"> EM</w:t>
      </w:r>
      <w:r w:rsidR="004D3937">
        <w:t xml:space="preserve"> </w:t>
      </w:r>
      <w:r w:rsidRPr="00DD477A">
        <w:t xml:space="preserve">from </w:t>
      </w:r>
      <w:r w:rsidR="004D3937">
        <w:t xml:space="preserve">the </w:t>
      </w:r>
      <w:hyperlink r:id="rId21" w:history="1">
        <w:r w:rsidR="004D3937" w:rsidRPr="004D3937">
          <w:rPr>
            <w:rStyle w:val="Hyperlink"/>
          </w:rPr>
          <w:t>budget_framework@finance.gov.au</w:t>
        </w:r>
      </w:hyperlink>
      <w:r w:rsidR="004D3937">
        <w:t xml:space="preserve"> mailbox </w:t>
      </w:r>
      <w:r w:rsidR="005B5C87">
        <w:t>to</w:t>
      </w:r>
      <w:r w:rsidR="005B5C87" w:rsidRPr="00DD477A">
        <w:t xml:space="preserve"> all PB Statement Portfolio Coordinators</w:t>
      </w:r>
      <w:r w:rsidR="005B5C87">
        <w:t>.</w:t>
      </w:r>
    </w:p>
    <w:p w14:paraId="1DF1D546" w14:textId="6F4CF772" w:rsidR="007C63F4" w:rsidRPr="00DD477A" w:rsidRDefault="00B26C2C" w:rsidP="00157BAB">
      <w:pPr>
        <w:pStyle w:val="Numbered"/>
      </w:pPr>
      <w:r>
        <w:t>In addition to this estimates memorandum and guide, s</w:t>
      </w:r>
      <w:r w:rsidR="007C63F4">
        <w:t>upplementary advice</w:t>
      </w:r>
      <w:r>
        <w:t xml:space="preserve"> </w:t>
      </w:r>
      <w:r w:rsidR="00F80E16">
        <w:t xml:space="preserve">will be provided by </w:t>
      </w:r>
      <w:r w:rsidR="007C63F4">
        <w:t xml:space="preserve">the Treasury </w:t>
      </w:r>
      <w:r w:rsidR="00337EF3">
        <w:t xml:space="preserve">to </w:t>
      </w:r>
      <w:r w:rsidR="007C63F4">
        <w:t xml:space="preserve">advise portfolio departments on the format of the government’s media and stakeholder Budget lockups, including </w:t>
      </w:r>
      <w:r w:rsidR="00337EF3">
        <w:t xml:space="preserve">a </w:t>
      </w:r>
      <w:r w:rsidR="007C63F4">
        <w:t>confirmation of the book</w:t>
      </w:r>
      <w:r w:rsidR="00337EF3">
        <w:t xml:space="preserve"> number</w:t>
      </w:r>
      <w:r w:rsidR="007C63F4">
        <w:t xml:space="preserve"> require</w:t>
      </w:r>
      <w:r w:rsidR="00337EF3">
        <w:t>ments</w:t>
      </w:r>
      <w:r w:rsidR="007C63F4">
        <w:t xml:space="preserve"> and their delivery arrangements.</w:t>
      </w:r>
    </w:p>
    <w:p w14:paraId="19FE5A86" w14:textId="51AE540C" w:rsidR="007A0E16" w:rsidRPr="00DD477A" w:rsidRDefault="00542B0E" w:rsidP="00157BAB">
      <w:pPr>
        <w:pStyle w:val="Numbered"/>
      </w:pPr>
      <w:r w:rsidRPr="00DD477A">
        <w:t>I</w:t>
      </w:r>
      <w:r w:rsidR="53BF0693" w:rsidRPr="00DD477A">
        <w:t xml:space="preserve">nformation on </w:t>
      </w:r>
      <w:r w:rsidR="00E843DE">
        <w:t>sourcing information for your budgeted financial tables</w:t>
      </w:r>
      <w:r w:rsidR="00E65C71">
        <w:t xml:space="preserve"> and </w:t>
      </w:r>
      <w:r w:rsidR="000E386D" w:rsidRPr="00DD477A">
        <w:t>working with</w:t>
      </w:r>
      <w:r w:rsidR="00FF33AB" w:rsidRPr="00DD477A">
        <w:t xml:space="preserve"> </w:t>
      </w:r>
      <w:r w:rsidR="001952BB" w:rsidRPr="00DD477A">
        <w:t xml:space="preserve">the </w:t>
      </w:r>
      <w:r w:rsidR="000E386D" w:rsidRPr="00DD477A">
        <w:t>templates</w:t>
      </w:r>
      <w:r w:rsidR="53BF0693" w:rsidRPr="00DD477A">
        <w:t xml:space="preserve"> and key contacts</w:t>
      </w:r>
      <w:r w:rsidRPr="00DD477A">
        <w:t xml:space="preserve"> is provided in </w:t>
      </w:r>
      <w:r w:rsidRPr="00DD477A">
        <w:rPr>
          <w:u w:val="single"/>
        </w:rPr>
        <w:t xml:space="preserve">Appendix </w:t>
      </w:r>
      <w:r w:rsidR="00647117" w:rsidRPr="00DD477A">
        <w:rPr>
          <w:u w:val="single"/>
        </w:rPr>
        <w:t>1</w:t>
      </w:r>
      <w:r w:rsidR="00DF0B07" w:rsidRPr="00DD477A">
        <w:t xml:space="preserve"> to </w:t>
      </w:r>
      <w:r w:rsidR="00E14CC5" w:rsidRPr="00DD477A">
        <w:rPr>
          <w:u w:val="single"/>
        </w:rPr>
        <w:t>3</w:t>
      </w:r>
      <w:r w:rsidRPr="00DD477A">
        <w:t xml:space="preserve"> </w:t>
      </w:r>
      <w:r w:rsidR="00E65C71">
        <w:t>included within this</w:t>
      </w:r>
      <w:r w:rsidRPr="00DD477A">
        <w:t xml:space="preserve"> guide</w:t>
      </w:r>
      <w:r w:rsidR="53BF0693" w:rsidRPr="00DD477A">
        <w:t>.</w:t>
      </w:r>
    </w:p>
    <w:p w14:paraId="398AE802" w14:textId="017F3D5E" w:rsidR="00C71EEE" w:rsidRPr="00DD477A" w:rsidRDefault="00681634" w:rsidP="00157BAB">
      <w:pPr>
        <w:pStyle w:val="Numbered"/>
      </w:pPr>
      <w:r w:rsidRPr="00DD477A">
        <w:t xml:space="preserve">CBMS is the central source of budget </w:t>
      </w:r>
      <w:r w:rsidR="00F072A1">
        <w:t xml:space="preserve">financial </w:t>
      </w:r>
      <w:r w:rsidRPr="00DD477A">
        <w:t>information and whole of government budget reporting, the Appropriation Bills, financial data and BPs</w:t>
      </w:r>
      <w:r w:rsidR="00F072A1">
        <w:t xml:space="preserve"> predominantly source information from this system</w:t>
      </w:r>
      <w:r w:rsidRPr="00DD477A">
        <w:t xml:space="preserve">. As such, </w:t>
      </w:r>
      <w:r w:rsidR="0069738E" w:rsidRPr="00DD477A">
        <w:t xml:space="preserve">PB Statement </w:t>
      </w:r>
      <w:r w:rsidRPr="00DD477A">
        <w:t>appropriation figures must be sourced from</w:t>
      </w:r>
      <w:r w:rsidR="00C934AD" w:rsidRPr="00DD477A">
        <w:t xml:space="preserve"> and match</w:t>
      </w:r>
      <w:r w:rsidRPr="00DD477A">
        <w:t xml:space="preserve"> </w:t>
      </w:r>
      <w:r w:rsidR="00380A03">
        <w:t xml:space="preserve">the financial information </w:t>
      </w:r>
      <w:r w:rsidR="007E3C14">
        <w:t>that exists within</w:t>
      </w:r>
      <w:r w:rsidR="0026562D">
        <w:t xml:space="preserve"> </w:t>
      </w:r>
      <w:r w:rsidRPr="00DD477A">
        <w:t>CBMS</w:t>
      </w:r>
      <w:r w:rsidR="0026562D">
        <w:t>. This approach</w:t>
      </w:r>
      <w:r w:rsidRPr="00DD477A">
        <w:t xml:space="preserve"> ensure</w:t>
      </w:r>
      <w:r w:rsidR="0026562D">
        <w:t>s</w:t>
      </w:r>
      <w:r w:rsidRPr="00DD477A">
        <w:t xml:space="preserve"> consistency </w:t>
      </w:r>
      <w:r w:rsidR="00C166F1" w:rsidRPr="00DD477A">
        <w:t xml:space="preserve">to </w:t>
      </w:r>
      <w:r w:rsidRPr="00DD477A">
        <w:t>the Appropriation Bills and BPs.</w:t>
      </w:r>
    </w:p>
    <w:p w14:paraId="5E72F6DD" w14:textId="56C005A9" w:rsidR="00255D66" w:rsidRPr="009E5625" w:rsidRDefault="00255D66" w:rsidP="00157BAB">
      <w:pPr>
        <w:pStyle w:val="Numbered"/>
      </w:pPr>
      <w:r w:rsidRPr="00DD477A">
        <w:t xml:space="preserve">When </w:t>
      </w:r>
      <w:r w:rsidRPr="009E5625">
        <w:t xml:space="preserve">obtaining CBMS information, entities should use data from the Budget Estimates update round labelled </w:t>
      </w:r>
      <w:r w:rsidRPr="009E5625">
        <w:rPr>
          <w:b/>
          <w:bCs/>
        </w:rPr>
        <w:t>‘</w:t>
      </w:r>
      <w:r w:rsidR="00687BCC" w:rsidRPr="009E5625">
        <w:rPr>
          <w:b/>
          <w:bCs/>
        </w:rPr>
        <w:t>202</w:t>
      </w:r>
      <w:r w:rsidR="00343A8E" w:rsidRPr="009E5625">
        <w:rPr>
          <w:b/>
          <w:bCs/>
        </w:rPr>
        <w:t>7</w:t>
      </w:r>
      <w:r w:rsidRPr="009E5625">
        <w:rPr>
          <w:b/>
          <w:bCs/>
        </w:rPr>
        <w:t>.</w:t>
      </w:r>
      <w:r w:rsidR="00343A8E" w:rsidRPr="009E5625">
        <w:rPr>
          <w:b/>
          <w:bCs/>
        </w:rPr>
        <w:t>03</w:t>
      </w:r>
      <w:r w:rsidR="00DC026B" w:rsidRPr="009E5625">
        <w:rPr>
          <w:b/>
          <w:bCs/>
        </w:rPr>
        <w:t xml:space="preserve"> </w:t>
      </w:r>
      <w:r w:rsidRPr="009E5625">
        <w:rPr>
          <w:b/>
          <w:bCs/>
        </w:rPr>
        <w:t xml:space="preserve">– </w:t>
      </w:r>
      <w:r w:rsidR="00DC026B" w:rsidRPr="009E5625">
        <w:rPr>
          <w:b/>
          <w:bCs/>
        </w:rPr>
        <w:t>2026</w:t>
      </w:r>
      <w:r w:rsidR="003743E3" w:rsidRPr="009E5625">
        <w:rPr>
          <w:b/>
          <w:bCs/>
        </w:rPr>
        <w:t>/</w:t>
      </w:r>
      <w:r w:rsidR="00DC026B" w:rsidRPr="009E5625">
        <w:rPr>
          <w:b/>
          <w:bCs/>
        </w:rPr>
        <w:t>27</w:t>
      </w:r>
      <w:r w:rsidRPr="009E5625">
        <w:rPr>
          <w:b/>
          <w:bCs/>
        </w:rPr>
        <w:t xml:space="preserve"> Budget’</w:t>
      </w:r>
      <w:r w:rsidR="003A6D9C" w:rsidRPr="009E5625">
        <w:rPr>
          <w:b/>
          <w:bCs/>
        </w:rPr>
        <w:t xml:space="preserve"> </w:t>
      </w:r>
      <w:r w:rsidR="003A6D9C" w:rsidRPr="009E5625">
        <w:t xml:space="preserve">and select the “Validated” </w:t>
      </w:r>
      <w:r w:rsidR="00C6083B" w:rsidRPr="009E5625">
        <w:t>budget stage</w:t>
      </w:r>
      <w:r w:rsidRPr="009E5625">
        <w:t>.</w:t>
      </w:r>
    </w:p>
    <w:p w14:paraId="2572E535" w14:textId="64FBF55B" w:rsidR="00681634" w:rsidRPr="00DD477A" w:rsidRDefault="00C166F1" w:rsidP="00157BAB">
      <w:pPr>
        <w:pStyle w:val="Numbered"/>
      </w:pPr>
      <w:r w:rsidRPr="009E5625">
        <w:t xml:space="preserve">Where information </w:t>
      </w:r>
      <w:r w:rsidR="007E3C14" w:rsidRPr="009E5625">
        <w:t xml:space="preserve">is </w:t>
      </w:r>
      <w:r w:rsidRPr="009E5625">
        <w:t>published in a PB Statement</w:t>
      </w:r>
      <w:r w:rsidRPr="00DD477A">
        <w:t xml:space="preserve"> at a finer level of granularity</w:t>
      </w:r>
      <w:r w:rsidR="00C11164">
        <w:t xml:space="preserve"> than what exists in CBMS</w:t>
      </w:r>
      <w:r w:rsidRPr="00DD477A">
        <w:t>, a</w:t>
      </w:r>
      <w:r w:rsidR="00681634" w:rsidRPr="00DD477A">
        <w:t>n entity</w:t>
      </w:r>
      <w:r w:rsidR="00C11164">
        <w:t xml:space="preserve"> may source their information from their own</w:t>
      </w:r>
      <w:r w:rsidR="00681634" w:rsidRPr="00DD477A">
        <w:t xml:space="preserve"> FMIS</w:t>
      </w:r>
      <w:r w:rsidR="008226E6">
        <w:t xml:space="preserve"> for </w:t>
      </w:r>
      <w:r w:rsidR="00CD72EF">
        <w:t>PB Statement publication purposes.</w:t>
      </w:r>
    </w:p>
    <w:p w14:paraId="151DEEE7" w14:textId="2F31761C" w:rsidR="00B12A77" w:rsidRPr="00DD477A" w:rsidRDefault="00B12A77" w:rsidP="00157BAB">
      <w:pPr>
        <w:pStyle w:val="Numbered"/>
      </w:pPr>
      <w:r w:rsidRPr="00DD477A">
        <w:t xml:space="preserve">Where </w:t>
      </w:r>
      <w:r w:rsidR="00105712" w:rsidRPr="00DD477A">
        <w:t xml:space="preserve">details of entity </w:t>
      </w:r>
      <w:r w:rsidR="005A0505" w:rsidRPr="00DD477A">
        <w:t>Average Staffing Levels (</w:t>
      </w:r>
      <w:r w:rsidR="00105712" w:rsidRPr="00DD477A">
        <w:t>ASL</w:t>
      </w:r>
      <w:r w:rsidR="005A0505" w:rsidRPr="00DD477A">
        <w:t>)</w:t>
      </w:r>
      <w:r w:rsidR="00105712" w:rsidRPr="00DD477A">
        <w:t xml:space="preserve"> require</w:t>
      </w:r>
      <w:r w:rsidR="00240BCD">
        <w:t xml:space="preserve"> publication </w:t>
      </w:r>
      <w:r w:rsidR="006A20C1">
        <w:t>in T1.1 Entity Resource Statement and in Table 2.x.x Budgeted expenses for outcome x</w:t>
      </w:r>
      <w:r w:rsidR="000D47CA">
        <w:t xml:space="preserve"> </w:t>
      </w:r>
      <w:r w:rsidR="00105712" w:rsidRPr="00DD477A">
        <w:t>, p</w:t>
      </w:r>
      <w:r w:rsidRPr="00DD477A">
        <w:t xml:space="preserve">lease refer to the latest </w:t>
      </w:r>
      <w:r w:rsidR="006A20C1">
        <w:t xml:space="preserve">ASL </w:t>
      </w:r>
      <w:r w:rsidR="00CF27E0">
        <w:t>estimates memorandum advice issued by the Department of Finance</w:t>
      </w:r>
      <w:r w:rsidRPr="00DD477A">
        <w:t>. For more information on ASL reporting, contacts are provided in</w:t>
      </w:r>
      <w:r w:rsidR="00D22E9C">
        <w:t xml:space="preserve"> </w:t>
      </w:r>
      <w:r w:rsidR="00D22E9C" w:rsidRPr="00D276EF">
        <w:rPr>
          <w:u w:val="single"/>
        </w:rPr>
        <w:t xml:space="preserve">Appendix </w:t>
      </w:r>
      <w:r w:rsidR="00D22E9C">
        <w:rPr>
          <w:u w:val="single"/>
        </w:rPr>
        <w:t>3</w:t>
      </w:r>
      <w:r w:rsidRPr="00DD477A">
        <w:t xml:space="preserve"> </w:t>
      </w:r>
      <w:r w:rsidR="006E17BC">
        <w:fldChar w:fldCharType="begin"/>
      </w:r>
      <w:r w:rsidR="006E17BC">
        <w:instrText xml:space="preserve"> REF _Ref189153079 \w \h </w:instrText>
      </w:r>
      <w:r w:rsidR="006E17BC">
        <w:fldChar w:fldCharType="separate"/>
      </w:r>
      <w:r w:rsidR="009E5625">
        <w:t>17</w:t>
      </w:r>
      <w:r w:rsidR="006E17BC">
        <w:fldChar w:fldCharType="end"/>
      </w:r>
      <w:r w:rsidR="006E17BC">
        <w:t xml:space="preserve"> </w:t>
      </w:r>
      <w:r w:rsidR="00D22E9C">
        <w:fldChar w:fldCharType="begin"/>
      </w:r>
      <w:r w:rsidR="00D22E9C">
        <w:instrText xml:space="preserve"> REF _Ref189153079 \h </w:instrText>
      </w:r>
      <w:r w:rsidR="00D22E9C">
        <w:fldChar w:fldCharType="separate"/>
      </w:r>
      <w:r w:rsidR="009E5625" w:rsidRPr="00DD477A">
        <w:t>Contacts</w:t>
      </w:r>
      <w:r w:rsidR="00D22E9C">
        <w:fldChar w:fldCharType="end"/>
      </w:r>
      <w:r w:rsidRPr="00DD477A">
        <w:t>.</w:t>
      </w:r>
    </w:p>
    <w:p w14:paraId="2E6FB890" w14:textId="5967E5BD" w:rsidR="007868A4" w:rsidRPr="00DD477A" w:rsidRDefault="53BF0693" w:rsidP="00157BAB">
      <w:pPr>
        <w:pStyle w:val="Numbered"/>
      </w:pPr>
      <w:r w:rsidRPr="00DD477A">
        <w:t xml:space="preserve">Portfolio </w:t>
      </w:r>
      <w:r w:rsidR="0075590B" w:rsidRPr="00DD477A">
        <w:t xml:space="preserve">departments </w:t>
      </w:r>
      <w:r w:rsidRPr="00DD477A">
        <w:t>are responsible for ensuring the consistency, accuracy and completeness of information presented in the PB Statements.</w:t>
      </w:r>
    </w:p>
    <w:p w14:paraId="6E4E056B" w14:textId="7E8D1C8B" w:rsidR="00697875" w:rsidRPr="00697875" w:rsidRDefault="00D06868" w:rsidP="00697875">
      <w:pPr>
        <w:pStyle w:val="Numbered"/>
        <w:rPr>
          <w:rStyle w:val="Hyperlink"/>
          <w:rFonts w:cstheme="minorHAnsi"/>
          <w:u w:val="none"/>
        </w:rPr>
      </w:pPr>
      <w:r w:rsidRPr="00DD477A">
        <w:t xml:space="preserve">To </w:t>
      </w:r>
      <w:r w:rsidR="006B222C">
        <w:t xml:space="preserve">help with </w:t>
      </w:r>
      <w:r w:rsidR="002977D2" w:rsidRPr="00DD477A">
        <w:t xml:space="preserve">centrally </w:t>
      </w:r>
      <w:r w:rsidR="00676584" w:rsidRPr="00DD477A">
        <w:t>coordinat</w:t>
      </w:r>
      <w:r w:rsidR="006B222C">
        <w:t>ing</w:t>
      </w:r>
      <w:r w:rsidR="00676584" w:rsidRPr="00DD477A">
        <w:t xml:space="preserve"> </w:t>
      </w:r>
      <w:r w:rsidR="00F1613C">
        <w:t xml:space="preserve">the publication of entities’ </w:t>
      </w:r>
      <w:r w:rsidR="007F7BE8">
        <w:t xml:space="preserve">PB Statement </w:t>
      </w:r>
      <w:r w:rsidR="00F1613C" w:rsidRPr="00DD477A">
        <w:t xml:space="preserve">Excel </w:t>
      </w:r>
      <w:r w:rsidR="00F1613C">
        <w:t>tables</w:t>
      </w:r>
      <w:r w:rsidR="006B222C">
        <w:t>,</w:t>
      </w:r>
      <w:r w:rsidR="00F1613C">
        <w:t xml:space="preserve"> included in the </w:t>
      </w:r>
      <w:r w:rsidR="00F1613C" w:rsidRPr="00DD477A">
        <w:t>PB Statement</w:t>
      </w:r>
      <w:r w:rsidR="00F1613C">
        <w:t xml:space="preserve"> </w:t>
      </w:r>
      <w:r w:rsidR="004E3018">
        <w:t>on</w:t>
      </w:r>
      <w:r w:rsidR="004E3018" w:rsidRPr="00DD477A">
        <w:t xml:space="preserve"> </w:t>
      </w:r>
      <w:r w:rsidR="006B222C">
        <w:t xml:space="preserve">to be published on Budget night on </w:t>
      </w:r>
      <w:hyperlink r:id="rId22" w:history="1">
        <w:r w:rsidR="004E3018" w:rsidRPr="00DD477A">
          <w:rPr>
            <w:rStyle w:val="Hyperlink"/>
          </w:rPr>
          <w:t>data.gov.au</w:t>
        </w:r>
      </w:hyperlink>
      <w:r w:rsidR="004E3018">
        <w:t xml:space="preserve">, </w:t>
      </w:r>
      <w:r w:rsidR="00A60633" w:rsidRPr="00DD477A">
        <w:t>p</w:t>
      </w:r>
      <w:r w:rsidR="53BF0693" w:rsidRPr="00DD477A">
        <w:t xml:space="preserve">ortfolios </w:t>
      </w:r>
      <w:r w:rsidR="004E3018">
        <w:t xml:space="preserve">will be required </w:t>
      </w:r>
      <w:r w:rsidR="53BF0693" w:rsidRPr="00DD477A">
        <w:t xml:space="preserve">to provide </w:t>
      </w:r>
      <w:r w:rsidR="004E3018">
        <w:t>their</w:t>
      </w:r>
      <w:r w:rsidR="00726970" w:rsidRPr="00DD477A">
        <w:t xml:space="preserve"> Excel</w:t>
      </w:r>
      <w:r w:rsidR="2673F7B6" w:rsidRPr="00DD477A">
        <w:t xml:space="preserve"> </w:t>
      </w:r>
      <w:r w:rsidR="006B222C">
        <w:t>tables</w:t>
      </w:r>
      <w:r w:rsidR="00A240F7" w:rsidRPr="00DD477A">
        <w:t xml:space="preserve">, </w:t>
      </w:r>
      <w:r w:rsidR="00A36DBA" w:rsidRPr="00DD477A">
        <w:t xml:space="preserve">in line with the format requirements </w:t>
      </w:r>
      <w:r w:rsidR="00B92B3A" w:rsidRPr="00DD477A">
        <w:t xml:space="preserve">noted at </w:t>
      </w:r>
      <w:r w:rsidR="005A0505" w:rsidRPr="00497B53">
        <w:rPr>
          <w:u w:val="single"/>
        </w:rPr>
        <w:t>Attachment C</w:t>
      </w:r>
      <w:r w:rsidR="004F0F04" w:rsidRPr="00DD477A">
        <w:rPr>
          <w:rStyle w:val="Hyperlink"/>
          <w:rFonts w:cs="Calibri"/>
          <w:u w:val="none"/>
        </w:rPr>
        <w:t>.</w:t>
      </w:r>
      <w:r w:rsidR="00697875">
        <w:rPr>
          <w:rStyle w:val="Hyperlink"/>
          <w:rFonts w:cstheme="minorHAnsi"/>
          <w:u w:val="none"/>
        </w:rPr>
        <w:br/>
      </w:r>
      <w:r w:rsidR="00697875">
        <w:rPr>
          <w:rStyle w:val="Hyperlink"/>
          <w:rFonts w:cstheme="minorHAnsi"/>
          <w:u w:val="none"/>
        </w:rPr>
        <w:br/>
        <w:t xml:space="preserve">Refer to </w:t>
      </w:r>
      <w:r w:rsidR="00067A82">
        <w:rPr>
          <w:rStyle w:val="Hyperlink"/>
          <w:rFonts w:cstheme="minorHAnsi"/>
          <w:u w:val="none"/>
        </w:rPr>
        <w:t xml:space="preserve">section </w:t>
      </w:r>
      <w:r w:rsidR="00D4611A" w:rsidRPr="0021740A">
        <w:rPr>
          <w:rStyle w:val="CrossReferenceChar"/>
        </w:rPr>
        <w:fldChar w:fldCharType="begin"/>
      </w:r>
      <w:r w:rsidR="00D4611A" w:rsidRPr="0021740A">
        <w:rPr>
          <w:rStyle w:val="CrossReferenceChar"/>
        </w:rPr>
        <w:instrText xml:space="preserve"> REF _Ref222319452 \w \h </w:instrText>
      </w:r>
      <w:r w:rsidR="0021740A">
        <w:rPr>
          <w:rStyle w:val="CrossReferenceChar"/>
        </w:rPr>
        <w:instrText xml:space="preserve"> \* MERGEFORMAT </w:instrText>
      </w:r>
      <w:r w:rsidR="00D4611A" w:rsidRPr="0021740A">
        <w:rPr>
          <w:rStyle w:val="CrossReferenceChar"/>
        </w:rPr>
      </w:r>
      <w:r w:rsidR="00D4611A" w:rsidRPr="0021740A">
        <w:rPr>
          <w:rStyle w:val="CrossReferenceChar"/>
        </w:rPr>
        <w:fldChar w:fldCharType="separate"/>
      </w:r>
      <w:r w:rsidR="009E5625">
        <w:rPr>
          <w:rStyle w:val="CrossReferenceChar"/>
        </w:rPr>
        <w:t>4.2.1</w:t>
      </w:r>
      <w:r w:rsidR="00D4611A" w:rsidRPr="0021740A">
        <w:rPr>
          <w:rStyle w:val="CrossReferenceChar"/>
        </w:rPr>
        <w:fldChar w:fldCharType="end"/>
      </w:r>
      <w:r w:rsidR="00D4611A" w:rsidRPr="0021740A">
        <w:rPr>
          <w:rStyle w:val="CrossReferenceChar"/>
        </w:rPr>
        <w:t xml:space="preserve"> </w:t>
      </w:r>
      <w:r w:rsidR="00D4611A" w:rsidRPr="0021740A">
        <w:rPr>
          <w:rStyle w:val="CrossReferenceChar"/>
        </w:rPr>
        <w:fldChar w:fldCharType="begin"/>
      </w:r>
      <w:r w:rsidR="00D4611A" w:rsidRPr="0021740A">
        <w:rPr>
          <w:rStyle w:val="CrossReferenceChar"/>
        </w:rPr>
        <w:instrText xml:space="preserve"> REF _Ref222319462 \h </w:instrText>
      </w:r>
      <w:r w:rsidR="0021740A">
        <w:rPr>
          <w:rStyle w:val="CrossReferenceChar"/>
        </w:rPr>
        <w:instrText xml:space="preserve"> \* MERGEFORMAT </w:instrText>
      </w:r>
      <w:r w:rsidR="00D4611A" w:rsidRPr="0021740A">
        <w:rPr>
          <w:rStyle w:val="CrossReferenceChar"/>
        </w:rPr>
      </w:r>
      <w:r w:rsidR="00D4611A" w:rsidRPr="0021740A">
        <w:rPr>
          <w:rStyle w:val="CrossReferenceChar"/>
        </w:rPr>
        <w:fldChar w:fldCharType="separate"/>
      </w:r>
      <w:r w:rsidR="009E5625" w:rsidRPr="009E5625">
        <w:rPr>
          <w:rStyle w:val="CrossReferenceChar"/>
        </w:rPr>
        <w:t>Digital government strategy and publication on data.gov.au</w:t>
      </w:r>
      <w:r w:rsidR="00D4611A" w:rsidRPr="0021740A">
        <w:rPr>
          <w:rStyle w:val="CrossReferenceChar"/>
        </w:rPr>
        <w:fldChar w:fldCharType="end"/>
      </w:r>
      <w:r w:rsidR="00D4611A">
        <w:rPr>
          <w:rStyle w:val="Hyperlink"/>
          <w:rFonts w:cstheme="minorHAnsi"/>
          <w:u w:val="none"/>
        </w:rPr>
        <w:t xml:space="preserve"> for due date and instructions.</w:t>
      </w:r>
    </w:p>
    <w:p w14:paraId="467993E9" w14:textId="03AB8B00" w:rsidR="0042016D" w:rsidRDefault="004D0820">
      <w:pPr>
        <w:pStyle w:val="Numbered"/>
      </w:pPr>
      <w:r>
        <w:t xml:space="preserve"> </w:t>
      </w:r>
      <w:r w:rsidR="00BA482B" w:rsidRPr="00DD477A">
        <w:t>S</w:t>
      </w:r>
      <w:r w:rsidR="53BF0693" w:rsidRPr="00DD477A">
        <w:t xml:space="preserve">ome information contained in the </w:t>
      </w:r>
      <w:r w:rsidR="00681C3A" w:rsidRPr="00DD477A">
        <w:t>PB </w:t>
      </w:r>
      <w:r w:rsidR="00C779E6" w:rsidRPr="00DD477A">
        <w:t xml:space="preserve">Statements tables </w:t>
      </w:r>
      <w:r w:rsidR="00997686" w:rsidRPr="00DD477A">
        <w:t>within</w:t>
      </w:r>
      <w:r w:rsidR="00C779E6" w:rsidRPr="00DD477A">
        <w:t xml:space="preserve"> </w:t>
      </w:r>
      <w:r w:rsidR="00C779E6" w:rsidRPr="004761F5">
        <w:rPr>
          <w:i/>
          <w:iCs/>
        </w:rPr>
        <w:t xml:space="preserve">Section 2 </w:t>
      </w:r>
      <w:r w:rsidR="53BF0693" w:rsidRPr="00DD477A">
        <w:t xml:space="preserve">and </w:t>
      </w:r>
      <w:r w:rsidR="00CB37D4" w:rsidRPr="004761F5">
        <w:rPr>
          <w:i/>
          <w:iCs/>
        </w:rPr>
        <w:t>Section </w:t>
      </w:r>
      <w:r w:rsidR="53BF0693" w:rsidRPr="004761F5">
        <w:rPr>
          <w:i/>
          <w:iCs/>
        </w:rPr>
        <w:t>3</w:t>
      </w:r>
      <w:r w:rsidR="004D335E" w:rsidRPr="00DD477A">
        <w:t xml:space="preserve"> can be pre</w:t>
      </w:r>
      <w:r w:rsidR="00E87C23" w:rsidRPr="00DD477A">
        <w:noBreakHyphen/>
      </w:r>
      <w:r w:rsidR="004D335E" w:rsidRPr="00DD477A">
        <w:t>populated from CBMS</w:t>
      </w:r>
      <w:r w:rsidR="53BF0693" w:rsidRPr="00DD477A">
        <w:t>.</w:t>
      </w:r>
      <w:r w:rsidR="006037A5" w:rsidRPr="00DD477A">
        <w:t xml:space="preserve"> </w:t>
      </w:r>
      <w:r w:rsidR="0006304D" w:rsidRPr="00DD477A">
        <w:t>F</w:t>
      </w:r>
      <w:r w:rsidR="53BF0693" w:rsidRPr="00DD477A">
        <w:t xml:space="preserve">urther information </w:t>
      </w:r>
      <w:r w:rsidR="00DA3338" w:rsidRPr="00DD477A">
        <w:t xml:space="preserve">on </w:t>
      </w:r>
      <w:r w:rsidR="004A60C9" w:rsidRPr="00DD477A">
        <w:t xml:space="preserve">how </w:t>
      </w:r>
      <w:r w:rsidR="00B16C5E" w:rsidRPr="00DD477A">
        <w:t xml:space="preserve">CBMS </w:t>
      </w:r>
      <w:r w:rsidR="00D42D96">
        <w:t xml:space="preserve">PB statement tables </w:t>
      </w:r>
      <w:r w:rsidR="00D5041C" w:rsidRPr="00DD477A">
        <w:t xml:space="preserve">figures are derived </w:t>
      </w:r>
      <w:r w:rsidR="00242509">
        <w:t>are explained through the</w:t>
      </w:r>
      <w:r w:rsidR="00230FB7">
        <w:t>:</w:t>
      </w:r>
    </w:p>
    <w:p w14:paraId="37364BAE" w14:textId="77777777" w:rsidR="00230FB7" w:rsidRPr="00DD477A" w:rsidRDefault="00230FB7" w:rsidP="0014243A">
      <w:pPr>
        <w:pStyle w:val="Reports2"/>
      </w:pPr>
      <w:r w:rsidRPr="00DD477A">
        <w:t xml:space="preserve">Guidance and Resources </w:t>
      </w:r>
      <w:r w:rsidRPr="00DD477A">
        <w:rPr>
          <w:rFonts w:ascii="Wingdings" w:eastAsia="Wingdings" w:hAnsi="Wingdings" w:cs="Wingdings"/>
        </w:rPr>
        <w:t>à</w:t>
      </w:r>
      <w:r w:rsidRPr="00DD477A">
        <w:t xml:space="preserve"> Reference Material </w:t>
      </w:r>
      <w:r w:rsidRPr="00DD477A">
        <w:rPr>
          <w:rFonts w:ascii="Wingdings" w:eastAsia="Wingdings" w:hAnsi="Wingdings" w:cs="Wingdings"/>
        </w:rPr>
        <w:t>à</w:t>
      </w:r>
      <w:r w:rsidRPr="00DD477A">
        <w:t xml:space="preserve"> PBS &amp; PAES Mappings PBS &amp; PAES Section Financial Statements vx.xx.xlsx</w:t>
      </w:r>
    </w:p>
    <w:p w14:paraId="3E7A0145" w14:textId="7BC0F30B" w:rsidR="0099740A" w:rsidRPr="00DD477A" w:rsidRDefault="008C6B4F" w:rsidP="00157BAB">
      <w:pPr>
        <w:pStyle w:val="Numbered"/>
      </w:pPr>
      <w:r w:rsidRPr="00DD477A">
        <w:t>For the purposes</w:t>
      </w:r>
      <w:r w:rsidR="00BF12A8" w:rsidRPr="00DD477A">
        <w:t xml:space="preserve"> of</w:t>
      </w:r>
      <w:r w:rsidRPr="00DD477A">
        <w:t xml:space="preserve"> accounting standard </w:t>
      </w:r>
      <w:hyperlink r:id="rId23" w:history="1">
        <w:r w:rsidRPr="00DD477A">
          <w:rPr>
            <w:rStyle w:val="Hyperlink"/>
            <w:rFonts w:cs="Calibri"/>
          </w:rPr>
          <w:t>AASB 1055</w:t>
        </w:r>
        <w:r w:rsidRPr="00DD477A">
          <w:rPr>
            <w:rStyle w:val="Hyperlink"/>
            <w:rFonts w:cs="Calibri"/>
            <w:i/>
            <w:iCs/>
          </w:rPr>
          <w:t xml:space="preserve"> Budgetary Reporting</w:t>
        </w:r>
      </w:hyperlink>
      <w:r w:rsidR="005B25A7" w:rsidRPr="00DD477A">
        <w:t>,</w:t>
      </w:r>
      <w:r w:rsidRPr="00DD477A">
        <w:t xml:space="preserve"> disclosure in entities</w:t>
      </w:r>
      <w:r w:rsidR="00E87C23" w:rsidRPr="00DD477A">
        <w:t>’</w:t>
      </w:r>
      <w:r w:rsidRPr="00DD477A">
        <w:t xml:space="preserve"> </w:t>
      </w:r>
      <w:r w:rsidR="0095585E">
        <w:t>2025</w:t>
      </w:r>
      <w:r w:rsidR="00632AD2">
        <w:t>‍</w:t>
      </w:r>
      <w:r w:rsidR="00C917CE">
        <w:t>–</w:t>
      </w:r>
      <w:r w:rsidR="00632AD2">
        <w:t>‍</w:t>
      </w:r>
      <w:r w:rsidR="0095585E">
        <w:t>26</w:t>
      </w:r>
      <w:r w:rsidRPr="00DD477A">
        <w:t xml:space="preserve"> financial statements to be published at the end of the financial year, entities are reminded that the ‘original budget’ refers to the </w:t>
      </w:r>
      <w:r w:rsidR="00E87C23" w:rsidRPr="00DD477A">
        <w:t>‘</w:t>
      </w:r>
      <w:r w:rsidR="0095585E">
        <w:t>2025</w:t>
      </w:r>
      <w:r w:rsidR="00C917CE">
        <w:t>–</w:t>
      </w:r>
      <w:r w:rsidR="0095585E">
        <w:t>26</w:t>
      </w:r>
      <w:r w:rsidR="00672F19" w:rsidRPr="00DD477A">
        <w:t xml:space="preserve"> </w:t>
      </w:r>
      <w:r w:rsidR="00E87C23" w:rsidRPr="00DD477A">
        <w:t xml:space="preserve">Budget’ column in the </w:t>
      </w:r>
      <w:r w:rsidR="0095585E">
        <w:t>2025</w:t>
      </w:r>
      <w:r w:rsidR="00C917CE">
        <w:t>–</w:t>
      </w:r>
      <w:r w:rsidR="0095585E">
        <w:t>26</w:t>
      </w:r>
      <w:r w:rsidR="00687BCC">
        <w:t xml:space="preserve"> </w:t>
      </w:r>
      <w:r w:rsidR="00E87C23" w:rsidRPr="00DD477A">
        <w:t>PB Statements financial tables.</w:t>
      </w:r>
    </w:p>
    <w:p w14:paraId="3C6F7371" w14:textId="0336B006" w:rsidR="004F64AF" w:rsidRPr="00DD477A" w:rsidRDefault="004F64AF" w:rsidP="00157BAB">
      <w:pPr>
        <w:pStyle w:val="Numbered"/>
      </w:pPr>
      <w:r w:rsidRPr="00DD477A">
        <w:t xml:space="preserve">Signing arrangements for PB Statements should be determined by the senior Portfolio Minister (first minister </w:t>
      </w:r>
      <w:r w:rsidR="002448FF" w:rsidRPr="00DD477A">
        <w:t xml:space="preserve">noted </w:t>
      </w:r>
      <w:r w:rsidR="00BA3F5F" w:rsidRPr="00DD477A">
        <w:t xml:space="preserve">on </w:t>
      </w:r>
      <w:r w:rsidRPr="00DD477A">
        <w:t xml:space="preserve">the current </w:t>
      </w:r>
      <w:hyperlink r:id="rId24" w:history="1">
        <w:r w:rsidRPr="00DD477A">
          <w:rPr>
            <w:rStyle w:val="Hyperlink"/>
            <w:rFonts w:cstheme="minorHAnsi"/>
          </w:rPr>
          <w:t>Ministry List</w:t>
        </w:r>
      </w:hyperlink>
      <w:r w:rsidRPr="00DD477A">
        <w:t xml:space="preserve">). The senior Portfolio Minister may delegate the signing of the document to an </w:t>
      </w:r>
      <w:r w:rsidR="00FF72DF">
        <w:t>A</w:t>
      </w:r>
      <w:r w:rsidRPr="00DD477A">
        <w:t xml:space="preserve">ssistant </w:t>
      </w:r>
      <w:r w:rsidR="00FF72DF">
        <w:t>M</w:t>
      </w:r>
      <w:r w:rsidRPr="00DD477A">
        <w:t>inister.</w:t>
      </w:r>
    </w:p>
    <w:p w14:paraId="05C01782" w14:textId="29092F79" w:rsidR="00B751D1" w:rsidRPr="00DD477A" w:rsidRDefault="53BF0693" w:rsidP="003D6589">
      <w:pPr>
        <w:pStyle w:val="Heading2"/>
      </w:pPr>
      <w:bookmarkStart w:id="30" w:name="_Toc86764894"/>
      <w:bookmarkStart w:id="31" w:name="_Toc87979813"/>
      <w:bookmarkStart w:id="32" w:name="_Toc86764895"/>
      <w:bookmarkStart w:id="33" w:name="_Toc87979814"/>
      <w:bookmarkStart w:id="34" w:name="_Toc86764896"/>
      <w:bookmarkStart w:id="35" w:name="_Toc87979815"/>
      <w:bookmarkStart w:id="36" w:name="_Toc86764897"/>
      <w:bookmarkStart w:id="37" w:name="_Toc87979816"/>
      <w:bookmarkStart w:id="38" w:name="_Toc61874954"/>
      <w:bookmarkStart w:id="39" w:name="_Toc62648805"/>
      <w:bookmarkStart w:id="40" w:name="_Toc61874955"/>
      <w:bookmarkStart w:id="41" w:name="_Toc62648806"/>
      <w:bookmarkStart w:id="42" w:name="_Toc61874956"/>
      <w:bookmarkStart w:id="43" w:name="_Toc62648807"/>
      <w:bookmarkStart w:id="44" w:name="_Toc61874957"/>
      <w:bookmarkStart w:id="45" w:name="_Toc62648808"/>
      <w:bookmarkStart w:id="46" w:name="1.2_Who_should_prepare_PB_Statements"/>
      <w:bookmarkStart w:id="47" w:name="_Toc29980636"/>
      <w:bookmarkStart w:id="48" w:name="_Toc30405511"/>
      <w:bookmarkStart w:id="49" w:name="_Toc30581252"/>
      <w:bookmarkStart w:id="50" w:name="_Toc32829914"/>
      <w:bookmarkStart w:id="51" w:name="_Toc32917416"/>
      <w:bookmarkStart w:id="52" w:name="_Toc32918222"/>
      <w:bookmarkStart w:id="53" w:name="_Toc32999605"/>
      <w:bookmarkStart w:id="54" w:name="_Toc33099324"/>
      <w:bookmarkStart w:id="55" w:name="_Toc33195954"/>
      <w:bookmarkStart w:id="56" w:name="_Toc33196256"/>
      <w:bookmarkStart w:id="57" w:name="_Toc29394517"/>
      <w:bookmarkStart w:id="58" w:name="_Toc29394815"/>
      <w:bookmarkStart w:id="59" w:name="_Toc29394946"/>
      <w:bookmarkStart w:id="60" w:name="_Toc29395342"/>
      <w:bookmarkStart w:id="61" w:name="_Toc29395428"/>
      <w:bookmarkStart w:id="62" w:name="_Toc29396859"/>
      <w:bookmarkStart w:id="63" w:name="_Toc29478096"/>
      <w:bookmarkStart w:id="64" w:name="_Toc29481833"/>
      <w:bookmarkStart w:id="65" w:name="_Toc29544135"/>
      <w:bookmarkStart w:id="66" w:name="_Toc29544722"/>
      <w:bookmarkStart w:id="67" w:name="_Toc29544797"/>
      <w:bookmarkStart w:id="68" w:name="_Toc29546661"/>
      <w:bookmarkStart w:id="69" w:name="_Toc29980637"/>
      <w:bookmarkStart w:id="70" w:name="_Toc30405512"/>
      <w:bookmarkStart w:id="71" w:name="_Toc30581253"/>
      <w:bookmarkStart w:id="72" w:name="_Toc32829915"/>
      <w:bookmarkStart w:id="73" w:name="_Toc32917417"/>
      <w:bookmarkStart w:id="74" w:name="_Toc32918223"/>
      <w:bookmarkStart w:id="75" w:name="_Toc32999606"/>
      <w:bookmarkStart w:id="76" w:name="_Toc33099325"/>
      <w:bookmarkStart w:id="77" w:name="_Toc33195955"/>
      <w:bookmarkStart w:id="78" w:name="_Toc33196257"/>
      <w:bookmarkStart w:id="79" w:name="_Toc29980638"/>
      <w:bookmarkStart w:id="80" w:name="_Toc30405513"/>
      <w:bookmarkStart w:id="81" w:name="_Toc30581254"/>
      <w:bookmarkStart w:id="82" w:name="_Toc32829916"/>
      <w:bookmarkStart w:id="83" w:name="_Toc32917418"/>
      <w:bookmarkStart w:id="84" w:name="_Toc32918224"/>
      <w:bookmarkStart w:id="85" w:name="_Toc32999607"/>
      <w:bookmarkStart w:id="86" w:name="_Toc33099326"/>
      <w:bookmarkStart w:id="87" w:name="_Toc33195956"/>
      <w:bookmarkStart w:id="88" w:name="_Toc33196258"/>
      <w:bookmarkStart w:id="89" w:name="_Toc124341933"/>
      <w:bookmarkStart w:id="90" w:name="_Toc125104161"/>
      <w:bookmarkStart w:id="91" w:name="_Toc125104326"/>
      <w:bookmarkStart w:id="92" w:name="_Toc125108272"/>
      <w:bookmarkStart w:id="93" w:name="_Toc125108389"/>
      <w:bookmarkStart w:id="94" w:name="_Toc125108506"/>
      <w:bookmarkStart w:id="95" w:name="_Toc125108623"/>
      <w:bookmarkStart w:id="96" w:name="_Toc125126153"/>
      <w:bookmarkStart w:id="97" w:name="_Toc126678443"/>
      <w:bookmarkStart w:id="98" w:name="_Toc126772018"/>
      <w:bookmarkStart w:id="99" w:name="_Toc128665424"/>
      <w:bookmarkStart w:id="100" w:name="_Toc129015660"/>
      <w:bookmarkStart w:id="101" w:name="_Toc129017815"/>
      <w:bookmarkStart w:id="102" w:name="_Toc129163624"/>
      <w:bookmarkStart w:id="103" w:name="_Toc129166867"/>
      <w:bookmarkStart w:id="104" w:name="_Toc124341934"/>
      <w:bookmarkStart w:id="105" w:name="_Toc125104162"/>
      <w:bookmarkStart w:id="106" w:name="_Toc125104327"/>
      <w:bookmarkStart w:id="107" w:name="_Toc125108273"/>
      <w:bookmarkStart w:id="108" w:name="_Toc125108390"/>
      <w:bookmarkStart w:id="109" w:name="_Toc125108507"/>
      <w:bookmarkStart w:id="110" w:name="_Toc125108624"/>
      <w:bookmarkStart w:id="111" w:name="_Toc125126154"/>
      <w:bookmarkStart w:id="112" w:name="_Toc126678444"/>
      <w:bookmarkStart w:id="113" w:name="_Toc126772019"/>
      <w:bookmarkStart w:id="114" w:name="_Toc128665425"/>
      <w:bookmarkStart w:id="115" w:name="_Toc129015661"/>
      <w:bookmarkStart w:id="116" w:name="_Toc129017816"/>
      <w:bookmarkStart w:id="117" w:name="_Toc129163625"/>
      <w:bookmarkStart w:id="118" w:name="_Toc129166868"/>
      <w:bookmarkStart w:id="119" w:name="_Toc124341935"/>
      <w:bookmarkStart w:id="120" w:name="_Toc125104163"/>
      <w:bookmarkStart w:id="121" w:name="_Toc125104328"/>
      <w:bookmarkStart w:id="122" w:name="_Toc125108274"/>
      <w:bookmarkStart w:id="123" w:name="_Toc125108391"/>
      <w:bookmarkStart w:id="124" w:name="_Toc125108508"/>
      <w:bookmarkStart w:id="125" w:name="_Toc125108625"/>
      <w:bookmarkStart w:id="126" w:name="_Toc125126155"/>
      <w:bookmarkStart w:id="127" w:name="_Toc126678445"/>
      <w:bookmarkStart w:id="128" w:name="_Toc126772020"/>
      <w:bookmarkStart w:id="129" w:name="_Toc128665426"/>
      <w:bookmarkStart w:id="130" w:name="_Toc129015662"/>
      <w:bookmarkStart w:id="131" w:name="_Toc129017817"/>
      <w:bookmarkStart w:id="132" w:name="_Toc129163626"/>
      <w:bookmarkStart w:id="133" w:name="_Toc129166869"/>
      <w:bookmarkStart w:id="134" w:name="_Toc124341936"/>
      <w:bookmarkStart w:id="135" w:name="_Toc125104164"/>
      <w:bookmarkStart w:id="136" w:name="_Toc125104329"/>
      <w:bookmarkStart w:id="137" w:name="_Toc125108275"/>
      <w:bookmarkStart w:id="138" w:name="_Toc125108392"/>
      <w:bookmarkStart w:id="139" w:name="_Toc125108509"/>
      <w:bookmarkStart w:id="140" w:name="_Toc125108626"/>
      <w:bookmarkStart w:id="141" w:name="_Toc125126156"/>
      <w:bookmarkStart w:id="142" w:name="_Toc126678446"/>
      <w:bookmarkStart w:id="143" w:name="_Toc126772021"/>
      <w:bookmarkStart w:id="144" w:name="_Toc128665427"/>
      <w:bookmarkStart w:id="145" w:name="_Toc129015663"/>
      <w:bookmarkStart w:id="146" w:name="_Toc129017818"/>
      <w:bookmarkStart w:id="147" w:name="_Toc129163627"/>
      <w:bookmarkStart w:id="148" w:name="_Toc129166870"/>
      <w:bookmarkStart w:id="149" w:name="_Toc124341937"/>
      <w:bookmarkStart w:id="150" w:name="_Toc125104165"/>
      <w:bookmarkStart w:id="151" w:name="_Toc125104330"/>
      <w:bookmarkStart w:id="152" w:name="_Toc125108276"/>
      <w:bookmarkStart w:id="153" w:name="_Toc125108393"/>
      <w:bookmarkStart w:id="154" w:name="_Toc125108510"/>
      <w:bookmarkStart w:id="155" w:name="_Toc125108627"/>
      <w:bookmarkStart w:id="156" w:name="_Toc125126157"/>
      <w:bookmarkStart w:id="157" w:name="_Toc126678447"/>
      <w:bookmarkStart w:id="158" w:name="_Toc126772022"/>
      <w:bookmarkStart w:id="159" w:name="_Toc128665428"/>
      <w:bookmarkStart w:id="160" w:name="_Toc129015664"/>
      <w:bookmarkStart w:id="161" w:name="_Toc129017819"/>
      <w:bookmarkStart w:id="162" w:name="_Toc129163628"/>
      <w:bookmarkStart w:id="163" w:name="_Toc129166871"/>
      <w:bookmarkStart w:id="164" w:name="_Toc124341938"/>
      <w:bookmarkStart w:id="165" w:name="_Toc125104166"/>
      <w:bookmarkStart w:id="166" w:name="_Toc125104331"/>
      <w:bookmarkStart w:id="167" w:name="_Toc125108277"/>
      <w:bookmarkStart w:id="168" w:name="_Toc125108394"/>
      <w:bookmarkStart w:id="169" w:name="_Toc125108511"/>
      <w:bookmarkStart w:id="170" w:name="_Toc125108628"/>
      <w:bookmarkStart w:id="171" w:name="_Toc125126158"/>
      <w:bookmarkStart w:id="172" w:name="_Toc126678448"/>
      <w:bookmarkStart w:id="173" w:name="_Toc126772023"/>
      <w:bookmarkStart w:id="174" w:name="_Toc128665429"/>
      <w:bookmarkStart w:id="175" w:name="_Toc129015665"/>
      <w:bookmarkStart w:id="176" w:name="_Toc129017820"/>
      <w:bookmarkStart w:id="177" w:name="_Toc129163629"/>
      <w:bookmarkStart w:id="178" w:name="_Toc129166872"/>
      <w:bookmarkStart w:id="179" w:name="_Toc124341939"/>
      <w:bookmarkStart w:id="180" w:name="_Toc125104167"/>
      <w:bookmarkStart w:id="181" w:name="_Toc125104332"/>
      <w:bookmarkStart w:id="182" w:name="_Toc125108278"/>
      <w:bookmarkStart w:id="183" w:name="_Toc125108395"/>
      <w:bookmarkStart w:id="184" w:name="_Toc125108512"/>
      <w:bookmarkStart w:id="185" w:name="_Toc125108629"/>
      <w:bookmarkStart w:id="186" w:name="_Toc125126159"/>
      <w:bookmarkStart w:id="187" w:name="_Toc126678449"/>
      <w:bookmarkStart w:id="188" w:name="_Toc126772024"/>
      <w:bookmarkStart w:id="189" w:name="_Toc128665430"/>
      <w:bookmarkStart w:id="190" w:name="_Toc129015666"/>
      <w:bookmarkStart w:id="191" w:name="_Toc129017821"/>
      <w:bookmarkStart w:id="192" w:name="_Toc129163630"/>
      <w:bookmarkStart w:id="193" w:name="_Toc129166873"/>
      <w:bookmarkStart w:id="194" w:name="_Toc124341940"/>
      <w:bookmarkStart w:id="195" w:name="_Toc125104168"/>
      <w:bookmarkStart w:id="196" w:name="_Toc125104333"/>
      <w:bookmarkStart w:id="197" w:name="_Toc125108279"/>
      <w:bookmarkStart w:id="198" w:name="_Toc125108396"/>
      <w:bookmarkStart w:id="199" w:name="_Toc125108513"/>
      <w:bookmarkStart w:id="200" w:name="_Toc125108630"/>
      <w:bookmarkStart w:id="201" w:name="_Toc125126160"/>
      <w:bookmarkStart w:id="202" w:name="_Toc126678450"/>
      <w:bookmarkStart w:id="203" w:name="_Toc126772025"/>
      <w:bookmarkStart w:id="204" w:name="_Toc128665431"/>
      <w:bookmarkStart w:id="205" w:name="_Toc129015667"/>
      <w:bookmarkStart w:id="206" w:name="_Toc129017822"/>
      <w:bookmarkStart w:id="207" w:name="_Toc129163631"/>
      <w:bookmarkStart w:id="208" w:name="_Toc129166874"/>
      <w:bookmarkStart w:id="209" w:name="_Toc124341941"/>
      <w:bookmarkStart w:id="210" w:name="_Toc125104169"/>
      <w:bookmarkStart w:id="211" w:name="_Toc125104334"/>
      <w:bookmarkStart w:id="212" w:name="_Toc125108280"/>
      <w:bookmarkStart w:id="213" w:name="_Toc125108397"/>
      <w:bookmarkStart w:id="214" w:name="_Toc125108514"/>
      <w:bookmarkStart w:id="215" w:name="_Toc125108631"/>
      <w:bookmarkStart w:id="216" w:name="_Toc125126161"/>
      <w:bookmarkStart w:id="217" w:name="_Toc126678451"/>
      <w:bookmarkStart w:id="218" w:name="_Toc126772026"/>
      <w:bookmarkStart w:id="219" w:name="_Toc128665432"/>
      <w:bookmarkStart w:id="220" w:name="_Toc129015668"/>
      <w:bookmarkStart w:id="221" w:name="_Toc129017823"/>
      <w:bookmarkStart w:id="222" w:name="_Toc129163632"/>
      <w:bookmarkStart w:id="223" w:name="_Toc129166875"/>
      <w:bookmarkStart w:id="224" w:name="_Toc124341942"/>
      <w:bookmarkStart w:id="225" w:name="_Toc125104170"/>
      <w:bookmarkStart w:id="226" w:name="_Toc125104335"/>
      <w:bookmarkStart w:id="227" w:name="_Toc125108281"/>
      <w:bookmarkStart w:id="228" w:name="_Toc125108398"/>
      <w:bookmarkStart w:id="229" w:name="_Toc125108515"/>
      <w:bookmarkStart w:id="230" w:name="_Toc125108632"/>
      <w:bookmarkStart w:id="231" w:name="_Toc125126162"/>
      <w:bookmarkStart w:id="232" w:name="_Toc126678452"/>
      <w:bookmarkStart w:id="233" w:name="_Toc126772027"/>
      <w:bookmarkStart w:id="234" w:name="_Toc128665433"/>
      <w:bookmarkStart w:id="235" w:name="_Toc129015669"/>
      <w:bookmarkStart w:id="236" w:name="_Toc129017824"/>
      <w:bookmarkStart w:id="237" w:name="_Toc129163633"/>
      <w:bookmarkStart w:id="238" w:name="_Toc129166876"/>
      <w:bookmarkStart w:id="239" w:name="_Toc124341943"/>
      <w:bookmarkStart w:id="240" w:name="_Toc125104171"/>
      <w:bookmarkStart w:id="241" w:name="_Toc125104336"/>
      <w:bookmarkStart w:id="242" w:name="_Toc125108282"/>
      <w:bookmarkStart w:id="243" w:name="_Toc125108399"/>
      <w:bookmarkStart w:id="244" w:name="_Toc125108516"/>
      <w:bookmarkStart w:id="245" w:name="_Toc125108633"/>
      <w:bookmarkStart w:id="246" w:name="_Toc125126163"/>
      <w:bookmarkStart w:id="247" w:name="_Toc126678453"/>
      <w:bookmarkStart w:id="248" w:name="_Toc126772028"/>
      <w:bookmarkStart w:id="249" w:name="_Toc128665434"/>
      <w:bookmarkStart w:id="250" w:name="_Toc129015670"/>
      <w:bookmarkStart w:id="251" w:name="_Toc129017825"/>
      <w:bookmarkStart w:id="252" w:name="_Toc129163634"/>
      <w:bookmarkStart w:id="253" w:name="_Toc129166877"/>
      <w:bookmarkStart w:id="254" w:name="_Toc124341944"/>
      <w:bookmarkStart w:id="255" w:name="_Toc125104172"/>
      <w:bookmarkStart w:id="256" w:name="_Toc125104337"/>
      <w:bookmarkStart w:id="257" w:name="_Toc125108283"/>
      <w:bookmarkStart w:id="258" w:name="_Toc125108400"/>
      <w:bookmarkStart w:id="259" w:name="_Toc125108517"/>
      <w:bookmarkStart w:id="260" w:name="_Toc125108634"/>
      <w:bookmarkStart w:id="261" w:name="_Toc125126164"/>
      <w:bookmarkStart w:id="262" w:name="_Toc126678454"/>
      <w:bookmarkStart w:id="263" w:name="_Toc126772029"/>
      <w:bookmarkStart w:id="264" w:name="_Toc128665435"/>
      <w:bookmarkStart w:id="265" w:name="_Toc129015671"/>
      <w:bookmarkStart w:id="266" w:name="_Toc129017826"/>
      <w:bookmarkStart w:id="267" w:name="_Toc129163635"/>
      <w:bookmarkStart w:id="268" w:name="_Toc129166878"/>
      <w:bookmarkStart w:id="269" w:name="_Toc124341945"/>
      <w:bookmarkStart w:id="270" w:name="_Toc125104173"/>
      <w:bookmarkStart w:id="271" w:name="_Toc125104338"/>
      <w:bookmarkStart w:id="272" w:name="_Toc125108284"/>
      <w:bookmarkStart w:id="273" w:name="_Toc125108401"/>
      <w:bookmarkStart w:id="274" w:name="_Toc125108518"/>
      <w:bookmarkStart w:id="275" w:name="_Toc125108635"/>
      <w:bookmarkStart w:id="276" w:name="_Toc125126165"/>
      <w:bookmarkStart w:id="277" w:name="_Toc126678455"/>
      <w:bookmarkStart w:id="278" w:name="_Toc126772030"/>
      <w:bookmarkStart w:id="279" w:name="_Toc128665436"/>
      <w:bookmarkStart w:id="280" w:name="_Toc129015672"/>
      <w:bookmarkStart w:id="281" w:name="_Toc129017827"/>
      <w:bookmarkStart w:id="282" w:name="_Toc129163636"/>
      <w:bookmarkStart w:id="283" w:name="_Toc129166879"/>
      <w:bookmarkStart w:id="284" w:name="_Toc124341946"/>
      <w:bookmarkStart w:id="285" w:name="_Toc125104174"/>
      <w:bookmarkStart w:id="286" w:name="_Toc125104339"/>
      <w:bookmarkStart w:id="287" w:name="_Toc125108285"/>
      <w:bookmarkStart w:id="288" w:name="_Toc125108402"/>
      <w:bookmarkStart w:id="289" w:name="_Toc125108519"/>
      <w:bookmarkStart w:id="290" w:name="_Toc125108636"/>
      <w:bookmarkStart w:id="291" w:name="_Toc125126166"/>
      <w:bookmarkStart w:id="292" w:name="_Toc126678456"/>
      <w:bookmarkStart w:id="293" w:name="_Toc126772031"/>
      <w:bookmarkStart w:id="294" w:name="_Toc128665437"/>
      <w:bookmarkStart w:id="295" w:name="_Toc129015673"/>
      <w:bookmarkStart w:id="296" w:name="_Toc129017828"/>
      <w:bookmarkStart w:id="297" w:name="_Toc129163637"/>
      <w:bookmarkStart w:id="298" w:name="_Toc129166880"/>
      <w:bookmarkStart w:id="299" w:name="_Toc124341947"/>
      <w:bookmarkStart w:id="300" w:name="_Toc125104175"/>
      <w:bookmarkStart w:id="301" w:name="_Toc125104340"/>
      <w:bookmarkStart w:id="302" w:name="_Toc125108286"/>
      <w:bookmarkStart w:id="303" w:name="_Toc125108403"/>
      <w:bookmarkStart w:id="304" w:name="_Toc125108520"/>
      <w:bookmarkStart w:id="305" w:name="_Toc125108637"/>
      <w:bookmarkStart w:id="306" w:name="_Toc125126167"/>
      <w:bookmarkStart w:id="307" w:name="_Toc126678457"/>
      <w:bookmarkStart w:id="308" w:name="_Toc126772032"/>
      <w:bookmarkStart w:id="309" w:name="_Toc128665438"/>
      <w:bookmarkStart w:id="310" w:name="_Toc129015674"/>
      <w:bookmarkStart w:id="311" w:name="_Toc129017829"/>
      <w:bookmarkStart w:id="312" w:name="_Toc129163638"/>
      <w:bookmarkStart w:id="313" w:name="_Toc129166881"/>
      <w:bookmarkStart w:id="314" w:name="_Toc124341948"/>
      <w:bookmarkStart w:id="315" w:name="_Toc125104176"/>
      <w:bookmarkStart w:id="316" w:name="_Toc125104341"/>
      <w:bookmarkStart w:id="317" w:name="_Toc125108287"/>
      <w:bookmarkStart w:id="318" w:name="_Toc125108404"/>
      <w:bookmarkStart w:id="319" w:name="_Toc125108521"/>
      <w:bookmarkStart w:id="320" w:name="_Toc125108638"/>
      <w:bookmarkStart w:id="321" w:name="_Toc125126168"/>
      <w:bookmarkStart w:id="322" w:name="_Toc126678458"/>
      <w:bookmarkStart w:id="323" w:name="_Toc126772033"/>
      <w:bookmarkStart w:id="324" w:name="_Toc128665439"/>
      <w:bookmarkStart w:id="325" w:name="_Toc129015675"/>
      <w:bookmarkStart w:id="326" w:name="_Toc129017830"/>
      <w:bookmarkStart w:id="327" w:name="_Toc129163639"/>
      <w:bookmarkStart w:id="328" w:name="_Toc129166882"/>
      <w:bookmarkStart w:id="329" w:name="_Toc124341949"/>
      <w:bookmarkStart w:id="330" w:name="_Toc125104177"/>
      <w:bookmarkStart w:id="331" w:name="_Toc125104342"/>
      <w:bookmarkStart w:id="332" w:name="_Toc125108288"/>
      <w:bookmarkStart w:id="333" w:name="_Toc125108405"/>
      <w:bookmarkStart w:id="334" w:name="_Toc125108522"/>
      <w:bookmarkStart w:id="335" w:name="_Toc125108639"/>
      <w:bookmarkStart w:id="336" w:name="_Toc125126169"/>
      <w:bookmarkStart w:id="337" w:name="_Toc126678459"/>
      <w:bookmarkStart w:id="338" w:name="_Toc126772034"/>
      <w:bookmarkStart w:id="339" w:name="_Toc128665440"/>
      <w:bookmarkStart w:id="340" w:name="_Toc129015676"/>
      <w:bookmarkStart w:id="341" w:name="_Toc129017831"/>
      <w:bookmarkStart w:id="342" w:name="_Toc129163640"/>
      <w:bookmarkStart w:id="343" w:name="_Toc129166883"/>
      <w:bookmarkStart w:id="344" w:name="_Toc124341950"/>
      <w:bookmarkStart w:id="345" w:name="_Toc125104178"/>
      <w:bookmarkStart w:id="346" w:name="_Toc125104343"/>
      <w:bookmarkStart w:id="347" w:name="_Toc125108289"/>
      <w:bookmarkStart w:id="348" w:name="_Toc125108406"/>
      <w:bookmarkStart w:id="349" w:name="_Toc125108523"/>
      <w:bookmarkStart w:id="350" w:name="_Toc125108640"/>
      <w:bookmarkStart w:id="351" w:name="_Toc125126170"/>
      <w:bookmarkStart w:id="352" w:name="_Toc126678460"/>
      <w:bookmarkStart w:id="353" w:name="_Toc126772035"/>
      <w:bookmarkStart w:id="354" w:name="_Toc128665441"/>
      <w:bookmarkStart w:id="355" w:name="_Toc129015677"/>
      <w:bookmarkStart w:id="356" w:name="_Toc129017832"/>
      <w:bookmarkStart w:id="357" w:name="_Toc129163641"/>
      <w:bookmarkStart w:id="358" w:name="_Toc129166884"/>
      <w:bookmarkStart w:id="359" w:name="_Toc124341951"/>
      <w:bookmarkStart w:id="360" w:name="_Toc125104179"/>
      <w:bookmarkStart w:id="361" w:name="_Toc125104344"/>
      <w:bookmarkStart w:id="362" w:name="_Toc125108290"/>
      <w:bookmarkStart w:id="363" w:name="_Toc125108407"/>
      <w:bookmarkStart w:id="364" w:name="_Toc125108524"/>
      <w:bookmarkStart w:id="365" w:name="_Toc125108641"/>
      <w:bookmarkStart w:id="366" w:name="_Toc125126171"/>
      <w:bookmarkStart w:id="367" w:name="_Toc126678461"/>
      <w:bookmarkStart w:id="368" w:name="_Toc126772036"/>
      <w:bookmarkStart w:id="369" w:name="_Toc128665442"/>
      <w:bookmarkStart w:id="370" w:name="_Toc129015678"/>
      <w:bookmarkStart w:id="371" w:name="_Toc129017833"/>
      <w:bookmarkStart w:id="372" w:name="_Toc129163642"/>
      <w:bookmarkStart w:id="373" w:name="_Toc129166885"/>
      <w:bookmarkStart w:id="374" w:name="_Toc124341952"/>
      <w:bookmarkStart w:id="375" w:name="_Toc125104180"/>
      <w:bookmarkStart w:id="376" w:name="_Toc125104345"/>
      <w:bookmarkStart w:id="377" w:name="_Toc125108291"/>
      <w:bookmarkStart w:id="378" w:name="_Toc125108408"/>
      <w:bookmarkStart w:id="379" w:name="_Toc125108525"/>
      <w:bookmarkStart w:id="380" w:name="_Toc125108642"/>
      <w:bookmarkStart w:id="381" w:name="_Toc125126172"/>
      <w:bookmarkStart w:id="382" w:name="_Toc126678462"/>
      <w:bookmarkStart w:id="383" w:name="_Toc126772037"/>
      <w:bookmarkStart w:id="384" w:name="_Toc128665443"/>
      <w:bookmarkStart w:id="385" w:name="_Toc129015679"/>
      <w:bookmarkStart w:id="386" w:name="_Toc129017834"/>
      <w:bookmarkStart w:id="387" w:name="_Toc129163643"/>
      <w:bookmarkStart w:id="388" w:name="_Toc129166886"/>
      <w:bookmarkStart w:id="389" w:name="_Toc124341953"/>
      <w:bookmarkStart w:id="390" w:name="_Toc125104181"/>
      <w:bookmarkStart w:id="391" w:name="_Toc125104346"/>
      <w:bookmarkStart w:id="392" w:name="_Toc125108292"/>
      <w:bookmarkStart w:id="393" w:name="_Toc125108409"/>
      <w:bookmarkStart w:id="394" w:name="_Toc125108526"/>
      <w:bookmarkStart w:id="395" w:name="_Toc125108643"/>
      <w:bookmarkStart w:id="396" w:name="_Toc125126173"/>
      <w:bookmarkStart w:id="397" w:name="_Toc126678463"/>
      <w:bookmarkStart w:id="398" w:name="_Toc126772038"/>
      <w:bookmarkStart w:id="399" w:name="_Toc128665444"/>
      <w:bookmarkStart w:id="400" w:name="_Toc129015680"/>
      <w:bookmarkStart w:id="401" w:name="_Toc129017835"/>
      <w:bookmarkStart w:id="402" w:name="_Toc129163644"/>
      <w:bookmarkStart w:id="403" w:name="_Toc129166887"/>
      <w:bookmarkStart w:id="404" w:name="_Toc124341954"/>
      <w:bookmarkStart w:id="405" w:name="_Toc125104182"/>
      <w:bookmarkStart w:id="406" w:name="_Toc125104347"/>
      <w:bookmarkStart w:id="407" w:name="_Toc125108293"/>
      <w:bookmarkStart w:id="408" w:name="_Toc125108410"/>
      <w:bookmarkStart w:id="409" w:name="_Toc125108527"/>
      <w:bookmarkStart w:id="410" w:name="_Toc125108644"/>
      <w:bookmarkStart w:id="411" w:name="_Toc125126174"/>
      <w:bookmarkStart w:id="412" w:name="_Toc126678464"/>
      <w:bookmarkStart w:id="413" w:name="_Toc126772039"/>
      <w:bookmarkStart w:id="414" w:name="_Toc128665445"/>
      <w:bookmarkStart w:id="415" w:name="_Toc129015681"/>
      <w:bookmarkStart w:id="416" w:name="_Toc129017836"/>
      <w:bookmarkStart w:id="417" w:name="_Toc129163645"/>
      <w:bookmarkStart w:id="418" w:name="_Toc129166888"/>
      <w:bookmarkStart w:id="419" w:name="_Toc86764900"/>
      <w:bookmarkStart w:id="420" w:name="_Toc87979819"/>
      <w:bookmarkStart w:id="421" w:name="_Toc86764902"/>
      <w:bookmarkStart w:id="422" w:name="_Toc87979821"/>
      <w:bookmarkStart w:id="423" w:name="_Toc61874960"/>
      <w:bookmarkStart w:id="424" w:name="_Toc62648811"/>
      <w:bookmarkStart w:id="425" w:name="_Toc61874961"/>
      <w:bookmarkStart w:id="426" w:name="_Toc62648812"/>
      <w:bookmarkStart w:id="427" w:name="_Toc61874962"/>
      <w:bookmarkStart w:id="428" w:name="_Toc62648813"/>
      <w:bookmarkStart w:id="429" w:name="_Toc61874963"/>
      <w:bookmarkStart w:id="430" w:name="_Toc62648814"/>
      <w:bookmarkStart w:id="431" w:name="_Toc61874964"/>
      <w:bookmarkStart w:id="432" w:name="_Toc62648815"/>
      <w:bookmarkStart w:id="433" w:name="_Toc61874965"/>
      <w:bookmarkStart w:id="434" w:name="_Toc62648816"/>
      <w:bookmarkStart w:id="435" w:name="_Toc61874966"/>
      <w:bookmarkStart w:id="436" w:name="_Toc62648817"/>
      <w:bookmarkStart w:id="437" w:name="_Toc61874967"/>
      <w:bookmarkStart w:id="438" w:name="_Toc62648818"/>
      <w:bookmarkStart w:id="439" w:name="_Toc61874968"/>
      <w:bookmarkStart w:id="440" w:name="_Toc62648819"/>
      <w:bookmarkStart w:id="441" w:name="_Toc61874969"/>
      <w:bookmarkStart w:id="442" w:name="_Toc62648820"/>
      <w:bookmarkStart w:id="443" w:name="_Toc61874970"/>
      <w:bookmarkStart w:id="444" w:name="_Toc62648821"/>
      <w:bookmarkStart w:id="445" w:name="_Toc46327301"/>
      <w:bookmarkStart w:id="446" w:name="_Toc46327302"/>
      <w:bookmarkStart w:id="447" w:name="_Toc46327303"/>
      <w:bookmarkStart w:id="448" w:name="_Toc46327304"/>
      <w:bookmarkStart w:id="449" w:name="_Toc45801376"/>
      <w:bookmarkStart w:id="450" w:name="_Toc46241737"/>
      <w:bookmarkStart w:id="451" w:name="_Toc46248940"/>
      <w:bookmarkStart w:id="452" w:name="_Toc46249048"/>
      <w:bookmarkStart w:id="453" w:name="_Toc46250829"/>
      <w:bookmarkStart w:id="454" w:name="_Toc46311364"/>
      <w:bookmarkStart w:id="455" w:name="_Toc46311556"/>
      <w:bookmarkStart w:id="456" w:name="_Toc46311667"/>
      <w:bookmarkStart w:id="457" w:name="_Toc46327305"/>
      <w:bookmarkStart w:id="458" w:name="_Toc46929149"/>
      <w:bookmarkStart w:id="459" w:name="_Toc46327306"/>
      <w:bookmarkStart w:id="460" w:name="_Toc45801378"/>
      <w:bookmarkStart w:id="461" w:name="_Toc46241739"/>
      <w:bookmarkStart w:id="462" w:name="_Toc46248942"/>
      <w:bookmarkStart w:id="463" w:name="_Toc46249050"/>
      <w:bookmarkStart w:id="464" w:name="_Toc46250831"/>
      <w:bookmarkStart w:id="465" w:name="_Toc46311366"/>
      <w:bookmarkStart w:id="466" w:name="_Toc46311558"/>
      <w:bookmarkStart w:id="467" w:name="_Toc46311669"/>
      <w:bookmarkStart w:id="468" w:name="_Toc46327307"/>
      <w:bookmarkStart w:id="469" w:name="_Toc46929151"/>
      <w:bookmarkStart w:id="470" w:name="_Toc45801379"/>
      <w:bookmarkStart w:id="471" w:name="_Toc46241740"/>
      <w:bookmarkStart w:id="472" w:name="_Toc46248943"/>
      <w:bookmarkStart w:id="473" w:name="_Toc46249051"/>
      <w:bookmarkStart w:id="474" w:name="_Toc46250832"/>
      <w:bookmarkStart w:id="475" w:name="_Toc46311367"/>
      <w:bookmarkStart w:id="476" w:name="_Toc46311559"/>
      <w:bookmarkStart w:id="477" w:name="_Toc46311670"/>
      <w:bookmarkStart w:id="478" w:name="_Toc46327308"/>
      <w:bookmarkStart w:id="479" w:name="_Toc46929152"/>
      <w:bookmarkStart w:id="480" w:name="_Toc45801380"/>
      <w:bookmarkStart w:id="481" w:name="_Toc46241741"/>
      <w:bookmarkStart w:id="482" w:name="_Toc46248944"/>
      <w:bookmarkStart w:id="483" w:name="_Toc46249052"/>
      <w:bookmarkStart w:id="484" w:name="_Toc46250833"/>
      <w:bookmarkStart w:id="485" w:name="_Toc46311368"/>
      <w:bookmarkStart w:id="486" w:name="_Toc46311560"/>
      <w:bookmarkStart w:id="487" w:name="_Toc46311671"/>
      <w:bookmarkStart w:id="488" w:name="_Toc46327309"/>
      <w:bookmarkStart w:id="489" w:name="_Toc46929153"/>
      <w:bookmarkStart w:id="490" w:name="_Toc86764903"/>
      <w:bookmarkStart w:id="491" w:name="_Toc87979822"/>
      <w:bookmarkStart w:id="492" w:name="_Toc86764904"/>
      <w:bookmarkStart w:id="493" w:name="_Toc87979823"/>
      <w:bookmarkStart w:id="494" w:name="_Toc29980641"/>
      <w:bookmarkStart w:id="495" w:name="_Toc30405516"/>
      <w:bookmarkStart w:id="496" w:name="_Toc30581257"/>
      <w:bookmarkStart w:id="497" w:name="_Toc32829919"/>
      <w:bookmarkStart w:id="498" w:name="_Toc32917421"/>
      <w:bookmarkStart w:id="499" w:name="_Toc32918227"/>
      <w:bookmarkStart w:id="500" w:name="_Toc32999610"/>
      <w:bookmarkStart w:id="501" w:name="_Toc33099329"/>
      <w:bookmarkStart w:id="502" w:name="_Toc33195959"/>
      <w:bookmarkStart w:id="503" w:name="_Toc33196261"/>
      <w:bookmarkStart w:id="504" w:name="_Toc29980642"/>
      <w:bookmarkStart w:id="505" w:name="_Toc30405517"/>
      <w:bookmarkStart w:id="506" w:name="_Toc30581258"/>
      <w:bookmarkStart w:id="507" w:name="_Toc32829920"/>
      <w:bookmarkStart w:id="508" w:name="_Toc32917422"/>
      <w:bookmarkStart w:id="509" w:name="_Toc32918228"/>
      <w:bookmarkStart w:id="510" w:name="_Toc32999611"/>
      <w:bookmarkStart w:id="511" w:name="_Toc33099330"/>
      <w:bookmarkStart w:id="512" w:name="_Toc33195960"/>
      <w:bookmarkStart w:id="513" w:name="_Toc33196262"/>
      <w:bookmarkStart w:id="514" w:name="_Toc29980643"/>
      <w:bookmarkStart w:id="515" w:name="_Toc30405518"/>
      <w:bookmarkStart w:id="516" w:name="_Toc30581259"/>
      <w:bookmarkStart w:id="517" w:name="_Toc32829921"/>
      <w:bookmarkStart w:id="518" w:name="_Toc32917423"/>
      <w:bookmarkStart w:id="519" w:name="_Toc32918229"/>
      <w:bookmarkStart w:id="520" w:name="_Toc32999612"/>
      <w:bookmarkStart w:id="521" w:name="_Toc33099331"/>
      <w:bookmarkStart w:id="522" w:name="_Toc33195961"/>
      <w:bookmarkStart w:id="523" w:name="_Toc33196263"/>
      <w:bookmarkStart w:id="524" w:name="_Toc29980644"/>
      <w:bookmarkStart w:id="525" w:name="_Toc30405519"/>
      <w:bookmarkStart w:id="526" w:name="_Toc30581260"/>
      <w:bookmarkStart w:id="527" w:name="_Toc32829922"/>
      <w:bookmarkStart w:id="528" w:name="_Toc32917424"/>
      <w:bookmarkStart w:id="529" w:name="_Toc32918230"/>
      <w:bookmarkStart w:id="530" w:name="_Toc32999613"/>
      <w:bookmarkStart w:id="531" w:name="_Toc33099332"/>
      <w:bookmarkStart w:id="532" w:name="_Toc33195962"/>
      <w:bookmarkStart w:id="533" w:name="_Toc33196264"/>
      <w:bookmarkStart w:id="534" w:name="_Toc504468808"/>
      <w:bookmarkStart w:id="535" w:name="_Toc63347670"/>
      <w:bookmarkStart w:id="536" w:name="_Toc22774898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DD477A">
        <w:t>W</w:t>
      </w:r>
      <w:r w:rsidR="00945487" w:rsidRPr="00DD477A">
        <w:t xml:space="preserve">hich entities </w:t>
      </w:r>
      <w:r w:rsidRPr="00DD477A">
        <w:t>should prepare</w:t>
      </w:r>
      <w:r w:rsidR="00DF4F95" w:rsidRPr="00DD477A">
        <w:t xml:space="preserve"> </w:t>
      </w:r>
      <w:r w:rsidRPr="00DD477A">
        <w:t>P</w:t>
      </w:r>
      <w:r w:rsidR="00E87C23" w:rsidRPr="00DD477A">
        <w:t xml:space="preserve">B </w:t>
      </w:r>
      <w:r w:rsidRPr="00DD477A">
        <w:t>Statements?</w:t>
      </w:r>
      <w:bookmarkEnd w:id="534"/>
      <w:bookmarkEnd w:id="535"/>
      <w:bookmarkEnd w:id="536"/>
    </w:p>
    <w:p w14:paraId="3D55A259" w14:textId="3C91152D" w:rsidR="00C1673C" w:rsidRPr="00DD477A" w:rsidRDefault="53BF0693" w:rsidP="000A7DEC">
      <w:pPr>
        <w:rPr>
          <w:rFonts w:cs="Calibri"/>
        </w:rPr>
      </w:pPr>
      <w:r w:rsidRPr="00DD477A">
        <w:rPr>
          <w:rFonts w:cs="Calibri"/>
        </w:rPr>
        <w:t xml:space="preserve">All Commonwealth </w:t>
      </w:r>
      <w:r w:rsidR="005816D5">
        <w:rPr>
          <w:rFonts w:cs="Calibri"/>
        </w:rPr>
        <w:t xml:space="preserve">portfolios and </w:t>
      </w:r>
      <w:r w:rsidRPr="00DD477A">
        <w:rPr>
          <w:rFonts w:cs="Calibri"/>
        </w:rPr>
        <w:t>entities receiv</w:t>
      </w:r>
      <w:r w:rsidR="005816D5">
        <w:rPr>
          <w:rFonts w:cs="Calibri"/>
        </w:rPr>
        <w:t>ing</w:t>
      </w:r>
      <w:r w:rsidRPr="00DD477A">
        <w:rPr>
          <w:rFonts w:cs="Calibri"/>
        </w:rPr>
        <w:t xml:space="preserve"> </w:t>
      </w:r>
      <w:r w:rsidR="00D06563" w:rsidRPr="00DD477A">
        <w:rPr>
          <w:rFonts w:cs="Calibri"/>
        </w:rPr>
        <w:t xml:space="preserve">an </w:t>
      </w:r>
      <w:r w:rsidR="00991A79" w:rsidRPr="00DD477A">
        <w:rPr>
          <w:rFonts w:cs="Calibri"/>
        </w:rPr>
        <w:t>a</w:t>
      </w:r>
      <w:r w:rsidRPr="00DD477A">
        <w:rPr>
          <w:rFonts w:cs="Calibri"/>
        </w:rPr>
        <w:t xml:space="preserve">ppropriation (whether directly or through a </w:t>
      </w:r>
      <w:r w:rsidR="00396887" w:rsidRPr="00DD477A">
        <w:rPr>
          <w:rFonts w:cs="Calibri"/>
        </w:rPr>
        <w:t>portfolio department</w:t>
      </w:r>
      <w:r w:rsidRPr="00DD477A">
        <w:rPr>
          <w:rFonts w:cs="Calibri"/>
        </w:rPr>
        <w:t xml:space="preserve">) </w:t>
      </w:r>
      <w:r w:rsidR="00D06563" w:rsidRPr="00DD477A">
        <w:rPr>
          <w:rFonts w:cs="Calibri"/>
        </w:rPr>
        <w:t>through</w:t>
      </w:r>
      <w:r w:rsidRPr="00DD477A">
        <w:rPr>
          <w:rFonts w:cs="Calibri"/>
        </w:rPr>
        <w:t xml:space="preserve"> </w:t>
      </w:r>
      <w:r w:rsidR="009B7FA8" w:rsidRPr="00DD477A">
        <w:rPr>
          <w:rFonts w:cs="Calibri"/>
        </w:rPr>
        <w:t xml:space="preserve">an </w:t>
      </w:r>
      <w:r w:rsidRPr="00DD477A">
        <w:rPr>
          <w:rFonts w:cs="Calibri"/>
        </w:rPr>
        <w:t xml:space="preserve">Appropriation Bill are </w:t>
      </w:r>
      <w:r w:rsidRPr="00DD477A">
        <w:rPr>
          <w:rFonts w:cs="Calibri"/>
          <w:b/>
          <w:bCs/>
        </w:rPr>
        <w:t>required</w:t>
      </w:r>
      <w:r w:rsidRPr="00DD477A">
        <w:rPr>
          <w:rFonts w:cs="Calibri"/>
        </w:rPr>
        <w:t xml:space="preserve"> to produce a </w:t>
      </w:r>
      <w:r w:rsidR="003A29BC" w:rsidRPr="00DD477A">
        <w:rPr>
          <w:rFonts w:cs="Calibri"/>
        </w:rPr>
        <w:t>PB </w:t>
      </w:r>
      <w:r w:rsidRPr="00DD477A">
        <w:rPr>
          <w:rFonts w:cs="Calibri"/>
        </w:rPr>
        <w:t>Statement</w:t>
      </w:r>
      <w:r w:rsidR="00DB782A" w:rsidRPr="00DD477A">
        <w:rPr>
          <w:rFonts w:cs="Calibri"/>
        </w:rPr>
        <w:t xml:space="preserve"> </w:t>
      </w:r>
      <w:r w:rsidR="005816D5">
        <w:rPr>
          <w:rFonts w:cs="Calibri"/>
        </w:rPr>
        <w:t>and</w:t>
      </w:r>
      <w:r w:rsidR="00DB782A" w:rsidRPr="00DD477A">
        <w:rPr>
          <w:rFonts w:cs="Calibri"/>
        </w:rPr>
        <w:t xml:space="preserve"> chapter</w:t>
      </w:r>
      <w:r w:rsidRPr="00DD477A">
        <w:rPr>
          <w:rFonts w:cs="Calibri"/>
        </w:rPr>
        <w:t>.</w:t>
      </w:r>
    </w:p>
    <w:p w14:paraId="64988F33" w14:textId="2BF0DD5B" w:rsidR="009D4EB9" w:rsidRPr="00DD477A" w:rsidRDefault="53BF0693" w:rsidP="000A7DEC">
      <w:pPr>
        <w:rPr>
          <w:rFonts w:cs="Calibri"/>
        </w:rPr>
      </w:pPr>
      <w:r w:rsidRPr="00DD477A">
        <w:rPr>
          <w:rFonts w:cs="Calibri"/>
        </w:rPr>
        <w:t xml:space="preserve">Entities </w:t>
      </w:r>
      <w:r w:rsidR="005816D5">
        <w:rPr>
          <w:rFonts w:cs="Calibri"/>
        </w:rPr>
        <w:t xml:space="preserve">are </w:t>
      </w:r>
      <w:r w:rsidRPr="00DD477A">
        <w:rPr>
          <w:rFonts w:cs="Calibri"/>
        </w:rPr>
        <w:t xml:space="preserve">normally </w:t>
      </w:r>
      <w:r w:rsidR="005816D5">
        <w:rPr>
          <w:rFonts w:cs="Calibri"/>
        </w:rPr>
        <w:t xml:space="preserve">reported as </w:t>
      </w:r>
      <w:r w:rsidRPr="00DD477A">
        <w:rPr>
          <w:rFonts w:cs="Calibri"/>
        </w:rPr>
        <w:t xml:space="preserve">separate </w:t>
      </w:r>
      <w:r w:rsidR="00D66EDC">
        <w:rPr>
          <w:rFonts w:cs="Calibri"/>
        </w:rPr>
        <w:t xml:space="preserve">distinct </w:t>
      </w:r>
      <w:r w:rsidRPr="00DD477A">
        <w:rPr>
          <w:rFonts w:cs="Calibri"/>
        </w:rPr>
        <w:t xml:space="preserve">chapters in the PB </w:t>
      </w:r>
      <w:r w:rsidR="007626FD" w:rsidRPr="00DD477A">
        <w:rPr>
          <w:rFonts w:cs="Calibri"/>
        </w:rPr>
        <w:t>Statements unless</w:t>
      </w:r>
      <w:r w:rsidRPr="00DD477A">
        <w:rPr>
          <w:rFonts w:cs="Calibri"/>
        </w:rPr>
        <w:t xml:space="preserve"> they are in the process of being merged or consolidated into another </w:t>
      </w:r>
      <w:r w:rsidR="00B856C9" w:rsidRPr="00DD477A">
        <w:rPr>
          <w:rFonts w:cs="Calibri"/>
        </w:rPr>
        <w:t>d</w:t>
      </w:r>
      <w:r w:rsidRPr="00DD477A">
        <w:rPr>
          <w:rFonts w:cs="Calibri"/>
        </w:rPr>
        <w:t>epartment or entity at the start of the Budget year.</w:t>
      </w:r>
    </w:p>
    <w:p w14:paraId="4BBA8C1E" w14:textId="5268C30D" w:rsidR="00895FC3" w:rsidRPr="00DD477A" w:rsidRDefault="00592A04" w:rsidP="001D30A2">
      <w:pPr>
        <w:rPr>
          <w:rFonts w:cs="Calibri"/>
        </w:rPr>
      </w:pPr>
      <w:r w:rsidRPr="00DD477A">
        <w:rPr>
          <w:rFonts w:cs="Calibri"/>
        </w:rPr>
        <w:t xml:space="preserve">For </w:t>
      </w:r>
      <w:r w:rsidR="003E0908" w:rsidRPr="00DD477A">
        <w:rPr>
          <w:rFonts w:cs="Calibri"/>
        </w:rPr>
        <w:t xml:space="preserve">multiple </w:t>
      </w:r>
      <w:r w:rsidR="00AF3BE5" w:rsidRPr="00DD477A">
        <w:rPr>
          <w:rFonts w:cs="Calibri"/>
        </w:rPr>
        <w:t xml:space="preserve">department </w:t>
      </w:r>
      <w:r w:rsidR="53BF0693" w:rsidRPr="00DD477A">
        <w:rPr>
          <w:rFonts w:cs="Calibri"/>
        </w:rPr>
        <w:t>portfolio</w:t>
      </w:r>
      <w:r w:rsidR="003E0908" w:rsidRPr="00DD477A">
        <w:rPr>
          <w:rFonts w:cs="Calibri"/>
        </w:rPr>
        <w:t>s</w:t>
      </w:r>
      <w:r w:rsidR="53BF0693" w:rsidRPr="00DD477A">
        <w:rPr>
          <w:rFonts w:cs="Calibri"/>
        </w:rPr>
        <w:t>, the senio</w:t>
      </w:r>
      <w:r w:rsidR="04B123B9" w:rsidRPr="00DD477A">
        <w:rPr>
          <w:rFonts w:cs="Calibri"/>
        </w:rPr>
        <w:t xml:space="preserve">r </w:t>
      </w:r>
      <w:r w:rsidR="008D1D5F" w:rsidRPr="00DD477A">
        <w:rPr>
          <w:rFonts w:cs="Calibri"/>
        </w:rPr>
        <w:t xml:space="preserve">Portfolio Minister </w:t>
      </w:r>
      <w:r w:rsidR="53BF0693" w:rsidRPr="00DD477A">
        <w:rPr>
          <w:rFonts w:cs="Calibri"/>
        </w:rPr>
        <w:t xml:space="preserve">should determine how the portfolio </w:t>
      </w:r>
      <w:r w:rsidR="132B1A63" w:rsidRPr="00DD477A">
        <w:rPr>
          <w:rFonts w:cs="Calibri"/>
        </w:rPr>
        <w:t>is</w:t>
      </w:r>
      <w:r w:rsidR="53BF0693" w:rsidRPr="00DD477A">
        <w:rPr>
          <w:rFonts w:cs="Calibri"/>
        </w:rPr>
        <w:t xml:space="preserve"> represented (i.e. whether there is to be a separate book for each department, or one consolidated book for the portfolio).</w:t>
      </w:r>
    </w:p>
    <w:p w14:paraId="70299A0C" w14:textId="021760FE" w:rsidR="00FE534B" w:rsidRPr="00DD477A" w:rsidRDefault="00917F4A" w:rsidP="000A7DEC">
      <w:pPr>
        <w:rPr>
          <w:rFonts w:cs="Calibri"/>
        </w:rPr>
      </w:pPr>
      <w:r w:rsidRPr="00DD477A">
        <w:rPr>
          <w:rFonts w:cs="Calibri"/>
        </w:rPr>
        <w:t xml:space="preserve">In some instances, a non-Budget appropriated entity </w:t>
      </w:r>
      <w:r w:rsidR="00E064F4" w:rsidRPr="00DD477A">
        <w:rPr>
          <w:rFonts w:cs="Calibri"/>
        </w:rPr>
        <w:t xml:space="preserve">may be required </w:t>
      </w:r>
      <w:r w:rsidR="00C1673C" w:rsidRPr="00DD477A">
        <w:rPr>
          <w:rFonts w:cs="Calibri"/>
        </w:rPr>
        <w:t xml:space="preserve">by their Portfolio Minister </w:t>
      </w:r>
      <w:r w:rsidRPr="00DD477A">
        <w:rPr>
          <w:rFonts w:cs="Calibri"/>
        </w:rPr>
        <w:t>to produce PB Statements whe</w:t>
      </w:r>
      <w:r w:rsidR="00174DA3" w:rsidRPr="00DD477A">
        <w:rPr>
          <w:rFonts w:cs="Calibri"/>
        </w:rPr>
        <w:t>re</w:t>
      </w:r>
      <w:r w:rsidRPr="00DD477A">
        <w:rPr>
          <w:rFonts w:cs="Calibri"/>
        </w:rPr>
        <w:t xml:space="preserve"> there is greater scrutiny on its operations or Budget and forward estimates.</w:t>
      </w:r>
    </w:p>
    <w:p w14:paraId="4E9E26A6" w14:textId="5FDFC61B" w:rsidR="001923C9" w:rsidRPr="00DD477A" w:rsidRDefault="53BF0693" w:rsidP="0014243A">
      <w:pPr>
        <w:keepNext/>
        <w:rPr>
          <w:rFonts w:cs="Calibri"/>
        </w:rPr>
      </w:pPr>
      <w:r w:rsidRPr="00DD477A">
        <w:rPr>
          <w:rFonts w:cs="Calibri"/>
        </w:rPr>
        <w:t xml:space="preserve">Entities </w:t>
      </w:r>
      <w:r w:rsidR="00B71287" w:rsidRPr="00DD477A">
        <w:rPr>
          <w:rFonts w:cs="Calibri"/>
        </w:rPr>
        <w:t xml:space="preserve">must </w:t>
      </w:r>
      <w:r w:rsidRPr="00DD477A">
        <w:rPr>
          <w:rFonts w:cs="Calibri"/>
        </w:rPr>
        <w:t xml:space="preserve">use the following </w:t>
      </w:r>
      <w:r w:rsidR="00396887" w:rsidRPr="00DD477A">
        <w:rPr>
          <w:rFonts w:cs="Calibri"/>
        </w:rPr>
        <w:t>portfolio</w:t>
      </w:r>
      <w:r w:rsidRPr="00DD477A">
        <w:rPr>
          <w:rFonts w:cs="Calibri"/>
        </w:rPr>
        <w:t xml:space="preserve"> numbers for the covers of their PB Statements:</w:t>
      </w:r>
    </w:p>
    <w:tbl>
      <w:tblPr>
        <w:tblStyle w:val="TableGrid"/>
        <w:tblW w:w="0" w:type="auto"/>
        <w:shd w:val="clear" w:color="auto" w:fill="D9D9D9" w:themeFill="background1" w:themeFillShade="D9"/>
        <w:tblLook w:val="04A0" w:firstRow="1" w:lastRow="0" w:firstColumn="1" w:lastColumn="0" w:noHBand="0" w:noVBand="1"/>
      </w:tblPr>
      <w:tblGrid>
        <w:gridCol w:w="8063"/>
      </w:tblGrid>
      <w:tr w:rsidR="00DC2750" w:rsidRPr="00DD477A" w14:paraId="35C61DF2" w14:textId="77777777" w:rsidTr="0014243A">
        <w:trPr>
          <w:cantSplit/>
          <w:trHeight w:val="410"/>
        </w:trPr>
        <w:tc>
          <w:tcPr>
            <w:tcW w:w="8063" w:type="dxa"/>
            <w:shd w:val="clear" w:color="auto" w:fill="D9D9D9" w:themeFill="background1" w:themeFillShade="D9"/>
          </w:tcPr>
          <w:p w14:paraId="243DA0A6" w14:textId="733B362D"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033997" w:rsidRPr="00DD477A">
              <w:rPr>
                <w:rFonts w:cs="Calibri"/>
                <w:sz w:val="20"/>
                <w:szCs w:val="20"/>
              </w:rPr>
              <w:t>1</w:t>
            </w:r>
            <w:r w:rsidRPr="00DD477A">
              <w:rPr>
                <w:rFonts w:cs="Calibri"/>
                <w:sz w:val="20"/>
                <w:szCs w:val="20"/>
              </w:rPr>
              <w:tab/>
            </w:r>
            <w:r w:rsidR="00CC6BB0" w:rsidRPr="00DD477A">
              <w:rPr>
                <w:rFonts w:cs="Calibri"/>
                <w:sz w:val="20"/>
                <w:szCs w:val="20"/>
              </w:rPr>
              <w:t xml:space="preserve">Agriculture, </w:t>
            </w:r>
            <w:r w:rsidR="00577E79" w:rsidRPr="00DD477A">
              <w:rPr>
                <w:rFonts w:cs="Calibri"/>
                <w:sz w:val="20"/>
                <w:szCs w:val="20"/>
              </w:rPr>
              <w:t>Fisheries and Forestry</w:t>
            </w:r>
            <w:r w:rsidR="00162A21" w:rsidRPr="00DD477A">
              <w:rPr>
                <w:rFonts w:cs="Calibri"/>
                <w:sz w:val="20"/>
                <w:szCs w:val="20"/>
              </w:rPr>
              <w:t xml:space="preserve"> Portfolio</w:t>
            </w:r>
          </w:p>
          <w:p w14:paraId="6B48BAD2" w14:textId="6CFD6565" w:rsidR="00033997" w:rsidRPr="00DD477A" w:rsidRDefault="00033997" w:rsidP="00DB70D2">
            <w:pPr>
              <w:pStyle w:val="PortfolioNumberingText"/>
              <w:spacing w:before="20" w:after="20"/>
              <w:rPr>
                <w:rFonts w:cs="Calibri"/>
                <w:sz w:val="20"/>
                <w:szCs w:val="20"/>
              </w:rPr>
            </w:pPr>
            <w:r w:rsidRPr="00DD477A">
              <w:rPr>
                <w:rFonts w:cs="Calibri"/>
                <w:sz w:val="20"/>
                <w:szCs w:val="20"/>
              </w:rPr>
              <w:t>1.2</w:t>
            </w:r>
            <w:r w:rsidR="0017521A" w:rsidRPr="00DD477A">
              <w:rPr>
                <w:rFonts w:cs="Calibri"/>
                <w:sz w:val="20"/>
                <w:szCs w:val="20"/>
              </w:rPr>
              <w:tab/>
            </w:r>
            <w:r w:rsidR="00CC6BB0" w:rsidRPr="00DD477A">
              <w:rPr>
                <w:rFonts w:cs="Calibri"/>
                <w:sz w:val="20"/>
                <w:szCs w:val="20"/>
              </w:rPr>
              <w:t>Attorney-General’s Portfolio</w:t>
            </w:r>
          </w:p>
          <w:p w14:paraId="5027BBB1" w14:textId="01995F74" w:rsidR="00577E79" w:rsidRPr="00DD477A" w:rsidRDefault="002362A7" w:rsidP="00DB70D2">
            <w:pPr>
              <w:pStyle w:val="PortfolioNumberingText"/>
              <w:spacing w:before="20" w:after="20"/>
              <w:rPr>
                <w:rFonts w:cs="Calibri"/>
                <w:sz w:val="20"/>
                <w:szCs w:val="20"/>
              </w:rPr>
            </w:pPr>
            <w:r w:rsidRPr="00DD477A">
              <w:rPr>
                <w:rFonts w:cs="Calibri"/>
                <w:sz w:val="20"/>
                <w:szCs w:val="20"/>
              </w:rPr>
              <w:t>1.3</w:t>
            </w:r>
            <w:r w:rsidR="00577E79" w:rsidRPr="00DD477A">
              <w:rPr>
                <w:rFonts w:cs="Calibri"/>
                <w:sz w:val="20"/>
                <w:szCs w:val="20"/>
              </w:rPr>
              <w:tab/>
              <w:t>Climate Change, Energy, the Environment and Water</w:t>
            </w:r>
            <w:r w:rsidR="00162A21" w:rsidRPr="00DD477A">
              <w:rPr>
                <w:rFonts w:cs="Calibri"/>
                <w:sz w:val="20"/>
                <w:szCs w:val="20"/>
              </w:rPr>
              <w:t xml:space="preserve"> Portfolio</w:t>
            </w:r>
          </w:p>
          <w:p w14:paraId="6034052B" w14:textId="419A646B"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4</w:t>
            </w:r>
            <w:r w:rsidRPr="00DD477A">
              <w:rPr>
                <w:rFonts w:cs="Calibri"/>
                <w:sz w:val="20"/>
                <w:szCs w:val="20"/>
              </w:rPr>
              <w:t>A</w:t>
            </w:r>
            <w:r w:rsidRPr="00DD477A">
              <w:rPr>
                <w:rFonts w:cs="Calibri"/>
                <w:sz w:val="20"/>
                <w:szCs w:val="20"/>
              </w:rPr>
              <w:tab/>
              <w:t>Defence Portfolio</w:t>
            </w:r>
          </w:p>
          <w:p w14:paraId="46B73EA1" w14:textId="208D0BB9"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4</w:t>
            </w:r>
            <w:r w:rsidRPr="00DD477A">
              <w:rPr>
                <w:rFonts w:cs="Calibri"/>
                <w:sz w:val="20"/>
                <w:szCs w:val="20"/>
              </w:rPr>
              <w:t>B</w:t>
            </w:r>
            <w:r w:rsidRPr="00DD477A">
              <w:rPr>
                <w:rFonts w:cs="Calibri"/>
                <w:sz w:val="20"/>
                <w:szCs w:val="20"/>
              </w:rPr>
              <w:tab/>
              <w:t>Defence Portfolio (Department of Veterans’ Affairs)</w:t>
            </w:r>
            <w:r w:rsidR="009F20EC" w:rsidRPr="00DD477A">
              <w:rPr>
                <w:rFonts w:cs="Calibri"/>
                <w:sz w:val="20"/>
                <w:szCs w:val="20"/>
              </w:rPr>
              <w:br/>
            </w:r>
            <w:r w:rsidR="009F20EC" w:rsidRPr="00DD477A">
              <w:rPr>
                <w:rFonts w:cs="Calibri"/>
                <w:color w:val="C00000"/>
                <w:sz w:val="20"/>
                <w:szCs w:val="20"/>
              </w:rPr>
              <w:t>(</w:t>
            </w:r>
            <w:r w:rsidRPr="00DD477A">
              <w:rPr>
                <w:rFonts w:cs="Calibri"/>
                <w:color w:val="C00000"/>
                <w:sz w:val="20"/>
                <w:szCs w:val="20"/>
              </w:rPr>
              <w:t>subject to confirmation b</w:t>
            </w:r>
            <w:r w:rsidR="000C18CF" w:rsidRPr="00DD477A">
              <w:rPr>
                <w:rFonts w:cs="Calibri"/>
                <w:color w:val="C00000"/>
                <w:sz w:val="20"/>
                <w:szCs w:val="20"/>
              </w:rPr>
              <w:t xml:space="preserve">y their senior </w:t>
            </w:r>
            <w:r w:rsidR="00D33A43" w:rsidRPr="00DD477A">
              <w:rPr>
                <w:rFonts w:cs="Calibri"/>
                <w:color w:val="C00000"/>
                <w:sz w:val="20"/>
                <w:szCs w:val="20"/>
              </w:rPr>
              <w:t>Portfolio Minister</w:t>
            </w:r>
            <w:r w:rsidR="000C18CF" w:rsidRPr="00DD477A">
              <w:rPr>
                <w:rFonts w:cs="Calibri"/>
                <w:color w:val="C00000"/>
                <w:sz w:val="20"/>
                <w:szCs w:val="20"/>
              </w:rPr>
              <w:t>)</w:t>
            </w:r>
          </w:p>
          <w:p w14:paraId="059FFCAB" w14:textId="576FBF19" w:rsidR="00577E79"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5</w:t>
            </w:r>
            <w:r w:rsidRPr="00DD477A">
              <w:rPr>
                <w:rFonts w:cs="Calibri"/>
                <w:sz w:val="20"/>
                <w:szCs w:val="20"/>
              </w:rPr>
              <w:tab/>
            </w:r>
            <w:r w:rsidR="0017521A" w:rsidRPr="00DD477A">
              <w:rPr>
                <w:rFonts w:cs="Calibri"/>
                <w:sz w:val="20"/>
                <w:szCs w:val="20"/>
              </w:rPr>
              <w:t>Education</w:t>
            </w:r>
            <w:r w:rsidR="00162A21" w:rsidRPr="00DD477A">
              <w:rPr>
                <w:rFonts w:cs="Calibri"/>
                <w:sz w:val="20"/>
                <w:szCs w:val="20"/>
              </w:rPr>
              <w:t xml:space="preserve"> Portfolio</w:t>
            </w:r>
          </w:p>
          <w:p w14:paraId="7EEA7190" w14:textId="750317A4" w:rsidR="00DC2750" w:rsidRPr="00DD477A" w:rsidRDefault="002362A7" w:rsidP="00DB70D2">
            <w:pPr>
              <w:pStyle w:val="PortfolioNumberingText"/>
              <w:spacing w:before="20" w:after="20"/>
              <w:rPr>
                <w:rFonts w:cs="Calibri"/>
                <w:sz w:val="20"/>
                <w:szCs w:val="20"/>
              </w:rPr>
            </w:pPr>
            <w:r w:rsidRPr="00DD477A">
              <w:rPr>
                <w:rFonts w:cs="Calibri"/>
                <w:sz w:val="20"/>
                <w:szCs w:val="20"/>
              </w:rPr>
              <w:t>1.6</w:t>
            </w:r>
            <w:r w:rsidR="00577E79" w:rsidRPr="00DD477A">
              <w:rPr>
                <w:rFonts w:cs="Calibri"/>
                <w:sz w:val="20"/>
                <w:szCs w:val="20"/>
              </w:rPr>
              <w:tab/>
              <w:t>Employment and Workplace Relations</w:t>
            </w:r>
            <w:r w:rsidR="00162A21" w:rsidRPr="00DD477A">
              <w:rPr>
                <w:rFonts w:cs="Calibri"/>
                <w:sz w:val="20"/>
                <w:szCs w:val="20"/>
              </w:rPr>
              <w:t xml:space="preserve"> Portfolio</w:t>
            </w:r>
          </w:p>
          <w:p w14:paraId="0313A1AB" w14:textId="12AEEE8F"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7</w:t>
            </w:r>
            <w:r w:rsidRPr="00DD477A">
              <w:rPr>
                <w:rFonts w:cs="Calibri"/>
                <w:sz w:val="20"/>
                <w:szCs w:val="20"/>
              </w:rPr>
              <w:tab/>
              <w:t>Finance Portfolio</w:t>
            </w:r>
          </w:p>
          <w:p w14:paraId="232DD671" w14:textId="5C02A0B7"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8</w:t>
            </w:r>
            <w:r w:rsidRPr="00DD477A">
              <w:rPr>
                <w:rFonts w:cs="Calibri"/>
                <w:sz w:val="20"/>
                <w:szCs w:val="20"/>
              </w:rPr>
              <w:tab/>
              <w:t>Foreign Affairs and Trade Portfolio</w:t>
            </w:r>
          </w:p>
          <w:p w14:paraId="3088852C" w14:textId="535D7173"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9</w:t>
            </w:r>
            <w:r w:rsidRPr="00DD477A">
              <w:rPr>
                <w:rFonts w:cs="Calibri"/>
                <w:sz w:val="20"/>
                <w:szCs w:val="20"/>
              </w:rPr>
              <w:tab/>
              <w:t>Health</w:t>
            </w:r>
            <w:r w:rsidR="00FA15C9">
              <w:rPr>
                <w:rFonts w:cs="Calibri"/>
                <w:sz w:val="20"/>
                <w:szCs w:val="20"/>
              </w:rPr>
              <w:t xml:space="preserve">, Disability </w:t>
            </w:r>
            <w:r w:rsidR="002362A7" w:rsidRPr="00DD477A">
              <w:rPr>
                <w:rFonts w:cs="Calibri"/>
                <w:sz w:val="20"/>
                <w:szCs w:val="20"/>
              </w:rPr>
              <w:t>and Ag</w:t>
            </w:r>
            <w:r w:rsidR="00092C77">
              <w:rPr>
                <w:rFonts w:cs="Calibri"/>
                <w:sz w:val="20"/>
                <w:szCs w:val="20"/>
              </w:rPr>
              <w:t>e</w:t>
            </w:r>
            <w:r w:rsidR="00FA15C9">
              <w:rPr>
                <w:rFonts w:cs="Calibri"/>
                <w:sz w:val="20"/>
                <w:szCs w:val="20"/>
              </w:rPr>
              <w:t xml:space="preserve">ing </w:t>
            </w:r>
            <w:r w:rsidRPr="00DD477A">
              <w:rPr>
                <w:rFonts w:cs="Calibri"/>
                <w:sz w:val="20"/>
                <w:szCs w:val="20"/>
              </w:rPr>
              <w:t>Portfolio</w:t>
            </w:r>
          </w:p>
          <w:p w14:paraId="0069A47B" w14:textId="031734E7"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10</w:t>
            </w:r>
            <w:r w:rsidRPr="00DD477A">
              <w:rPr>
                <w:rFonts w:cs="Calibri"/>
                <w:sz w:val="20"/>
                <w:szCs w:val="20"/>
              </w:rPr>
              <w:tab/>
              <w:t>Home Affairs Portfolio</w:t>
            </w:r>
          </w:p>
          <w:p w14:paraId="6FD7BEB3" w14:textId="5FB7BEDB"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11</w:t>
            </w:r>
            <w:r w:rsidRPr="00DD477A">
              <w:rPr>
                <w:rFonts w:cs="Calibri"/>
                <w:sz w:val="20"/>
                <w:szCs w:val="20"/>
              </w:rPr>
              <w:tab/>
            </w:r>
            <w:r w:rsidR="0017521A" w:rsidRPr="00DD477A">
              <w:rPr>
                <w:rFonts w:cs="Calibri"/>
                <w:sz w:val="20"/>
                <w:szCs w:val="20"/>
              </w:rPr>
              <w:t>Industry, Science and Resources Portfolio</w:t>
            </w:r>
          </w:p>
          <w:p w14:paraId="42BBC5D3" w14:textId="2C42B5D7"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CC6BB0" w:rsidRPr="00DD477A">
              <w:rPr>
                <w:rFonts w:cs="Calibri"/>
                <w:sz w:val="20"/>
                <w:szCs w:val="20"/>
              </w:rPr>
              <w:t>1</w:t>
            </w:r>
            <w:r w:rsidR="002362A7" w:rsidRPr="00DD477A">
              <w:rPr>
                <w:rFonts w:cs="Calibri"/>
                <w:sz w:val="20"/>
                <w:szCs w:val="20"/>
              </w:rPr>
              <w:t>2</w:t>
            </w:r>
            <w:r w:rsidRPr="00DD477A">
              <w:rPr>
                <w:rFonts w:cs="Calibri"/>
                <w:sz w:val="20"/>
                <w:szCs w:val="20"/>
              </w:rPr>
              <w:tab/>
            </w:r>
            <w:r w:rsidR="0017521A" w:rsidRPr="00DD477A">
              <w:rPr>
                <w:rFonts w:cs="Calibri"/>
                <w:sz w:val="20"/>
                <w:szCs w:val="20"/>
              </w:rPr>
              <w:t>Infrastructure, Transport, Regional Development</w:t>
            </w:r>
            <w:r w:rsidR="00B41C46" w:rsidRPr="00DD477A">
              <w:rPr>
                <w:rFonts w:cs="Calibri"/>
                <w:sz w:val="20"/>
                <w:szCs w:val="20"/>
              </w:rPr>
              <w:t>,</w:t>
            </w:r>
            <w:r w:rsidR="0017521A" w:rsidRPr="00DD477A">
              <w:rPr>
                <w:rFonts w:cs="Calibri"/>
                <w:sz w:val="20"/>
                <w:szCs w:val="20"/>
              </w:rPr>
              <w:t xml:space="preserve"> Communications </w:t>
            </w:r>
            <w:r w:rsidR="007A09DD">
              <w:rPr>
                <w:rFonts w:cs="Calibri"/>
                <w:sz w:val="20"/>
                <w:szCs w:val="20"/>
              </w:rPr>
              <w:t>S</w:t>
            </w:r>
            <w:r w:rsidR="00395E44">
              <w:rPr>
                <w:rFonts w:cs="Calibri"/>
                <w:sz w:val="20"/>
                <w:szCs w:val="20"/>
              </w:rPr>
              <w:t xml:space="preserve">port </w:t>
            </w:r>
            <w:r w:rsidR="002362A7" w:rsidRPr="00DD477A">
              <w:rPr>
                <w:rFonts w:cs="Calibri"/>
                <w:sz w:val="20"/>
                <w:szCs w:val="20"/>
              </w:rPr>
              <w:t xml:space="preserve">and Arts </w:t>
            </w:r>
            <w:r w:rsidR="0017521A" w:rsidRPr="00DD477A">
              <w:rPr>
                <w:rFonts w:cs="Calibri"/>
                <w:sz w:val="20"/>
                <w:szCs w:val="20"/>
              </w:rPr>
              <w:t>Portfolio</w:t>
            </w:r>
          </w:p>
          <w:p w14:paraId="38A10DFD" w14:textId="0BDB1A36" w:rsidR="00DC2750" w:rsidRPr="00DD477A" w:rsidRDefault="00DC2750" w:rsidP="00DB70D2">
            <w:pPr>
              <w:pStyle w:val="PortfolioNumberingText"/>
              <w:spacing w:before="20" w:after="20"/>
              <w:rPr>
                <w:rFonts w:cs="Calibri"/>
                <w:sz w:val="20"/>
                <w:szCs w:val="20"/>
              </w:rPr>
            </w:pPr>
            <w:r w:rsidRPr="00DD477A">
              <w:rPr>
                <w:rFonts w:cs="Calibri"/>
                <w:sz w:val="20"/>
                <w:szCs w:val="20"/>
              </w:rPr>
              <w:t>1.1</w:t>
            </w:r>
            <w:r w:rsidR="002362A7" w:rsidRPr="00DD477A">
              <w:rPr>
                <w:rFonts w:cs="Calibri"/>
                <w:sz w:val="20"/>
                <w:szCs w:val="20"/>
              </w:rPr>
              <w:t>3</w:t>
            </w:r>
            <w:r w:rsidRPr="00DD477A">
              <w:rPr>
                <w:rFonts w:cs="Calibri"/>
                <w:sz w:val="20"/>
                <w:szCs w:val="20"/>
              </w:rPr>
              <w:tab/>
              <w:t>Prime Minister and Cabinet Portfolio</w:t>
            </w:r>
          </w:p>
          <w:p w14:paraId="15A270B0" w14:textId="6F893D8A" w:rsidR="00DC2750" w:rsidRPr="00DD477A" w:rsidRDefault="00DC2750" w:rsidP="00DB70D2">
            <w:pPr>
              <w:pStyle w:val="PortfolioNumberingText"/>
              <w:spacing w:before="20" w:after="20"/>
              <w:rPr>
                <w:rFonts w:cs="Calibri"/>
                <w:sz w:val="20"/>
                <w:szCs w:val="20"/>
              </w:rPr>
            </w:pPr>
            <w:r w:rsidRPr="00DD477A">
              <w:rPr>
                <w:rFonts w:cs="Calibri"/>
                <w:sz w:val="20"/>
                <w:szCs w:val="20"/>
              </w:rPr>
              <w:t>1.1</w:t>
            </w:r>
            <w:r w:rsidR="002362A7" w:rsidRPr="00DD477A">
              <w:rPr>
                <w:rFonts w:cs="Calibri"/>
                <w:sz w:val="20"/>
                <w:szCs w:val="20"/>
              </w:rPr>
              <w:t>4</w:t>
            </w:r>
            <w:r w:rsidRPr="00DD477A">
              <w:rPr>
                <w:rFonts w:cs="Calibri"/>
                <w:sz w:val="20"/>
                <w:szCs w:val="20"/>
              </w:rPr>
              <w:tab/>
              <w:t>Social Services Portfolio</w:t>
            </w:r>
          </w:p>
          <w:p w14:paraId="13C9D83F" w14:textId="7F0AD29C" w:rsidR="00DC2750" w:rsidRPr="00DD477A" w:rsidRDefault="00DC2750" w:rsidP="00DB70D2">
            <w:pPr>
              <w:pStyle w:val="PortfolioNumberingText"/>
              <w:spacing w:before="20" w:after="20"/>
              <w:rPr>
                <w:rFonts w:cs="Calibri"/>
                <w:sz w:val="20"/>
                <w:szCs w:val="20"/>
              </w:rPr>
            </w:pPr>
            <w:r w:rsidRPr="00DD477A">
              <w:rPr>
                <w:rFonts w:cs="Calibri"/>
                <w:sz w:val="20"/>
                <w:szCs w:val="20"/>
              </w:rPr>
              <w:t>1.1</w:t>
            </w:r>
            <w:r w:rsidR="002362A7" w:rsidRPr="00DD477A">
              <w:rPr>
                <w:rFonts w:cs="Calibri"/>
                <w:sz w:val="20"/>
                <w:szCs w:val="20"/>
              </w:rPr>
              <w:t>5</w:t>
            </w:r>
            <w:r w:rsidRPr="00DD477A">
              <w:rPr>
                <w:rFonts w:cs="Calibri"/>
                <w:sz w:val="20"/>
                <w:szCs w:val="20"/>
              </w:rPr>
              <w:tab/>
              <w:t>Treasury Portfolio</w:t>
            </w:r>
          </w:p>
          <w:p w14:paraId="4179A73A" w14:textId="09F7B7DA"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F2465E" w:rsidRPr="00DD477A">
              <w:rPr>
                <w:rFonts w:cs="Calibri"/>
                <w:sz w:val="20"/>
                <w:szCs w:val="20"/>
              </w:rPr>
              <w:t xml:space="preserve">16A </w:t>
            </w:r>
            <w:r w:rsidRPr="00DD477A">
              <w:rPr>
                <w:rFonts w:cs="Calibri"/>
                <w:sz w:val="20"/>
                <w:szCs w:val="20"/>
              </w:rPr>
              <w:tab/>
              <w:t>Department of the House of Representatives</w:t>
            </w:r>
          </w:p>
          <w:p w14:paraId="73113AB4" w14:textId="53722A11"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F2465E" w:rsidRPr="00DD477A">
              <w:rPr>
                <w:rFonts w:cs="Calibri"/>
                <w:sz w:val="20"/>
                <w:szCs w:val="20"/>
              </w:rPr>
              <w:t>16B</w:t>
            </w:r>
            <w:r w:rsidRPr="00DD477A">
              <w:rPr>
                <w:rFonts w:cs="Calibri"/>
                <w:sz w:val="20"/>
                <w:szCs w:val="20"/>
              </w:rPr>
              <w:tab/>
              <w:t>Department of the Senate</w:t>
            </w:r>
          </w:p>
          <w:p w14:paraId="7705F509" w14:textId="72F55E12"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F2465E" w:rsidRPr="00DD477A">
              <w:rPr>
                <w:rFonts w:cs="Calibri"/>
                <w:sz w:val="20"/>
                <w:szCs w:val="20"/>
              </w:rPr>
              <w:t>16C</w:t>
            </w:r>
            <w:r w:rsidRPr="00DD477A">
              <w:rPr>
                <w:rFonts w:cs="Calibri"/>
                <w:sz w:val="20"/>
                <w:szCs w:val="20"/>
              </w:rPr>
              <w:tab/>
              <w:t xml:space="preserve">Department of Parliamentary Services </w:t>
            </w:r>
          </w:p>
          <w:p w14:paraId="3A965EF8" w14:textId="49C66551" w:rsidR="00DC2750" w:rsidRPr="00DD477A" w:rsidRDefault="00DC2750" w:rsidP="00DB70D2">
            <w:pPr>
              <w:pStyle w:val="PortfolioNumberingText"/>
              <w:spacing w:before="20" w:after="20"/>
              <w:rPr>
                <w:rFonts w:cs="Calibri"/>
              </w:rPr>
            </w:pPr>
            <w:r w:rsidRPr="00DD477A">
              <w:rPr>
                <w:rFonts w:cs="Calibri"/>
                <w:sz w:val="20"/>
                <w:szCs w:val="20"/>
              </w:rPr>
              <w:t>1.</w:t>
            </w:r>
            <w:r w:rsidR="00F2465E" w:rsidRPr="00DD477A">
              <w:rPr>
                <w:rFonts w:cs="Calibri"/>
                <w:sz w:val="20"/>
                <w:szCs w:val="20"/>
              </w:rPr>
              <w:t xml:space="preserve">16D </w:t>
            </w:r>
            <w:r w:rsidRPr="00DD477A">
              <w:rPr>
                <w:rFonts w:cs="Calibri"/>
                <w:sz w:val="20"/>
                <w:szCs w:val="20"/>
              </w:rPr>
              <w:tab/>
              <w:t>Parliamentary Budget Office</w:t>
            </w:r>
          </w:p>
        </w:tc>
      </w:tr>
    </w:tbl>
    <w:p w14:paraId="199A7149" w14:textId="5530A359" w:rsidR="005D654D" w:rsidRPr="006F2D46" w:rsidRDefault="00090962" w:rsidP="006F2D46">
      <w:pPr>
        <w:rPr>
          <w:rFonts w:cs="Calibri"/>
        </w:rPr>
      </w:pPr>
      <w:bookmarkStart w:id="537" w:name="_Toc411852663"/>
      <w:r w:rsidRPr="006F2D46">
        <w:rPr>
          <w:rFonts w:cs="Calibri"/>
        </w:rPr>
        <w:t>T</w:t>
      </w:r>
      <w:r w:rsidR="53BF0693" w:rsidRPr="006F2D46">
        <w:rPr>
          <w:rFonts w:cs="Calibri"/>
        </w:rPr>
        <w:t>he portfolio numbers and names may change from time to time as a result of Administrative Arrangement</w:t>
      </w:r>
      <w:r w:rsidR="00767433" w:rsidRPr="006F2D46">
        <w:rPr>
          <w:rFonts w:cs="Calibri"/>
        </w:rPr>
        <w:t>s</w:t>
      </w:r>
      <w:r w:rsidR="53BF0693" w:rsidRPr="006F2D46">
        <w:rPr>
          <w:rFonts w:cs="Calibri"/>
        </w:rPr>
        <w:t xml:space="preserve"> Orders.</w:t>
      </w:r>
    </w:p>
    <w:p w14:paraId="6819A4D3" w14:textId="0EFA8298" w:rsidR="00B751D1" w:rsidRPr="00DD477A" w:rsidRDefault="53BF0693" w:rsidP="003D6589">
      <w:pPr>
        <w:pStyle w:val="Heading2"/>
      </w:pPr>
      <w:bookmarkStart w:id="538" w:name="_Toc534385662"/>
      <w:bookmarkStart w:id="539" w:name="_Toc534385802"/>
      <w:bookmarkStart w:id="540" w:name="_Toc534386354"/>
      <w:bookmarkStart w:id="541" w:name="_Toc534386561"/>
      <w:bookmarkStart w:id="542" w:name="_Toc534389760"/>
      <w:bookmarkStart w:id="543" w:name="_Toc534389901"/>
      <w:bookmarkStart w:id="544" w:name="_Toc534406197"/>
      <w:bookmarkStart w:id="545" w:name="_Toc534441474"/>
      <w:bookmarkStart w:id="546" w:name="_Toc534442815"/>
      <w:bookmarkStart w:id="547" w:name="_Toc534442956"/>
      <w:bookmarkStart w:id="548" w:name="_Toc534443097"/>
      <w:bookmarkStart w:id="549" w:name="_Toc534458852"/>
      <w:bookmarkStart w:id="550" w:name="_Toc534459641"/>
      <w:bookmarkStart w:id="551" w:name="_Toc534519136"/>
      <w:bookmarkStart w:id="552" w:name="_Toc534520046"/>
      <w:bookmarkStart w:id="553" w:name="_Toc534520316"/>
      <w:bookmarkStart w:id="554" w:name="_Toc534527528"/>
      <w:bookmarkStart w:id="555" w:name="_Toc534528258"/>
      <w:bookmarkStart w:id="556" w:name="_Toc534803476"/>
      <w:bookmarkStart w:id="557" w:name="_Toc534814167"/>
      <w:bookmarkStart w:id="558" w:name="_Toc536108537"/>
      <w:bookmarkStart w:id="559" w:name="_Toc536802088"/>
      <w:bookmarkStart w:id="560" w:name="_Toc422692"/>
      <w:bookmarkStart w:id="561" w:name="_Toc63347671"/>
      <w:bookmarkStart w:id="562" w:name="_Toc227748984"/>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DD477A">
        <w:t>Structure</w:t>
      </w:r>
      <w:bookmarkEnd w:id="561"/>
      <w:r w:rsidR="00BE1C61" w:rsidRPr="00DD477A">
        <w:t xml:space="preserve"> of </w:t>
      </w:r>
      <w:r w:rsidR="00C24B99" w:rsidRPr="00DD477A">
        <w:t>a</w:t>
      </w:r>
      <w:r w:rsidR="00BE1C61" w:rsidRPr="00DD477A">
        <w:t xml:space="preserve"> P</w:t>
      </w:r>
      <w:r w:rsidR="003F2C98" w:rsidRPr="00DD477A">
        <w:t>B</w:t>
      </w:r>
      <w:r w:rsidR="00C24B99" w:rsidRPr="00DD477A">
        <w:t xml:space="preserve"> Statement</w:t>
      </w:r>
      <w:bookmarkEnd w:id="562"/>
    </w:p>
    <w:p w14:paraId="3AD518C8" w14:textId="354FFD48" w:rsidR="00FA0945" w:rsidRPr="00DD477A" w:rsidRDefault="0051349A" w:rsidP="000A7DEC">
      <w:pPr>
        <w:rPr>
          <w:rFonts w:cs="Calibri"/>
        </w:rPr>
      </w:pPr>
      <w:r w:rsidRPr="00DD477A">
        <w:rPr>
          <w:rFonts w:cs="Calibri"/>
        </w:rPr>
        <w:t>Each</w:t>
      </w:r>
      <w:r w:rsidR="53BF0693" w:rsidRPr="00DD477A">
        <w:rPr>
          <w:rFonts w:cs="Calibri"/>
        </w:rPr>
        <w:t xml:space="preserve"> PB Statement contain</w:t>
      </w:r>
      <w:r w:rsidRPr="00DD477A">
        <w:rPr>
          <w:rFonts w:cs="Calibri"/>
        </w:rPr>
        <w:t>s</w:t>
      </w:r>
      <w:r w:rsidR="53BF0693" w:rsidRPr="00DD477A">
        <w:rPr>
          <w:rFonts w:cs="Calibri"/>
        </w:rPr>
        <w:t xml:space="preserve"> four levels of information: </w:t>
      </w:r>
      <w:r w:rsidR="00396887" w:rsidRPr="00DD477A">
        <w:rPr>
          <w:rFonts w:cs="Calibri"/>
        </w:rPr>
        <w:t>portfolio, e</w:t>
      </w:r>
      <w:r w:rsidR="53BF0693" w:rsidRPr="00DD477A">
        <w:rPr>
          <w:rFonts w:cs="Calibri"/>
        </w:rPr>
        <w:t xml:space="preserve">ntity, </w:t>
      </w:r>
      <w:r w:rsidR="00396887" w:rsidRPr="00DD477A">
        <w:rPr>
          <w:rFonts w:cs="Calibri"/>
        </w:rPr>
        <w:t>o</w:t>
      </w:r>
      <w:r w:rsidR="53BF0693" w:rsidRPr="00DD477A">
        <w:rPr>
          <w:rFonts w:cs="Calibri"/>
        </w:rPr>
        <w:t xml:space="preserve">utcome and </w:t>
      </w:r>
      <w:r w:rsidR="00396887" w:rsidRPr="00DD477A">
        <w:rPr>
          <w:rFonts w:cs="Calibri"/>
        </w:rPr>
        <w:t>p</w:t>
      </w:r>
      <w:r w:rsidR="53BF0693" w:rsidRPr="00DD477A">
        <w:rPr>
          <w:rFonts w:cs="Calibri"/>
        </w:rPr>
        <w:t>rogram. To ensure cl</w:t>
      </w:r>
      <w:r w:rsidR="001873F6" w:rsidRPr="00DD477A">
        <w:rPr>
          <w:rFonts w:cs="Calibri"/>
        </w:rPr>
        <w:t>arity</w:t>
      </w:r>
      <w:r w:rsidR="53BF0693" w:rsidRPr="00DD477A">
        <w:rPr>
          <w:rFonts w:cs="Calibri"/>
        </w:rPr>
        <w:t xml:space="preserve"> and concise</w:t>
      </w:r>
      <w:r w:rsidR="000B6E36" w:rsidRPr="00DD477A">
        <w:rPr>
          <w:rFonts w:cs="Calibri"/>
        </w:rPr>
        <w:t>ness</w:t>
      </w:r>
      <w:r w:rsidR="53BF0693" w:rsidRPr="00DD477A">
        <w:rPr>
          <w:rFonts w:cs="Calibri"/>
        </w:rPr>
        <w:t xml:space="preserve">, </w:t>
      </w:r>
      <w:r w:rsidR="001873F6" w:rsidRPr="00DD477A">
        <w:rPr>
          <w:rFonts w:cs="Calibri"/>
        </w:rPr>
        <w:t xml:space="preserve">a PB Statement </w:t>
      </w:r>
      <w:r w:rsidR="53BF0693" w:rsidRPr="00DD477A">
        <w:rPr>
          <w:rFonts w:cs="Calibri"/>
        </w:rPr>
        <w:t>should include information where it is most relevant.</w:t>
      </w:r>
    </w:p>
    <w:p w14:paraId="1C247A3D" w14:textId="77777777" w:rsidR="00FA0945" w:rsidRPr="00DD477A" w:rsidRDefault="53BF0693" w:rsidP="000A7DEC">
      <w:pPr>
        <w:rPr>
          <w:rFonts w:cs="Calibri"/>
        </w:rPr>
      </w:pPr>
      <w:r w:rsidRPr="00DD477A">
        <w:rPr>
          <w:rFonts w:cs="Calibri"/>
        </w:rPr>
        <w:t>Entities should produce PB Statements that present three key messages:</w:t>
      </w:r>
    </w:p>
    <w:p w14:paraId="3E7237DF" w14:textId="58B495D6" w:rsidR="00FA0945" w:rsidRPr="00DD477A" w:rsidRDefault="53BF0693" w:rsidP="00B54999">
      <w:pPr>
        <w:pStyle w:val="Bullet1"/>
      </w:pPr>
      <w:r w:rsidRPr="00DD477A">
        <w:t xml:space="preserve">What does the </w:t>
      </w:r>
      <w:r w:rsidR="006418EA" w:rsidRPr="00DD477A">
        <w:t>government</w:t>
      </w:r>
      <w:r w:rsidRPr="00DD477A">
        <w:t xml:space="preserve"> want to achieve?</w:t>
      </w:r>
    </w:p>
    <w:p w14:paraId="3ED64B51" w14:textId="22E5150D" w:rsidR="00FA0945" w:rsidRPr="00DD477A" w:rsidRDefault="002A3B9A" w:rsidP="00B54999">
      <w:pPr>
        <w:pStyle w:val="Bullet1"/>
      </w:pPr>
      <w:r w:rsidRPr="00DD477A">
        <w:t>How</w:t>
      </w:r>
      <w:r w:rsidR="53BF0693" w:rsidRPr="00DD477A">
        <w:t xml:space="preserve"> does it propose to achieve this?</w:t>
      </w:r>
    </w:p>
    <w:p w14:paraId="3E142C15" w14:textId="77777777" w:rsidR="00FA0945" w:rsidRPr="00DD477A" w:rsidRDefault="53BF0693" w:rsidP="00B54999">
      <w:pPr>
        <w:pStyle w:val="Bullet1"/>
      </w:pPr>
      <w:r w:rsidRPr="00DD477A">
        <w:t>How will progress be measured?</w:t>
      </w:r>
    </w:p>
    <w:p w14:paraId="26EBEA50" w14:textId="26C82133" w:rsidR="004728A6" w:rsidRPr="00DD477A" w:rsidRDefault="53BF0693" w:rsidP="000A7DEC">
      <w:pPr>
        <w:rPr>
          <w:rFonts w:cs="Calibri"/>
        </w:rPr>
      </w:pPr>
      <w:r w:rsidRPr="00DD477A">
        <w:rPr>
          <w:rFonts w:cs="Calibri"/>
        </w:rPr>
        <w:t>Entities may publish additional information beyond the requirements of the PB Statements on their websites.</w:t>
      </w:r>
    </w:p>
    <w:p w14:paraId="4388B9E2" w14:textId="4D503682" w:rsidR="00DC2750" w:rsidRPr="00DD477A" w:rsidRDefault="00C10D9F" w:rsidP="000A7DEC">
      <w:pPr>
        <w:rPr>
          <w:rFonts w:cs="Calibri"/>
        </w:rPr>
      </w:pPr>
      <w:r w:rsidRPr="00DD477A">
        <w:rPr>
          <w:rFonts w:cs="Calibri"/>
        </w:rPr>
        <w:t>A</w:t>
      </w:r>
      <w:r w:rsidR="53BF0693" w:rsidRPr="00DD477A">
        <w:rPr>
          <w:rFonts w:cs="Calibri"/>
        </w:rPr>
        <w:t xml:space="preserve"> cross-reference </w:t>
      </w:r>
      <w:r w:rsidRPr="00DD477A">
        <w:rPr>
          <w:rFonts w:cs="Calibri"/>
        </w:rPr>
        <w:t xml:space="preserve">to </w:t>
      </w:r>
      <w:r w:rsidR="00A07AE3" w:rsidRPr="00DD477A">
        <w:rPr>
          <w:rFonts w:cs="Calibri"/>
        </w:rPr>
        <w:t>your entities</w:t>
      </w:r>
      <w:r w:rsidR="003F2C98" w:rsidRPr="00DD477A">
        <w:rPr>
          <w:rFonts w:cs="Calibri"/>
        </w:rPr>
        <w:t>’</w:t>
      </w:r>
      <w:r w:rsidR="00A07AE3" w:rsidRPr="00DD477A">
        <w:rPr>
          <w:rFonts w:cs="Calibri"/>
        </w:rPr>
        <w:t xml:space="preserve"> </w:t>
      </w:r>
      <w:r w:rsidRPr="00DD477A">
        <w:rPr>
          <w:rFonts w:cs="Calibri"/>
        </w:rPr>
        <w:t>corporate plan</w:t>
      </w:r>
      <w:r w:rsidR="00A07AE3" w:rsidRPr="00DD477A">
        <w:rPr>
          <w:rFonts w:cs="Calibri"/>
        </w:rPr>
        <w:t xml:space="preserve"> should be</w:t>
      </w:r>
      <w:r w:rsidR="005A0CE0" w:rsidRPr="00DD477A">
        <w:rPr>
          <w:rFonts w:cs="Calibri"/>
        </w:rPr>
        <w:t xml:space="preserve"> included</w:t>
      </w:r>
      <w:r w:rsidRPr="00DD477A">
        <w:rPr>
          <w:rFonts w:cs="Calibri"/>
        </w:rPr>
        <w:t xml:space="preserve"> </w:t>
      </w:r>
      <w:r w:rsidR="53BF0693" w:rsidRPr="00DD477A">
        <w:rPr>
          <w:rFonts w:cs="Calibri"/>
        </w:rPr>
        <w:t>at the start of the PB Statements chapter to provide a more granular, operational level of detail.</w:t>
      </w:r>
    </w:p>
    <w:p w14:paraId="556CF170" w14:textId="1A4853EA" w:rsidR="00A7653C" w:rsidRPr="00DD477A" w:rsidRDefault="53BF0693" w:rsidP="0014243A">
      <w:pPr>
        <w:keepNext/>
        <w:rPr>
          <w:rFonts w:cs="Calibri"/>
        </w:rPr>
      </w:pPr>
      <w:r w:rsidRPr="00DD477A">
        <w:rPr>
          <w:rFonts w:cs="Calibri"/>
        </w:rPr>
        <w:t xml:space="preserve">The </w:t>
      </w:r>
      <w:r w:rsidR="00B35C17" w:rsidRPr="00DD477A">
        <w:rPr>
          <w:rFonts w:cs="Calibri"/>
        </w:rPr>
        <w:t xml:space="preserve">structure of the </w:t>
      </w:r>
      <w:r w:rsidR="00DC026B">
        <w:rPr>
          <w:rFonts w:cs="Calibri"/>
        </w:rPr>
        <w:t>2026</w:t>
      </w:r>
      <w:r w:rsidR="00C917CE">
        <w:rPr>
          <w:rFonts w:cs="Calibri"/>
        </w:rPr>
        <w:t>–</w:t>
      </w:r>
      <w:r w:rsidR="00DC026B">
        <w:rPr>
          <w:rFonts w:cs="Calibri"/>
        </w:rPr>
        <w:t>27</w:t>
      </w:r>
      <w:r w:rsidR="00197D38" w:rsidRPr="00DD477A">
        <w:rPr>
          <w:rFonts w:cs="Calibri"/>
        </w:rPr>
        <w:t xml:space="preserve"> </w:t>
      </w:r>
      <w:r w:rsidRPr="00DD477A">
        <w:rPr>
          <w:rFonts w:cs="Calibri"/>
        </w:rPr>
        <w:t xml:space="preserve">PB Statements </w:t>
      </w:r>
      <w:r w:rsidR="00B35C17" w:rsidRPr="00DD477A">
        <w:rPr>
          <w:rFonts w:cs="Calibri"/>
        </w:rPr>
        <w:t>is</w:t>
      </w:r>
      <w:r w:rsidRPr="00DD477A">
        <w:rPr>
          <w:rFonts w:cs="Calibri"/>
        </w:rPr>
        <w:t xml:space="preserve"> </w:t>
      </w:r>
      <w:r w:rsidR="00126A9D" w:rsidRPr="00DD477A">
        <w:rPr>
          <w:rFonts w:cs="Calibri"/>
        </w:rPr>
        <w:t>below</w:t>
      </w:r>
      <w:r w:rsidR="003A016E" w:rsidRPr="00DD477A">
        <w:rPr>
          <w:rFonts w:cs="Calibri"/>
        </w:rPr>
        <w:t>.</w:t>
      </w:r>
    </w:p>
    <w:tbl>
      <w:tblPr>
        <w:tblW w:w="878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784"/>
      </w:tblGrid>
      <w:tr w:rsidR="00C84C01" w:rsidRPr="00DD477A" w14:paraId="70ED365F" w14:textId="77777777" w:rsidTr="00691C57">
        <w:trPr>
          <w:cantSplit/>
        </w:trPr>
        <w:tc>
          <w:tcPr>
            <w:tcW w:w="8784" w:type="dxa"/>
            <w:shd w:val="clear" w:color="auto" w:fill="D9D9D9" w:themeFill="background1" w:themeFillShade="D9"/>
          </w:tcPr>
          <w:p w14:paraId="0173DCFF" w14:textId="2EAE9C13" w:rsidR="008D7987" w:rsidRPr="005D0D2F" w:rsidRDefault="008D7987" w:rsidP="0014243A">
            <w:pPr>
              <w:pStyle w:val="TableText-Normal"/>
            </w:pPr>
            <w:r w:rsidRPr="005D0D2F">
              <w:t>Letter of Transmittal</w:t>
            </w:r>
          </w:p>
          <w:p w14:paraId="4C0E7248" w14:textId="7072DC21" w:rsidR="00A7653C" w:rsidRPr="005D0D2F" w:rsidRDefault="00A7653C" w:rsidP="0014243A">
            <w:pPr>
              <w:pStyle w:val="TableText-Normal"/>
            </w:pPr>
            <w:r w:rsidRPr="005D0D2F">
              <w:t>User Guide to the Portfolio Budget Statements</w:t>
            </w:r>
          </w:p>
          <w:p w14:paraId="251B16EC" w14:textId="24FBE70D" w:rsidR="006D1288" w:rsidRPr="00DD477A" w:rsidRDefault="000D3C9F" w:rsidP="0014243A">
            <w:pPr>
              <w:pStyle w:val="Bullet2"/>
            </w:pPr>
            <w:r>
              <w:t xml:space="preserve">The </w:t>
            </w:r>
            <w:r w:rsidR="006D1288">
              <w:t xml:space="preserve">Commonwealth </w:t>
            </w:r>
            <w:r>
              <w:t>performance framework</w:t>
            </w:r>
          </w:p>
          <w:p w14:paraId="614318A2" w14:textId="77777777" w:rsidR="00A7653C" w:rsidRPr="00DD477A" w:rsidRDefault="00A7653C" w:rsidP="0014243A">
            <w:pPr>
              <w:pStyle w:val="TableText-Normal"/>
            </w:pPr>
            <w:r w:rsidRPr="005D0D2F">
              <w:t>Portfolio</w:t>
            </w:r>
            <w:r w:rsidRPr="00DD477A">
              <w:t xml:space="preserve"> overview</w:t>
            </w:r>
          </w:p>
          <w:p w14:paraId="6614EEF1" w14:textId="77777777" w:rsidR="00A7653C" w:rsidRPr="00DD477A" w:rsidRDefault="00A7653C" w:rsidP="00691C57">
            <w:pPr>
              <w:pStyle w:val="Bullet2"/>
            </w:pPr>
            <w:r w:rsidRPr="00DD477A">
              <w:t>Minister(s) and portfolio responsibilities</w:t>
            </w:r>
          </w:p>
          <w:p w14:paraId="4C1F8990" w14:textId="77777777" w:rsidR="00A7653C" w:rsidRPr="00DD477A" w:rsidRDefault="00A7653C" w:rsidP="00691C57">
            <w:pPr>
              <w:pStyle w:val="Bullet2"/>
            </w:pPr>
            <w:r w:rsidRPr="00DD477A">
              <w:t>Portfolio structure and outcomes</w:t>
            </w:r>
          </w:p>
        </w:tc>
      </w:tr>
      <w:tr w:rsidR="00C84C01" w:rsidRPr="00DD477A" w14:paraId="27612017" w14:textId="77777777" w:rsidTr="00691C57">
        <w:trPr>
          <w:cantSplit/>
        </w:trPr>
        <w:tc>
          <w:tcPr>
            <w:tcW w:w="8784" w:type="dxa"/>
            <w:shd w:val="clear" w:color="auto" w:fill="D9D9D9" w:themeFill="background1" w:themeFillShade="D9"/>
          </w:tcPr>
          <w:p w14:paraId="11C24ADF" w14:textId="77777777" w:rsidR="00A7653C" w:rsidRPr="00DD477A" w:rsidRDefault="00A7653C" w:rsidP="0014243A">
            <w:pPr>
              <w:pStyle w:val="TableText-Normal"/>
            </w:pPr>
            <w:r w:rsidRPr="005D0D2F">
              <w:t>Entity</w:t>
            </w:r>
            <w:r w:rsidRPr="00DD477A">
              <w:t xml:space="preserve"> resources and planned performance</w:t>
            </w:r>
          </w:p>
          <w:p w14:paraId="65BF0BF3" w14:textId="0D61625A" w:rsidR="00A7653C" w:rsidRPr="00DD477A" w:rsidRDefault="00A7653C" w:rsidP="00691C57">
            <w:pPr>
              <w:pStyle w:val="Bullet2"/>
            </w:pPr>
            <w:r w:rsidRPr="00DD477A">
              <w:rPr>
                <w:u w:val="single"/>
              </w:rPr>
              <w:t xml:space="preserve">Section </w:t>
            </w:r>
            <w:r w:rsidR="00FE2542" w:rsidRPr="00DD477A">
              <w:rPr>
                <w:u w:val="single"/>
              </w:rPr>
              <w:t>1</w:t>
            </w:r>
            <w:r w:rsidRPr="0014243A">
              <w:rPr>
                <w:u w:val="single"/>
              </w:rPr>
              <w:t>:</w:t>
            </w:r>
            <w:r w:rsidRPr="00DD477A">
              <w:t xml:space="preserve"> Entity overview and resources</w:t>
            </w:r>
          </w:p>
          <w:p w14:paraId="6D3A594B" w14:textId="0837C849" w:rsidR="00A7653C" w:rsidRPr="00DD477A" w:rsidRDefault="00C3661E" w:rsidP="00691C57">
            <w:pPr>
              <w:pStyle w:val="Bullet3"/>
            </w:pPr>
            <w:r w:rsidRPr="00DD477A">
              <w:t xml:space="preserve">1.1 </w:t>
            </w:r>
            <w:r w:rsidR="00A7653C" w:rsidRPr="00DD477A">
              <w:t>Strategic direction statement</w:t>
            </w:r>
          </w:p>
          <w:p w14:paraId="72808149" w14:textId="03F355B0" w:rsidR="00A7653C" w:rsidRPr="00DD477A" w:rsidRDefault="00C3661E" w:rsidP="00691C57">
            <w:pPr>
              <w:pStyle w:val="Bullet3"/>
            </w:pPr>
            <w:r w:rsidRPr="00DD477A">
              <w:t xml:space="preserve">1.2 </w:t>
            </w:r>
            <w:r w:rsidR="00A7653C" w:rsidRPr="00DD477A">
              <w:t>Entity resource statement</w:t>
            </w:r>
          </w:p>
          <w:p w14:paraId="46ECD537" w14:textId="1BB6D02E" w:rsidR="00A7653C" w:rsidRPr="00DD477A" w:rsidRDefault="00517DB6" w:rsidP="00691C57">
            <w:pPr>
              <w:pStyle w:val="Bullet3"/>
            </w:pPr>
            <w:r w:rsidRPr="00DD477A">
              <w:t xml:space="preserve">1.3 </w:t>
            </w:r>
            <w:r w:rsidR="00A7653C" w:rsidRPr="00DD477A">
              <w:t>Budget measures</w:t>
            </w:r>
          </w:p>
          <w:p w14:paraId="072EE512" w14:textId="544358AF" w:rsidR="00A7653C" w:rsidRPr="00DD477A" w:rsidRDefault="00A7653C" w:rsidP="00691C57">
            <w:pPr>
              <w:pStyle w:val="Bullet2"/>
            </w:pPr>
            <w:r w:rsidRPr="00DD477A">
              <w:rPr>
                <w:u w:val="single"/>
              </w:rPr>
              <w:t xml:space="preserve">Section </w:t>
            </w:r>
            <w:r w:rsidR="00FE2542" w:rsidRPr="00DD477A">
              <w:rPr>
                <w:u w:val="single"/>
              </w:rPr>
              <w:t>2</w:t>
            </w:r>
            <w:r w:rsidRPr="0014243A">
              <w:rPr>
                <w:u w:val="single"/>
              </w:rPr>
              <w:t>:</w:t>
            </w:r>
            <w:r w:rsidRPr="00DD477A">
              <w:t xml:space="preserve"> Outcomes and planned performance</w:t>
            </w:r>
          </w:p>
          <w:p w14:paraId="07BF4674" w14:textId="2A4374EA" w:rsidR="00B02A88" w:rsidRDefault="00B02A88" w:rsidP="00691C57">
            <w:pPr>
              <w:pStyle w:val="Bullet3"/>
            </w:pPr>
            <w:r>
              <w:t>Changes to entity outcome and program structures (where applicable)</w:t>
            </w:r>
          </w:p>
          <w:p w14:paraId="2D168662" w14:textId="3233C953" w:rsidR="00A7653C" w:rsidRPr="00DD477A" w:rsidRDefault="00A7653C" w:rsidP="00691C57">
            <w:pPr>
              <w:pStyle w:val="Bullet3"/>
            </w:pPr>
            <w:r w:rsidRPr="00DD477A">
              <w:t>Budgeted expenses and performance for Outcome X</w:t>
            </w:r>
          </w:p>
          <w:p w14:paraId="542E22D6" w14:textId="77777777" w:rsidR="00A7653C" w:rsidRPr="00DD477A" w:rsidRDefault="00A7653C" w:rsidP="0014243A">
            <w:pPr>
              <w:pStyle w:val="Bullet3"/>
            </w:pPr>
            <w:r w:rsidRPr="00DD477A">
              <w:t>Linked programs</w:t>
            </w:r>
          </w:p>
          <w:p w14:paraId="08FB3F4A" w14:textId="77777777" w:rsidR="00A7653C" w:rsidRPr="00DD477A" w:rsidRDefault="00A7653C" w:rsidP="0014243A">
            <w:pPr>
              <w:pStyle w:val="Bullet3"/>
            </w:pPr>
            <w:r w:rsidRPr="00DD477A">
              <w:t>Budgeted expenses for Outcome X</w:t>
            </w:r>
          </w:p>
          <w:p w14:paraId="29B7C1AA" w14:textId="77777777" w:rsidR="00A7653C" w:rsidRPr="00DD477A" w:rsidRDefault="00A7653C" w:rsidP="0014243A">
            <w:pPr>
              <w:pStyle w:val="Bullet4"/>
            </w:pPr>
            <w:r w:rsidRPr="00DD477A">
              <w:t>Program components of Outcome X (optional)</w:t>
            </w:r>
          </w:p>
          <w:p w14:paraId="098D710D" w14:textId="603A7CA1" w:rsidR="00A7653C" w:rsidRPr="00DD477A" w:rsidRDefault="003F2C98" w:rsidP="0014243A">
            <w:pPr>
              <w:pStyle w:val="Bullet3"/>
            </w:pPr>
            <w:r w:rsidRPr="00DD477A">
              <w:t>P</w:t>
            </w:r>
            <w:r w:rsidR="00A7653C" w:rsidRPr="00DD477A">
              <w:t>erformance measures for Outcome X</w:t>
            </w:r>
          </w:p>
          <w:p w14:paraId="1236AE7B" w14:textId="4F583BE4" w:rsidR="00A7653C" w:rsidRPr="00DD477A" w:rsidRDefault="00A7653C" w:rsidP="00691C57">
            <w:pPr>
              <w:pStyle w:val="Bullet2"/>
            </w:pPr>
            <w:r w:rsidRPr="00DD477A">
              <w:rPr>
                <w:u w:val="single"/>
              </w:rPr>
              <w:t xml:space="preserve">Section </w:t>
            </w:r>
            <w:r w:rsidR="00FE2542" w:rsidRPr="0041585A">
              <w:rPr>
                <w:u w:val="single"/>
              </w:rPr>
              <w:t>3</w:t>
            </w:r>
            <w:r w:rsidRPr="0014243A">
              <w:rPr>
                <w:u w:val="single"/>
              </w:rPr>
              <w:t>:</w:t>
            </w:r>
            <w:r w:rsidRPr="00DD477A">
              <w:t xml:space="preserve"> Budgeted financial statements</w:t>
            </w:r>
          </w:p>
          <w:p w14:paraId="5A33B3D1" w14:textId="31B28E52" w:rsidR="00404DBE" w:rsidRDefault="005C3FDD" w:rsidP="00691C57">
            <w:pPr>
              <w:pStyle w:val="Bullet3"/>
            </w:pPr>
            <w:r>
              <w:t>Budgeted financial statements</w:t>
            </w:r>
          </w:p>
          <w:p w14:paraId="56D06558" w14:textId="3D7204EC" w:rsidR="00A7653C" w:rsidRPr="00DD477A" w:rsidRDefault="00A7653C" w:rsidP="0014243A">
            <w:pPr>
              <w:pStyle w:val="Bullet4"/>
            </w:pPr>
            <w:r w:rsidRPr="00DD477A">
              <w:t>Differences between entity resourcing and financial statements (optional)</w:t>
            </w:r>
          </w:p>
          <w:p w14:paraId="13CCD7CF" w14:textId="77777777" w:rsidR="00A7653C" w:rsidRPr="00DD477A" w:rsidRDefault="00A7653C" w:rsidP="0014243A">
            <w:pPr>
              <w:pStyle w:val="Bullet4"/>
            </w:pPr>
            <w:r w:rsidRPr="00DD477A">
              <w:t>Explanatory notes and analysis of financial statements</w:t>
            </w:r>
          </w:p>
          <w:p w14:paraId="347FD6D3" w14:textId="32BCA978" w:rsidR="00A7653C" w:rsidRPr="00DD477A" w:rsidRDefault="00A7653C" w:rsidP="00691C57">
            <w:pPr>
              <w:pStyle w:val="Bullet3"/>
            </w:pPr>
            <w:r w:rsidRPr="00DD477A">
              <w:t>Budgeted financial statement</w:t>
            </w:r>
            <w:r w:rsidR="003F2C98" w:rsidRPr="00DD477A">
              <w:t>s</w:t>
            </w:r>
            <w:r w:rsidRPr="00DD477A">
              <w:t xml:space="preserve"> tables</w:t>
            </w:r>
          </w:p>
        </w:tc>
      </w:tr>
      <w:tr w:rsidR="00C84C01" w:rsidRPr="00DD477A" w14:paraId="055E0F70" w14:textId="77777777" w:rsidTr="00691C57">
        <w:trPr>
          <w:cantSplit/>
        </w:trPr>
        <w:tc>
          <w:tcPr>
            <w:tcW w:w="8784" w:type="dxa"/>
            <w:shd w:val="clear" w:color="auto" w:fill="D9D9D9" w:themeFill="background1" w:themeFillShade="D9"/>
          </w:tcPr>
          <w:p w14:paraId="5418D81D" w14:textId="4344C45F" w:rsidR="00A7653C" w:rsidRPr="005D0D2F" w:rsidRDefault="00A7653C" w:rsidP="0014243A">
            <w:pPr>
              <w:pStyle w:val="TableText-Normal"/>
            </w:pPr>
            <w:r w:rsidRPr="005D0D2F">
              <w:t>Portfolio glossary</w:t>
            </w:r>
            <w:r w:rsidR="000B2ADC">
              <w:t xml:space="preserve"> (optional)</w:t>
            </w:r>
          </w:p>
          <w:p w14:paraId="5827AE7E" w14:textId="0058FB5B" w:rsidR="00A7653C" w:rsidRPr="00DD477A" w:rsidRDefault="00A7653C" w:rsidP="0014243A">
            <w:pPr>
              <w:pStyle w:val="TableText-Normal"/>
            </w:pPr>
            <w:r w:rsidRPr="005D0D2F">
              <w:t>Index</w:t>
            </w:r>
            <w:r w:rsidR="003F2C98" w:rsidRPr="005D0D2F">
              <w:t xml:space="preserve"> (optional)</w:t>
            </w:r>
          </w:p>
        </w:tc>
      </w:tr>
    </w:tbl>
    <w:p w14:paraId="6D100FD0" w14:textId="77777777" w:rsidR="00E63188" w:rsidRPr="00DD477A" w:rsidRDefault="00E63188">
      <w:pPr>
        <w:suppressAutoHyphens w:val="0"/>
        <w:spacing w:before="0" w:after="120" w:line="440" w:lineRule="atLeast"/>
        <w:rPr>
          <w:rFonts w:asciiTheme="majorHAnsi" w:eastAsiaTheme="majorEastAsia" w:hAnsiTheme="majorHAnsi" w:cstheme="majorBidi"/>
          <w:bCs/>
          <w:color w:val="1C1C1C" w:themeColor="text2"/>
          <w:sz w:val="48"/>
          <w:szCs w:val="48"/>
        </w:rPr>
      </w:pPr>
      <w:r w:rsidRPr="00DD477A">
        <w:rPr>
          <w:sz w:val="48"/>
          <w:szCs w:val="48"/>
        </w:rPr>
        <w:br w:type="page"/>
      </w:r>
    </w:p>
    <w:p w14:paraId="53A9BCA6" w14:textId="7EBC21B0" w:rsidR="00A33FE8" w:rsidRPr="00DD477A" w:rsidRDefault="00A33FE8" w:rsidP="00F81CAE">
      <w:pPr>
        <w:pStyle w:val="Heading1Numbered"/>
      </w:pPr>
      <w:bookmarkStart w:id="563" w:name="_Toc227748985"/>
      <w:r w:rsidRPr="00DD477A">
        <w:t>Publication of Hard and Soft Copy Deliverables</w:t>
      </w:r>
      <w:bookmarkEnd w:id="563"/>
    </w:p>
    <w:p w14:paraId="2A70F9C8" w14:textId="77777777" w:rsidR="00A14EAF" w:rsidRPr="00DD477A" w:rsidRDefault="00A14EAF" w:rsidP="003D6589">
      <w:pPr>
        <w:pStyle w:val="Heading1"/>
      </w:pPr>
      <w:bookmarkStart w:id="564" w:name="_Toc227748986"/>
      <w:r w:rsidRPr="00DD477A">
        <w:t>Publication Requirements</w:t>
      </w:r>
      <w:bookmarkEnd w:id="564"/>
    </w:p>
    <w:p w14:paraId="14D000D5" w14:textId="139BBF88" w:rsidR="00A14EAF" w:rsidRPr="00DD477A" w:rsidRDefault="00A14EAF" w:rsidP="003D6589">
      <w:pPr>
        <w:pStyle w:val="Heading2"/>
      </w:pPr>
      <w:bookmarkStart w:id="565" w:name="_Toc227748987"/>
      <w:r w:rsidRPr="00DD477A">
        <w:t>Security requirements</w:t>
      </w:r>
      <w:bookmarkEnd w:id="565"/>
    </w:p>
    <w:p w14:paraId="466511F7" w14:textId="77BA8AAA" w:rsidR="00A14EAF" w:rsidRPr="00DD477A" w:rsidRDefault="00A14EAF" w:rsidP="00A14EAF">
      <w:pPr>
        <w:rPr>
          <w:rFonts w:cs="Calibri"/>
        </w:rPr>
      </w:pPr>
      <w:r w:rsidRPr="00DD477A">
        <w:rPr>
          <w:rFonts w:cs="Calibri"/>
        </w:rPr>
        <w:t xml:space="preserve">The PB Statements are classified as </w:t>
      </w:r>
      <w:r w:rsidRPr="00DD477A">
        <w:rPr>
          <w:rFonts w:cs="Calibri"/>
          <w:b/>
          <w:bCs/>
        </w:rPr>
        <w:t xml:space="preserve">Protected </w:t>
      </w:r>
      <w:r w:rsidRPr="00DD477A">
        <w:rPr>
          <w:rFonts w:cs="Calibri"/>
        </w:rPr>
        <w:t>and are</w:t>
      </w:r>
      <w:r w:rsidRPr="00DD477A">
        <w:rPr>
          <w:rFonts w:cs="Calibri"/>
          <w:b/>
          <w:bCs/>
        </w:rPr>
        <w:t xml:space="preserve"> under embargo</w:t>
      </w:r>
      <w:r w:rsidRPr="00DD477A">
        <w:rPr>
          <w:rFonts w:cs="Calibri"/>
        </w:rPr>
        <w:t xml:space="preserve"> until they are tabled in Parliament. Each portfolio </w:t>
      </w:r>
      <w:r w:rsidRPr="00DD477A">
        <w:rPr>
          <w:rFonts w:cs="Calibri"/>
          <w:u w:val="single"/>
        </w:rPr>
        <w:t>must</w:t>
      </w:r>
      <w:r w:rsidRPr="00DD477A">
        <w:rPr>
          <w:rFonts w:cs="Calibri"/>
        </w:rPr>
        <w:t xml:space="preserve"> ensure appropriate security arrangements are made and should contact their entity’s security adviser for guidance if required.</w:t>
      </w:r>
    </w:p>
    <w:p w14:paraId="2E6F0F84" w14:textId="77777777" w:rsidR="00A14EAF" w:rsidRPr="00DD477A" w:rsidRDefault="00A14EAF" w:rsidP="00A14EAF">
      <w:pPr>
        <w:rPr>
          <w:rFonts w:cs="Calibri"/>
        </w:rPr>
      </w:pPr>
      <w:r w:rsidRPr="00DD477A">
        <w:rPr>
          <w:rFonts w:cs="Calibri"/>
        </w:rPr>
        <w:t>Items to consider:</w:t>
      </w:r>
    </w:p>
    <w:p w14:paraId="46625311" w14:textId="77777777" w:rsidR="00A14EAF" w:rsidRPr="00DD477A" w:rsidRDefault="00A14EAF" w:rsidP="00B54999">
      <w:pPr>
        <w:pStyle w:val="Bullet1"/>
      </w:pPr>
      <w:r w:rsidRPr="00DD477A">
        <w:t>PB Statements should be prepared in a secure area of the entity</w:t>
      </w:r>
    </w:p>
    <w:p w14:paraId="451984EC" w14:textId="77777777" w:rsidR="00A14EAF" w:rsidRPr="00DD477A" w:rsidRDefault="00A14EAF" w:rsidP="00B54999">
      <w:pPr>
        <w:pStyle w:val="Bullet1"/>
      </w:pPr>
      <w:r w:rsidRPr="00DD477A">
        <w:t>under no circumstances should PB Statements or excerpts from PB Statements be distributed via unsecure electronic mail</w:t>
      </w:r>
    </w:p>
    <w:p w14:paraId="7F0D3217" w14:textId="77777777" w:rsidR="00A14EAF" w:rsidRPr="00DD477A" w:rsidRDefault="00A14EAF" w:rsidP="00B54999">
      <w:pPr>
        <w:pStyle w:val="Bullet1"/>
      </w:pPr>
      <w:r w:rsidRPr="00DD477A">
        <w:t>the ‘need to know’ principle applies in the distribution of all material</w:t>
      </w:r>
    </w:p>
    <w:p w14:paraId="38478CD3" w14:textId="13924BE0" w:rsidR="00A14EAF" w:rsidRPr="00DD477A" w:rsidRDefault="00A14EAF" w:rsidP="00B54999">
      <w:pPr>
        <w:pStyle w:val="Bullet1"/>
      </w:pPr>
      <w:r w:rsidRPr="00DD477A">
        <w:t xml:space="preserve">PB Statements should not be prepared by external companies or contractors who cannot demonstrate that their premises meet the security standards for protected information as provided by the Protective Security Policy Framework </w:t>
      </w:r>
      <w:hyperlink r:id="rId25">
        <w:r w:rsidRPr="00DD477A">
          <w:rPr>
            <w:rStyle w:val="Hyperlink"/>
          </w:rPr>
          <w:t>www.protectivesecurity.gov.au</w:t>
        </w:r>
      </w:hyperlink>
      <w:r w:rsidRPr="00DD477A">
        <w:rPr>
          <w:rStyle w:val="Hyperlink"/>
          <w:rFonts w:cs="Calibri"/>
          <w:u w:val="none"/>
        </w:rPr>
        <w:t>.</w:t>
      </w:r>
    </w:p>
    <w:p w14:paraId="4A50F328" w14:textId="77777777" w:rsidR="00A14EAF" w:rsidRPr="00DD477A" w:rsidRDefault="00A14EAF" w:rsidP="003D6589">
      <w:pPr>
        <w:pStyle w:val="Heading2"/>
      </w:pPr>
      <w:bookmarkStart w:id="566" w:name="_Toc227748988"/>
      <w:r w:rsidRPr="00DD477A">
        <w:t>Printing specifications</w:t>
      </w:r>
      <w:bookmarkEnd w:id="566"/>
    </w:p>
    <w:p w14:paraId="01D9B822" w14:textId="77777777" w:rsidR="00A14EAF" w:rsidRPr="00DD477A" w:rsidRDefault="00A14EAF" w:rsidP="00A14EAF">
      <w:pPr>
        <w:rPr>
          <w:rFonts w:cs="Calibri"/>
        </w:rPr>
      </w:pPr>
      <w:r w:rsidRPr="00DD477A">
        <w:rPr>
          <w:rFonts w:cs="Calibri"/>
        </w:rPr>
        <w:t xml:space="preserve">If these printing requirements are revised, </w:t>
      </w:r>
      <w:r w:rsidRPr="00DD477A">
        <w:t>Finance will provide separat</w:t>
      </w:r>
      <w:r w:rsidRPr="00DD477A">
        <w:rPr>
          <w:rFonts w:cs="Calibri"/>
        </w:rPr>
        <w:t>e advice to the entities’ PB Statement Portfolio Coordinators and to CanPrint Communications Pty Ltd (CanPrint).</w:t>
      </w:r>
    </w:p>
    <w:p w14:paraId="64D50B43" w14:textId="77777777" w:rsidR="00A14EAF" w:rsidRPr="00DD477A" w:rsidRDefault="00A14EAF" w:rsidP="003D6589">
      <w:pPr>
        <w:pStyle w:val="Heading3"/>
      </w:pPr>
      <w:bookmarkStart w:id="567" w:name="_Toc227748989"/>
      <w:r w:rsidRPr="00DD477A">
        <w:t>Paper and format specifications</w:t>
      </w:r>
      <w:bookmarkEnd w:id="567"/>
    </w:p>
    <w:p w14:paraId="0A431BC6" w14:textId="77777777" w:rsidR="00A14EAF" w:rsidRPr="00DD477A" w:rsidRDefault="00A14EAF" w:rsidP="00A14EAF">
      <w:pPr>
        <w:rPr>
          <w:rFonts w:cs="Calibri"/>
        </w:rPr>
      </w:pPr>
      <w:r w:rsidRPr="00DD477A">
        <w:rPr>
          <w:rFonts w:cs="Calibri"/>
        </w:rPr>
        <w:t xml:space="preserve">Hard copies of the PB Statements </w:t>
      </w:r>
      <w:r w:rsidRPr="00DD477A">
        <w:rPr>
          <w:rFonts w:cs="Calibri"/>
          <w:b/>
          <w:bCs/>
        </w:rPr>
        <w:t>must</w:t>
      </w:r>
      <w:r w:rsidRPr="00DD477A">
        <w:rPr>
          <w:rFonts w:cs="Calibri"/>
        </w:rPr>
        <w:t xml:space="preserve"> be produced on </w:t>
      </w:r>
      <w:r w:rsidRPr="0017600B">
        <w:rPr>
          <w:rFonts w:cs="Calibri"/>
          <w:b/>
          <w:bCs/>
        </w:rPr>
        <w:t>standard B5 size paper (17.6 cm x 25 cm)</w:t>
      </w:r>
      <w:r w:rsidRPr="00DD477A">
        <w:rPr>
          <w:rFonts w:cs="Calibri"/>
        </w:rPr>
        <w:t xml:space="preserve"> with the following font requirements:</w:t>
      </w:r>
    </w:p>
    <w:p w14:paraId="4B8D33CD" w14:textId="77777777" w:rsidR="00A14EAF" w:rsidRPr="00DD477A" w:rsidRDefault="00A14EAF" w:rsidP="00B54999">
      <w:pPr>
        <w:pStyle w:val="Bullet1"/>
      </w:pPr>
      <w:r w:rsidRPr="00DD477A">
        <w:t xml:space="preserve">for tables (including those in the Excel workbook), </w:t>
      </w:r>
      <w:r w:rsidRPr="0017600B">
        <w:rPr>
          <w:b/>
          <w:bCs/>
        </w:rPr>
        <w:t>Arial</w:t>
      </w:r>
      <w:r w:rsidRPr="00DD477A">
        <w:t xml:space="preserve"> and </w:t>
      </w:r>
      <w:r w:rsidRPr="0017600B">
        <w:rPr>
          <w:b/>
          <w:bCs/>
        </w:rPr>
        <w:t>8 point</w:t>
      </w:r>
      <w:r w:rsidRPr="00DD477A">
        <w:t xml:space="preserve"> (minimum font size 7.5 point)</w:t>
      </w:r>
    </w:p>
    <w:p w14:paraId="03091425" w14:textId="2722C3C6" w:rsidR="00A14EAF" w:rsidRPr="00DD477A" w:rsidRDefault="00A14EAF" w:rsidP="00B54999">
      <w:pPr>
        <w:pStyle w:val="Bullet1"/>
      </w:pPr>
      <w:r w:rsidRPr="00DD477A">
        <w:t xml:space="preserve">for other text (in the Word template), </w:t>
      </w:r>
      <w:r w:rsidRPr="0017600B">
        <w:rPr>
          <w:b/>
          <w:bCs/>
        </w:rPr>
        <w:t>Book Antiqua</w:t>
      </w:r>
      <w:r w:rsidRPr="00DD477A">
        <w:t xml:space="preserve"> and </w:t>
      </w:r>
      <w:r w:rsidR="00217BC8" w:rsidRPr="0017600B">
        <w:rPr>
          <w:b/>
          <w:bCs/>
        </w:rPr>
        <w:t>9.5</w:t>
      </w:r>
      <w:r w:rsidRPr="0017600B">
        <w:rPr>
          <w:b/>
          <w:bCs/>
        </w:rPr>
        <w:t xml:space="preserve"> point</w:t>
      </w:r>
      <w:r w:rsidRPr="00DD477A">
        <w:t>.</w:t>
      </w:r>
    </w:p>
    <w:p w14:paraId="0E568CA9" w14:textId="77777777" w:rsidR="00A14EAF" w:rsidRPr="00DD477A" w:rsidRDefault="00A14EAF" w:rsidP="00A14EAF">
      <w:pPr>
        <w:rPr>
          <w:rFonts w:cs="Calibri"/>
        </w:rPr>
      </w:pPr>
      <w:r w:rsidRPr="00DD477A">
        <w:rPr>
          <w:rFonts w:cs="Calibri"/>
        </w:rPr>
        <w:t>Adherence to the fonts and styles provided in the templates (available from CBMS User Reference Material in CBMS) ensures consistency with other Budget documents and related papers.</w:t>
      </w:r>
    </w:p>
    <w:p w14:paraId="295EF23C" w14:textId="77777777" w:rsidR="00A14EAF" w:rsidRPr="00DD477A" w:rsidRDefault="00A14EAF" w:rsidP="00A14EAF">
      <w:pPr>
        <w:rPr>
          <w:rFonts w:cs="Calibri"/>
        </w:rPr>
      </w:pPr>
      <w:r w:rsidRPr="00DD477A">
        <w:rPr>
          <w:rFonts w:cs="Calibri"/>
        </w:rPr>
        <w:t xml:space="preserve">For the </w:t>
      </w:r>
      <w:r w:rsidRPr="00DD477A">
        <w:rPr>
          <w:rFonts w:cs="Calibri"/>
          <w:b/>
        </w:rPr>
        <w:t>covers</w:t>
      </w:r>
      <w:r w:rsidRPr="00DD477A">
        <w:rPr>
          <w:rFonts w:cs="Calibri"/>
        </w:rPr>
        <w:t xml:space="preserve">, entities </w:t>
      </w:r>
      <w:r w:rsidRPr="00DD477A">
        <w:rPr>
          <w:rFonts w:cs="Calibri"/>
          <w:u w:val="single"/>
        </w:rPr>
        <w:t>must</w:t>
      </w:r>
      <w:r w:rsidRPr="00DD477A">
        <w:rPr>
          <w:rFonts w:cs="Calibri"/>
        </w:rPr>
        <w:t xml:space="preserve"> use</w:t>
      </w:r>
      <w:r w:rsidRPr="0017600B">
        <w:rPr>
          <w:rFonts w:cs="Calibri"/>
          <w:b/>
          <w:bCs/>
        </w:rPr>
        <w:t xml:space="preserve"> ‘Tablex System Board 250gsm – White Offset’</w:t>
      </w:r>
      <w:r w:rsidRPr="00DD477A">
        <w:rPr>
          <w:rFonts w:cs="Calibri"/>
        </w:rPr>
        <w:t xml:space="preserve"> paper with the cover text in black.</w:t>
      </w:r>
    </w:p>
    <w:p w14:paraId="3A7FB32D" w14:textId="754CF7B3" w:rsidR="00A14EAF" w:rsidRPr="00DD477A" w:rsidRDefault="00A14EAF" w:rsidP="00A14EAF">
      <w:pPr>
        <w:rPr>
          <w:rFonts w:cs="Calibri"/>
        </w:rPr>
      </w:pPr>
      <w:r w:rsidRPr="00DD477A">
        <w:rPr>
          <w:rFonts w:cs="Calibri"/>
        </w:rPr>
        <w:t xml:space="preserve">For consistency, all portfolios must have the portfolio name clearly visible on the spine of the documents. Please refer to the </w:t>
      </w:r>
      <w:hyperlink w:anchor="1.2_Who_should_prepare_PB_Statements" w:history="1">
        <w:r w:rsidR="000B11F3" w:rsidRPr="0014243A">
          <w:rPr>
            <w:rStyle w:val="CrossReferenceChar"/>
            <w:u w:val="none"/>
          </w:rPr>
          <w:t>’</w:t>
        </w:r>
        <w:r w:rsidR="000B11F3" w:rsidRPr="0014243A">
          <w:rPr>
            <w:rStyle w:val="CrossReferenceChar"/>
          </w:rPr>
          <w:t>Which entities should prepare PB Statements?</w:t>
        </w:r>
      </w:hyperlink>
      <w:r w:rsidR="00106A94" w:rsidRPr="00106A94">
        <w:t>’</w:t>
      </w:r>
      <w:r w:rsidRPr="00DD477A">
        <w:rPr>
          <w:rFonts w:cs="Calibri"/>
        </w:rPr>
        <w:t xml:space="preserve"> section for portfolio names and numbers for the PB Statements covers. </w:t>
      </w:r>
    </w:p>
    <w:p w14:paraId="258A2F8C" w14:textId="77777777" w:rsidR="00A14EAF" w:rsidRPr="00DD477A" w:rsidRDefault="00A14EAF" w:rsidP="003D6589">
      <w:pPr>
        <w:pStyle w:val="Heading3"/>
      </w:pPr>
      <w:bookmarkStart w:id="568" w:name="_Toc227748990"/>
      <w:r w:rsidRPr="00DD477A">
        <w:t>Printing Services</w:t>
      </w:r>
      <w:bookmarkEnd w:id="568"/>
    </w:p>
    <w:p w14:paraId="1A840743" w14:textId="77777777" w:rsidR="00A14EAF" w:rsidRPr="00DD477A" w:rsidRDefault="00A14EAF" w:rsidP="00A14EAF">
      <w:r w:rsidRPr="00DD477A">
        <w:t>It is the responsibility of each portfolio department to arrange the printing and secure freighting of their PB Statements. The contact officers for CanPrint are listed in Appendix 4.</w:t>
      </w:r>
    </w:p>
    <w:p w14:paraId="56174E82" w14:textId="77777777" w:rsidR="00A14EAF" w:rsidRPr="00DD477A" w:rsidRDefault="00A14EAF" w:rsidP="00A14EAF">
      <w:pPr>
        <w:rPr>
          <w:rFonts w:cs="Calibri"/>
        </w:rPr>
      </w:pPr>
      <w:r w:rsidRPr="00DD477A">
        <w:rPr>
          <w:rFonts w:cs="Calibri"/>
        </w:rPr>
        <w:t>It is recommended that the portfolio departments contact CanPrint to arrange printing of their PB Statements.</w:t>
      </w:r>
    </w:p>
    <w:p w14:paraId="572BC1C5" w14:textId="77777777" w:rsidR="00A14EAF" w:rsidRPr="00DD477A" w:rsidRDefault="00A14EAF" w:rsidP="00A14EAF">
      <w:pPr>
        <w:rPr>
          <w:rFonts w:cs="Calibri"/>
        </w:rPr>
      </w:pPr>
      <w:r w:rsidRPr="00DD477A">
        <w:rPr>
          <w:rFonts w:cs="Calibri"/>
        </w:rPr>
        <w:t>If printing is carried out ‘in-house’ or using another printer, entities must liaise with Finance to ensure that cover stock, colour and text is consistent with other portfolios’ PB Statements.</w:t>
      </w:r>
    </w:p>
    <w:p w14:paraId="44B575A9" w14:textId="77777777" w:rsidR="00A14EAF" w:rsidRPr="00DD477A" w:rsidRDefault="00A14EAF" w:rsidP="00A14EAF">
      <w:pPr>
        <w:rPr>
          <w:rFonts w:cs="Calibri"/>
        </w:rPr>
      </w:pPr>
      <w:r w:rsidRPr="00DD477A">
        <w:rPr>
          <w:rFonts w:cs="Calibri"/>
        </w:rPr>
        <w:t>Portfolios should ensure sufficient hard copies of their PB Statements are available for:</w:t>
      </w:r>
    </w:p>
    <w:p w14:paraId="006FBF19" w14:textId="77777777" w:rsidR="00A14EAF" w:rsidRPr="00DD477A" w:rsidRDefault="00A14EAF" w:rsidP="00B54999">
      <w:pPr>
        <w:pStyle w:val="Bullet1"/>
      </w:pPr>
      <w:r w:rsidRPr="00DD477A">
        <w:t>Budget lockup arrangements, as separately advised by the Treasury</w:t>
      </w:r>
    </w:p>
    <w:p w14:paraId="5A02C85E" w14:textId="77777777" w:rsidR="00A14EAF" w:rsidRPr="00DD477A" w:rsidRDefault="00A14EAF" w:rsidP="00B54999">
      <w:pPr>
        <w:pStyle w:val="Bullet1"/>
      </w:pPr>
      <w:r w:rsidRPr="00DD477A">
        <w:t>internal stakeholders</w:t>
      </w:r>
    </w:p>
    <w:p w14:paraId="37CDB762" w14:textId="77777777" w:rsidR="00A14EAF" w:rsidRPr="00DD477A" w:rsidRDefault="00A14EAF" w:rsidP="00B54999">
      <w:pPr>
        <w:pStyle w:val="Bullet1"/>
      </w:pPr>
      <w:r w:rsidRPr="00DD477A">
        <w:t xml:space="preserve">external stakeholders by request </w:t>
      </w:r>
    </w:p>
    <w:p w14:paraId="6A010BDB" w14:textId="77777777" w:rsidR="00A14EAF" w:rsidRPr="00DD477A" w:rsidRDefault="00A14EAF" w:rsidP="00B54999">
      <w:pPr>
        <w:pStyle w:val="Bullet1"/>
      </w:pPr>
      <w:r w:rsidRPr="00DD477A">
        <w:t>other departments and relevant entities</w:t>
      </w:r>
    </w:p>
    <w:p w14:paraId="4530C7EB" w14:textId="77777777" w:rsidR="00A14EAF" w:rsidRPr="00DD477A" w:rsidRDefault="00A14EAF" w:rsidP="00B54999">
      <w:pPr>
        <w:pStyle w:val="Bullet1"/>
      </w:pPr>
      <w:r w:rsidRPr="00DD477A">
        <w:t>major client organisations</w:t>
      </w:r>
    </w:p>
    <w:p w14:paraId="7B7269C5" w14:textId="77777777" w:rsidR="00A14EAF" w:rsidRPr="00DD477A" w:rsidRDefault="00A14EAF" w:rsidP="00B54999">
      <w:pPr>
        <w:pStyle w:val="Bullet1"/>
      </w:pPr>
      <w:r w:rsidRPr="00DD477A">
        <w:t>the libraries of tertiary institutions.</w:t>
      </w:r>
    </w:p>
    <w:p w14:paraId="732996EC" w14:textId="77777777" w:rsidR="00A14EAF" w:rsidRPr="00DD477A" w:rsidRDefault="00A14EAF" w:rsidP="003D6589">
      <w:pPr>
        <w:pStyle w:val="Heading2"/>
      </w:pPr>
      <w:bookmarkStart w:id="569" w:name="_Toc227748991"/>
      <w:r w:rsidRPr="00DD477A">
        <w:t>Classification</w:t>
      </w:r>
      <w:bookmarkEnd w:id="569"/>
    </w:p>
    <w:p w14:paraId="6791D0A3" w14:textId="77777777" w:rsidR="00A14EAF" w:rsidRPr="00DD477A" w:rsidRDefault="00A14EAF" w:rsidP="00A14EAF">
      <w:pPr>
        <w:rPr>
          <w:rFonts w:cs="Calibri"/>
        </w:rPr>
      </w:pPr>
      <w:r w:rsidRPr="00DD477A">
        <w:rPr>
          <w:rFonts w:cs="Calibri"/>
        </w:rPr>
        <w:t>Packaging for the PB Statements should be labelled as follows:</w:t>
      </w:r>
    </w:p>
    <w:p w14:paraId="5FFDF925" w14:textId="49B5FEE6" w:rsidR="00A14EAF" w:rsidRDefault="00A14EAF" w:rsidP="00A14EAF">
      <w:pPr>
        <w:pStyle w:val="Boxed2Text"/>
        <w:rPr>
          <w:rFonts w:cs="Calibri"/>
        </w:rPr>
      </w:pPr>
      <w:r w:rsidRPr="00DD477A">
        <w:rPr>
          <w:rFonts w:cs="Calibri"/>
        </w:rPr>
        <w:t xml:space="preserve">PB Statements are </w:t>
      </w:r>
      <w:r w:rsidRPr="00DD477A">
        <w:rPr>
          <w:rFonts w:cs="Calibri"/>
          <w:b/>
          <w:bCs/>
        </w:rPr>
        <w:t>Protected</w:t>
      </w:r>
      <w:r w:rsidRPr="00DD477A">
        <w:rPr>
          <w:rFonts w:cs="Calibri"/>
        </w:rPr>
        <w:t xml:space="preserve"> and </w:t>
      </w:r>
      <w:r w:rsidRPr="00DD477A">
        <w:rPr>
          <w:rFonts w:cs="Calibri"/>
          <w:b/>
          <w:bCs/>
        </w:rPr>
        <w:t>under embargo</w:t>
      </w:r>
      <w:r w:rsidRPr="00DD477A">
        <w:rPr>
          <w:rFonts w:cs="Calibri"/>
        </w:rPr>
        <w:t xml:space="preserve"> until they are tabled in Parliament through the Senate, anticipated after </w:t>
      </w:r>
      <w:r w:rsidRPr="00DD477A">
        <w:rPr>
          <w:rFonts w:cs="Calibri"/>
          <w:b/>
          <w:bCs/>
        </w:rPr>
        <w:t xml:space="preserve">20:15 pm Tuesday, </w:t>
      </w:r>
      <w:r w:rsidR="00A36852">
        <w:rPr>
          <w:rFonts w:cs="Calibri"/>
          <w:b/>
          <w:bCs/>
        </w:rPr>
        <w:t>12</w:t>
      </w:r>
      <w:r w:rsidR="00687BCC">
        <w:rPr>
          <w:rFonts w:cs="Calibri"/>
          <w:b/>
          <w:bCs/>
        </w:rPr>
        <w:t xml:space="preserve"> Ma</w:t>
      </w:r>
      <w:r w:rsidR="00A36852">
        <w:rPr>
          <w:rFonts w:cs="Calibri"/>
          <w:b/>
          <w:bCs/>
        </w:rPr>
        <w:t>y</w:t>
      </w:r>
      <w:r w:rsidR="00687BCC">
        <w:rPr>
          <w:rFonts w:cs="Calibri"/>
          <w:b/>
          <w:bCs/>
        </w:rPr>
        <w:t xml:space="preserve"> 202</w:t>
      </w:r>
      <w:r w:rsidR="00A36852">
        <w:rPr>
          <w:rFonts w:cs="Calibri"/>
          <w:b/>
          <w:bCs/>
        </w:rPr>
        <w:t>6</w:t>
      </w:r>
      <w:r w:rsidRPr="00DD477A">
        <w:rPr>
          <w:rFonts w:cs="Calibri"/>
        </w:rPr>
        <w:t xml:space="preserve">. </w:t>
      </w:r>
    </w:p>
    <w:p w14:paraId="773A1018" w14:textId="464A50D3" w:rsidR="00291DD3" w:rsidRPr="00DD477A" w:rsidRDefault="00D223F7" w:rsidP="0014243A">
      <w:r w:rsidRPr="00C04430">
        <w:t>Entities should monitor the Senate’s dynamic red webpage for an announcement instructions are provided under section</w:t>
      </w:r>
      <w:r>
        <w:t xml:space="preserve"> </w:t>
      </w:r>
      <w:r w:rsidR="004508A5" w:rsidRPr="0014243A">
        <w:rPr>
          <w:rStyle w:val="CrossReferenceChar"/>
        </w:rPr>
        <w:fldChar w:fldCharType="begin"/>
      </w:r>
      <w:r w:rsidR="004508A5" w:rsidRPr="0014243A">
        <w:rPr>
          <w:rStyle w:val="CrossReferenceChar"/>
        </w:rPr>
        <w:instrText xml:space="preserve"> REF _Ref220510991 \w \h </w:instrText>
      </w:r>
      <w:r w:rsidR="004508A5">
        <w:rPr>
          <w:rStyle w:val="CrossReferenceChar"/>
        </w:rPr>
        <w:instrText xml:space="preserve"> \* MERGEFORMAT </w:instrText>
      </w:r>
      <w:r w:rsidR="004508A5" w:rsidRPr="0014243A">
        <w:rPr>
          <w:rStyle w:val="CrossReferenceChar"/>
        </w:rPr>
      </w:r>
      <w:r w:rsidR="004508A5" w:rsidRPr="0014243A">
        <w:rPr>
          <w:rStyle w:val="CrossReferenceChar"/>
        </w:rPr>
        <w:fldChar w:fldCharType="separate"/>
      </w:r>
      <w:r w:rsidR="009E5625">
        <w:rPr>
          <w:rStyle w:val="CrossReferenceChar"/>
        </w:rPr>
        <w:t>4.1.1</w:t>
      </w:r>
      <w:r w:rsidR="004508A5" w:rsidRPr="0014243A">
        <w:rPr>
          <w:rStyle w:val="CrossReferenceChar"/>
        </w:rPr>
        <w:fldChar w:fldCharType="end"/>
      </w:r>
      <w:r w:rsidR="004508A5" w:rsidRPr="0014243A">
        <w:rPr>
          <w:rStyle w:val="CrossReferenceChar"/>
        </w:rPr>
        <w:t xml:space="preserve"> </w:t>
      </w:r>
      <w:r w:rsidR="004508A5" w:rsidRPr="0014243A">
        <w:rPr>
          <w:rStyle w:val="CrossReferenceChar"/>
        </w:rPr>
        <w:fldChar w:fldCharType="begin"/>
      </w:r>
      <w:r w:rsidR="004508A5" w:rsidRPr="0014243A">
        <w:rPr>
          <w:rStyle w:val="CrossReferenceChar"/>
        </w:rPr>
        <w:instrText xml:space="preserve"> REF _Ref220510991 \h </w:instrText>
      </w:r>
      <w:r w:rsidR="004508A5">
        <w:rPr>
          <w:rStyle w:val="CrossReferenceChar"/>
        </w:rPr>
        <w:instrText xml:space="preserve"> \* MERGEFORMAT </w:instrText>
      </w:r>
      <w:r w:rsidR="004508A5" w:rsidRPr="0014243A">
        <w:rPr>
          <w:rStyle w:val="CrossReferenceChar"/>
        </w:rPr>
      </w:r>
      <w:r w:rsidR="004508A5" w:rsidRPr="0014243A">
        <w:rPr>
          <w:rStyle w:val="CrossReferenceChar"/>
        </w:rPr>
        <w:fldChar w:fldCharType="separate"/>
      </w:r>
      <w:r w:rsidR="009E5625" w:rsidRPr="009E5625">
        <w:rPr>
          <w:rStyle w:val="CrossReferenceChar"/>
        </w:rPr>
        <w:t>Dynamic Red webpage</w:t>
      </w:r>
      <w:r w:rsidR="004508A5" w:rsidRPr="0014243A">
        <w:rPr>
          <w:rStyle w:val="CrossReferenceChar"/>
        </w:rPr>
        <w:fldChar w:fldCharType="end"/>
      </w:r>
      <w:r w:rsidR="004508A5">
        <w:t>.</w:t>
      </w:r>
    </w:p>
    <w:p w14:paraId="03693872" w14:textId="27CEFDFE" w:rsidR="0032414D" w:rsidRDefault="0032414D" w:rsidP="003D6589">
      <w:pPr>
        <w:pStyle w:val="Heading2"/>
      </w:pPr>
      <w:bookmarkStart w:id="570" w:name="_Toc227748992"/>
      <w:r w:rsidRPr="0032414D">
        <w:t>Digital Tabling via the Online Tabled Documents porta</w:t>
      </w:r>
      <w:r>
        <w:t>l</w:t>
      </w:r>
      <w:bookmarkEnd w:id="570"/>
    </w:p>
    <w:p w14:paraId="463129F1" w14:textId="6600A208" w:rsidR="0032414D" w:rsidRDefault="0032414D" w:rsidP="0032414D">
      <w:bookmarkStart w:id="571" w:name="_Hlk219276958"/>
      <w:bookmarkStart w:id="572" w:name="_Hlk219277633"/>
      <w:r w:rsidRPr="0032414D">
        <w:t>The Online Tabled Documents (OTD) portal provides Australian Government departments and agencies the ability to electronically submit documents for tabling in Parliament.</w:t>
      </w:r>
      <w:r w:rsidR="00344CCF">
        <w:t xml:space="preserve"> Refer to </w:t>
      </w:r>
      <w:hyperlink r:id="rId26" w:history="1">
        <w:r w:rsidR="00344CCF" w:rsidRPr="00344CCF">
          <w:rPr>
            <w:rStyle w:val="Hyperlink"/>
            <w:rFonts w:cstheme="minorBidi"/>
          </w:rPr>
          <w:t>Tabling circular No.1 of 2024</w:t>
        </w:r>
      </w:hyperlink>
      <w:r w:rsidR="00344CCF">
        <w:t xml:space="preserve"> for further information</w:t>
      </w:r>
      <w:r w:rsidR="00C22F71">
        <w:t xml:space="preserve"> which includes a link to the tabling guidelines.</w:t>
      </w:r>
    </w:p>
    <w:p w14:paraId="0B595572" w14:textId="43B202F3" w:rsidR="004A38C9" w:rsidRDefault="0018601D" w:rsidP="0032414D">
      <w:pPr>
        <w:rPr>
          <w:rFonts w:cs="Calibri"/>
        </w:rPr>
      </w:pPr>
      <w:r>
        <w:rPr>
          <w:rFonts w:cs="Calibri"/>
        </w:rPr>
        <w:t xml:space="preserve">The </w:t>
      </w:r>
      <w:hyperlink r:id="rId27" w:history="1">
        <w:r w:rsidR="005E703D">
          <w:rPr>
            <w:rStyle w:val="Hyperlink"/>
            <w:rFonts w:cs="Calibri"/>
          </w:rPr>
          <w:t>T</w:t>
        </w:r>
        <w:r w:rsidRPr="00961E1E">
          <w:rPr>
            <w:rStyle w:val="Hyperlink"/>
            <w:rFonts w:cs="Calibri"/>
          </w:rPr>
          <w:t>abling guidelines</w:t>
        </w:r>
      </w:hyperlink>
      <w:r>
        <w:rPr>
          <w:rFonts w:cs="Calibri"/>
        </w:rPr>
        <w:t xml:space="preserve"> include </w:t>
      </w:r>
      <w:r w:rsidR="00F2023A">
        <w:rPr>
          <w:rFonts w:cs="Calibri"/>
        </w:rPr>
        <w:t>a</w:t>
      </w:r>
      <w:r w:rsidR="00957AF3">
        <w:rPr>
          <w:rFonts w:cs="Calibri"/>
        </w:rPr>
        <w:t xml:space="preserve"> link to </w:t>
      </w:r>
      <w:r w:rsidR="00ED0839">
        <w:rPr>
          <w:rFonts w:cs="Calibri"/>
        </w:rPr>
        <w:t>a</w:t>
      </w:r>
      <w:r w:rsidR="00F2023A">
        <w:rPr>
          <w:rFonts w:cs="Calibri"/>
        </w:rPr>
        <w:t xml:space="preserve"> tabling minute</w:t>
      </w:r>
      <w:r w:rsidR="00ED0839">
        <w:rPr>
          <w:rFonts w:cs="Calibri"/>
        </w:rPr>
        <w:t xml:space="preserve"> on PM&amp;C’s website</w:t>
      </w:r>
      <w:r w:rsidR="00F2023A">
        <w:rPr>
          <w:rFonts w:cs="Calibri"/>
        </w:rPr>
        <w:t>, e</w:t>
      </w:r>
      <w:r w:rsidR="00AE7AAD">
        <w:rPr>
          <w:rFonts w:cs="Calibri"/>
        </w:rPr>
        <w:t xml:space="preserve">ntities </w:t>
      </w:r>
      <w:r w:rsidR="004A38C9">
        <w:rPr>
          <w:rFonts w:cs="Calibri"/>
        </w:rPr>
        <w:t xml:space="preserve">should note they are </w:t>
      </w:r>
      <w:r w:rsidR="00CE1A9C" w:rsidRPr="0014243A">
        <w:rPr>
          <w:rFonts w:cs="Calibri"/>
          <w:b/>
          <w:bCs/>
        </w:rPr>
        <w:t>not required</w:t>
      </w:r>
      <w:r w:rsidR="00CE1A9C">
        <w:rPr>
          <w:rFonts w:cs="Calibri"/>
        </w:rPr>
        <w:t xml:space="preserve"> to complete</w:t>
      </w:r>
      <w:r w:rsidR="004A38C9">
        <w:rPr>
          <w:rFonts w:cs="Calibri"/>
        </w:rPr>
        <w:t xml:space="preserve"> the proforma when submitting their </w:t>
      </w:r>
      <w:r w:rsidR="000D47CA">
        <w:rPr>
          <w:rFonts w:cs="Calibri"/>
        </w:rPr>
        <w:t>PB Statement</w:t>
      </w:r>
      <w:r w:rsidR="004A38C9">
        <w:rPr>
          <w:rFonts w:cs="Calibri"/>
        </w:rPr>
        <w:t xml:space="preserve"> and/or PAES book for tabling purposes</w:t>
      </w:r>
      <w:r w:rsidR="00F2023A">
        <w:rPr>
          <w:rFonts w:cs="Calibri"/>
        </w:rPr>
        <w:t>.</w:t>
      </w:r>
    </w:p>
    <w:p w14:paraId="42612398" w14:textId="230A955E" w:rsidR="00C34A61" w:rsidRDefault="0010325E" w:rsidP="0032414D">
      <w:pPr>
        <w:rPr>
          <w:rFonts w:cs="Calibri"/>
        </w:rPr>
      </w:pPr>
      <w:r>
        <w:rPr>
          <w:rFonts w:cs="Calibri"/>
        </w:rPr>
        <w:t xml:space="preserve">The tabling guidelines </w:t>
      </w:r>
      <w:r w:rsidRPr="0014243A">
        <w:rPr>
          <w:rFonts w:cs="Calibri"/>
          <w:b/>
          <w:bCs/>
        </w:rPr>
        <w:t>include a link</w:t>
      </w:r>
      <w:r>
        <w:rPr>
          <w:rFonts w:cs="Calibri"/>
        </w:rPr>
        <w:t xml:space="preserve"> to the </w:t>
      </w:r>
      <w:r w:rsidRPr="0014243A">
        <w:rPr>
          <w:rFonts w:cs="Calibri"/>
          <w:i/>
          <w:iCs/>
        </w:rPr>
        <w:t>OTD Portal Access request guide</w:t>
      </w:r>
      <w:r>
        <w:rPr>
          <w:rFonts w:cs="Calibri"/>
        </w:rPr>
        <w:t xml:space="preserve"> </w:t>
      </w:r>
      <w:r w:rsidR="00652620">
        <w:rPr>
          <w:rFonts w:cs="Calibri"/>
        </w:rPr>
        <w:t>which will be of interest to Portfolio department</w:t>
      </w:r>
      <w:r w:rsidR="00BF0A3A">
        <w:rPr>
          <w:rFonts w:cs="Calibri"/>
        </w:rPr>
        <w:t>al</w:t>
      </w:r>
      <w:r w:rsidR="00652620">
        <w:rPr>
          <w:rFonts w:cs="Calibri"/>
        </w:rPr>
        <w:t xml:space="preserve"> </w:t>
      </w:r>
      <w:r w:rsidR="00ED0839">
        <w:rPr>
          <w:rFonts w:cs="Calibri"/>
        </w:rPr>
        <w:t xml:space="preserve">officials </w:t>
      </w:r>
      <w:r w:rsidR="00C34A61">
        <w:rPr>
          <w:rFonts w:cs="Calibri"/>
        </w:rPr>
        <w:t xml:space="preserve">who </w:t>
      </w:r>
      <w:r w:rsidR="002A0438">
        <w:rPr>
          <w:rFonts w:cs="Calibri"/>
        </w:rPr>
        <w:t xml:space="preserve">require access to the portal for </w:t>
      </w:r>
      <w:r w:rsidR="00C34A61">
        <w:rPr>
          <w:rFonts w:cs="Calibri"/>
        </w:rPr>
        <w:t>tabl</w:t>
      </w:r>
      <w:r w:rsidR="002A0438">
        <w:rPr>
          <w:rFonts w:cs="Calibri"/>
        </w:rPr>
        <w:t>ing purposes.</w:t>
      </w:r>
    </w:p>
    <w:p w14:paraId="51FE5329" w14:textId="39EA9DFA" w:rsidR="002A0438" w:rsidRDefault="002A0438" w:rsidP="002A0438">
      <w:bookmarkStart w:id="573" w:name="_Hlk219276991"/>
      <w:bookmarkEnd w:id="571"/>
      <w:r>
        <w:t xml:space="preserve">For further advice </w:t>
      </w:r>
      <w:r w:rsidR="00BF0A3A">
        <w:t>on</w:t>
      </w:r>
      <w:r>
        <w:t xml:space="preserve"> tabling via the OTD system we suggest you contact the Senate Tabling Office on ph:</w:t>
      </w:r>
      <w:r w:rsidR="00BF0A3A">
        <w:t> </w:t>
      </w:r>
      <w:r>
        <w:t>(02) 6277 3010.</w:t>
      </w:r>
    </w:p>
    <w:bookmarkEnd w:id="572"/>
    <w:p w14:paraId="0AD43DE3" w14:textId="77777777" w:rsidR="00F93E73" w:rsidRDefault="00F93E73" w:rsidP="00F93E73">
      <w:r>
        <w:t>When submitting your 2026–27 Portfolio Budget Statement via the OTD portal, please use the following naming convention:</w:t>
      </w:r>
    </w:p>
    <w:p w14:paraId="0B56EB36" w14:textId="01ED0CDE" w:rsidR="00F93E73" w:rsidRPr="0014243A" w:rsidRDefault="00F93E73" w:rsidP="0014243A">
      <w:pPr>
        <w:ind w:left="425"/>
        <w:rPr>
          <w:b/>
          <w:bCs/>
        </w:rPr>
      </w:pPr>
      <w:r w:rsidRPr="0014243A">
        <w:rPr>
          <w:b/>
          <w:bCs/>
        </w:rPr>
        <w:t>Portfolio Budget Statements 2026–27 [Portfolio Full Title]</w:t>
      </w:r>
    </w:p>
    <w:p w14:paraId="208A1D82" w14:textId="77777777" w:rsidR="00F93E73" w:rsidRDefault="00F93E73" w:rsidP="00F93E73">
      <w:r>
        <w:t>For example:</w:t>
      </w:r>
    </w:p>
    <w:p w14:paraId="6D9AC21D" w14:textId="2CE75A8D" w:rsidR="00F93E73" w:rsidRPr="0014243A" w:rsidRDefault="00F93E73" w:rsidP="0014243A">
      <w:pPr>
        <w:ind w:left="425"/>
        <w:rPr>
          <w:b/>
          <w:bCs/>
        </w:rPr>
      </w:pPr>
      <w:r w:rsidRPr="0014243A">
        <w:rPr>
          <w:b/>
          <w:bCs/>
        </w:rPr>
        <w:t>Portfolio Budget Statements 2026–27 Employment and Workplace Relations</w:t>
      </w:r>
    </w:p>
    <w:p w14:paraId="2F1273DB" w14:textId="7A75CB25" w:rsidR="00710F33" w:rsidRDefault="00F93E73" w:rsidP="00F93E73">
      <w:pPr>
        <w:rPr>
          <w:rFonts w:cs="Calibri"/>
        </w:rPr>
      </w:pPr>
      <w:r>
        <w:t>Using this convention will help the Senate Tabling Office identify tabled Portfolio Budget Statements more efficiently.</w:t>
      </w:r>
    </w:p>
    <w:p w14:paraId="18F0AD18" w14:textId="15373E99" w:rsidR="00A14EAF" w:rsidRPr="00B43C00" w:rsidRDefault="00A14EAF" w:rsidP="0014243A">
      <w:pPr>
        <w:pStyle w:val="Heading2"/>
        <w:contextualSpacing w:val="0"/>
      </w:pPr>
      <w:bookmarkStart w:id="574" w:name="_Toc219278771"/>
      <w:bookmarkStart w:id="575" w:name="_Toc219278970"/>
      <w:bookmarkStart w:id="576" w:name="_Toc219449426"/>
      <w:bookmarkStart w:id="577" w:name="_Toc222147951"/>
      <w:bookmarkStart w:id="578" w:name="_Toc222148213"/>
      <w:bookmarkStart w:id="579" w:name="_Toc222148442"/>
      <w:bookmarkStart w:id="580" w:name="_Toc222148667"/>
      <w:bookmarkStart w:id="581" w:name="_Toc222148895"/>
      <w:bookmarkStart w:id="582" w:name="_Toc222149123"/>
      <w:bookmarkStart w:id="583" w:name="_Toc222149351"/>
      <w:bookmarkStart w:id="584" w:name="_Toc222149580"/>
      <w:bookmarkStart w:id="585" w:name="_Toc222150047"/>
      <w:bookmarkStart w:id="586" w:name="_Toc222150273"/>
      <w:bookmarkStart w:id="587" w:name="_Toc219278772"/>
      <w:bookmarkStart w:id="588" w:name="_Toc219278971"/>
      <w:bookmarkStart w:id="589" w:name="_Toc219449427"/>
      <w:bookmarkStart w:id="590" w:name="_Toc222147952"/>
      <w:bookmarkStart w:id="591" w:name="_Toc222148214"/>
      <w:bookmarkStart w:id="592" w:name="_Toc222148443"/>
      <w:bookmarkStart w:id="593" w:name="_Toc222148668"/>
      <w:bookmarkStart w:id="594" w:name="_Toc222148896"/>
      <w:bookmarkStart w:id="595" w:name="_Toc222149124"/>
      <w:bookmarkStart w:id="596" w:name="_Toc222149352"/>
      <w:bookmarkStart w:id="597" w:name="_Toc222149581"/>
      <w:bookmarkStart w:id="598" w:name="_Toc222150048"/>
      <w:bookmarkStart w:id="599" w:name="_Toc222150274"/>
      <w:bookmarkStart w:id="600" w:name="_Toc227748993"/>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sidRPr="00B43C00">
        <w:t>Delivery to Parliament House and Finance</w:t>
      </w:r>
      <w:bookmarkEnd w:id="600"/>
    </w:p>
    <w:p w14:paraId="642D2352" w14:textId="77777777" w:rsidR="00A14EAF" w:rsidRPr="00DD477A" w:rsidRDefault="00A14EAF" w:rsidP="00A14EAF">
      <w:pPr>
        <w:rPr>
          <w:rFonts w:cs="Calibri"/>
        </w:rPr>
      </w:pPr>
      <w:r w:rsidRPr="00DD477A">
        <w:rPr>
          <w:rFonts w:cs="Calibri"/>
        </w:rPr>
        <w:t>All PB Statement deliveries to Parliament House (regardless of deliverer) should occur through the Parliament House loading dock (accessible via Brisbane Avenue).</w:t>
      </w:r>
    </w:p>
    <w:p w14:paraId="32B0E412" w14:textId="7160207D" w:rsidR="00A14EAF" w:rsidRPr="00DD477A" w:rsidRDefault="00A14EAF" w:rsidP="00B54999">
      <w:pPr>
        <w:pStyle w:val="Bullet1"/>
      </w:pPr>
      <w:r w:rsidRPr="00DD477A">
        <w:t xml:space="preserve">For all other deliverers other than CanPrint, please contact the Accounting Framework and Capability Support Team in Finance by </w:t>
      </w:r>
      <w:r w:rsidR="00AB4FEE">
        <w:rPr>
          <w:b/>
          <w:bCs/>
        </w:rPr>
        <w:t>Friday</w:t>
      </w:r>
      <w:r w:rsidRPr="00DD477A">
        <w:rPr>
          <w:b/>
          <w:bCs/>
        </w:rPr>
        <w:t>, </w:t>
      </w:r>
      <w:r w:rsidR="006F5B02">
        <w:rPr>
          <w:b/>
          <w:bCs/>
        </w:rPr>
        <w:t>8</w:t>
      </w:r>
      <w:r w:rsidR="00AB4FEE" w:rsidRPr="00DD477A">
        <w:rPr>
          <w:b/>
          <w:bCs/>
        </w:rPr>
        <w:t> </w:t>
      </w:r>
      <w:r w:rsidR="00AB4FEE">
        <w:rPr>
          <w:b/>
          <w:bCs/>
        </w:rPr>
        <w:t>M</w:t>
      </w:r>
      <w:r w:rsidR="006F5B02">
        <w:rPr>
          <w:b/>
          <w:bCs/>
        </w:rPr>
        <w:t>ay</w:t>
      </w:r>
      <w:r w:rsidRPr="00DD477A">
        <w:rPr>
          <w:b/>
          <w:bCs/>
        </w:rPr>
        <w:t> </w:t>
      </w:r>
      <w:r w:rsidR="00AB4FEE">
        <w:rPr>
          <w:b/>
          <w:bCs/>
        </w:rPr>
        <w:t>202</w:t>
      </w:r>
      <w:r w:rsidR="006F5B02">
        <w:rPr>
          <w:b/>
          <w:bCs/>
        </w:rPr>
        <w:t>6</w:t>
      </w:r>
      <w:r w:rsidRPr="00DD477A">
        <w:t xml:space="preserve"> </w:t>
      </w:r>
      <w:hyperlink r:id="rId28">
        <w:r w:rsidRPr="00DD477A">
          <w:rPr>
            <w:rStyle w:val="Hyperlink"/>
          </w:rPr>
          <w:t>budget_framework@finance.gov.au</w:t>
        </w:r>
      </w:hyperlink>
      <w:r w:rsidRPr="00DD477A">
        <w:t xml:space="preserve"> for further delivery procedures.</w:t>
      </w:r>
    </w:p>
    <w:p w14:paraId="472A53DD" w14:textId="77777777" w:rsidR="00A14EAF" w:rsidRPr="00DD477A" w:rsidRDefault="00A14EAF" w:rsidP="00B54999">
      <w:pPr>
        <w:pStyle w:val="Bullet1"/>
      </w:pPr>
      <w:r w:rsidRPr="00DD477A">
        <w:t>Should you have any questions or difficulties with these arrangements, please contact the Documents Officer, Senate Table Office on (02) 6277 3010.</w:t>
      </w:r>
    </w:p>
    <w:p w14:paraId="1EBB7BE9" w14:textId="77777777" w:rsidR="00A14EAF" w:rsidRPr="00DD477A" w:rsidRDefault="00A14EAF" w:rsidP="003D6589">
      <w:pPr>
        <w:pStyle w:val="Heading2"/>
      </w:pPr>
      <w:bookmarkStart w:id="601" w:name="_Toc227748994"/>
      <w:r w:rsidRPr="00DD477A">
        <w:t>Protected-rated email/electronic transmission requirements</w:t>
      </w:r>
      <w:bookmarkEnd w:id="601"/>
    </w:p>
    <w:p w14:paraId="198D5AAF" w14:textId="77777777" w:rsidR="00A14EAF" w:rsidRPr="00DD477A" w:rsidRDefault="00A14EAF" w:rsidP="00A14EAF">
      <w:pPr>
        <w:rPr>
          <w:rFonts w:cs="Calibri"/>
        </w:rPr>
      </w:pPr>
      <w:r w:rsidRPr="00DD477A">
        <w:rPr>
          <w:rFonts w:cs="Calibri"/>
        </w:rPr>
        <w:t xml:space="preserve">As PB Statements are under embargo until tabling in Parliament through the Senate, portfolios are required to send electronic copies of their Adobe PDFs and financial tables to Finance via </w:t>
      </w:r>
      <w:r w:rsidRPr="0014243A">
        <w:rPr>
          <w:rFonts w:cs="Calibri"/>
          <w:b/>
          <w:bCs/>
        </w:rPr>
        <w:t>Protected-rated email</w:t>
      </w:r>
      <w:r w:rsidRPr="00DD477A">
        <w:rPr>
          <w:rFonts w:cs="Calibri"/>
        </w:rPr>
        <w:t xml:space="preserve"> or </w:t>
      </w:r>
      <w:r w:rsidRPr="0014243A">
        <w:rPr>
          <w:rFonts w:cs="Calibri"/>
          <w:b/>
          <w:bCs/>
        </w:rPr>
        <w:t>other secure means</w:t>
      </w:r>
      <w:r w:rsidRPr="00DD477A">
        <w:rPr>
          <w:rFonts w:cs="Calibri"/>
        </w:rPr>
        <w:t xml:space="preserve"> rated to the Protected level.</w:t>
      </w:r>
    </w:p>
    <w:p w14:paraId="5EDCB886" w14:textId="77777777" w:rsidR="00A14EAF" w:rsidRPr="0014243A" w:rsidRDefault="00A14EAF" w:rsidP="00B54999">
      <w:pPr>
        <w:pStyle w:val="Bullet1"/>
        <w:rPr>
          <w:rFonts w:eastAsiaTheme="minorEastAsia" w:cs="MuseoSans-500"/>
          <w:u w:val="single" w:color="0070C0"/>
        </w:rPr>
      </w:pPr>
      <w:r w:rsidRPr="00DD477A">
        <w:t xml:space="preserve">To check whether your entity has Protected-rated email, please refer to the </w:t>
      </w:r>
      <w:hyperlink r:id="rId29" w:history="1">
        <w:r w:rsidRPr="00DD477A">
          <w:rPr>
            <w:rFonts w:cs="MuseoSans-500"/>
            <w:u w:val="single" w:color="0070C0"/>
          </w:rPr>
          <w:t>GovLink user list</w:t>
        </w:r>
      </w:hyperlink>
      <w:r w:rsidRPr="00DD477A">
        <w:t>.</w:t>
      </w:r>
    </w:p>
    <w:p w14:paraId="2AED3C1D" w14:textId="77777777" w:rsidR="00712129" w:rsidRDefault="00712129" w:rsidP="0014243A">
      <w:r>
        <w:t xml:space="preserve">If your files are too large to send by email, a protected rated cloud storage file transfer platform known as </w:t>
      </w:r>
      <w:r w:rsidRPr="00DD477A">
        <w:t xml:space="preserve">SigBox </w:t>
      </w:r>
      <w:r>
        <w:t>can be utilised to transfer your soft copy deliverables to Finance.</w:t>
      </w:r>
    </w:p>
    <w:p w14:paraId="5AE366DE" w14:textId="173EC2E2" w:rsidR="00C83984" w:rsidDel="00C83984" w:rsidRDefault="00C83984" w:rsidP="2F9DCA20">
      <w:pPr>
        <w:pStyle w:val="Bullet1"/>
      </w:pPr>
      <w:r>
        <w:t>P</w:t>
      </w:r>
      <w:r w:rsidRPr="00DD477A">
        <w:t xml:space="preserve">lease contact the Accounting Framework and Capability Support Team in Finance by </w:t>
      </w:r>
      <w:r>
        <w:rPr>
          <w:b/>
          <w:bCs/>
        </w:rPr>
        <w:t>Mon</w:t>
      </w:r>
      <w:r w:rsidRPr="00DD477A">
        <w:rPr>
          <w:b/>
          <w:bCs/>
        </w:rPr>
        <w:t>day, </w:t>
      </w:r>
      <w:r>
        <w:rPr>
          <w:b/>
          <w:bCs/>
        </w:rPr>
        <w:t>4</w:t>
      </w:r>
      <w:r w:rsidRPr="00DD477A">
        <w:rPr>
          <w:b/>
          <w:bCs/>
        </w:rPr>
        <w:t> M</w:t>
      </w:r>
      <w:r>
        <w:rPr>
          <w:b/>
          <w:bCs/>
        </w:rPr>
        <w:t>ay</w:t>
      </w:r>
      <w:r w:rsidRPr="00DD477A">
        <w:rPr>
          <w:b/>
          <w:bCs/>
        </w:rPr>
        <w:t> 202</w:t>
      </w:r>
      <w:r>
        <w:rPr>
          <w:b/>
          <w:bCs/>
        </w:rPr>
        <w:t>6</w:t>
      </w:r>
      <w:r w:rsidRPr="00DD477A">
        <w:t xml:space="preserve"> </w:t>
      </w:r>
      <w:hyperlink r:id="rId30">
        <w:r w:rsidRPr="00DD477A">
          <w:rPr>
            <w:rStyle w:val="Hyperlink"/>
          </w:rPr>
          <w:t>budget_framework@finance.gov.au</w:t>
        </w:r>
      </w:hyperlink>
      <w:r w:rsidRPr="00DD477A">
        <w:t xml:space="preserve"> </w:t>
      </w:r>
      <w:r>
        <w:t>in order to be set-up with access to this system.</w:t>
      </w:r>
      <w:bookmarkStart w:id="602" w:name="_Toc219449430"/>
      <w:bookmarkEnd w:id="602"/>
    </w:p>
    <w:p w14:paraId="13F39F62" w14:textId="0C8F008F" w:rsidR="005A54D0" w:rsidRPr="0014243A" w:rsidDel="00C83984" w:rsidRDefault="00CA5DA9" w:rsidP="0014243A">
      <w:r w:rsidRPr="005A54D0">
        <w:t>SigBox</w:t>
      </w:r>
      <w:r w:rsidR="005A54D0" w:rsidRPr="005A54D0">
        <w:t xml:space="preserve"> is also separately used by the Department of Treasury and by CanPrint as well. </w:t>
      </w:r>
      <w:r w:rsidR="00415467" w:rsidRPr="005A54D0">
        <w:t>You will</w:t>
      </w:r>
      <w:r w:rsidR="005A54D0" w:rsidRPr="005A54D0">
        <w:t xml:space="preserve"> have to contact </w:t>
      </w:r>
      <w:r w:rsidR="009D5E40" w:rsidRPr="005A54D0">
        <w:t>CanPrint</w:t>
      </w:r>
      <w:r w:rsidR="005A54D0" w:rsidRPr="005A54D0">
        <w:t xml:space="preserve"> and Treasury’s Creative Services team separately if you wish to utilise their </w:t>
      </w:r>
      <w:r w:rsidRPr="005A54D0">
        <w:t>SigBox</w:t>
      </w:r>
      <w:r w:rsidR="005A54D0" w:rsidRPr="005A54D0">
        <w:t xml:space="preserve"> accounts for file transfer purposes.</w:t>
      </w:r>
    </w:p>
    <w:p w14:paraId="13B1A9E9" w14:textId="3AC81280" w:rsidR="00A14EAF" w:rsidRPr="00DD477A" w:rsidRDefault="00A14EAF" w:rsidP="0014243A">
      <w:pPr>
        <w:pStyle w:val="Heading2"/>
        <w:contextualSpacing w:val="0"/>
      </w:pPr>
      <w:bookmarkStart w:id="603" w:name="_Toc219278775"/>
      <w:bookmarkStart w:id="604" w:name="_Toc219278974"/>
      <w:bookmarkStart w:id="605" w:name="_Toc219449431"/>
      <w:bookmarkStart w:id="606" w:name="_Toc222147955"/>
      <w:bookmarkStart w:id="607" w:name="_Toc222148217"/>
      <w:bookmarkStart w:id="608" w:name="_Toc222148446"/>
      <w:bookmarkStart w:id="609" w:name="_Toc222148671"/>
      <w:bookmarkStart w:id="610" w:name="_Toc222148899"/>
      <w:bookmarkStart w:id="611" w:name="_Toc222149127"/>
      <w:bookmarkStart w:id="612" w:name="_Toc222149355"/>
      <w:bookmarkStart w:id="613" w:name="_Toc222149584"/>
      <w:bookmarkStart w:id="614" w:name="_Toc222150051"/>
      <w:bookmarkStart w:id="615" w:name="_Toc222150277"/>
      <w:bookmarkStart w:id="616" w:name="_Ref222319663"/>
      <w:bookmarkStart w:id="617" w:name="_Ref222319671"/>
      <w:bookmarkStart w:id="618" w:name="_Toc227748995"/>
      <w:bookmarkEnd w:id="603"/>
      <w:bookmarkEnd w:id="604"/>
      <w:bookmarkEnd w:id="605"/>
      <w:bookmarkEnd w:id="606"/>
      <w:bookmarkEnd w:id="607"/>
      <w:bookmarkEnd w:id="608"/>
      <w:bookmarkEnd w:id="609"/>
      <w:bookmarkEnd w:id="610"/>
      <w:bookmarkEnd w:id="611"/>
      <w:bookmarkEnd w:id="612"/>
      <w:bookmarkEnd w:id="613"/>
      <w:bookmarkEnd w:id="614"/>
      <w:bookmarkEnd w:id="615"/>
      <w:r w:rsidRPr="00DD477A">
        <w:t>Budget media lockup hard copy and PDF requirements</w:t>
      </w:r>
      <w:bookmarkEnd w:id="616"/>
      <w:bookmarkEnd w:id="617"/>
      <w:bookmarkEnd w:id="618"/>
    </w:p>
    <w:p w14:paraId="21D003CC" w14:textId="77777777" w:rsidR="00A14EAF" w:rsidRPr="00DD477A" w:rsidRDefault="00A14EAF" w:rsidP="00A14EAF">
      <w:pPr>
        <w:rPr>
          <w:rFonts w:cs="Calibri"/>
        </w:rPr>
      </w:pPr>
      <w:r w:rsidRPr="00DD477A">
        <w:rPr>
          <w:rFonts w:cs="Calibri"/>
        </w:rPr>
        <w:t>Portfolios are to supply both printed and PDF copies of their PB Statements for media access in the Budget lockup.</w:t>
      </w:r>
    </w:p>
    <w:p w14:paraId="442E6CC5" w14:textId="29218BB4" w:rsidR="00A14EAF" w:rsidRPr="00DD477A" w:rsidRDefault="00A14EAF" w:rsidP="00A14EAF">
      <w:pPr>
        <w:suppressAutoHyphens w:val="0"/>
        <w:spacing w:before="120" w:after="120" w:line="264" w:lineRule="auto"/>
        <w:ind w:right="272"/>
        <w:rPr>
          <w:rFonts w:eastAsia="Cambria" w:cs="Calibri"/>
        </w:rPr>
      </w:pPr>
      <w:r w:rsidRPr="00DD477A">
        <w:rPr>
          <w:rFonts w:eastAsia="Cambria" w:cs="Calibri"/>
        </w:rPr>
        <w:t xml:space="preserve">Portfolios </w:t>
      </w:r>
      <w:r w:rsidR="0088199F">
        <w:rPr>
          <w:rFonts w:eastAsia="Cambria" w:cs="Calibri"/>
        </w:rPr>
        <w:t>must</w:t>
      </w:r>
      <w:r w:rsidRPr="00DD477A">
        <w:rPr>
          <w:rFonts w:eastAsia="Cambria" w:cs="Calibri"/>
        </w:rPr>
        <w:t xml:space="preserve"> email PDF copies of their full PB Statements by </w:t>
      </w:r>
      <w:r w:rsidR="00052E7C">
        <w:rPr>
          <w:rFonts w:eastAsia="Cambria" w:cs="Calibri"/>
          <w:b/>
          <w:bCs/>
        </w:rPr>
        <w:t>9am</w:t>
      </w:r>
      <w:r w:rsidRPr="00DD477A">
        <w:rPr>
          <w:rFonts w:eastAsia="Cambria" w:cs="Calibri"/>
          <w:b/>
          <w:bCs/>
        </w:rPr>
        <w:t xml:space="preserve"> </w:t>
      </w:r>
      <w:r w:rsidRPr="00DD477A">
        <w:rPr>
          <w:rFonts w:eastAsia="Cambria" w:cs="Calibri"/>
          <w:b/>
        </w:rPr>
        <w:t>Monday,</w:t>
      </w:r>
      <w:r w:rsidRPr="00DD477A">
        <w:rPr>
          <w:rFonts w:eastAsia="Cambria" w:cs="Calibri"/>
          <w:b/>
          <w:bCs/>
        </w:rPr>
        <w:t xml:space="preserve"> </w:t>
      </w:r>
      <w:r w:rsidR="00176157">
        <w:rPr>
          <w:rFonts w:eastAsia="Cambria" w:cs="Calibri"/>
          <w:b/>
          <w:bCs/>
        </w:rPr>
        <w:t>11</w:t>
      </w:r>
      <w:r w:rsidR="00014C36" w:rsidRPr="00DD477A">
        <w:rPr>
          <w:rFonts w:eastAsia="Cambria" w:cs="Calibri"/>
          <w:b/>
        </w:rPr>
        <w:t> </w:t>
      </w:r>
      <w:r w:rsidR="00014C36">
        <w:rPr>
          <w:rFonts w:eastAsia="Cambria" w:cs="Calibri"/>
          <w:b/>
        </w:rPr>
        <w:t>Ma</w:t>
      </w:r>
      <w:r w:rsidR="00176157">
        <w:rPr>
          <w:rFonts w:eastAsia="Cambria" w:cs="Calibri"/>
          <w:b/>
        </w:rPr>
        <w:t>y</w:t>
      </w:r>
      <w:r w:rsidRPr="00DD477A">
        <w:rPr>
          <w:rFonts w:eastAsia="Cambria" w:cs="Calibri"/>
          <w:b/>
        </w:rPr>
        <w:t xml:space="preserve"> </w:t>
      </w:r>
      <w:r w:rsidR="00014C36">
        <w:rPr>
          <w:rFonts w:eastAsia="Cambria" w:cs="Calibri"/>
          <w:b/>
        </w:rPr>
        <w:t>202</w:t>
      </w:r>
      <w:r w:rsidR="00176157">
        <w:rPr>
          <w:rFonts w:eastAsia="Cambria" w:cs="Calibri"/>
          <w:b/>
        </w:rPr>
        <w:t>6</w:t>
      </w:r>
      <w:r w:rsidRPr="00DD477A">
        <w:rPr>
          <w:rFonts w:eastAsia="Cambria" w:cs="Calibri"/>
          <w:b/>
          <w:bCs/>
        </w:rPr>
        <w:t xml:space="preserve"> </w:t>
      </w:r>
      <w:r w:rsidRPr="00DD477A">
        <w:rPr>
          <w:rFonts w:eastAsia="Cambria" w:cs="Calibri"/>
        </w:rPr>
        <w:t xml:space="preserve">via </w:t>
      </w:r>
      <w:r w:rsidRPr="00DD477A">
        <w:rPr>
          <w:rFonts w:eastAsia="Cambria" w:cs="Calibri"/>
          <w:b/>
          <w:bCs/>
        </w:rPr>
        <w:t>Protected-rated email</w:t>
      </w:r>
      <w:r w:rsidRPr="00DD477A">
        <w:rPr>
          <w:rFonts w:eastAsia="Cambria" w:cs="Calibri"/>
        </w:rPr>
        <w:t xml:space="preserve"> to:</w:t>
      </w:r>
    </w:p>
    <w:p w14:paraId="440F9C3B" w14:textId="70D16F8C" w:rsidR="00A14EAF" w:rsidRPr="00DD477A" w:rsidRDefault="00A14EAF" w:rsidP="00237D6A">
      <w:pPr>
        <w:pStyle w:val="Bullet1"/>
      </w:pPr>
      <w:r w:rsidRPr="00DD477A">
        <w:t xml:space="preserve">Finance by emailing the </w:t>
      </w:r>
      <w:hyperlink r:id="rId31" w:history="1">
        <w:r w:rsidR="00BA68AD" w:rsidRPr="00F07183">
          <w:rPr>
            <w:rStyle w:val="Hyperlink"/>
            <w:rFonts w:cs="Calibri"/>
          </w:rPr>
          <w:t>budgetcommunications@treasury.gov.au</w:t>
        </w:r>
      </w:hyperlink>
      <w:r w:rsidRPr="00DD477A">
        <w:t xml:space="preserve"> mailbox</w:t>
      </w:r>
    </w:p>
    <w:p w14:paraId="335F373B" w14:textId="06F9535B" w:rsidR="00A14EAF" w:rsidRDefault="00A14EAF" w:rsidP="00A85E0D">
      <w:r w:rsidRPr="00DD477A">
        <w:t xml:space="preserve">Please contact </w:t>
      </w:r>
      <w:hyperlink r:id="rId32">
        <w:r w:rsidRPr="00DD477A">
          <w:rPr>
            <w:rStyle w:val="Hyperlink"/>
          </w:rPr>
          <w:t>budget_framework@finance.gov.au</w:t>
        </w:r>
      </w:hyperlink>
      <w:r w:rsidRPr="00DD477A">
        <w:t xml:space="preserve"> should your Portfolio not have Protected-rated email.</w:t>
      </w:r>
    </w:p>
    <w:p w14:paraId="07596B5C" w14:textId="55ECC6CB" w:rsidR="004119AE" w:rsidRPr="00DD477A" w:rsidRDefault="004119AE" w:rsidP="00A85E0D">
      <w:r w:rsidRPr="00DD477A">
        <w:t>Finance will provide these PDF files to the Senate Tabling Office</w:t>
      </w:r>
      <w:r>
        <w:t>.</w:t>
      </w:r>
    </w:p>
    <w:p w14:paraId="2F9CC2B8" w14:textId="21030638" w:rsidR="00A14EAF" w:rsidRPr="00DD477A" w:rsidRDefault="00A14EAF" w:rsidP="00D87F7C">
      <w:r w:rsidRPr="00DD477A">
        <w:br w:type="page"/>
      </w:r>
    </w:p>
    <w:p w14:paraId="6522C327" w14:textId="77777777" w:rsidR="006F5B7C" w:rsidRPr="00DD477A" w:rsidRDefault="006F5B7C" w:rsidP="003D6589">
      <w:pPr>
        <w:pStyle w:val="Heading2"/>
      </w:pPr>
      <w:bookmarkStart w:id="619" w:name="_Toc227748996"/>
      <w:r w:rsidRPr="00DD477A">
        <w:t>Number of books</w:t>
      </w:r>
      <w:bookmarkEnd w:id="619"/>
    </w:p>
    <w:tbl>
      <w:tblPr>
        <w:tblW w:w="9351" w:type="dxa"/>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6799"/>
        <w:gridCol w:w="2552"/>
      </w:tblGrid>
      <w:tr w:rsidR="006F5B7C" w:rsidRPr="00DD477A" w14:paraId="24DAF1D5" w14:textId="77777777" w:rsidTr="0014243A">
        <w:tc>
          <w:tcPr>
            <w:tcW w:w="9351" w:type="dxa"/>
            <w:gridSpan w:val="2"/>
            <w:shd w:val="clear" w:color="auto" w:fill="DDF3FA"/>
          </w:tcPr>
          <w:p w14:paraId="0C1D9570" w14:textId="77777777" w:rsidR="00534A53" w:rsidRPr="00C177A9" w:rsidRDefault="00534A53" w:rsidP="00534A53">
            <w:pPr>
              <w:pStyle w:val="TableText-Medium"/>
              <w:rPr>
                <w:b/>
                <w:bCs/>
                <w:sz w:val="22"/>
                <w:szCs w:val="22"/>
              </w:rPr>
            </w:pPr>
            <w:r w:rsidRPr="00C177A9">
              <w:rPr>
                <w:b/>
                <w:bCs/>
                <w:sz w:val="22"/>
                <w:szCs w:val="22"/>
              </w:rPr>
              <w:t>Part 1: Parliament House and Finance Copies</w:t>
            </w:r>
          </w:p>
          <w:p w14:paraId="01A59932" w14:textId="2FBEF6BF" w:rsidR="006F5B7C" w:rsidRPr="00DD477A" w:rsidRDefault="006F5B7C" w:rsidP="000A77C7">
            <w:pPr>
              <w:pStyle w:val="TableText-Normal"/>
              <w:rPr>
                <w:rFonts w:cs="Calibri"/>
                <w:b/>
                <w:bCs/>
              </w:rPr>
            </w:pPr>
            <w:r w:rsidRPr="00DD477A">
              <w:rPr>
                <w:rFonts w:cs="Calibri"/>
                <w:b/>
                <w:bCs/>
              </w:rPr>
              <w:t xml:space="preserve">For delivery by 4:30pm Monday, </w:t>
            </w:r>
            <w:r w:rsidR="00355125">
              <w:rPr>
                <w:rFonts w:cs="Calibri"/>
                <w:b/>
                <w:bCs/>
              </w:rPr>
              <w:t>11</w:t>
            </w:r>
            <w:r w:rsidR="00014C36">
              <w:rPr>
                <w:rFonts w:cs="Calibri"/>
                <w:b/>
                <w:bCs/>
              </w:rPr>
              <w:t xml:space="preserve"> Ma</w:t>
            </w:r>
            <w:r w:rsidR="00355125">
              <w:rPr>
                <w:rFonts w:cs="Calibri"/>
                <w:b/>
                <w:bCs/>
              </w:rPr>
              <w:t>y</w:t>
            </w:r>
            <w:r w:rsidR="00014C36">
              <w:rPr>
                <w:rFonts w:cs="Calibri"/>
                <w:b/>
                <w:bCs/>
              </w:rPr>
              <w:t xml:space="preserve"> 202</w:t>
            </w:r>
            <w:r w:rsidR="00F47231">
              <w:rPr>
                <w:rFonts w:cs="Calibri"/>
                <w:b/>
                <w:bCs/>
              </w:rPr>
              <w:t>6</w:t>
            </w:r>
            <w:r w:rsidRPr="00DD477A">
              <w:rPr>
                <w:rFonts w:cs="Calibri"/>
                <w:b/>
                <w:bCs/>
              </w:rPr>
              <w:t xml:space="preserve"> (</w:t>
            </w:r>
            <w:r w:rsidRPr="00B968DC">
              <w:rPr>
                <w:rFonts w:cs="Calibri"/>
                <w:b/>
                <w:bCs/>
              </w:rPr>
              <w:t xml:space="preserve">minimum </w:t>
            </w:r>
            <w:r w:rsidR="00C4633A">
              <w:rPr>
                <w:rFonts w:cs="Calibri"/>
                <w:b/>
                <w:bCs/>
              </w:rPr>
              <w:t>10</w:t>
            </w:r>
            <w:r w:rsidR="00F57DEE">
              <w:rPr>
                <w:rFonts w:cs="Calibri"/>
                <w:b/>
                <w:bCs/>
              </w:rPr>
              <w:t>1</w:t>
            </w:r>
            <w:r w:rsidR="00014C36" w:rsidRPr="00B968DC">
              <w:rPr>
                <w:rFonts w:cs="Calibri"/>
                <w:b/>
                <w:bCs/>
              </w:rPr>
              <w:t xml:space="preserve"> </w:t>
            </w:r>
            <w:r w:rsidRPr="00B968DC">
              <w:rPr>
                <w:rFonts w:cs="Calibri"/>
                <w:b/>
                <w:bCs/>
              </w:rPr>
              <w:t>copies</w:t>
            </w:r>
            <w:r w:rsidRPr="00DD477A">
              <w:rPr>
                <w:rFonts w:cs="Calibri"/>
                <w:b/>
                <w:bCs/>
              </w:rPr>
              <w:t>)</w:t>
            </w:r>
          </w:p>
          <w:p w14:paraId="48F2C777" w14:textId="456B9A4F" w:rsidR="006F5B7C" w:rsidRPr="00DD477A" w:rsidRDefault="006F5B7C" w:rsidP="000A77C7">
            <w:pPr>
              <w:pStyle w:val="TableText-Normal"/>
              <w:rPr>
                <w:rFonts w:cs="Calibri"/>
              </w:rPr>
            </w:pPr>
            <w:r w:rsidRPr="00DD477A">
              <w:rPr>
                <w:rFonts w:cs="Calibri"/>
                <w:b/>
                <w:bCs/>
              </w:rPr>
              <w:t>Treasury will separately advise</w:t>
            </w:r>
            <w:r w:rsidRPr="00DD477A">
              <w:rPr>
                <w:rFonts w:cs="Calibri"/>
              </w:rPr>
              <w:t xml:space="preserve"> portfolio departments on the delivery arrangements (including book number required) for the Treasury</w:t>
            </w:r>
            <w:r w:rsidRPr="00DD477A">
              <w:rPr>
                <w:rFonts w:cs="Calibri"/>
                <w:b/>
                <w:bCs/>
              </w:rPr>
              <w:t xml:space="preserve"> media</w:t>
            </w:r>
            <w:r w:rsidRPr="00DD477A">
              <w:rPr>
                <w:rFonts w:cs="Calibri"/>
              </w:rPr>
              <w:t xml:space="preserve"> and </w:t>
            </w:r>
            <w:r w:rsidRPr="00DD477A">
              <w:rPr>
                <w:rFonts w:cs="Calibri"/>
                <w:b/>
                <w:bCs/>
              </w:rPr>
              <w:t>stakeholder</w:t>
            </w:r>
            <w:r w:rsidRPr="00DD477A">
              <w:rPr>
                <w:rFonts w:cs="Calibri"/>
              </w:rPr>
              <w:t xml:space="preserve"> budget lockups once the format for the </w:t>
            </w:r>
            <w:r w:rsidR="00DC026B">
              <w:rPr>
                <w:rFonts w:cs="Calibri"/>
              </w:rPr>
              <w:t>2026</w:t>
            </w:r>
            <w:r w:rsidR="00C917CE">
              <w:rPr>
                <w:rFonts w:cs="Calibri"/>
              </w:rPr>
              <w:t>–</w:t>
            </w:r>
            <w:r w:rsidR="00DC026B">
              <w:rPr>
                <w:rFonts w:cs="Calibri"/>
              </w:rPr>
              <w:t>27</w:t>
            </w:r>
            <w:r w:rsidRPr="00DD477A">
              <w:rPr>
                <w:rFonts w:cs="Calibri"/>
              </w:rPr>
              <w:t> Budget</w:t>
            </w:r>
            <w:r w:rsidR="00F25C75" w:rsidRPr="00DD477A">
              <w:rPr>
                <w:rFonts w:cs="Calibri"/>
              </w:rPr>
              <w:t>’s presentation</w:t>
            </w:r>
            <w:r w:rsidRPr="00DD477A">
              <w:rPr>
                <w:rFonts w:cs="Calibri"/>
              </w:rPr>
              <w:t xml:space="preserve"> </w:t>
            </w:r>
            <w:r w:rsidR="00F25C75" w:rsidRPr="00DD477A">
              <w:rPr>
                <w:rFonts w:cs="Calibri"/>
              </w:rPr>
              <w:t>has been</w:t>
            </w:r>
            <w:r w:rsidRPr="00DD477A">
              <w:rPr>
                <w:rFonts w:cs="Calibri"/>
              </w:rPr>
              <w:t xml:space="preserve"> </w:t>
            </w:r>
            <w:r w:rsidR="00F25C75" w:rsidRPr="00DD477A">
              <w:rPr>
                <w:rFonts w:cs="Calibri"/>
              </w:rPr>
              <w:t>determined</w:t>
            </w:r>
          </w:p>
        </w:tc>
      </w:tr>
      <w:tr w:rsidR="006F5B7C" w:rsidRPr="00DD477A" w14:paraId="52EB21CD" w14:textId="77777777" w:rsidTr="0014243A">
        <w:tc>
          <w:tcPr>
            <w:tcW w:w="6799" w:type="dxa"/>
          </w:tcPr>
          <w:p w14:paraId="7E7C2FE6" w14:textId="77777777" w:rsidR="006F5B7C" w:rsidRPr="00B8531F" w:rsidRDefault="006F5B7C" w:rsidP="000A77C7">
            <w:pPr>
              <w:pStyle w:val="TableText-Normal"/>
              <w:rPr>
                <w:rFonts w:cs="Calibri"/>
                <w:szCs w:val="22"/>
              </w:rPr>
            </w:pPr>
            <w:r w:rsidRPr="00B8531F">
              <w:rPr>
                <w:rFonts w:cs="Calibri"/>
                <w:szCs w:val="22"/>
              </w:rPr>
              <w:t>Parliament House:</w:t>
            </w:r>
          </w:p>
          <w:p w14:paraId="7D467B3E" w14:textId="4C0BADDA" w:rsidR="006F5B7C" w:rsidRPr="00B8531F" w:rsidRDefault="006F5B7C" w:rsidP="000A77C7">
            <w:pPr>
              <w:pStyle w:val="TableText-Normal"/>
              <w:tabs>
                <w:tab w:val="left" w:pos="709"/>
              </w:tabs>
              <w:ind w:left="851"/>
              <w:contextualSpacing/>
              <w:rPr>
                <w:rFonts w:cs="Calibri"/>
                <w:szCs w:val="22"/>
              </w:rPr>
            </w:pPr>
            <w:r w:rsidRPr="00B8531F">
              <w:rPr>
                <w:rFonts w:cs="Calibri"/>
                <w:szCs w:val="22"/>
              </w:rPr>
              <w:t>Documents Officer – Senate Table Office, Room SG 25</w:t>
            </w:r>
            <w:r w:rsidRPr="00B8531F">
              <w:rPr>
                <w:rFonts w:cs="Calibri"/>
                <w:szCs w:val="22"/>
              </w:rPr>
              <w:br/>
              <w:t>Department of the Senate</w:t>
            </w:r>
            <w:r w:rsidRPr="00B8531F">
              <w:rPr>
                <w:rFonts w:cs="Calibri"/>
                <w:szCs w:val="22"/>
              </w:rPr>
              <w:br/>
              <w:t>Parliament House</w:t>
            </w:r>
            <w:r w:rsidRPr="00B8531F">
              <w:rPr>
                <w:rFonts w:cs="Calibri"/>
                <w:szCs w:val="22"/>
              </w:rPr>
              <w:br/>
              <w:t>CANBERRA ACT 2600</w:t>
            </w:r>
            <w:r w:rsidRPr="00B8531F">
              <w:rPr>
                <w:rFonts w:cs="Calibri"/>
                <w:szCs w:val="22"/>
              </w:rPr>
              <w:br/>
              <w:t>(02) 6277 3010</w:t>
            </w:r>
          </w:p>
          <w:p w14:paraId="13F300EC" w14:textId="77777777" w:rsidR="006F5B7C" w:rsidRPr="00B8531F" w:rsidRDefault="006F5B7C" w:rsidP="000A77C7">
            <w:pPr>
              <w:pStyle w:val="TableText-Normal"/>
              <w:rPr>
                <w:rFonts w:cs="Calibri"/>
                <w:szCs w:val="22"/>
              </w:rPr>
            </w:pPr>
            <w:r w:rsidRPr="00B8531F">
              <w:rPr>
                <w:rFonts w:cs="Calibri"/>
                <w:szCs w:val="22"/>
              </w:rPr>
              <w:t xml:space="preserve">The books </w:t>
            </w:r>
            <w:r w:rsidRPr="00B8531F">
              <w:rPr>
                <w:rFonts w:cs="Calibri"/>
                <w:szCs w:val="22"/>
                <w:u w:val="single"/>
              </w:rPr>
              <w:t>must</w:t>
            </w:r>
            <w:r w:rsidRPr="00B8531F">
              <w:rPr>
                <w:rFonts w:cs="Calibri"/>
                <w:szCs w:val="22"/>
              </w:rPr>
              <w:t xml:space="preserve"> be separately boxed as follows:</w:t>
            </w:r>
          </w:p>
          <w:p w14:paraId="6C7719E6" w14:textId="77196646" w:rsidR="006F5B7C" w:rsidRPr="00B02A88" w:rsidRDefault="002363BC" w:rsidP="0014243A">
            <w:pPr>
              <w:pStyle w:val="TableText-Medium-DotPoints"/>
              <w:rPr>
                <w:szCs w:val="22"/>
              </w:rPr>
            </w:pPr>
            <w:r w:rsidRPr="0014243A">
              <w:rPr>
                <w:sz w:val="22"/>
                <w:szCs w:val="22"/>
              </w:rPr>
              <w:t>4</w:t>
            </w:r>
            <w:r w:rsidR="00014C36" w:rsidRPr="0014243A">
              <w:rPr>
                <w:sz w:val="22"/>
                <w:szCs w:val="22"/>
              </w:rPr>
              <w:t xml:space="preserve">0 </w:t>
            </w:r>
            <w:r w:rsidR="006F5B7C" w:rsidRPr="0014243A">
              <w:rPr>
                <w:sz w:val="22"/>
                <w:szCs w:val="22"/>
              </w:rPr>
              <w:t>copies – Senate</w:t>
            </w:r>
          </w:p>
          <w:p w14:paraId="3029874A" w14:textId="77777777" w:rsidR="006F5B7C" w:rsidRPr="00B02A88" w:rsidRDefault="006F5B7C" w:rsidP="0014243A">
            <w:pPr>
              <w:pStyle w:val="TableText-Medium-DotPoints"/>
              <w:rPr>
                <w:szCs w:val="22"/>
              </w:rPr>
            </w:pPr>
            <w:r w:rsidRPr="0014243A">
              <w:rPr>
                <w:sz w:val="22"/>
                <w:szCs w:val="22"/>
              </w:rPr>
              <w:t>15 copies – House of Representatives</w:t>
            </w:r>
          </w:p>
          <w:p w14:paraId="4437E9BD" w14:textId="247582B8" w:rsidR="006F5B7C" w:rsidRPr="00B02A88" w:rsidRDefault="006F5B7C" w:rsidP="0014243A">
            <w:pPr>
              <w:pStyle w:val="TableText-Medium-DotPoints"/>
              <w:rPr>
                <w:szCs w:val="22"/>
              </w:rPr>
            </w:pPr>
            <w:r w:rsidRPr="0014243A">
              <w:rPr>
                <w:sz w:val="22"/>
                <w:szCs w:val="22"/>
              </w:rPr>
              <w:t>25 copies – Parliamentary Library</w:t>
            </w:r>
          </w:p>
          <w:p w14:paraId="19F2326D" w14:textId="079C3DA4" w:rsidR="00C1711C" w:rsidRPr="0014243A" w:rsidRDefault="006F5B7C" w:rsidP="000A77C7">
            <w:pPr>
              <w:pStyle w:val="TableText-Normal"/>
              <w:rPr>
                <w:rFonts w:cs="Calibri"/>
                <w:b/>
                <w:bCs/>
              </w:rPr>
            </w:pPr>
            <w:r w:rsidRPr="0014243A">
              <w:rPr>
                <w:rFonts w:cs="Calibri"/>
                <w:b/>
                <w:bCs/>
              </w:rPr>
              <w:t>Note:</w:t>
            </w:r>
          </w:p>
          <w:p w14:paraId="22EA5EC2" w14:textId="4ED7CCA0" w:rsidR="009F0B0E" w:rsidRPr="009F0B0E" w:rsidRDefault="009F0B0E" w:rsidP="0014243A">
            <w:pPr>
              <w:pStyle w:val="TableText-Medium-DotPoints"/>
            </w:pPr>
            <w:r w:rsidRPr="009F0B0E">
              <w:t xml:space="preserve">Books for Parliament House are to be delivered to a single location – the </w:t>
            </w:r>
            <w:r w:rsidRPr="0014243A">
              <w:rPr>
                <w:b/>
                <w:bCs/>
              </w:rPr>
              <w:t>Senate Table Office</w:t>
            </w:r>
            <w:r w:rsidRPr="009F0B0E">
              <w:t xml:space="preserve">, which will arrange for the books to be distributed to recipients. </w:t>
            </w:r>
            <w:r w:rsidRPr="0014243A">
              <w:rPr>
                <w:b/>
                <w:bCs/>
              </w:rPr>
              <w:t>Do not leave</w:t>
            </w:r>
            <w:r w:rsidRPr="009F0B0E">
              <w:t xml:space="preserve"> </w:t>
            </w:r>
            <w:r w:rsidR="000D5E12">
              <w:t>your</w:t>
            </w:r>
            <w:r w:rsidRPr="009F0B0E">
              <w:t xml:space="preserve"> books at the loading Dock</w:t>
            </w:r>
            <w:r>
              <w:t xml:space="preserve">, </w:t>
            </w:r>
            <w:r w:rsidR="00415467">
              <w:t>you will</w:t>
            </w:r>
            <w:r>
              <w:t xml:space="preserve"> need to advise the Se</w:t>
            </w:r>
            <w:r w:rsidR="000D5E12">
              <w:t>nate Tabling Office of your arrival and arrange for someone to collect your books.</w:t>
            </w:r>
          </w:p>
          <w:p w14:paraId="75DD7D8C" w14:textId="1A704920" w:rsidR="006F5B7C" w:rsidRPr="00C1711C" w:rsidRDefault="009F0B0E" w:rsidP="0014243A">
            <w:pPr>
              <w:pStyle w:val="TableText-Medium-DotPoints"/>
            </w:pPr>
            <w:r w:rsidRPr="009F0B0E">
              <w:t xml:space="preserve">Portfolios utilising CanPrint’s services they </w:t>
            </w:r>
            <w:r w:rsidRPr="0014243A">
              <w:rPr>
                <w:b/>
                <w:bCs/>
              </w:rPr>
              <w:t>will</w:t>
            </w:r>
            <w:r w:rsidRPr="009F0B0E">
              <w:t xml:space="preserve"> </w:t>
            </w:r>
            <w:r w:rsidRPr="0014243A">
              <w:rPr>
                <w:b/>
                <w:bCs/>
              </w:rPr>
              <w:t>deliver your copies to Parliament House</w:t>
            </w:r>
            <w:r w:rsidRPr="009F0B0E">
              <w:t xml:space="preserve"> on </w:t>
            </w:r>
            <w:r w:rsidR="00757360">
              <w:t>your behalf</w:t>
            </w:r>
            <w:r w:rsidRPr="009F0B0E">
              <w:t>.</w:t>
            </w:r>
          </w:p>
        </w:tc>
        <w:tc>
          <w:tcPr>
            <w:tcW w:w="2552" w:type="dxa"/>
          </w:tcPr>
          <w:p w14:paraId="4D26572C" w14:textId="60B20B98" w:rsidR="006F5B7C" w:rsidRPr="00DD477A" w:rsidRDefault="00C4633A" w:rsidP="000A77C7">
            <w:pPr>
              <w:pStyle w:val="TableText-Normal"/>
              <w:rPr>
                <w:rFonts w:cs="Calibri"/>
              </w:rPr>
            </w:pPr>
            <w:r>
              <w:rPr>
                <w:rFonts w:cs="Calibri"/>
              </w:rPr>
              <w:t>8</w:t>
            </w:r>
            <w:r w:rsidR="00014C36" w:rsidRPr="00DD477A">
              <w:rPr>
                <w:rFonts w:cs="Calibri"/>
              </w:rPr>
              <w:t xml:space="preserve">0 </w:t>
            </w:r>
            <w:r w:rsidR="006F5B7C" w:rsidRPr="00DD477A">
              <w:rPr>
                <w:rFonts w:cs="Calibri"/>
              </w:rPr>
              <w:t>copies</w:t>
            </w:r>
            <w:r w:rsidR="006F5B7C" w:rsidRPr="00DD477A">
              <w:rPr>
                <w:rFonts w:cs="Calibri"/>
              </w:rPr>
              <w:br/>
            </w:r>
            <w:r w:rsidR="006F5B7C" w:rsidRPr="00DD477A">
              <w:rPr>
                <w:rFonts w:cs="Calibri"/>
              </w:rPr>
              <w:br/>
            </w:r>
            <w:r w:rsidR="006F5B7C" w:rsidRPr="00DD477A">
              <w:rPr>
                <w:rFonts w:cs="Calibri"/>
                <w:u w:val="single"/>
              </w:rPr>
              <w:t>Plus</w:t>
            </w:r>
            <w:r w:rsidR="006F5B7C" w:rsidRPr="00DD477A">
              <w:rPr>
                <w:rFonts w:cs="Calibri"/>
              </w:rPr>
              <w:br/>
            </w:r>
            <w:r w:rsidR="006F5B7C" w:rsidRPr="00DD477A">
              <w:rPr>
                <w:rFonts w:cs="Calibri"/>
              </w:rPr>
              <w:br/>
              <w:t xml:space="preserve">Books required for both the </w:t>
            </w:r>
            <w:r w:rsidR="006F5B7C" w:rsidRPr="00DD477A">
              <w:rPr>
                <w:rFonts w:cs="Calibri"/>
                <w:i/>
                <w:iCs/>
              </w:rPr>
              <w:t>Treasury media lockup</w:t>
            </w:r>
            <w:r w:rsidR="006F5B7C" w:rsidRPr="00DD477A">
              <w:rPr>
                <w:rFonts w:cs="Calibri"/>
              </w:rPr>
              <w:t xml:space="preserve"> and </w:t>
            </w:r>
            <w:r w:rsidR="006F5B7C" w:rsidRPr="00DD477A">
              <w:rPr>
                <w:rFonts w:cs="Calibri"/>
                <w:i/>
                <w:iCs/>
              </w:rPr>
              <w:t xml:space="preserve">Treasury stakeholder </w:t>
            </w:r>
            <w:r w:rsidR="006F5B7C" w:rsidRPr="00DD477A">
              <w:rPr>
                <w:rFonts w:cs="Calibri"/>
              </w:rPr>
              <w:t>lockup as advised by the Treasury</w:t>
            </w:r>
          </w:p>
        </w:tc>
      </w:tr>
      <w:tr w:rsidR="006F5B7C" w:rsidRPr="00DD477A" w14:paraId="4DE0C80C" w14:textId="77777777" w:rsidTr="0014243A">
        <w:tc>
          <w:tcPr>
            <w:tcW w:w="6799" w:type="dxa"/>
          </w:tcPr>
          <w:p w14:paraId="217CA81D" w14:textId="77777777" w:rsidR="006F5B7C" w:rsidRPr="00DD477A" w:rsidRDefault="006F5B7C" w:rsidP="000A77C7">
            <w:pPr>
              <w:pStyle w:val="TableText-Normal"/>
              <w:rPr>
                <w:rFonts w:cs="Calibri"/>
              </w:rPr>
            </w:pPr>
            <w:r w:rsidRPr="00DD477A">
              <w:rPr>
                <w:rFonts w:cs="Calibri"/>
              </w:rPr>
              <w:t>Department of Finance:</w:t>
            </w:r>
          </w:p>
          <w:p w14:paraId="464A36ED" w14:textId="77777777" w:rsidR="006F5B7C" w:rsidRPr="00DD477A" w:rsidRDefault="006F5B7C" w:rsidP="000A77C7">
            <w:pPr>
              <w:pStyle w:val="TableText-Normal"/>
              <w:ind w:left="851"/>
              <w:contextualSpacing/>
              <w:rPr>
                <w:rFonts w:cs="Calibri"/>
              </w:rPr>
            </w:pPr>
            <w:r w:rsidRPr="00DD477A">
              <w:rPr>
                <w:rFonts w:cs="Calibri"/>
              </w:rPr>
              <w:t>Accounting Framework and Capability Support Team</w:t>
            </w:r>
            <w:r w:rsidRPr="00DD477A">
              <w:rPr>
                <w:rFonts w:cs="Calibri"/>
              </w:rPr>
              <w:tab/>
            </w:r>
          </w:p>
          <w:p w14:paraId="702E3B47" w14:textId="77777777" w:rsidR="006F5B7C" w:rsidRPr="00DD477A" w:rsidRDefault="006F5B7C" w:rsidP="000A77C7">
            <w:pPr>
              <w:pStyle w:val="TableText-Normal"/>
              <w:ind w:left="851"/>
              <w:contextualSpacing/>
              <w:rPr>
                <w:rFonts w:cs="Calibri"/>
              </w:rPr>
            </w:pPr>
            <w:r w:rsidRPr="00DD477A">
              <w:rPr>
                <w:rFonts w:cs="Calibri"/>
              </w:rPr>
              <w:t>Financial Analysis, Reporting and Management</w:t>
            </w:r>
          </w:p>
          <w:p w14:paraId="38A4F626" w14:textId="77777777" w:rsidR="006F5B7C" w:rsidRPr="00DD477A" w:rsidRDefault="006F5B7C" w:rsidP="000A77C7">
            <w:pPr>
              <w:pStyle w:val="TableText-Normal"/>
              <w:ind w:left="851"/>
              <w:contextualSpacing/>
              <w:rPr>
                <w:rFonts w:cs="Calibri"/>
              </w:rPr>
            </w:pPr>
            <w:r w:rsidRPr="00DD477A">
              <w:rPr>
                <w:rFonts w:cs="Calibri"/>
              </w:rPr>
              <w:t>Department of Finance</w:t>
            </w:r>
          </w:p>
          <w:p w14:paraId="2B83E440" w14:textId="77777777" w:rsidR="006F5B7C" w:rsidRPr="00DD477A" w:rsidRDefault="006F5B7C" w:rsidP="000A77C7">
            <w:pPr>
              <w:pStyle w:val="TableText-Normal"/>
              <w:ind w:left="851"/>
              <w:contextualSpacing/>
              <w:rPr>
                <w:rFonts w:cs="Calibri"/>
              </w:rPr>
            </w:pPr>
            <w:r w:rsidRPr="00DD477A">
              <w:rPr>
                <w:rFonts w:cs="Calibri"/>
              </w:rPr>
              <w:t>One Canberra Avenue</w:t>
            </w:r>
          </w:p>
          <w:p w14:paraId="7DD839EC" w14:textId="77777777" w:rsidR="006F5B7C" w:rsidRPr="00DD477A" w:rsidRDefault="006F5B7C" w:rsidP="000A77C7">
            <w:pPr>
              <w:pStyle w:val="TableText-Normal"/>
              <w:ind w:left="851"/>
              <w:contextualSpacing/>
              <w:rPr>
                <w:rFonts w:cs="Calibri"/>
              </w:rPr>
            </w:pPr>
            <w:r w:rsidRPr="00DD477A">
              <w:rPr>
                <w:rFonts w:cs="Calibri"/>
              </w:rPr>
              <w:t>FORREST ACT 2600</w:t>
            </w:r>
          </w:p>
          <w:p w14:paraId="6B33084B" w14:textId="77777777" w:rsidR="006F5B7C" w:rsidRPr="0014243A" w:rsidRDefault="006F5B7C" w:rsidP="000A77C7">
            <w:pPr>
              <w:pStyle w:val="TableText-Normal"/>
              <w:rPr>
                <w:rFonts w:cs="Calibri"/>
                <w:b/>
                <w:bCs/>
              </w:rPr>
            </w:pPr>
            <w:r w:rsidRPr="0014243A">
              <w:rPr>
                <w:rFonts w:cs="Calibri"/>
                <w:b/>
                <w:bCs/>
              </w:rPr>
              <w:t>Note:</w:t>
            </w:r>
          </w:p>
          <w:p w14:paraId="4C686172" w14:textId="77777777" w:rsidR="00FE66E6" w:rsidRPr="00FE66E6" w:rsidRDefault="00FE66E6" w:rsidP="0014243A">
            <w:pPr>
              <w:pStyle w:val="TableText-Medium-DotPoints"/>
            </w:pPr>
            <w:r w:rsidRPr="00FE66E6">
              <w:t>CanPrint will deliver the copies to Finance on the portfolios’ behalf.</w:t>
            </w:r>
          </w:p>
          <w:p w14:paraId="60224CE7" w14:textId="51D54B64" w:rsidR="00FE66E6" w:rsidRDefault="00FE66E6" w:rsidP="0014243A">
            <w:pPr>
              <w:pStyle w:val="TableText-Medium-DotPoints"/>
            </w:pPr>
            <w:r w:rsidRPr="00FE66E6">
              <w:t xml:space="preserve">This allocation includes the copy for the Finance Secretary as required under the Requirement for Performance Information included in </w:t>
            </w:r>
            <w:r w:rsidR="00D01FCA">
              <w:t>PB Statements</w:t>
            </w:r>
            <w:r w:rsidRPr="00FE66E6">
              <w:t xml:space="preserve"> (Finance Secretary Direction under section 36(3) of the PGPA Act).</w:t>
            </w:r>
          </w:p>
          <w:p w14:paraId="4ABCE741" w14:textId="550A6C1D" w:rsidR="006F5B7C" w:rsidRPr="00DD477A" w:rsidRDefault="00FE66E6" w:rsidP="0014243A">
            <w:pPr>
              <w:pStyle w:val="TableText-Medium-DotPoints"/>
            </w:pPr>
            <w:r w:rsidRPr="00FE66E6">
              <w:t xml:space="preserve">For books provided to Finance, a number of copies are already pre allocated to your AAU. Entities </w:t>
            </w:r>
            <w:r w:rsidRPr="0014243A">
              <w:rPr>
                <w:b/>
                <w:bCs/>
              </w:rPr>
              <w:t>must not</w:t>
            </w:r>
            <w:r w:rsidRPr="00FE66E6">
              <w:t xml:space="preserve"> deliver </w:t>
            </w:r>
            <w:r w:rsidR="009D5E40">
              <w:t>PB Statements</w:t>
            </w:r>
            <w:r w:rsidRPr="00FE66E6">
              <w:t xml:space="preserve"> books that are under embargo to their AAU.</w:t>
            </w:r>
          </w:p>
        </w:tc>
        <w:tc>
          <w:tcPr>
            <w:tcW w:w="2552" w:type="dxa"/>
          </w:tcPr>
          <w:p w14:paraId="4C009855" w14:textId="0BE27CD7" w:rsidR="006F5B7C" w:rsidRPr="00DD477A" w:rsidRDefault="008603C3" w:rsidP="000A77C7">
            <w:pPr>
              <w:pStyle w:val="TableText-Normal"/>
              <w:rPr>
                <w:rFonts w:cs="Calibri"/>
              </w:rPr>
            </w:pPr>
            <w:r>
              <w:rPr>
                <w:rFonts w:cs="Calibri"/>
              </w:rPr>
              <w:t>2</w:t>
            </w:r>
            <w:r w:rsidR="00A84FDF">
              <w:rPr>
                <w:rFonts w:cs="Calibri"/>
              </w:rPr>
              <w:t>1</w:t>
            </w:r>
            <w:r w:rsidR="00014C36" w:rsidRPr="00DD477A">
              <w:rPr>
                <w:rFonts w:cs="Calibri"/>
              </w:rPr>
              <w:t xml:space="preserve"> </w:t>
            </w:r>
            <w:r w:rsidR="006F5B7C" w:rsidRPr="00DD477A">
              <w:rPr>
                <w:rFonts w:cs="Calibri"/>
              </w:rPr>
              <w:t>copies</w:t>
            </w:r>
          </w:p>
        </w:tc>
      </w:tr>
      <w:tr w:rsidR="00434F0D" w:rsidRPr="00DD477A" w14:paraId="59312325" w14:textId="77777777" w:rsidTr="0014243A">
        <w:trPr>
          <w:trHeight w:val="2233"/>
        </w:trPr>
        <w:tc>
          <w:tcPr>
            <w:tcW w:w="6799" w:type="dxa"/>
          </w:tcPr>
          <w:p w14:paraId="264203A5" w14:textId="4C9B7FED" w:rsidR="00434F0D" w:rsidRDefault="00434F0D" w:rsidP="000A77C7">
            <w:pPr>
              <w:pStyle w:val="TableText-Normal"/>
              <w:rPr>
                <w:rFonts w:cs="Calibri"/>
              </w:rPr>
            </w:pPr>
            <w:r w:rsidRPr="00DD477A">
              <w:rPr>
                <w:rFonts w:cs="Calibri"/>
              </w:rPr>
              <w:t>Your Portfolio Minister and advisors (following the minister’s sign-off on the final PB Statement)</w:t>
            </w:r>
            <w:r w:rsidR="006E0B01">
              <w:rPr>
                <w:rFonts w:cs="Calibri"/>
              </w:rPr>
              <w:t>.</w:t>
            </w:r>
          </w:p>
          <w:p w14:paraId="740841D6" w14:textId="77777777" w:rsidR="00434F0D" w:rsidRPr="00DD477A" w:rsidRDefault="00434F0D" w:rsidP="000A77C7">
            <w:pPr>
              <w:pStyle w:val="TableText-Normal"/>
              <w:rPr>
                <w:rFonts w:cs="Calibri"/>
              </w:rPr>
            </w:pPr>
          </w:p>
          <w:p w14:paraId="43676607" w14:textId="0B96FA9F" w:rsidR="00434F0D" w:rsidRPr="00DD477A" w:rsidRDefault="00434F0D" w:rsidP="000A77C7">
            <w:pPr>
              <w:pStyle w:val="TableText-Normal"/>
              <w:rPr>
                <w:rFonts w:cs="Calibri"/>
              </w:rPr>
            </w:pPr>
            <w:r w:rsidRPr="00DD477A">
              <w:rPr>
                <w:rFonts w:cs="Calibri"/>
              </w:rPr>
              <w:t>The minister representing the portfolio in the other Chamber</w:t>
            </w:r>
            <w:r w:rsidR="006E0B01">
              <w:rPr>
                <w:rFonts w:cs="Calibri"/>
              </w:rPr>
              <w:t>.</w:t>
            </w:r>
          </w:p>
        </w:tc>
        <w:tc>
          <w:tcPr>
            <w:tcW w:w="2552" w:type="dxa"/>
          </w:tcPr>
          <w:p w14:paraId="70C1E312" w14:textId="77777777" w:rsidR="00434F0D" w:rsidRPr="00DD477A" w:rsidRDefault="00434F0D" w:rsidP="00796754">
            <w:pPr>
              <w:pStyle w:val="TableText-Normal"/>
            </w:pPr>
            <w:r w:rsidRPr="00DD477A">
              <w:t xml:space="preserve">Portfolios are responsible for </w:t>
            </w:r>
            <w:r w:rsidRPr="00796754">
              <w:t>confirming</w:t>
            </w:r>
            <w:r w:rsidRPr="00DD477A">
              <w:t xml:space="preserve"> required numbers and the delivery of the books with their minister’s office.</w:t>
            </w:r>
          </w:p>
        </w:tc>
      </w:tr>
    </w:tbl>
    <w:p w14:paraId="5C051C8B" w14:textId="77777777" w:rsidR="006F5B7C" w:rsidRPr="00DD477A" w:rsidRDefault="006F5B7C" w:rsidP="006F5B7C">
      <w:pPr>
        <w:pStyle w:val="TableText-Normal"/>
        <w:rPr>
          <w:rFonts w:cs="Calibri"/>
        </w:rPr>
        <w:sectPr w:rsidR="006F5B7C" w:rsidRPr="00DD477A" w:rsidSect="0026790A">
          <w:headerReference w:type="even" r:id="rId33"/>
          <w:headerReference w:type="default" r:id="rId34"/>
          <w:footerReference w:type="default" r:id="rId35"/>
          <w:headerReference w:type="first" r:id="rId36"/>
          <w:pgSz w:w="11900" w:h="16840" w:code="9"/>
          <w:pgMar w:top="1418" w:right="851" w:bottom="1418" w:left="1418" w:header="624" w:footer="624" w:gutter="0"/>
          <w:cols w:space="708"/>
          <w:docGrid w:linePitch="360"/>
        </w:sectPr>
      </w:pPr>
    </w:p>
    <w:tbl>
      <w:tblPr>
        <w:tblW w:w="9356" w:type="dxa"/>
        <w:tblInd w:w="-5" w:type="dxa"/>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8080"/>
        <w:gridCol w:w="1276"/>
      </w:tblGrid>
      <w:tr w:rsidR="006F5B7C" w:rsidRPr="00DD477A" w14:paraId="6484B11D" w14:textId="77777777" w:rsidTr="0014243A">
        <w:tc>
          <w:tcPr>
            <w:tcW w:w="9356" w:type="dxa"/>
            <w:gridSpan w:val="2"/>
            <w:shd w:val="clear" w:color="auto" w:fill="DDF3FA"/>
          </w:tcPr>
          <w:p w14:paraId="74C731A2" w14:textId="0ADBF197" w:rsidR="00534A53" w:rsidRDefault="006F5B7C" w:rsidP="000A77C7">
            <w:pPr>
              <w:pStyle w:val="TableText-Normal"/>
              <w:rPr>
                <w:rFonts w:cs="Calibri"/>
                <w:b/>
              </w:rPr>
            </w:pPr>
            <w:r w:rsidRPr="00DD477A">
              <w:rPr>
                <w:rFonts w:cs="Calibri"/>
              </w:rPr>
              <w:br w:type="page"/>
            </w:r>
            <w:r w:rsidRPr="00DD477A">
              <w:rPr>
                <w:rFonts w:cs="Calibri"/>
              </w:rPr>
              <w:br w:type="page"/>
            </w:r>
            <w:r w:rsidRPr="00DD477A">
              <w:rPr>
                <w:rFonts w:cs="Calibri"/>
              </w:rPr>
              <w:br w:type="page"/>
            </w:r>
            <w:r w:rsidRPr="00DD477A">
              <w:rPr>
                <w:rFonts w:cs="Calibri"/>
              </w:rPr>
              <w:br w:type="page"/>
            </w:r>
            <w:r w:rsidR="00534A53" w:rsidRPr="00C0734C">
              <w:rPr>
                <w:b/>
                <w:bCs/>
              </w:rPr>
              <w:t xml:space="preserve">Part </w:t>
            </w:r>
            <w:r w:rsidR="00534A53">
              <w:rPr>
                <w:b/>
                <w:bCs/>
              </w:rPr>
              <w:t>2</w:t>
            </w:r>
            <w:r w:rsidR="00534A53" w:rsidRPr="00C0734C">
              <w:rPr>
                <w:b/>
                <w:bCs/>
              </w:rPr>
              <w:t xml:space="preserve">: </w:t>
            </w:r>
            <w:r w:rsidR="00534A53">
              <w:rPr>
                <w:b/>
                <w:bCs/>
              </w:rPr>
              <w:t xml:space="preserve">Parliamentary </w:t>
            </w:r>
            <w:r w:rsidR="00275F18">
              <w:rPr>
                <w:b/>
                <w:bCs/>
              </w:rPr>
              <w:t xml:space="preserve">Standing </w:t>
            </w:r>
            <w:r w:rsidR="00534A53">
              <w:rPr>
                <w:b/>
                <w:bCs/>
              </w:rPr>
              <w:t>Committee Copies</w:t>
            </w:r>
            <w:r w:rsidR="00534A53" w:rsidRPr="00DD477A">
              <w:rPr>
                <w:rFonts w:cs="Calibri"/>
                <w:b/>
              </w:rPr>
              <w:t xml:space="preserve"> </w:t>
            </w:r>
          </w:p>
          <w:p w14:paraId="3681AB7E" w14:textId="32CFEB26" w:rsidR="006F5B7C" w:rsidRPr="00DD477A" w:rsidRDefault="006F5B7C" w:rsidP="000A77C7">
            <w:pPr>
              <w:pStyle w:val="TableText-Normal"/>
              <w:rPr>
                <w:rFonts w:cs="Calibri"/>
                <w:b/>
              </w:rPr>
            </w:pPr>
            <w:r w:rsidRPr="00DD477A">
              <w:rPr>
                <w:rFonts w:cs="Calibri"/>
                <w:b/>
              </w:rPr>
              <w:t xml:space="preserve">For delivery to Parliamentary Committees </w:t>
            </w:r>
            <w:r w:rsidRPr="00DD477A">
              <w:rPr>
                <w:rFonts w:cs="Calibri"/>
                <w:b/>
                <w:u w:val="single"/>
              </w:rPr>
              <w:t>after</w:t>
            </w:r>
            <w:r w:rsidRPr="0014243A">
              <w:rPr>
                <w:rFonts w:cs="Calibri"/>
                <w:b/>
              </w:rPr>
              <w:t xml:space="preserve"> tabling on Budget night</w:t>
            </w:r>
          </w:p>
          <w:p w14:paraId="4B24F981" w14:textId="6D7CDA9B" w:rsidR="006F5B7C" w:rsidRPr="00976D5C" w:rsidRDefault="00534A53" w:rsidP="006F5B7C">
            <w:pPr>
              <w:pStyle w:val="TableText-Normal"/>
              <w:rPr>
                <w:rFonts w:cs="Calibri"/>
                <w:b/>
                <w:bCs/>
                <w:szCs w:val="22"/>
              </w:rPr>
            </w:pPr>
            <w:r w:rsidRPr="00976D5C">
              <w:rPr>
                <w:rFonts w:cs="Calibri"/>
                <w:b/>
                <w:szCs w:val="22"/>
              </w:rPr>
              <w:t>No. of copies = your committee requirements (see table below)</w:t>
            </w:r>
          </w:p>
        </w:tc>
      </w:tr>
      <w:tr w:rsidR="006F5B7C" w:rsidRPr="00DD477A" w14:paraId="6C3B5AC4" w14:textId="77777777" w:rsidTr="0014243A">
        <w:tc>
          <w:tcPr>
            <w:tcW w:w="9356" w:type="dxa"/>
            <w:gridSpan w:val="2"/>
          </w:tcPr>
          <w:p w14:paraId="518B8AEA" w14:textId="77777777" w:rsidR="006F5B7C" w:rsidRPr="00DD477A" w:rsidRDefault="006F5B7C" w:rsidP="000A77C7">
            <w:pPr>
              <w:pStyle w:val="TableText-Normal"/>
              <w:rPr>
                <w:rFonts w:cs="Calibri"/>
              </w:rPr>
            </w:pPr>
            <w:r w:rsidRPr="00DD477A">
              <w:rPr>
                <w:rFonts w:cs="Calibri"/>
              </w:rPr>
              <w:t>Parliamentary Committees</w:t>
            </w:r>
          </w:p>
          <w:p w14:paraId="715D03A1" w14:textId="69DB6949" w:rsidR="006F5B7C" w:rsidRPr="00DD477A" w:rsidRDefault="006F5B7C" w:rsidP="000A77C7">
            <w:pPr>
              <w:pStyle w:val="TableText-Normal"/>
              <w:rPr>
                <w:rFonts w:cs="Calibri"/>
              </w:rPr>
            </w:pPr>
            <w:r w:rsidRPr="00DD477A">
              <w:rPr>
                <w:rFonts w:cs="Calibri"/>
              </w:rPr>
              <w:t xml:space="preserve">PB Statements only need to be sent to </w:t>
            </w:r>
            <w:r w:rsidRPr="00976D5C">
              <w:rPr>
                <w:rFonts w:cs="Calibri"/>
                <w:b/>
                <w:bCs/>
              </w:rPr>
              <w:t>your</w:t>
            </w:r>
            <w:r w:rsidRPr="00DD477A">
              <w:rPr>
                <w:rFonts w:cs="Calibri"/>
              </w:rPr>
              <w:t xml:space="preserve"> portfolio’s relevant parliamentary committee(s) noting below contacts and requirements</w:t>
            </w:r>
            <w:r w:rsidR="0067285E">
              <w:rPr>
                <w:rFonts w:cs="Calibri"/>
              </w:rPr>
              <w:t>:</w:t>
            </w:r>
          </w:p>
          <w:p w14:paraId="6171F7C6" w14:textId="77777777" w:rsidR="006F5B7C" w:rsidRPr="00DD477A" w:rsidRDefault="006F5B7C" w:rsidP="000A77C7">
            <w:pPr>
              <w:pStyle w:val="TableText-Normal"/>
              <w:tabs>
                <w:tab w:val="left" w:pos="709"/>
              </w:tabs>
              <w:rPr>
                <w:rFonts w:cs="Calibri"/>
              </w:rPr>
            </w:pPr>
            <w:r w:rsidRPr="00DD477A">
              <w:rPr>
                <w:rFonts w:cs="Calibri"/>
              </w:rPr>
              <w:tab/>
            </w:r>
            <w:r w:rsidRPr="00DD477A">
              <w:rPr>
                <w:rFonts w:cs="Calibri"/>
                <w:sz w:val="20"/>
                <w:szCs w:val="24"/>
              </w:rPr>
              <w:t>[Name of Committee]</w:t>
            </w:r>
            <w:r w:rsidRPr="00DD477A">
              <w:rPr>
                <w:rFonts w:cs="Calibri"/>
                <w:sz w:val="20"/>
                <w:szCs w:val="24"/>
              </w:rPr>
              <w:br/>
            </w:r>
            <w:r w:rsidRPr="00DD477A">
              <w:rPr>
                <w:rFonts w:cs="Calibri"/>
                <w:sz w:val="20"/>
                <w:szCs w:val="24"/>
              </w:rPr>
              <w:tab/>
              <w:t>PO Box 6100</w:t>
            </w:r>
            <w:r w:rsidRPr="00DD477A">
              <w:rPr>
                <w:rFonts w:cs="Calibri"/>
                <w:sz w:val="20"/>
                <w:szCs w:val="24"/>
              </w:rPr>
              <w:br/>
            </w:r>
            <w:r w:rsidRPr="00DD477A">
              <w:rPr>
                <w:rFonts w:cs="Calibri"/>
                <w:sz w:val="20"/>
                <w:szCs w:val="24"/>
              </w:rPr>
              <w:tab/>
              <w:t>Parliament House</w:t>
            </w:r>
            <w:r w:rsidRPr="00DD477A">
              <w:rPr>
                <w:rFonts w:cs="Calibri"/>
                <w:sz w:val="20"/>
                <w:szCs w:val="24"/>
              </w:rPr>
              <w:br/>
            </w:r>
            <w:r w:rsidRPr="00DD477A">
              <w:rPr>
                <w:rFonts w:cs="Calibri"/>
                <w:sz w:val="20"/>
                <w:szCs w:val="24"/>
              </w:rPr>
              <w:tab/>
              <w:t>Canberra ACT 2600</w:t>
            </w:r>
            <w:r w:rsidRPr="00DD477A">
              <w:rPr>
                <w:rFonts w:cs="Calibri"/>
                <w:sz w:val="20"/>
                <w:szCs w:val="24"/>
              </w:rPr>
              <w:br/>
            </w:r>
            <w:r w:rsidRPr="00DD477A">
              <w:rPr>
                <w:rFonts w:cs="Calibri"/>
                <w:sz w:val="20"/>
                <w:szCs w:val="24"/>
              </w:rPr>
              <w:tab/>
              <w:t>Australia</w:t>
            </w:r>
          </w:p>
        </w:tc>
      </w:tr>
      <w:tr w:rsidR="006F5B7C" w:rsidRPr="00DD477A" w14:paraId="4496981F" w14:textId="77777777" w:rsidTr="0014243A">
        <w:tc>
          <w:tcPr>
            <w:tcW w:w="8080" w:type="dxa"/>
          </w:tcPr>
          <w:p w14:paraId="3C160A5D" w14:textId="2A29C8E0" w:rsidR="006F5B7C" w:rsidRPr="00410664" w:rsidRDefault="006F5B7C" w:rsidP="0014243A">
            <w:pPr>
              <w:pStyle w:val="TableText-Normal"/>
              <w:ind w:left="142"/>
              <w:contextualSpacing/>
              <w:rPr>
                <w:rFonts w:cs="Calibri"/>
                <w:szCs w:val="22"/>
              </w:rPr>
            </w:pPr>
            <w:r w:rsidRPr="00410664">
              <w:rPr>
                <w:rFonts w:cs="Calibri"/>
                <w:szCs w:val="22"/>
              </w:rPr>
              <w:t>Community Affairs</w:t>
            </w:r>
            <w:r w:rsidR="00C12B53">
              <w:rPr>
                <w:rFonts w:cs="Calibri"/>
                <w:szCs w:val="22"/>
              </w:rPr>
              <w:t xml:space="preserve"> —</w:t>
            </w:r>
            <w:r w:rsidRPr="00410664">
              <w:rPr>
                <w:rFonts w:cs="Calibri"/>
                <w:szCs w:val="22"/>
              </w:rPr>
              <w:t xml:space="preserve"> Health</w:t>
            </w:r>
            <w:r w:rsidR="0042164B" w:rsidRPr="00410664">
              <w:rPr>
                <w:rFonts w:cs="Calibri"/>
                <w:szCs w:val="22"/>
              </w:rPr>
              <w:t xml:space="preserve">, Disability and </w:t>
            </w:r>
            <w:r w:rsidRPr="00410664">
              <w:rPr>
                <w:rFonts w:cs="Calibri"/>
                <w:szCs w:val="22"/>
              </w:rPr>
              <w:t>Ag</w:t>
            </w:r>
            <w:r w:rsidR="007741E0" w:rsidRPr="00410664">
              <w:rPr>
                <w:rFonts w:cs="Calibri"/>
                <w:szCs w:val="22"/>
              </w:rPr>
              <w:t>eing</w:t>
            </w:r>
            <w:r w:rsidRPr="00410664">
              <w:rPr>
                <w:rFonts w:cs="Calibri"/>
                <w:szCs w:val="22"/>
              </w:rPr>
              <w:t>, and Social Services</w:t>
            </w:r>
          </w:p>
          <w:p w14:paraId="349860B0" w14:textId="48DE1F24" w:rsidR="006F5B7C" w:rsidRPr="0014243A" w:rsidRDefault="006F5B7C" w:rsidP="0014243A">
            <w:pPr>
              <w:pStyle w:val="TableText-NormalIndented"/>
              <w:rPr>
                <w:sz w:val="20"/>
              </w:rPr>
            </w:pPr>
            <w:r w:rsidRPr="0014243A">
              <w:rPr>
                <w:sz w:val="20"/>
              </w:rPr>
              <w:t>Estimates Officer</w:t>
            </w:r>
            <w:r w:rsidRPr="0014243A">
              <w:rPr>
                <w:sz w:val="20"/>
              </w:rPr>
              <w:tab/>
            </w:r>
            <w:r w:rsidR="00BC0621" w:rsidRPr="0014243A">
              <w:rPr>
                <w:sz w:val="20"/>
              </w:rPr>
              <w:tab/>
            </w:r>
            <w:r w:rsidR="00CB7882">
              <w:rPr>
                <w:sz w:val="20"/>
              </w:rPr>
              <w:tab/>
            </w:r>
            <w:r w:rsidRPr="0014243A">
              <w:rPr>
                <w:sz w:val="20"/>
              </w:rPr>
              <w:t>ph: (02) 6277 3515</w:t>
            </w:r>
          </w:p>
          <w:p w14:paraId="54C1FDAD" w14:textId="200C031B" w:rsidR="006F5B7C" w:rsidRPr="0014243A" w:rsidRDefault="006F5B7C" w:rsidP="0014243A">
            <w:pPr>
              <w:pStyle w:val="TableText-NormalIndented"/>
              <w:rPr>
                <w:rStyle w:val="Hyperlink"/>
                <w:rFonts w:cs="Calibri"/>
                <w:sz w:val="20"/>
              </w:rPr>
            </w:pPr>
            <w:r w:rsidRPr="0014243A">
              <w:rPr>
                <w:sz w:val="20"/>
              </w:rPr>
              <w:t>email:</w:t>
            </w:r>
            <w:r w:rsidR="007434ED" w:rsidRPr="0014243A">
              <w:rPr>
                <w:sz w:val="20"/>
              </w:rPr>
              <w:tab/>
            </w:r>
            <w:r w:rsidR="003D5F22" w:rsidRPr="0014243A">
              <w:rPr>
                <w:sz w:val="20"/>
              </w:rPr>
              <w:tab/>
            </w:r>
            <w:r w:rsidR="003D5F22" w:rsidRPr="0014243A">
              <w:rPr>
                <w:sz w:val="20"/>
              </w:rPr>
              <w:tab/>
            </w:r>
            <w:r w:rsidR="00BC0621" w:rsidRPr="0014243A">
              <w:rPr>
                <w:sz w:val="20"/>
              </w:rPr>
              <w:tab/>
            </w:r>
            <w:r w:rsidR="003D5F22" w:rsidRPr="0014243A">
              <w:rPr>
                <w:sz w:val="20"/>
              </w:rPr>
              <w:tab/>
            </w:r>
            <w:hyperlink r:id="rId37" w:history="1">
              <w:r w:rsidR="007434ED" w:rsidRPr="00CB7882">
                <w:rPr>
                  <w:rStyle w:val="Hyperlink"/>
                  <w:sz w:val="20"/>
                </w:rPr>
                <w:t>community.affairs.sen@aph.gov.au</w:t>
              </w:r>
            </w:hyperlink>
          </w:p>
        </w:tc>
        <w:tc>
          <w:tcPr>
            <w:tcW w:w="1276" w:type="dxa"/>
          </w:tcPr>
          <w:p w14:paraId="312DC977" w14:textId="77777777" w:rsidR="006F5B7C" w:rsidRPr="00410664" w:rsidRDefault="006F5B7C" w:rsidP="00A85E0D">
            <w:pPr>
              <w:pStyle w:val="TableText-Normal"/>
              <w:contextualSpacing/>
              <w:rPr>
                <w:rFonts w:cs="Calibri"/>
                <w:szCs w:val="22"/>
              </w:rPr>
            </w:pPr>
            <w:r w:rsidRPr="00410664">
              <w:rPr>
                <w:rFonts w:cs="Calibri"/>
                <w:szCs w:val="22"/>
              </w:rPr>
              <w:t>5 copies</w:t>
            </w:r>
          </w:p>
        </w:tc>
      </w:tr>
      <w:tr w:rsidR="006F5B7C" w:rsidRPr="00DD477A" w14:paraId="025D4571" w14:textId="77777777" w:rsidTr="0014243A">
        <w:tc>
          <w:tcPr>
            <w:tcW w:w="8080" w:type="dxa"/>
          </w:tcPr>
          <w:p w14:paraId="6056B873" w14:textId="0AAA3815" w:rsidR="006F5B7C" w:rsidRPr="00410664" w:rsidRDefault="006F5B7C" w:rsidP="0014243A">
            <w:pPr>
              <w:pStyle w:val="TableText-Normal"/>
              <w:ind w:left="142"/>
              <w:contextualSpacing/>
              <w:rPr>
                <w:rFonts w:cs="Calibri"/>
                <w:szCs w:val="22"/>
              </w:rPr>
            </w:pPr>
            <w:r w:rsidRPr="00410664">
              <w:rPr>
                <w:rFonts w:cs="Calibri"/>
                <w:szCs w:val="22"/>
              </w:rPr>
              <w:t>Economics</w:t>
            </w:r>
            <w:r w:rsidR="00C12B53">
              <w:rPr>
                <w:rFonts w:cs="Calibri"/>
                <w:szCs w:val="22"/>
              </w:rPr>
              <w:t xml:space="preserve"> —</w:t>
            </w:r>
            <w:r w:rsidRPr="00410664">
              <w:rPr>
                <w:rFonts w:cs="Calibri"/>
                <w:szCs w:val="22"/>
              </w:rPr>
              <w:t xml:space="preserve"> Industry, Science and Resources, and Treasury</w:t>
            </w:r>
          </w:p>
          <w:p w14:paraId="79EEEFC9" w14:textId="2F74DE53" w:rsidR="006F5B7C" w:rsidRPr="00CB7882" w:rsidRDefault="006F5B7C" w:rsidP="0014243A">
            <w:pPr>
              <w:pStyle w:val="TableText-NormalIndented"/>
              <w:rPr>
                <w:sz w:val="20"/>
              </w:rPr>
            </w:pPr>
            <w:r w:rsidRPr="00CB7882">
              <w:rPr>
                <w:sz w:val="20"/>
              </w:rPr>
              <w:t>Estimates Officer</w:t>
            </w:r>
            <w:r w:rsidRPr="0014243A">
              <w:rPr>
                <w:sz w:val="20"/>
              </w:rPr>
              <w:tab/>
            </w:r>
            <w:r w:rsidR="00BC0621" w:rsidRPr="0014243A">
              <w:rPr>
                <w:sz w:val="20"/>
              </w:rPr>
              <w:tab/>
            </w:r>
            <w:r w:rsidR="00CB7882">
              <w:rPr>
                <w:sz w:val="20"/>
              </w:rPr>
              <w:tab/>
            </w:r>
            <w:r w:rsidRPr="00CB7882">
              <w:rPr>
                <w:sz w:val="20"/>
              </w:rPr>
              <w:t>ph: (02) 6277 3540</w:t>
            </w:r>
          </w:p>
          <w:p w14:paraId="5E71F451" w14:textId="3F363F44" w:rsidR="006F5B7C" w:rsidRPr="0014243A" w:rsidRDefault="006F5B7C" w:rsidP="0014243A">
            <w:pPr>
              <w:pStyle w:val="TableText-NormalIndented"/>
              <w:rPr>
                <w:rStyle w:val="Hyperlink"/>
                <w:rFonts w:cs="Calibri"/>
                <w:sz w:val="20"/>
              </w:rPr>
            </w:pPr>
            <w:r w:rsidRPr="00CB7882">
              <w:rPr>
                <w:sz w:val="20"/>
              </w:rPr>
              <w:t>email:</w:t>
            </w:r>
            <w:r w:rsidR="00BC0621" w:rsidRPr="0014243A">
              <w:rPr>
                <w:sz w:val="20"/>
              </w:rPr>
              <w:tab/>
            </w:r>
            <w:r w:rsidR="00BC0621" w:rsidRPr="0014243A">
              <w:rPr>
                <w:sz w:val="20"/>
              </w:rPr>
              <w:tab/>
            </w:r>
            <w:r w:rsidR="00BC0621" w:rsidRPr="0014243A">
              <w:rPr>
                <w:sz w:val="20"/>
              </w:rPr>
              <w:tab/>
            </w:r>
            <w:r w:rsidR="00BC0621" w:rsidRPr="0014243A">
              <w:rPr>
                <w:sz w:val="20"/>
              </w:rPr>
              <w:tab/>
            </w:r>
            <w:r w:rsidR="007434ED" w:rsidRPr="00CB7882">
              <w:rPr>
                <w:sz w:val="20"/>
              </w:rPr>
              <w:tab/>
            </w:r>
            <w:hyperlink r:id="rId38">
              <w:r w:rsidRPr="00CB7882">
                <w:rPr>
                  <w:rStyle w:val="Hyperlink"/>
                  <w:rFonts w:cs="Times New Roman"/>
                  <w:sz w:val="20"/>
                  <w:u w:val="none"/>
                </w:rPr>
                <w:t>economics.sen@aph.gov.au</w:t>
              </w:r>
            </w:hyperlink>
          </w:p>
        </w:tc>
        <w:tc>
          <w:tcPr>
            <w:tcW w:w="1276" w:type="dxa"/>
          </w:tcPr>
          <w:p w14:paraId="54B6C2D5" w14:textId="77777777" w:rsidR="006F5B7C" w:rsidRPr="00410664" w:rsidRDefault="006F5B7C" w:rsidP="00A85E0D">
            <w:pPr>
              <w:pStyle w:val="TableText-Normal"/>
              <w:contextualSpacing/>
              <w:rPr>
                <w:rFonts w:cs="Calibri"/>
                <w:szCs w:val="22"/>
              </w:rPr>
            </w:pPr>
            <w:r w:rsidRPr="00410664">
              <w:rPr>
                <w:rFonts w:cs="Calibri"/>
                <w:szCs w:val="22"/>
              </w:rPr>
              <w:t>3 copies</w:t>
            </w:r>
          </w:p>
        </w:tc>
      </w:tr>
      <w:tr w:rsidR="006F5B7C" w:rsidRPr="00DD477A" w14:paraId="6FC54984" w14:textId="77777777" w:rsidTr="0014243A">
        <w:tc>
          <w:tcPr>
            <w:tcW w:w="8080" w:type="dxa"/>
          </w:tcPr>
          <w:p w14:paraId="4F3DAE48" w14:textId="15317F74" w:rsidR="006F5B7C" w:rsidRPr="00410664" w:rsidRDefault="006F5B7C" w:rsidP="0014243A">
            <w:pPr>
              <w:pStyle w:val="TableText-Normal"/>
              <w:ind w:left="142"/>
              <w:contextualSpacing/>
              <w:rPr>
                <w:rFonts w:cs="Calibri"/>
                <w:szCs w:val="22"/>
              </w:rPr>
            </w:pPr>
            <w:r w:rsidRPr="00410664">
              <w:rPr>
                <w:rFonts w:cs="Calibri"/>
                <w:szCs w:val="22"/>
              </w:rPr>
              <w:t>Education and Employment</w:t>
            </w:r>
            <w:r w:rsidR="00C12B53">
              <w:rPr>
                <w:rFonts w:cs="Calibri"/>
                <w:szCs w:val="22"/>
              </w:rPr>
              <w:t xml:space="preserve"> —</w:t>
            </w:r>
            <w:r w:rsidRPr="00410664">
              <w:rPr>
                <w:rFonts w:cs="Calibri"/>
                <w:szCs w:val="22"/>
              </w:rPr>
              <w:t xml:space="preserve"> Education, and Employment and Workplace Relations</w:t>
            </w:r>
          </w:p>
          <w:p w14:paraId="0C53DCC6" w14:textId="193B816B" w:rsidR="006F5B7C" w:rsidRPr="00CB7882" w:rsidRDefault="006F5B7C" w:rsidP="0014243A">
            <w:pPr>
              <w:pStyle w:val="TableText-NormalIndented"/>
              <w:rPr>
                <w:sz w:val="20"/>
              </w:rPr>
            </w:pPr>
            <w:r w:rsidRPr="00CB7882">
              <w:rPr>
                <w:sz w:val="20"/>
              </w:rPr>
              <w:t>Estimates Officer</w:t>
            </w:r>
            <w:r w:rsidRPr="0014243A">
              <w:rPr>
                <w:sz w:val="20"/>
              </w:rPr>
              <w:tab/>
            </w:r>
            <w:r w:rsidR="00BC0621" w:rsidRPr="0014243A">
              <w:rPr>
                <w:sz w:val="20"/>
              </w:rPr>
              <w:tab/>
            </w:r>
            <w:r w:rsidR="00CB7882">
              <w:rPr>
                <w:sz w:val="20"/>
              </w:rPr>
              <w:tab/>
            </w:r>
            <w:r w:rsidRPr="00CB7882">
              <w:rPr>
                <w:sz w:val="20"/>
              </w:rPr>
              <w:t>ph: (02) 6277 3521</w:t>
            </w:r>
          </w:p>
          <w:p w14:paraId="08494F88" w14:textId="26F3437C" w:rsidR="006F5B7C" w:rsidRPr="0014243A" w:rsidRDefault="006F5B7C" w:rsidP="0014243A">
            <w:pPr>
              <w:pStyle w:val="TableText-NormalIndented"/>
              <w:rPr>
                <w:rStyle w:val="Hyperlink"/>
                <w:rFonts w:eastAsiaTheme="minorHAnsi" w:cs="Calibri"/>
                <w:sz w:val="20"/>
              </w:rPr>
            </w:pPr>
            <w:r w:rsidRPr="0014243A">
              <w:rPr>
                <w:rStyle w:val="Hyperlink"/>
                <w:rFonts w:cs="Times New Roman"/>
                <w:sz w:val="20"/>
                <w:u w:val="none"/>
              </w:rPr>
              <w:t>email</w:t>
            </w:r>
            <w:r w:rsidRPr="00CB7882">
              <w:rPr>
                <w:sz w:val="20"/>
              </w:rPr>
              <w:t>:</w:t>
            </w:r>
            <w:r w:rsidR="007434ED" w:rsidRPr="00CB7882">
              <w:rPr>
                <w:sz w:val="20"/>
              </w:rPr>
              <w:tab/>
            </w:r>
            <w:r w:rsidR="00BC0621" w:rsidRPr="0014243A">
              <w:rPr>
                <w:sz w:val="20"/>
              </w:rPr>
              <w:tab/>
            </w:r>
            <w:r w:rsidR="00BC0621" w:rsidRPr="0014243A">
              <w:rPr>
                <w:sz w:val="20"/>
              </w:rPr>
              <w:tab/>
            </w:r>
            <w:r w:rsidR="00BC0621" w:rsidRPr="0014243A">
              <w:rPr>
                <w:sz w:val="20"/>
              </w:rPr>
              <w:tab/>
            </w:r>
            <w:r w:rsidR="00BC0621" w:rsidRPr="0014243A">
              <w:rPr>
                <w:sz w:val="20"/>
              </w:rPr>
              <w:tab/>
            </w:r>
            <w:hyperlink r:id="rId39">
              <w:r w:rsidRPr="00CB7882">
                <w:rPr>
                  <w:rStyle w:val="Hyperlink"/>
                  <w:rFonts w:cs="Times New Roman"/>
                  <w:sz w:val="20"/>
                  <w:u w:val="none"/>
                </w:rPr>
                <w:t>eec.sen@aph.gov.au</w:t>
              </w:r>
            </w:hyperlink>
          </w:p>
        </w:tc>
        <w:tc>
          <w:tcPr>
            <w:tcW w:w="1276" w:type="dxa"/>
          </w:tcPr>
          <w:p w14:paraId="7F7CBF56" w14:textId="77777777" w:rsidR="006F5B7C" w:rsidRPr="00410664" w:rsidRDefault="006F5B7C" w:rsidP="00A85E0D">
            <w:pPr>
              <w:pStyle w:val="TableText-Normal"/>
              <w:contextualSpacing/>
              <w:rPr>
                <w:rFonts w:cs="Calibri"/>
                <w:szCs w:val="22"/>
              </w:rPr>
            </w:pPr>
            <w:r w:rsidRPr="00410664">
              <w:rPr>
                <w:rFonts w:cs="Calibri"/>
                <w:szCs w:val="22"/>
              </w:rPr>
              <w:t>6 copies</w:t>
            </w:r>
          </w:p>
        </w:tc>
      </w:tr>
      <w:tr w:rsidR="006F5B7C" w:rsidRPr="00DD477A" w14:paraId="142955CE" w14:textId="77777777" w:rsidTr="0014243A">
        <w:tc>
          <w:tcPr>
            <w:tcW w:w="8080" w:type="dxa"/>
          </w:tcPr>
          <w:p w14:paraId="7EA22FC8" w14:textId="0D9C3417" w:rsidR="006F5B7C" w:rsidRPr="00410664" w:rsidRDefault="006F5B7C" w:rsidP="0014243A">
            <w:pPr>
              <w:pStyle w:val="TableText-Normal"/>
              <w:ind w:left="142"/>
              <w:contextualSpacing/>
              <w:rPr>
                <w:rFonts w:cs="Calibri"/>
                <w:szCs w:val="22"/>
              </w:rPr>
            </w:pPr>
            <w:r w:rsidRPr="00410664">
              <w:rPr>
                <w:rFonts w:cs="Calibri"/>
                <w:szCs w:val="22"/>
              </w:rPr>
              <w:t>Environment and Communications</w:t>
            </w:r>
            <w:r w:rsidR="00C12B53">
              <w:rPr>
                <w:rFonts w:cs="Calibri"/>
                <w:szCs w:val="22"/>
              </w:rPr>
              <w:t xml:space="preserve"> —</w:t>
            </w:r>
            <w:r w:rsidRPr="00410664">
              <w:rPr>
                <w:rFonts w:cs="Calibri"/>
                <w:szCs w:val="22"/>
              </w:rPr>
              <w:t xml:space="preserve"> Climate Change, Energy, the Environment and Water, and Infrastructure, Transport, Regional Development, Communications</w:t>
            </w:r>
            <w:r w:rsidR="006B56D0" w:rsidRPr="00410664">
              <w:rPr>
                <w:rFonts w:cs="Calibri"/>
                <w:szCs w:val="22"/>
              </w:rPr>
              <w:t>, Sport</w:t>
            </w:r>
            <w:r w:rsidRPr="00410664">
              <w:rPr>
                <w:rFonts w:cs="Calibri"/>
                <w:szCs w:val="22"/>
              </w:rPr>
              <w:t xml:space="preserve"> and the Arts (Communications and the Arts functions only)</w:t>
            </w:r>
          </w:p>
          <w:p w14:paraId="2F0FFBFA" w14:textId="256B4CB7" w:rsidR="006F5B7C" w:rsidRPr="00CB7882" w:rsidRDefault="006F5B7C" w:rsidP="0014243A">
            <w:pPr>
              <w:pStyle w:val="TableText-NormalIndented"/>
              <w:rPr>
                <w:sz w:val="20"/>
              </w:rPr>
            </w:pPr>
            <w:r w:rsidRPr="00CB7882">
              <w:rPr>
                <w:sz w:val="20"/>
              </w:rPr>
              <w:t>Estimates Office</w:t>
            </w:r>
            <w:r w:rsidR="00502432">
              <w:rPr>
                <w:sz w:val="20"/>
              </w:rPr>
              <w:t>r</w:t>
            </w:r>
            <w:r w:rsidR="00CB7882">
              <w:rPr>
                <w:sz w:val="20"/>
              </w:rPr>
              <w:tab/>
            </w:r>
            <w:r w:rsidR="00BC0621" w:rsidRPr="0014243A">
              <w:rPr>
                <w:sz w:val="20"/>
              </w:rPr>
              <w:tab/>
            </w:r>
            <w:r w:rsidR="00BC0621" w:rsidRPr="0014243A">
              <w:rPr>
                <w:sz w:val="20"/>
              </w:rPr>
              <w:tab/>
            </w:r>
            <w:r w:rsidRPr="00CB7882">
              <w:rPr>
                <w:sz w:val="20"/>
              </w:rPr>
              <w:t>ph: (02) 6277 3526</w:t>
            </w:r>
          </w:p>
          <w:p w14:paraId="13426417" w14:textId="206AC613" w:rsidR="006F5B7C" w:rsidRPr="0014243A" w:rsidRDefault="006F5B7C" w:rsidP="0014243A">
            <w:pPr>
              <w:pStyle w:val="TableText-NormalIndented"/>
              <w:rPr>
                <w:rStyle w:val="Hyperlink"/>
                <w:rFonts w:cs="Calibri"/>
                <w:sz w:val="20"/>
              </w:rPr>
            </w:pPr>
            <w:r w:rsidRPr="0014243A">
              <w:rPr>
                <w:rStyle w:val="Hyperlink"/>
                <w:rFonts w:cs="Times New Roman"/>
                <w:sz w:val="20"/>
                <w:u w:val="none"/>
              </w:rPr>
              <w:t>email</w:t>
            </w:r>
            <w:r w:rsidRPr="00CB7882">
              <w:rPr>
                <w:sz w:val="20"/>
              </w:rPr>
              <w:t>:</w:t>
            </w:r>
            <w:r w:rsidR="00BC0621" w:rsidRPr="0014243A">
              <w:rPr>
                <w:sz w:val="20"/>
              </w:rPr>
              <w:tab/>
            </w:r>
            <w:r w:rsidR="00BC0621" w:rsidRPr="0014243A">
              <w:rPr>
                <w:sz w:val="20"/>
              </w:rPr>
              <w:tab/>
            </w:r>
            <w:r w:rsidR="00BC0621" w:rsidRPr="0014243A">
              <w:rPr>
                <w:sz w:val="20"/>
              </w:rPr>
              <w:tab/>
            </w:r>
            <w:r w:rsidR="007434ED" w:rsidRPr="00CB7882">
              <w:rPr>
                <w:sz w:val="20"/>
              </w:rPr>
              <w:tab/>
            </w:r>
            <w:r w:rsidR="00BC0621" w:rsidRPr="0014243A">
              <w:rPr>
                <w:sz w:val="20"/>
              </w:rPr>
              <w:tab/>
            </w:r>
            <w:hyperlink r:id="rId40">
              <w:r w:rsidRPr="00CB7882">
                <w:rPr>
                  <w:rStyle w:val="Hyperlink"/>
                  <w:rFonts w:cs="Times New Roman"/>
                  <w:sz w:val="20"/>
                  <w:u w:val="none"/>
                </w:rPr>
                <w:t>ec.sen@aph.gov.au</w:t>
              </w:r>
            </w:hyperlink>
          </w:p>
        </w:tc>
        <w:tc>
          <w:tcPr>
            <w:tcW w:w="1276" w:type="dxa"/>
          </w:tcPr>
          <w:p w14:paraId="750677A8" w14:textId="77777777" w:rsidR="006F5B7C" w:rsidRPr="00410664" w:rsidRDefault="006F5B7C" w:rsidP="00A85E0D">
            <w:pPr>
              <w:pStyle w:val="TableText-Normal"/>
              <w:contextualSpacing/>
              <w:rPr>
                <w:rFonts w:cs="Calibri"/>
                <w:szCs w:val="22"/>
              </w:rPr>
            </w:pPr>
            <w:r w:rsidRPr="00410664">
              <w:rPr>
                <w:rFonts w:cs="Calibri"/>
                <w:szCs w:val="22"/>
              </w:rPr>
              <w:t>5 copies</w:t>
            </w:r>
          </w:p>
        </w:tc>
      </w:tr>
      <w:tr w:rsidR="006F5B7C" w:rsidRPr="00DD477A" w14:paraId="796210EF" w14:textId="77777777" w:rsidTr="0014243A">
        <w:tc>
          <w:tcPr>
            <w:tcW w:w="8080" w:type="dxa"/>
          </w:tcPr>
          <w:p w14:paraId="10CD775C" w14:textId="4252D87A" w:rsidR="006F5B7C" w:rsidRPr="00410664" w:rsidRDefault="006F5B7C" w:rsidP="0014243A">
            <w:pPr>
              <w:pStyle w:val="TableText-Normal"/>
              <w:ind w:left="142"/>
              <w:contextualSpacing/>
              <w:rPr>
                <w:rFonts w:cs="Calibri"/>
                <w:szCs w:val="22"/>
              </w:rPr>
            </w:pPr>
            <w:r w:rsidRPr="00410664">
              <w:rPr>
                <w:rFonts w:cs="Calibri"/>
                <w:szCs w:val="22"/>
              </w:rPr>
              <w:t>Finance and Public Administration</w:t>
            </w:r>
            <w:r w:rsidR="00C12B53">
              <w:rPr>
                <w:rFonts w:cs="Calibri"/>
                <w:szCs w:val="22"/>
              </w:rPr>
              <w:t xml:space="preserve"> —</w:t>
            </w:r>
            <w:r w:rsidRPr="00410664">
              <w:rPr>
                <w:rFonts w:cs="Calibri"/>
                <w:szCs w:val="22"/>
              </w:rPr>
              <w:t xml:space="preserve"> (</w:t>
            </w:r>
            <w:r w:rsidR="005D79BA" w:rsidRPr="00410664">
              <w:rPr>
                <w:szCs w:val="22"/>
              </w:rPr>
              <w:t>Finance, and Prime Minister and Cabinet</w:t>
            </w:r>
            <w:r w:rsidR="00705C7C" w:rsidRPr="00410664">
              <w:rPr>
                <w:szCs w:val="22"/>
              </w:rPr>
              <w:t xml:space="preserve"> (the Committee also maintains oversight of the Parliamentary Departments)</w:t>
            </w:r>
            <w:r w:rsidRPr="00410664">
              <w:rPr>
                <w:szCs w:val="22"/>
              </w:rPr>
              <w:t>)</w:t>
            </w:r>
          </w:p>
          <w:p w14:paraId="3568CEC0" w14:textId="069D5B10" w:rsidR="006F5B7C" w:rsidRPr="00CB7882" w:rsidRDefault="006F5B7C" w:rsidP="0014243A">
            <w:pPr>
              <w:pStyle w:val="TableText-NormalIndented"/>
              <w:rPr>
                <w:sz w:val="20"/>
              </w:rPr>
            </w:pPr>
            <w:r w:rsidRPr="00CB7882">
              <w:rPr>
                <w:sz w:val="20"/>
              </w:rPr>
              <w:t>Estimates Officer</w:t>
            </w:r>
            <w:r w:rsidRPr="0014243A">
              <w:rPr>
                <w:sz w:val="20"/>
              </w:rPr>
              <w:tab/>
            </w:r>
            <w:r w:rsidR="00CB7882">
              <w:rPr>
                <w:sz w:val="20"/>
              </w:rPr>
              <w:tab/>
            </w:r>
            <w:r w:rsidR="00A240D7" w:rsidRPr="0014243A">
              <w:rPr>
                <w:sz w:val="20"/>
              </w:rPr>
              <w:tab/>
            </w:r>
            <w:r w:rsidRPr="00CB7882">
              <w:rPr>
                <w:sz w:val="20"/>
              </w:rPr>
              <w:t>ph: (02) 6277 3846</w:t>
            </w:r>
          </w:p>
          <w:p w14:paraId="10D07CC9" w14:textId="7F479AC1" w:rsidR="006F5B7C" w:rsidRPr="0014243A" w:rsidRDefault="006F5B7C" w:rsidP="0014243A">
            <w:pPr>
              <w:pStyle w:val="TableText-NormalIndented"/>
              <w:rPr>
                <w:rStyle w:val="Hyperlink"/>
                <w:rFonts w:cs="Calibri"/>
                <w:sz w:val="20"/>
              </w:rPr>
            </w:pPr>
            <w:r w:rsidRPr="0014243A">
              <w:rPr>
                <w:rStyle w:val="Hyperlink"/>
                <w:rFonts w:cs="Times New Roman"/>
                <w:sz w:val="20"/>
                <w:u w:val="none"/>
              </w:rPr>
              <w:t>email</w:t>
            </w:r>
            <w:r w:rsidRPr="00CB7882">
              <w:rPr>
                <w:sz w:val="20"/>
              </w:rPr>
              <w:t>:</w:t>
            </w:r>
            <w:r w:rsidR="00A240D7" w:rsidRPr="0014243A">
              <w:rPr>
                <w:sz w:val="20"/>
              </w:rPr>
              <w:tab/>
            </w:r>
            <w:r w:rsidR="00A240D7" w:rsidRPr="0014243A">
              <w:rPr>
                <w:sz w:val="20"/>
              </w:rPr>
              <w:tab/>
            </w:r>
            <w:r w:rsidR="00A240D7" w:rsidRPr="0014243A">
              <w:rPr>
                <w:sz w:val="20"/>
              </w:rPr>
              <w:tab/>
            </w:r>
            <w:r w:rsidR="00A240D7" w:rsidRPr="0014243A">
              <w:rPr>
                <w:sz w:val="20"/>
              </w:rPr>
              <w:tab/>
            </w:r>
            <w:r w:rsidR="007434ED" w:rsidRPr="00CB7882">
              <w:rPr>
                <w:sz w:val="20"/>
              </w:rPr>
              <w:tab/>
            </w:r>
            <w:hyperlink r:id="rId41">
              <w:r w:rsidRPr="00CB7882">
                <w:rPr>
                  <w:rStyle w:val="Hyperlink"/>
                  <w:rFonts w:cs="Times New Roman"/>
                  <w:sz w:val="20"/>
                  <w:u w:val="none"/>
                </w:rPr>
                <w:t>fpa.sen@aph.gov.au</w:t>
              </w:r>
            </w:hyperlink>
          </w:p>
        </w:tc>
        <w:tc>
          <w:tcPr>
            <w:tcW w:w="1276" w:type="dxa"/>
          </w:tcPr>
          <w:p w14:paraId="294FE71D" w14:textId="77777777" w:rsidR="006F5B7C" w:rsidRPr="00410664" w:rsidRDefault="006F5B7C" w:rsidP="00A85E0D">
            <w:pPr>
              <w:pStyle w:val="TableText-Normal"/>
              <w:contextualSpacing/>
              <w:rPr>
                <w:rFonts w:cs="Calibri"/>
                <w:szCs w:val="22"/>
              </w:rPr>
            </w:pPr>
            <w:r w:rsidRPr="00410664">
              <w:rPr>
                <w:rFonts w:cs="Calibri"/>
                <w:szCs w:val="22"/>
              </w:rPr>
              <w:t>8 copies</w:t>
            </w:r>
          </w:p>
        </w:tc>
      </w:tr>
      <w:tr w:rsidR="006F5B7C" w:rsidRPr="00DD477A" w14:paraId="2FB4447D" w14:textId="77777777" w:rsidTr="0014243A">
        <w:tc>
          <w:tcPr>
            <w:tcW w:w="8080" w:type="dxa"/>
          </w:tcPr>
          <w:p w14:paraId="42309304" w14:textId="593687D7" w:rsidR="006F5B7C" w:rsidRPr="00410664" w:rsidRDefault="006F5B7C" w:rsidP="0014243A">
            <w:pPr>
              <w:pStyle w:val="TableText-Normal"/>
              <w:ind w:left="142"/>
              <w:contextualSpacing/>
              <w:rPr>
                <w:rFonts w:cs="Calibri"/>
                <w:szCs w:val="22"/>
              </w:rPr>
            </w:pPr>
            <w:r w:rsidRPr="00410664">
              <w:rPr>
                <w:rFonts w:cs="Calibri"/>
                <w:szCs w:val="22"/>
              </w:rPr>
              <w:t>Foreign Affairs, Defence and Trade</w:t>
            </w:r>
            <w:r w:rsidR="00C12B53">
              <w:rPr>
                <w:rFonts w:cs="Calibri"/>
                <w:szCs w:val="22"/>
              </w:rPr>
              <w:t xml:space="preserve"> —</w:t>
            </w:r>
            <w:r w:rsidRPr="00410664">
              <w:rPr>
                <w:rFonts w:cs="Calibri"/>
                <w:szCs w:val="22"/>
              </w:rPr>
              <w:t xml:space="preserve"> Defence (including Veterans' Affairs), Foreign Affairs and Trade</w:t>
            </w:r>
          </w:p>
          <w:p w14:paraId="5C84D366" w14:textId="580C1996" w:rsidR="006F5B7C" w:rsidRPr="00CB7882" w:rsidRDefault="006F5B7C" w:rsidP="0014243A">
            <w:pPr>
              <w:pStyle w:val="TableText-NormalIndented"/>
              <w:rPr>
                <w:sz w:val="20"/>
              </w:rPr>
            </w:pPr>
            <w:r w:rsidRPr="00CB7882">
              <w:rPr>
                <w:sz w:val="20"/>
              </w:rPr>
              <w:t>Estimates Officer</w:t>
            </w:r>
            <w:r w:rsidRPr="0014243A">
              <w:rPr>
                <w:sz w:val="20"/>
              </w:rPr>
              <w:tab/>
            </w:r>
            <w:r w:rsidR="00CB7882">
              <w:rPr>
                <w:sz w:val="20"/>
              </w:rPr>
              <w:tab/>
            </w:r>
            <w:r w:rsidR="00A240D7" w:rsidRPr="0014243A">
              <w:rPr>
                <w:sz w:val="20"/>
              </w:rPr>
              <w:tab/>
            </w:r>
            <w:r w:rsidRPr="00CB7882">
              <w:rPr>
                <w:sz w:val="20"/>
              </w:rPr>
              <w:t>ph: (02) 6277 3535</w:t>
            </w:r>
          </w:p>
          <w:p w14:paraId="6EAECCD0" w14:textId="1C0617C7" w:rsidR="006F5B7C" w:rsidRPr="0014243A" w:rsidRDefault="006F5B7C" w:rsidP="0014243A">
            <w:pPr>
              <w:pStyle w:val="TableText-NormalIndented"/>
              <w:rPr>
                <w:rStyle w:val="Hyperlink"/>
                <w:rFonts w:cs="Calibri"/>
                <w:sz w:val="20"/>
              </w:rPr>
            </w:pPr>
            <w:r w:rsidRPr="0014243A">
              <w:rPr>
                <w:rStyle w:val="Hyperlink"/>
                <w:rFonts w:cs="Times New Roman"/>
                <w:sz w:val="20"/>
                <w:u w:val="none"/>
              </w:rPr>
              <w:t>email</w:t>
            </w:r>
            <w:r w:rsidRPr="00CB7882">
              <w:rPr>
                <w:sz w:val="20"/>
              </w:rPr>
              <w:t>:</w:t>
            </w:r>
            <w:r w:rsidR="00A240D7" w:rsidRPr="0014243A">
              <w:rPr>
                <w:sz w:val="20"/>
              </w:rPr>
              <w:tab/>
            </w:r>
            <w:r w:rsidR="00A240D7" w:rsidRPr="0014243A">
              <w:rPr>
                <w:sz w:val="20"/>
              </w:rPr>
              <w:tab/>
            </w:r>
            <w:r w:rsidR="00A240D7" w:rsidRPr="0014243A">
              <w:rPr>
                <w:sz w:val="20"/>
              </w:rPr>
              <w:tab/>
            </w:r>
            <w:r w:rsidR="00A240D7" w:rsidRPr="0014243A">
              <w:rPr>
                <w:sz w:val="20"/>
              </w:rPr>
              <w:tab/>
            </w:r>
            <w:r w:rsidR="007434ED" w:rsidRPr="00CB7882">
              <w:rPr>
                <w:sz w:val="20"/>
              </w:rPr>
              <w:tab/>
            </w:r>
            <w:hyperlink r:id="rId42">
              <w:r w:rsidRPr="00CB7882">
                <w:rPr>
                  <w:rStyle w:val="Hyperlink"/>
                  <w:rFonts w:cs="Times New Roman"/>
                  <w:sz w:val="20"/>
                  <w:u w:val="none"/>
                </w:rPr>
                <w:t>fadt.sen@aph.gov.au</w:t>
              </w:r>
            </w:hyperlink>
          </w:p>
        </w:tc>
        <w:tc>
          <w:tcPr>
            <w:tcW w:w="1276" w:type="dxa"/>
          </w:tcPr>
          <w:p w14:paraId="42F442D2" w14:textId="77777777" w:rsidR="006F5B7C" w:rsidRPr="00410664" w:rsidRDefault="006F5B7C" w:rsidP="00A85E0D">
            <w:pPr>
              <w:pStyle w:val="TableText-Normal"/>
              <w:contextualSpacing/>
              <w:rPr>
                <w:rFonts w:cs="Calibri"/>
                <w:szCs w:val="22"/>
              </w:rPr>
            </w:pPr>
            <w:r w:rsidRPr="00410664">
              <w:rPr>
                <w:rFonts w:cs="Calibri"/>
                <w:szCs w:val="22"/>
              </w:rPr>
              <w:t>6 copies</w:t>
            </w:r>
          </w:p>
        </w:tc>
      </w:tr>
      <w:tr w:rsidR="006F5B7C" w:rsidRPr="00DD477A" w14:paraId="35DE0319" w14:textId="77777777" w:rsidTr="0014243A">
        <w:tc>
          <w:tcPr>
            <w:tcW w:w="8080" w:type="dxa"/>
          </w:tcPr>
          <w:p w14:paraId="31B42CDA" w14:textId="78CD3E55" w:rsidR="006F5B7C" w:rsidRPr="00410664" w:rsidRDefault="006F5B7C" w:rsidP="0014243A">
            <w:pPr>
              <w:pStyle w:val="TableText-Normal"/>
              <w:ind w:left="142"/>
              <w:contextualSpacing/>
              <w:rPr>
                <w:rFonts w:cs="Calibri"/>
                <w:szCs w:val="22"/>
              </w:rPr>
            </w:pPr>
            <w:r w:rsidRPr="00410664">
              <w:rPr>
                <w:rFonts w:cs="Calibri"/>
                <w:szCs w:val="22"/>
              </w:rPr>
              <w:t>Legal and Constitutional Affairs</w:t>
            </w:r>
            <w:r w:rsidR="00C12B53">
              <w:rPr>
                <w:rFonts w:cs="Calibri"/>
                <w:szCs w:val="22"/>
              </w:rPr>
              <w:t xml:space="preserve"> —</w:t>
            </w:r>
            <w:r w:rsidRPr="00410664">
              <w:rPr>
                <w:rFonts w:cs="Calibri"/>
                <w:szCs w:val="22"/>
              </w:rPr>
              <w:t xml:space="preserve"> Attorney-General’s and Home Affairs</w:t>
            </w:r>
          </w:p>
          <w:p w14:paraId="68297EEF" w14:textId="2DA0EB06" w:rsidR="006F5B7C" w:rsidRPr="00CB7882" w:rsidRDefault="006F5B7C" w:rsidP="0014243A">
            <w:pPr>
              <w:pStyle w:val="TableText-NormalIndented"/>
              <w:rPr>
                <w:sz w:val="20"/>
              </w:rPr>
            </w:pPr>
            <w:r w:rsidRPr="00CB7882">
              <w:rPr>
                <w:sz w:val="20"/>
              </w:rPr>
              <w:t>Estimates Officer</w:t>
            </w:r>
            <w:r w:rsidRPr="0014243A">
              <w:rPr>
                <w:sz w:val="20"/>
              </w:rPr>
              <w:tab/>
            </w:r>
            <w:r w:rsidR="00A240D7" w:rsidRPr="0014243A">
              <w:rPr>
                <w:sz w:val="20"/>
              </w:rPr>
              <w:tab/>
            </w:r>
            <w:r w:rsidR="00CB7882">
              <w:rPr>
                <w:sz w:val="20"/>
              </w:rPr>
              <w:tab/>
            </w:r>
            <w:r w:rsidRPr="00CB7882">
              <w:rPr>
                <w:sz w:val="20"/>
              </w:rPr>
              <w:t>ph: (02) 6277 3560</w:t>
            </w:r>
          </w:p>
          <w:p w14:paraId="1AF78B91" w14:textId="74DD41E1" w:rsidR="006F5B7C" w:rsidRPr="0014243A" w:rsidRDefault="006F5B7C" w:rsidP="0014243A">
            <w:pPr>
              <w:pStyle w:val="TableText-NormalIndented"/>
              <w:rPr>
                <w:rStyle w:val="Hyperlink"/>
                <w:rFonts w:cs="Calibri"/>
                <w:sz w:val="20"/>
              </w:rPr>
            </w:pPr>
            <w:r w:rsidRPr="0014243A">
              <w:rPr>
                <w:rStyle w:val="Hyperlink"/>
                <w:rFonts w:cs="Times New Roman"/>
                <w:sz w:val="20"/>
                <w:u w:val="none"/>
              </w:rPr>
              <w:t>email</w:t>
            </w:r>
            <w:r w:rsidRPr="00CB7882">
              <w:rPr>
                <w:sz w:val="20"/>
              </w:rPr>
              <w:t>:</w:t>
            </w:r>
            <w:r w:rsidR="007434ED" w:rsidRPr="00CB7882">
              <w:rPr>
                <w:sz w:val="20"/>
              </w:rPr>
              <w:tab/>
            </w:r>
            <w:r w:rsidR="00A240D7" w:rsidRPr="0014243A">
              <w:rPr>
                <w:sz w:val="20"/>
              </w:rPr>
              <w:tab/>
            </w:r>
            <w:r w:rsidR="00A240D7" w:rsidRPr="0014243A">
              <w:rPr>
                <w:sz w:val="20"/>
              </w:rPr>
              <w:tab/>
            </w:r>
            <w:r w:rsidR="00A240D7" w:rsidRPr="0014243A">
              <w:rPr>
                <w:sz w:val="20"/>
              </w:rPr>
              <w:tab/>
            </w:r>
            <w:r w:rsidR="00A240D7" w:rsidRPr="0014243A">
              <w:rPr>
                <w:sz w:val="20"/>
              </w:rPr>
              <w:tab/>
            </w:r>
            <w:hyperlink r:id="rId43" w:history="1">
              <w:r w:rsidRPr="00CB7882">
                <w:rPr>
                  <w:rStyle w:val="Hyperlink"/>
                  <w:rFonts w:cs="Times New Roman"/>
                  <w:sz w:val="20"/>
                  <w:u w:val="none"/>
                </w:rPr>
                <w:t>legcon.sen@aph.gov.au</w:t>
              </w:r>
            </w:hyperlink>
          </w:p>
        </w:tc>
        <w:tc>
          <w:tcPr>
            <w:tcW w:w="1276" w:type="dxa"/>
          </w:tcPr>
          <w:p w14:paraId="25B1ED01" w14:textId="77777777" w:rsidR="006F5B7C" w:rsidRPr="00410664" w:rsidRDefault="006F5B7C" w:rsidP="00A85E0D">
            <w:pPr>
              <w:pStyle w:val="TableText-Normal"/>
              <w:contextualSpacing/>
              <w:rPr>
                <w:rFonts w:cs="Calibri"/>
                <w:szCs w:val="22"/>
              </w:rPr>
            </w:pPr>
            <w:r w:rsidRPr="00410664">
              <w:rPr>
                <w:rFonts w:cs="Calibri"/>
                <w:szCs w:val="22"/>
              </w:rPr>
              <w:t>3 copies</w:t>
            </w:r>
          </w:p>
        </w:tc>
      </w:tr>
      <w:tr w:rsidR="006F5B7C" w:rsidRPr="00DD477A" w14:paraId="3DFC60BF" w14:textId="77777777" w:rsidTr="0014243A">
        <w:tc>
          <w:tcPr>
            <w:tcW w:w="8080" w:type="dxa"/>
          </w:tcPr>
          <w:p w14:paraId="2129B7B7" w14:textId="7ABB3986" w:rsidR="006F5B7C" w:rsidRPr="000D342F" w:rsidRDefault="006F5B7C" w:rsidP="0014243A">
            <w:pPr>
              <w:pStyle w:val="TableText-Normal"/>
              <w:ind w:left="142"/>
              <w:contextualSpacing/>
              <w:rPr>
                <w:rFonts w:cs="Calibri"/>
                <w:szCs w:val="22"/>
              </w:rPr>
            </w:pPr>
            <w:r w:rsidRPr="000D342F">
              <w:rPr>
                <w:rFonts w:cs="Calibri"/>
                <w:szCs w:val="22"/>
              </w:rPr>
              <w:t>Rural and Regional Affairs and Transport</w:t>
            </w:r>
            <w:r w:rsidR="00C12B53">
              <w:rPr>
                <w:rFonts w:cs="Calibri"/>
                <w:szCs w:val="22"/>
              </w:rPr>
              <w:t xml:space="preserve"> —</w:t>
            </w:r>
            <w:r w:rsidRPr="000D342F">
              <w:rPr>
                <w:rFonts w:cs="Calibri"/>
                <w:szCs w:val="22"/>
              </w:rPr>
              <w:t xml:space="preserve"> Agriculture, Fisheries and Forestry, and Infrastructure, Transport, Regional Development, Communications</w:t>
            </w:r>
            <w:r w:rsidR="007434ED" w:rsidRPr="000D342F">
              <w:rPr>
                <w:rFonts w:cs="Calibri"/>
                <w:szCs w:val="22"/>
              </w:rPr>
              <w:t>, Sport</w:t>
            </w:r>
            <w:r w:rsidRPr="000D342F">
              <w:rPr>
                <w:rFonts w:cs="Calibri"/>
                <w:szCs w:val="22"/>
              </w:rPr>
              <w:t xml:space="preserve"> and the Arts (Infrastructure, Transport and Regional Development functions only)</w:t>
            </w:r>
          </w:p>
          <w:p w14:paraId="5879B4F5" w14:textId="6E07F834" w:rsidR="006F5B7C" w:rsidRPr="00CB7882" w:rsidRDefault="006F5B7C" w:rsidP="0014243A">
            <w:pPr>
              <w:pStyle w:val="TableText-NormalIndented"/>
              <w:rPr>
                <w:sz w:val="20"/>
              </w:rPr>
            </w:pPr>
            <w:r w:rsidRPr="00CB7882">
              <w:rPr>
                <w:sz w:val="20"/>
              </w:rPr>
              <w:t>Estimates Officer</w:t>
            </w:r>
            <w:r w:rsidRPr="0014243A">
              <w:rPr>
                <w:sz w:val="20"/>
              </w:rPr>
              <w:tab/>
            </w:r>
            <w:r w:rsidR="00CB7882">
              <w:rPr>
                <w:sz w:val="20"/>
              </w:rPr>
              <w:tab/>
            </w:r>
            <w:r w:rsidR="00A240D7" w:rsidRPr="0014243A">
              <w:rPr>
                <w:sz w:val="20"/>
              </w:rPr>
              <w:tab/>
            </w:r>
            <w:r w:rsidRPr="00CB7882">
              <w:rPr>
                <w:sz w:val="20"/>
              </w:rPr>
              <w:t>ph: (02) 6277 3511</w:t>
            </w:r>
          </w:p>
          <w:p w14:paraId="501FEDCD" w14:textId="7B9ACA07" w:rsidR="006F5B7C" w:rsidRPr="0014243A" w:rsidRDefault="0022056F" w:rsidP="0014243A">
            <w:pPr>
              <w:pStyle w:val="TableText-NormalIndented"/>
              <w:rPr>
                <w:sz w:val="20"/>
              </w:rPr>
            </w:pPr>
            <w:r w:rsidRPr="0014243A">
              <w:rPr>
                <w:rStyle w:val="Hyperlink"/>
                <w:rFonts w:cs="Times New Roman"/>
                <w:sz w:val="20"/>
                <w:u w:val="none"/>
              </w:rPr>
              <w:t>e</w:t>
            </w:r>
            <w:r w:rsidR="006F5B7C" w:rsidRPr="0014243A">
              <w:rPr>
                <w:rStyle w:val="Hyperlink"/>
                <w:rFonts w:cs="Times New Roman"/>
                <w:sz w:val="20"/>
                <w:u w:val="none"/>
              </w:rPr>
              <w:t>mail</w:t>
            </w:r>
            <w:r w:rsidR="006F5B7C" w:rsidRPr="00CB7882">
              <w:rPr>
                <w:sz w:val="20"/>
              </w:rPr>
              <w:t>:</w:t>
            </w:r>
            <w:r w:rsidR="00A240D7" w:rsidRPr="0014243A">
              <w:rPr>
                <w:sz w:val="20"/>
              </w:rPr>
              <w:tab/>
            </w:r>
            <w:r w:rsidR="00A240D7" w:rsidRPr="0014243A">
              <w:rPr>
                <w:sz w:val="20"/>
              </w:rPr>
              <w:tab/>
            </w:r>
            <w:r w:rsidR="00A240D7" w:rsidRPr="0014243A">
              <w:rPr>
                <w:sz w:val="20"/>
              </w:rPr>
              <w:tab/>
            </w:r>
            <w:r w:rsidR="00A240D7" w:rsidRPr="0014243A">
              <w:rPr>
                <w:sz w:val="20"/>
              </w:rPr>
              <w:tab/>
            </w:r>
            <w:r w:rsidR="007434ED" w:rsidRPr="00CB7882">
              <w:rPr>
                <w:sz w:val="20"/>
              </w:rPr>
              <w:tab/>
            </w:r>
            <w:hyperlink r:id="rId44" w:history="1">
              <w:r w:rsidR="006F5B7C" w:rsidRPr="00CB7882">
                <w:rPr>
                  <w:rStyle w:val="Hyperlink"/>
                  <w:rFonts w:cs="Times New Roman"/>
                  <w:sz w:val="20"/>
                  <w:u w:val="none"/>
                </w:rPr>
                <w:t>rrat.sen@aph.gov.au</w:t>
              </w:r>
            </w:hyperlink>
          </w:p>
        </w:tc>
        <w:tc>
          <w:tcPr>
            <w:tcW w:w="1276" w:type="dxa"/>
          </w:tcPr>
          <w:p w14:paraId="73F2A04B" w14:textId="77777777" w:rsidR="006F5B7C" w:rsidRPr="00410664" w:rsidRDefault="006F5B7C" w:rsidP="00A85E0D">
            <w:pPr>
              <w:pStyle w:val="TableText-Normal"/>
              <w:contextualSpacing/>
              <w:rPr>
                <w:rFonts w:cs="Calibri"/>
                <w:szCs w:val="22"/>
              </w:rPr>
            </w:pPr>
            <w:r w:rsidRPr="00410664">
              <w:rPr>
                <w:rFonts w:cs="Calibri"/>
                <w:szCs w:val="22"/>
              </w:rPr>
              <w:t>3 copies</w:t>
            </w:r>
          </w:p>
        </w:tc>
      </w:tr>
    </w:tbl>
    <w:p w14:paraId="5C2D0F26" w14:textId="77777777" w:rsidR="00E00AEE" w:rsidRDefault="00E00AEE">
      <w:pPr>
        <w:suppressAutoHyphens w:val="0"/>
        <w:spacing w:before="0" w:after="120" w:line="440" w:lineRule="atLeast"/>
      </w:pPr>
      <w:r>
        <w:br w:type="page"/>
      </w:r>
    </w:p>
    <w:p w14:paraId="58BBF8B2" w14:textId="2834BDD8" w:rsidR="00290B0B" w:rsidRPr="00DD477A" w:rsidRDefault="00290B0B" w:rsidP="003D6589">
      <w:pPr>
        <w:pStyle w:val="Heading1"/>
      </w:pPr>
      <w:bookmarkStart w:id="620" w:name="_Toc227748997"/>
      <w:r w:rsidRPr="00DD477A">
        <w:t>Online publication</w:t>
      </w:r>
      <w:bookmarkEnd w:id="620"/>
    </w:p>
    <w:p w14:paraId="5D73AE3A" w14:textId="77777777" w:rsidR="00290B0B" w:rsidRPr="00DD477A" w:rsidRDefault="00290B0B" w:rsidP="003D6589">
      <w:pPr>
        <w:pStyle w:val="Heading2"/>
      </w:pPr>
      <w:bookmarkStart w:id="621" w:name="_Toc227748998"/>
      <w:r w:rsidRPr="00DD477A">
        <w:t>Online publishing of the PB Statements</w:t>
      </w:r>
      <w:bookmarkEnd w:id="621"/>
    </w:p>
    <w:p w14:paraId="281254F1" w14:textId="5A485317" w:rsidR="00290B0B" w:rsidRPr="00DD477A" w:rsidRDefault="00290B0B" w:rsidP="00290B0B">
      <w:pPr>
        <w:rPr>
          <w:rFonts w:cs="Calibri"/>
        </w:rPr>
      </w:pPr>
      <w:r w:rsidRPr="00DD477A">
        <w:rPr>
          <w:rFonts w:cs="Calibri"/>
        </w:rPr>
        <w:t>All Budget documentation will be published online, with hyperlinks to reference associated budget documents to assist reading between these documents. The Australian Government Budget website (</w:t>
      </w:r>
      <w:hyperlink r:id="rId45" w:history="1">
        <w:r w:rsidRPr="00DD477A">
          <w:rPr>
            <w:rFonts w:cs="MuseoSans-500"/>
            <w:u w:val="single" w:color="0070C0"/>
          </w:rPr>
          <w:t>www.budget.gov.au</w:t>
        </w:r>
      </w:hyperlink>
      <w:r w:rsidRPr="00DD477A">
        <w:rPr>
          <w:rFonts w:cs="MuseoSans-500"/>
          <w:u w:val="single" w:color="0070C0"/>
        </w:rPr>
        <w:t>)</w:t>
      </w:r>
      <w:r w:rsidRPr="00DD477A">
        <w:rPr>
          <w:rFonts w:cs="Calibri"/>
        </w:rPr>
        <w:t xml:space="preserve"> will link readers to PB Statements on each portfolio’s website.</w:t>
      </w:r>
    </w:p>
    <w:p w14:paraId="62516D27" w14:textId="174AD441" w:rsidR="00290B0B" w:rsidRPr="00DD477A" w:rsidRDefault="00290B0B" w:rsidP="00290B0B">
      <w:pPr>
        <w:rPr>
          <w:rFonts w:eastAsiaTheme="minorEastAsia" w:cs="Calibri"/>
        </w:rPr>
      </w:pPr>
      <w:r w:rsidRPr="00DD477A">
        <w:rPr>
          <w:rFonts w:cs="Calibri"/>
        </w:rPr>
        <w:t xml:space="preserve">Portfolios </w:t>
      </w:r>
      <w:r w:rsidRPr="00DD477A">
        <w:rPr>
          <w:rFonts w:cs="Calibri"/>
          <w:b/>
          <w:bCs/>
        </w:rPr>
        <w:t>must</w:t>
      </w:r>
      <w:r w:rsidRPr="00DD477A">
        <w:rPr>
          <w:rFonts w:cs="Calibri"/>
        </w:rPr>
        <w:t xml:space="preserve"> provide online access to PB Statements on their portfolio department’s website in accessible formats as required by the </w:t>
      </w:r>
      <w:r w:rsidRPr="00DD477A">
        <w:rPr>
          <w:rFonts w:cs="Calibri"/>
          <w:i/>
        </w:rPr>
        <w:t>Web Content Accessibility Guidelines.</w:t>
      </w:r>
      <w:r w:rsidRPr="00DD477A">
        <w:rPr>
          <w:rFonts w:cs="Calibri"/>
        </w:rPr>
        <w:t xml:space="preserve"> These guidelines and other publishing requirements and guidance are available at</w:t>
      </w:r>
      <w:r w:rsidRPr="00DD477A">
        <w:rPr>
          <w:rFonts w:eastAsiaTheme="minorEastAsia" w:cs="Calibri"/>
        </w:rPr>
        <w:t xml:space="preserve"> </w:t>
      </w:r>
      <w:hyperlink r:id="rId46">
        <w:r w:rsidRPr="00DD477A">
          <w:rPr>
            <w:rFonts w:cs="MuseoSans-500"/>
            <w:u w:val="single" w:color="0070C0"/>
          </w:rPr>
          <w:t>www.stylemanual.gov.au</w:t>
        </w:r>
      </w:hyperlink>
      <w:r w:rsidRPr="00DD477A">
        <w:rPr>
          <w:rFonts w:eastAsiaTheme="minorEastAsia" w:cs="Calibri"/>
        </w:rPr>
        <w:t>.</w:t>
      </w:r>
    </w:p>
    <w:p w14:paraId="68D55592" w14:textId="7A117307" w:rsidR="00290B0B" w:rsidRDefault="00290B0B" w:rsidP="00290B0B">
      <w:r w:rsidRPr="00DD477A">
        <w:t xml:space="preserve">PB Statements </w:t>
      </w:r>
      <w:r w:rsidRPr="00DD477A">
        <w:rPr>
          <w:b/>
        </w:rPr>
        <w:t>must not</w:t>
      </w:r>
      <w:r w:rsidRPr="00DD477A">
        <w:t xml:space="preserve"> be uploaded onto portfolio department’s websites </w:t>
      </w:r>
      <w:r w:rsidRPr="00DD477A">
        <w:rPr>
          <w:b/>
        </w:rPr>
        <w:t>until after they are tabled in the Senate</w:t>
      </w:r>
      <w:r w:rsidRPr="00DD477A">
        <w:t xml:space="preserve">. </w:t>
      </w:r>
      <w:r w:rsidR="006B4943">
        <w:t xml:space="preserve">The </w:t>
      </w:r>
      <w:r w:rsidRPr="00DD477A">
        <w:t xml:space="preserve">PB Statements are </w:t>
      </w:r>
      <w:r w:rsidRPr="00DD477A">
        <w:rPr>
          <w:b/>
        </w:rPr>
        <w:t>not</w:t>
      </w:r>
      <w:r w:rsidRPr="00DD477A">
        <w:t xml:space="preserve"> tabled in the House of Representatives.</w:t>
      </w:r>
    </w:p>
    <w:p w14:paraId="2624A5D9" w14:textId="0B308236" w:rsidR="00296741" w:rsidRPr="00DD477A" w:rsidRDefault="00197E01" w:rsidP="0014243A">
      <w:pPr>
        <w:pStyle w:val="Heading3"/>
      </w:pPr>
      <w:bookmarkStart w:id="622" w:name="_Ref220510991"/>
      <w:bookmarkStart w:id="623" w:name="_Toc227748999"/>
      <w:r w:rsidRPr="00197E01">
        <w:t>Dynamic Red webpage</w:t>
      </w:r>
      <w:bookmarkEnd w:id="622"/>
      <w:bookmarkEnd w:id="623"/>
    </w:p>
    <w:p w14:paraId="69962A88" w14:textId="77777777" w:rsidR="004C54DA" w:rsidRDefault="00D2662A" w:rsidP="00D2662A">
      <w:bookmarkStart w:id="624" w:name="_Hlk219889135"/>
      <w:r w:rsidRPr="00DD477A">
        <w:t xml:space="preserve">Tabling status is available on the Department of the Senate’s </w:t>
      </w:r>
      <w:hyperlink r:id="rId47" w:history="1">
        <w:r w:rsidRPr="00DD477A">
          <w:rPr>
            <w:rFonts w:cs="MuseoSans-500"/>
            <w:u w:val="single" w:color="0070C0"/>
          </w:rPr>
          <w:t>order of business - dynamic red</w:t>
        </w:r>
      </w:hyperlink>
      <w:r w:rsidRPr="00DD477A">
        <w:t xml:space="preserve"> webpage.</w:t>
      </w:r>
      <w:r>
        <w:t xml:space="preserve"> </w:t>
      </w:r>
      <w:bookmarkStart w:id="625" w:name="_Hlk219889253"/>
      <w:bookmarkEnd w:id="624"/>
    </w:p>
    <w:p w14:paraId="547ADF09" w14:textId="6C7708E0" w:rsidR="00D2662A" w:rsidRPr="00DD477A" w:rsidRDefault="00D2662A" w:rsidP="00D2662A">
      <w:r>
        <w:t>Once the PB statements are</w:t>
      </w:r>
      <w:r w:rsidRPr="00DD477A">
        <w:t xml:space="preserve"> tabled, the time the documents were tabled is provided in the light red column </w:t>
      </w:r>
      <w:r>
        <w:t xml:space="preserve">located on </w:t>
      </w:r>
      <w:r w:rsidRPr="00DD477A">
        <w:t xml:space="preserve">the right-hand side </w:t>
      </w:r>
      <w:r>
        <w:t xml:space="preserve">of the item describing the </w:t>
      </w:r>
      <w:r w:rsidRPr="00DD477A">
        <w:t>‘</w:t>
      </w:r>
      <w:r>
        <w:t>2026</w:t>
      </w:r>
      <w:r w:rsidR="00C917CE">
        <w:t>–</w:t>
      </w:r>
      <w:r>
        <w:t>27</w:t>
      </w:r>
      <w:r w:rsidRPr="00DD477A">
        <w:t xml:space="preserve"> Portfolio Budget Statements’. </w:t>
      </w:r>
      <w:r>
        <w:t xml:space="preserve">The item listed represents all </w:t>
      </w:r>
      <w:r w:rsidRPr="00DD477A">
        <w:t>Portfolios</w:t>
      </w:r>
      <w:r>
        <w:t xml:space="preserve">, individual portfolios </w:t>
      </w:r>
      <w:r w:rsidRPr="00DD477A">
        <w:t>will not be separately identified.</w:t>
      </w:r>
    </w:p>
    <w:bookmarkEnd w:id="625"/>
    <w:p w14:paraId="105AF1EC" w14:textId="37C8B723" w:rsidR="00290B0B" w:rsidRPr="00DD477A" w:rsidRDefault="00D2662A" w:rsidP="00290B0B">
      <w:r w:rsidRPr="00DD477A">
        <w:t>It is anticipated that th</w:t>
      </w:r>
      <w:r>
        <w:t>e</w:t>
      </w:r>
      <w:r w:rsidRPr="00DD477A">
        <w:t xml:space="preserve"> notice will appear on the </w:t>
      </w:r>
      <w:r w:rsidRPr="00DD477A">
        <w:rPr>
          <w:b/>
        </w:rPr>
        <w:t>Dynamic Red website</w:t>
      </w:r>
      <w:r w:rsidRPr="00DD477A">
        <w:t xml:space="preserve"> around </w:t>
      </w:r>
      <w:r w:rsidRPr="00DD477A">
        <w:rPr>
          <w:b/>
        </w:rPr>
        <w:t>20:15pm, Tuesday,</w:t>
      </w:r>
      <w:r w:rsidR="004A1D56">
        <w:rPr>
          <w:b/>
        </w:rPr>
        <w:t xml:space="preserve"> </w:t>
      </w:r>
      <w:r>
        <w:rPr>
          <w:b/>
        </w:rPr>
        <w:t>12</w:t>
      </w:r>
      <w:r w:rsidRPr="00DD477A">
        <w:rPr>
          <w:b/>
        </w:rPr>
        <w:t> </w:t>
      </w:r>
      <w:r>
        <w:rPr>
          <w:b/>
        </w:rPr>
        <w:t>May</w:t>
      </w:r>
      <w:r w:rsidRPr="00DD477A">
        <w:rPr>
          <w:b/>
        </w:rPr>
        <w:t xml:space="preserve"> </w:t>
      </w:r>
      <w:r>
        <w:rPr>
          <w:b/>
        </w:rPr>
        <w:t>2026</w:t>
      </w:r>
      <w:r w:rsidRPr="00DD477A">
        <w:t xml:space="preserve">. If there is any doubt as to whether the PB Statements have been tabled, please call the Senate enquiries number </w:t>
      </w:r>
      <w:r>
        <w:t xml:space="preserve">ph: </w:t>
      </w:r>
      <w:r w:rsidRPr="00DD477A">
        <w:t xml:space="preserve">(02) 6277 3010 </w:t>
      </w:r>
      <w:r>
        <w:t>they can provide a status update</w:t>
      </w:r>
      <w:r w:rsidRPr="00DD477A">
        <w:t>.</w:t>
      </w:r>
      <w:bookmarkStart w:id="626" w:name="_Toc222147962"/>
      <w:bookmarkStart w:id="627" w:name="_Toc222148224"/>
      <w:bookmarkStart w:id="628" w:name="_Toc222148678"/>
      <w:bookmarkStart w:id="629" w:name="_Toc222148906"/>
      <w:bookmarkStart w:id="630" w:name="_Toc222149134"/>
      <w:bookmarkStart w:id="631" w:name="_Toc222149362"/>
      <w:bookmarkStart w:id="632" w:name="_Toc222149591"/>
      <w:bookmarkEnd w:id="626"/>
      <w:bookmarkEnd w:id="627"/>
      <w:bookmarkEnd w:id="628"/>
      <w:bookmarkEnd w:id="629"/>
      <w:bookmarkEnd w:id="630"/>
      <w:bookmarkEnd w:id="631"/>
      <w:bookmarkEnd w:id="632"/>
    </w:p>
    <w:p w14:paraId="72F1E0BB" w14:textId="77777777" w:rsidR="007659C0" w:rsidRDefault="007659C0" w:rsidP="007659C0">
      <w:pPr>
        <w:pStyle w:val="Heading3"/>
      </w:pPr>
      <w:bookmarkStart w:id="633" w:name="_Toc227749000"/>
      <w:r>
        <w:t>Portfolio Website Publication /Treasury’s Requirement</w:t>
      </w:r>
      <w:bookmarkEnd w:id="633"/>
    </w:p>
    <w:p w14:paraId="444749AA" w14:textId="77777777" w:rsidR="007659C0" w:rsidRPr="00DD477A" w:rsidRDefault="007659C0" w:rsidP="007659C0">
      <w:pPr>
        <w:rPr>
          <w:rFonts w:cs="Calibri"/>
        </w:rPr>
      </w:pPr>
      <w:r w:rsidRPr="00DD477A">
        <w:rPr>
          <w:rFonts w:cs="Calibri"/>
        </w:rPr>
        <w:t xml:space="preserve">Portfolios should email the Digital Delivery Team at </w:t>
      </w:r>
      <w:hyperlink r:id="rId48" w:history="1">
        <w:r w:rsidRPr="00DD477A">
          <w:rPr>
            <w:rFonts w:cs="MuseoSans-500"/>
            <w:u w:val="single" w:color="0070C0"/>
          </w:rPr>
          <w:t>budget-website@treasury.gov.au</w:t>
        </w:r>
      </w:hyperlink>
      <w:r w:rsidRPr="00DD477A">
        <w:rPr>
          <w:rFonts w:cs="MuseoSans-500"/>
          <w:u w:val="single" w:color="0070C0"/>
        </w:rPr>
        <w:t xml:space="preserve"> </w:t>
      </w:r>
      <w:r w:rsidRPr="00DD477A">
        <w:rPr>
          <w:rFonts w:cs="Calibri"/>
        </w:rPr>
        <w:t xml:space="preserve">by </w:t>
      </w:r>
      <w:r w:rsidRPr="00DD477A">
        <w:rPr>
          <w:rFonts w:cs="Calibri"/>
          <w:b/>
          <w:bCs/>
        </w:rPr>
        <w:t xml:space="preserve">4.30pm </w:t>
      </w:r>
      <w:r w:rsidRPr="00DD477A">
        <w:rPr>
          <w:rFonts w:cs="Calibri"/>
          <w:b/>
        </w:rPr>
        <w:t xml:space="preserve">Friday, </w:t>
      </w:r>
      <w:r>
        <w:rPr>
          <w:rFonts w:cs="Calibri"/>
          <w:b/>
        </w:rPr>
        <w:t>8</w:t>
      </w:r>
      <w:r w:rsidRPr="00DD477A">
        <w:rPr>
          <w:rFonts w:cs="Calibri"/>
          <w:b/>
        </w:rPr>
        <w:t> </w:t>
      </w:r>
      <w:r>
        <w:rPr>
          <w:rFonts w:cs="Calibri"/>
          <w:b/>
        </w:rPr>
        <w:t>May</w:t>
      </w:r>
      <w:r w:rsidRPr="00DD477A">
        <w:rPr>
          <w:rFonts w:cs="Calibri"/>
          <w:b/>
        </w:rPr>
        <w:t xml:space="preserve"> </w:t>
      </w:r>
      <w:r>
        <w:rPr>
          <w:rFonts w:cs="Calibri"/>
          <w:b/>
        </w:rPr>
        <w:t>2026</w:t>
      </w:r>
      <w:r w:rsidRPr="00DD477A">
        <w:rPr>
          <w:rFonts w:cs="Calibri"/>
          <w:b/>
          <w:bCs/>
        </w:rPr>
        <w:t xml:space="preserve"> </w:t>
      </w:r>
      <w:r w:rsidRPr="00DD477A">
        <w:rPr>
          <w:rFonts w:cs="Calibri"/>
        </w:rPr>
        <w:t>the following details:</w:t>
      </w:r>
    </w:p>
    <w:p w14:paraId="7DE1CF9A" w14:textId="77777777" w:rsidR="007659C0" w:rsidRPr="00DD477A" w:rsidRDefault="007659C0" w:rsidP="007659C0">
      <w:pPr>
        <w:pStyle w:val="Bullet1"/>
      </w:pPr>
      <w:bookmarkStart w:id="634" w:name="_Hlk219889554"/>
      <w:r w:rsidRPr="00DD477A">
        <w:t xml:space="preserve">the URL address relevant to the </w:t>
      </w:r>
      <w:bookmarkEnd w:id="634"/>
      <w:r w:rsidRPr="00DD477A">
        <w:t>PB Statement</w:t>
      </w:r>
    </w:p>
    <w:p w14:paraId="5AE646C6" w14:textId="77777777" w:rsidR="007659C0" w:rsidRPr="00DD477A" w:rsidRDefault="007659C0" w:rsidP="007659C0">
      <w:pPr>
        <w:pStyle w:val="Bullet1"/>
      </w:pPr>
      <w:bookmarkStart w:id="635" w:name="_Hlk219889590"/>
      <w:r w:rsidRPr="00DD477A">
        <w:t xml:space="preserve">portfolio contact details for PB Statement </w:t>
      </w:r>
      <w:r>
        <w:t xml:space="preserve">author and for </w:t>
      </w:r>
      <w:r w:rsidRPr="00DD477A">
        <w:t>queries</w:t>
      </w:r>
      <w:r>
        <w:t xml:space="preserve"> and</w:t>
      </w:r>
    </w:p>
    <w:p w14:paraId="4F35EF46" w14:textId="77777777" w:rsidR="007659C0" w:rsidRPr="00DD477A" w:rsidRDefault="007659C0" w:rsidP="007659C0">
      <w:pPr>
        <w:pStyle w:val="Bullet1"/>
      </w:pPr>
      <w:r w:rsidRPr="00DD477A">
        <w:t>contact details for the portfolio’s webmaster.</w:t>
      </w:r>
    </w:p>
    <w:p w14:paraId="632925FF" w14:textId="77777777" w:rsidR="007659C0" w:rsidRPr="00DD477A" w:rsidRDefault="007659C0" w:rsidP="007659C0">
      <w:r w:rsidRPr="00B95CF2">
        <w:t>Portfolio Departments should ensure the above information is forwarded to their internal Web Publishing area for action.</w:t>
      </w:r>
    </w:p>
    <w:p w14:paraId="269D39CE" w14:textId="4D2E4EC9" w:rsidR="007659C0" w:rsidRDefault="007659C0" w:rsidP="0014243A">
      <w:r w:rsidRPr="00DD477A">
        <w:t xml:space="preserve">The PB Statements </w:t>
      </w:r>
      <w:r w:rsidRPr="00DD477A">
        <w:rPr>
          <w:b/>
          <w:bCs/>
        </w:rPr>
        <w:t>are not</w:t>
      </w:r>
      <w:r w:rsidRPr="00DD477A">
        <w:t xml:space="preserve"> archived on the </w:t>
      </w:r>
      <w:hyperlink r:id="rId49">
        <w:r w:rsidRPr="00DD477A">
          <w:rPr>
            <w:rFonts w:cs="MuseoSans-500"/>
            <w:u w:val="single" w:color="0070C0"/>
          </w:rPr>
          <w:t>www.budget.gov.au</w:t>
        </w:r>
      </w:hyperlink>
      <w:r w:rsidRPr="00DD477A">
        <w:t xml:space="preserve"> website – portfolio departments should ensure electronic copies of past PB Statements remain available on their websites.</w:t>
      </w:r>
    </w:p>
    <w:p w14:paraId="4CE77C25" w14:textId="77777777" w:rsidR="00290B0B" w:rsidRPr="00DD477A" w:rsidRDefault="00290B0B" w:rsidP="003D6589">
      <w:pPr>
        <w:pStyle w:val="Heading2"/>
      </w:pPr>
      <w:bookmarkStart w:id="636" w:name="_Toc227749001"/>
      <w:bookmarkEnd w:id="635"/>
      <w:r w:rsidRPr="00DD477A">
        <w:t>Standard file-naming convention</w:t>
      </w:r>
      <w:bookmarkEnd w:id="636"/>
    </w:p>
    <w:p w14:paraId="515FF14F" w14:textId="77777777" w:rsidR="00024A05" w:rsidRPr="00DD477A" w:rsidRDefault="00024A05" w:rsidP="00024A05">
      <w:pPr>
        <w:rPr>
          <w:rFonts w:cs="Calibri"/>
        </w:rPr>
      </w:pPr>
      <w:bookmarkStart w:id="637" w:name="_Hlk219889856"/>
      <w:r w:rsidRPr="00DD477A">
        <w:rPr>
          <w:rFonts w:cs="Calibri"/>
        </w:rPr>
        <w:t xml:space="preserve">A consistent file-naming convention for electronic copies of the PB Statements is required to aid readers comprehension, minimise confusion and improve online searchability. </w:t>
      </w:r>
    </w:p>
    <w:p w14:paraId="79A5F697" w14:textId="7EE3F740" w:rsidR="00290B0B" w:rsidRPr="00DD477A" w:rsidRDefault="00024A05" w:rsidP="0014243A">
      <w:pPr>
        <w:keepNext/>
        <w:rPr>
          <w:rFonts w:cs="Calibri"/>
        </w:rPr>
      </w:pPr>
      <w:r w:rsidRPr="00DD477A">
        <w:rPr>
          <w:rFonts w:cs="Calibri"/>
        </w:rPr>
        <w:t>An example of the recommended convention is:</w:t>
      </w:r>
      <w:bookmarkEnd w:id="637"/>
    </w:p>
    <w:p w14:paraId="6EF1F8FC" w14:textId="77777777" w:rsidR="00290B0B" w:rsidRPr="00DD477A" w:rsidRDefault="00290B0B" w:rsidP="00290B0B">
      <w:pPr>
        <w:pStyle w:val="IndentBlueText"/>
      </w:pPr>
      <w:r w:rsidRPr="00DD477A">
        <w:t>FinancialYear_Portfolio_PBS_a file sequence number (i.e. 01, 02 etc) Chapter Number (or entity name/acronym, etc)</w:t>
      </w:r>
    </w:p>
    <w:p w14:paraId="53E9DEBF" w14:textId="77777777" w:rsidR="00290B0B" w:rsidRPr="00DD477A" w:rsidRDefault="00290B0B" w:rsidP="0014243A">
      <w:pPr>
        <w:keepNext/>
        <w:rPr>
          <w:rFonts w:cs="Calibri"/>
        </w:rPr>
      </w:pPr>
      <w:r w:rsidRPr="00DD477A">
        <w:rPr>
          <w:rFonts w:cs="Calibri"/>
        </w:rPr>
        <w:t>Examples would be:</w:t>
      </w:r>
    </w:p>
    <w:p w14:paraId="4E132153" w14:textId="0A915262" w:rsidR="00290B0B" w:rsidRPr="00DD477A" w:rsidRDefault="00DC026B" w:rsidP="00290B0B">
      <w:pPr>
        <w:pStyle w:val="IndentBlueText"/>
      </w:pPr>
      <w:r>
        <w:t>2026</w:t>
      </w:r>
      <w:r w:rsidR="004A4C99">
        <w:t>–</w:t>
      </w:r>
      <w:r>
        <w:t>27</w:t>
      </w:r>
      <w:r w:rsidR="00290B0B" w:rsidRPr="00DD477A">
        <w:t>_Finance_PBS_01_Parts_A_and_B</w:t>
      </w:r>
    </w:p>
    <w:p w14:paraId="4EF2421F" w14:textId="04121E18" w:rsidR="00290B0B" w:rsidRPr="00DD477A" w:rsidRDefault="00DC026B" w:rsidP="00290B0B">
      <w:pPr>
        <w:pStyle w:val="IndentBlueText"/>
      </w:pPr>
      <w:r>
        <w:t>2026</w:t>
      </w:r>
      <w:r w:rsidR="004A4C99">
        <w:t>–</w:t>
      </w:r>
      <w:r>
        <w:t>27</w:t>
      </w:r>
      <w:r w:rsidR="00290B0B" w:rsidRPr="00DD477A">
        <w:t>_Finance_PBS_02_AEC</w:t>
      </w:r>
    </w:p>
    <w:p w14:paraId="3EDF785A" w14:textId="461943CD" w:rsidR="00290B0B" w:rsidRPr="00DD477A" w:rsidRDefault="00DC026B" w:rsidP="00290B0B">
      <w:pPr>
        <w:pStyle w:val="IndentBlueText"/>
      </w:pPr>
      <w:r>
        <w:t>2026</w:t>
      </w:r>
      <w:r w:rsidR="004A4C99">
        <w:t>–</w:t>
      </w:r>
      <w:r>
        <w:t>27</w:t>
      </w:r>
      <w:r w:rsidR="00290B0B" w:rsidRPr="00DD477A">
        <w:t>_Finance_PBS_03_Outcome1</w:t>
      </w:r>
    </w:p>
    <w:p w14:paraId="2C1399D6" w14:textId="524AFB72" w:rsidR="00213F8A" w:rsidRPr="00DD477A" w:rsidRDefault="00213F8A" w:rsidP="00213F8A">
      <w:pPr>
        <w:rPr>
          <w:rFonts w:cs="Calibri"/>
        </w:rPr>
      </w:pPr>
      <w:r w:rsidRPr="344C636A">
        <w:rPr>
          <w:rFonts w:cs="Calibri"/>
        </w:rPr>
        <w:t xml:space="preserve">The file sequence </w:t>
      </w:r>
      <w:r w:rsidR="00093F2A">
        <w:rPr>
          <w:rFonts w:cs="Calibri"/>
        </w:rPr>
        <w:t>allows</w:t>
      </w:r>
      <w:r w:rsidRPr="344C636A">
        <w:rPr>
          <w:rFonts w:cs="Calibri"/>
        </w:rPr>
        <w:t xml:space="preserve"> the </w:t>
      </w:r>
      <w:r w:rsidR="00093F2A">
        <w:rPr>
          <w:rFonts w:cs="Calibri"/>
        </w:rPr>
        <w:t>documents to</w:t>
      </w:r>
      <w:r w:rsidRPr="344C636A">
        <w:rPr>
          <w:rFonts w:cs="Calibri"/>
        </w:rPr>
        <w:t xml:space="preserve"> be read </w:t>
      </w:r>
      <w:r w:rsidR="00093F2A">
        <w:rPr>
          <w:rFonts w:cs="Calibri"/>
        </w:rPr>
        <w:t xml:space="preserve">as </w:t>
      </w:r>
      <w:r w:rsidRPr="344C636A">
        <w:rPr>
          <w:rFonts w:cs="Calibri"/>
        </w:rPr>
        <w:t xml:space="preserve">if </w:t>
      </w:r>
      <w:r w:rsidR="00093F2A">
        <w:rPr>
          <w:rFonts w:cs="Calibri"/>
        </w:rPr>
        <w:t xml:space="preserve">they </w:t>
      </w:r>
      <w:r w:rsidR="007D2CBD">
        <w:rPr>
          <w:rFonts w:cs="Calibri"/>
        </w:rPr>
        <w:t>formed</w:t>
      </w:r>
      <w:r w:rsidRPr="344C636A">
        <w:rPr>
          <w:rFonts w:cs="Calibri"/>
        </w:rPr>
        <w:t xml:space="preserve"> a book</w:t>
      </w:r>
      <w:r w:rsidR="007D2CBD">
        <w:rPr>
          <w:rFonts w:cs="Calibri"/>
        </w:rPr>
        <w:t>.</w:t>
      </w:r>
    </w:p>
    <w:p w14:paraId="3D58B162" w14:textId="62E2766F" w:rsidR="00290B0B" w:rsidRPr="00DD477A" w:rsidRDefault="00213F8A" w:rsidP="00290B0B">
      <w:pPr>
        <w:rPr>
          <w:rFonts w:cs="Calibri"/>
        </w:rPr>
      </w:pPr>
      <w:r w:rsidRPr="5866959B">
        <w:rPr>
          <w:rFonts w:cs="Calibri"/>
        </w:rPr>
        <w:t xml:space="preserve">Naming the files in this way means that the order of files downloaded into a sub-directory would be the same order as the order of presentation of chapters in the PB Statement. </w:t>
      </w:r>
      <w:r w:rsidR="00821E1D" w:rsidRPr="00821E1D">
        <w:rPr>
          <w:rFonts w:cs="Calibri"/>
        </w:rPr>
        <w:t xml:space="preserve">This results in an easier and more intuitive navigation process, allowing the electronic chapters to appear in the same order as the printed chapters. </w:t>
      </w:r>
    </w:p>
    <w:p w14:paraId="250F19C1" w14:textId="4BE294A5" w:rsidR="00290B0B" w:rsidRPr="00DD477A" w:rsidRDefault="00AD23EB" w:rsidP="003D6589">
      <w:pPr>
        <w:pStyle w:val="Heading3"/>
      </w:pPr>
      <w:bookmarkStart w:id="638" w:name="_Ref222319452"/>
      <w:bookmarkStart w:id="639" w:name="_Ref222319462"/>
      <w:bookmarkStart w:id="640" w:name="_Toc227749002"/>
      <w:r w:rsidRPr="00AD23EB">
        <w:t>Digital government strategy and publication on data.gov.au</w:t>
      </w:r>
      <w:bookmarkEnd w:id="638"/>
      <w:bookmarkEnd w:id="639"/>
      <w:bookmarkEnd w:id="640"/>
    </w:p>
    <w:p w14:paraId="0ABC1C2F" w14:textId="77777777" w:rsidR="00290B0B" w:rsidRPr="00DD477A" w:rsidRDefault="00290B0B" w:rsidP="00290B0B">
      <w:pPr>
        <w:rPr>
          <w:rFonts w:cs="Calibri"/>
        </w:rPr>
      </w:pPr>
      <w:r w:rsidRPr="00DD477A">
        <w:rPr>
          <w:rFonts w:cs="Calibri"/>
        </w:rPr>
        <w:t xml:space="preserve">To increase Budget transparency, portfolio departments are required to provide a copy of finalised PB Statements tables for publication on </w:t>
      </w:r>
      <w:hyperlink r:id="rId50" w:history="1">
        <w:r w:rsidRPr="00DD477A">
          <w:rPr>
            <w:rStyle w:val="Hyperlink"/>
          </w:rPr>
          <w:t>data.gov.au</w:t>
        </w:r>
      </w:hyperlink>
      <w:r w:rsidRPr="00DD477A">
        <w:rPr>
          <w:rFonts w:cs="Calibri"/>
        </w:rPr>
        <w:t>. While portfolio departments have the option of using Creative Commons BY 4.0, the Finance templates by default use Creative Commons BY 3.0.</w:t>
      </w:r>
    </w:p>
    <w:p w14:paraId="6D91EE38" w14:textId="4E6D49C5" w:rsidR="00290B0B" w:rsidRPr="00DD477A" w:rsidRDefault="00290B0B" w:rsidP="00290B0B">
      <w:pPr>
        <w:rPr>
          <w:rFonts w:cs="Calibri"/>
        </w:rPr>
      </w:pPr>
      <w:r w:rsidRPr="00DD477A">
        <w:rPr>
          <w:rFonts w:cs="Calibri"/>
        </w:rPr>
        <w:t xml:space="preserve">The PB Statements financial tables received from portfolios in Excel workbook format will be published on </w:t>
      </w:r>
      <w:hyperlink r:id="rId51">
        <w:r w:rsidRPr="00DD477A">
          <w:rPr>
            <w:rStyle w:val="Hyperlink"/>
          </w:rPr>
          <w:t>data.gov.au</w:t>
        </w:r>
      </w:hyperlink>
      <w:r w:rsidRPr="00DD477A">
        <w:rPr>
          <w:rFonts w:cs="Calibri"/>
        </w:rPr>
        <w:t xml:space="preserve"> as with a separate workbook for each entity.</w:t>
      </w:r>
    </w:p>
    <w:p w14:paraId="126CCE90" w14:textId="77777777" w:rsidR="00290B0B" w:rsidRPr="00DD477A" w:rsidRDefault="00290B0B" w:rsidP="00290B0B">
      <w:pPr>
        <w:rPr>
          <w:rFonts w:cs="Calibri"/>
        </w:rPr>
      </w:pPr>
      <w:r w:rsidRPr="00DD477A">
        <w:rPr>
          <w:rFonts w:cs="Calibri"/>
        </w:rPr>
        <w:t>The collection of PB Statements financial tables will be published in machine-readable format to assist analysis of the financial information.</w:t>
      </w:r>
    </w:p>
    <w:p w14:paraId="733D134C" w14:textId="77777777" w:rsidR="00290B0B" w:rsidRPr="00DD477A" w:rsidRDefault="00290B0B" w:rsidP="00290B0B">
      <w:pPr>
        <w:suppressAutoHyphens w:val="0"/>
        <w:rPr>
          <w:rFonts w:cs="Calibri"/>
        </w:rPr>
      </w:pPr>
      <w:r w:rsidRPr="00DD477A">
        <w:rPr>
          <w:rFonts w:cs="Calibri"/>
        </w:rPr>
        <w:t xml:space="preserve">The following financial tables </w:t>
      </w:r>
      <w:r w:rsidRPr="00DD477A">
        <w:rPr>
          <w:rFonts w:cs="Calibri"/>
          <w:b/>
          <w:bCs/>
        </w:rPr>
        <w:t>with headings and footnotes</w:t>
      </w:r>
      <w:r w:rsidRPr="00DD477A">
        <w:rPr>
          <w:rFonts w:cs="Calibri"/>
        </w:rPr>
        <w:t xml:space="preserve"> will be published on </w:t>
      </w:r>
      <w:hyperlink r:id="rId52">
        <w:r w:rsidRPr="00DD477A">
          <w:rPr>
            <w:rStyle w:val="Hyperlink"/>
          </w:rPr>
          <w:t>data.gov.au</w:t>
        </w:r>
      </w:hyperlink>
      <w:r w:rsidRPr="00DD477A">
        <w:rPr>
          <w:rFonts w:cs="Calibri"/>
        </w:rPr>
        <w:t>:</w:t>
      </w:r>
    </w:p>
    <w:p w14:paraId="091A322A" w14:textId="77777777" w:rsidR="00290B0B" w:rsidRPr="00DD477A" w:rsidRDefault="00290B0B" w:rsidP="00B54999">
      <w:pPr>
        <w:pStyle w:val="Bullet1"/>
      </w:pPr>
      <w:r w:rsidRPr="00B54999">
        <w:t>Table</w:t>
      </w:r>
      <w:r w:rsidRPr="00DD477A">
        <w:t xml:space="preserve"> 1.1: Entity resource statement (Table 1.1)</w:t>
      </w:r>
    </w:p>
    <w:p w14:paraId="4D0329EF" w14:textId="51B3E8FA" w:rsidR="00290B0B" w:rsidRPr="00DD477A" w:rsidRDefault="00290B0B" w:rsidP="00B54999">
      <w:pPr>
        <w:pStyle w:val="Bullet1"/>
      </w:pPr>
      <w:r w:rsidRPr="00DD477A">
        <w:t xml:space="preserve">Table 1.2: Entity </w:t>
      </w:r>
      <w:r w:rsidR="00DC026B">
        <w:t>2026</w:t>
      </w:r>
      <w:r w:rsidR="00C917CE">
        <w:t>–</w:t>
      </w:r>
      <w:r w:rsidR="00DC026B">
        <w:t>27</w:t>
      </w:r>
      <w:r w:rsidRPr="00DD477A">
        <w:t xml:space="preserve"> Budget measures</w:t>
      </w:r>
    </w:p>
    <w:p w14:paraId="0D6C83E7" w14:textId="77777777" w:rsidR="00290B0B" w:rsidRPr="00DD477A" w:rsidRDefault="00290B0B" w:rsidP="00B54999">
      <w:pPr>
        <w:pStyle w:val="Bullet1"/>
      </w:pPr>
      <w:r w:rsidRPr="00DD477A">
        <w:t>Table 2.X.1: Budgeted expenses for Outcome X (Table 2.X.1)</w:t>
      </w:r>
    </w:p>
    <w:p w14:paraId="170CF2BD" w14:textId="77777777" w:rsidR="00290B0B" w:rsidRPr="00DD477A" w:rsidRDefault="00290B0B" w:rsidP="00B54999">
      <w:pPr>
        <w:pStyle w:val="Bullet1"/>
      </w:pPr>
      <w:r w:rsidRPr="00DD477A">
        <w:t>Table 2.X.2: Program components</w:t>
      </w:r>
    </w:p>
    <w:p w14:paraId="66C8EA84" w14:textId="77777777" w:rsidR="00290B0B" w:rsidRPr="00DD477A" w:rsidRDefault="00290B0B" w:rsidP="00B54999">
      <w:pPr>
        <w:pStyle w:val="Bullet1"/>
      </w:pPr>
      <w:r w:rsidRPr="00DD477A">
        <w:t>Table 3.1 to 3.6: Departmental budgeted financial statements</w:t>
      </w:r>
    </w:p>
    <w:p w14:paraId="44D9AA16" w14:textId="77777777" w:rsidR="00290B0B" w:rsidRPr="00DD477A" w:rsidRDefault="00290B0B" w:rsidP="00B54999">
      <w:pPr>
        <w:pStyle w:val="Bullet1"/>
      </w:pPr>
      <w:r w:rsidRPr="00DD477A">
        <w:t>Table 3.7 to 3.11: Administered budgeted financial statements</w:t>
      </w:r>
    </w:p>
    <w:p w14:paraId="16F1206D" w14:textId="52613EA2" w:rsidR="002130F5" w:rsidRPr="00DD477A" w:rsidRDefault="002130F5" w:rsidP="0014243A">
      <w:pPr>
        <w:rPr>
          <w:b/>
          <w:bCs/>
        </w:rPr>
      </w:pPr>
      <w:r w:rsidRPr="00DD477A">
        <w:t xml:space="preserve">As </w:t>
      </w:r>
      <w:r w:rsidRPr="00975ECB">
        <w:rPr>
          <w:b/>
          <w:bCs/>
        </w:rPr>
        <w:t>PB Statements information is under embargo until tabled in Parliament</w:t>
      </w:r>
      <w:bookmarkStart w:id="641" w:name="_Hlk219890285"/>
      <w:r w:rsidRPr="00DD477A">
        <w:t xml:space="preserve">, portfolio departments should send PB Statement </w:t>
      </w:r>
      <w:r w:rsidR="00D42A6C">
        <w:t xml:space="preserve">Excel </w:t>
      </w:r>
      <w:r w:rsidRPr="00DD477A">
        <w:t xml:space="preserve">tables to Finance either via Protected-rated email or other secure means to </w:t>
      </w:r>
      <w:bookmarkEnd w:id="641"/>
      <w:r>
        <w:fldChar w:fldCharType="begin"/>
      </w:r>
      <w:r>
        <w:instrText>HYPERLINK "mailto:budget_framework@finance.gov.au"</w:instrText>
      </w:r>
      <w:r>
        <w:fldChar w:fldCharType="separate"/>
      </w:r>
      <w:r w:rsidRPr="00DD477A">
        <w:rPr>
          <w:rStyle w:val="Hyperlink"/>
          <w:rFonts w:cs="Calibri"/>
          <w:color w:val="000000" w:themeColor="text1"/>
        </w:rPr>
        <w:t>budget_framework@finance.gov.au</w:t>
      </w:r>
      <w:r>
        <w:fldChar w:fldCharType="end"/>
      </w:r>
      <w:r w:rsidRPr="00DD477A">
        <w:t xml:space="preserve"> by </w:t>
      </w:r>
      <w:r>
        <w:rPr>
          <w:b/>
          <w:bCs/>
          <w:u w:val="single"/>
        </w:rPr>
        <w:t>9a</w:t>
      </w:r>
      <w:r w:rsidRPr="00DD477A">
        <w:rPr>
          <w:b/>
          <w:bCs/>
          <w:u w:val="single"/>
        </w:rPr>
        <w:t xml:space="preserve">m </w:t>
      </w:r>
      <w:r w:rsidRPr="00DD477A">
        <w:rPr>
          <w:b/>
          <w:u w:val="single"/>
        </w:rPr>
        <w:t xml:space="preserve">Monday, </w:t>
      </w:r>
      <w:r>
        <w:rPr>
          <w:b/>
          <w:u w:val="single"/>
        </w:rPr>
        <w:t>11</w:t>
      </w:r>
      <w:r w:rsidRPr="00DD477A">
        <w:rPr>
          <w:b/>
          <w:u w:val="single"/>
        </w:rPr>
        <w:t xml:space="preserve"> </w:t>
      </w:r>
      <w:r>
        <w:rPr>
          <w:b/>
          <w:u w:val="single"/>
        </w:rPr>
        <w:t>May</w:t>
      </w:r>
      <w:r w:rsidRPr="00DD477A">
        <w:rPr>
          <w:b/>
          <w:u w:val="single"/>
        </w:rPr>
        <w:t xml:space="preserve"> </w:t>
      </w:r>
      <w:r>
        <w:rPr>
          <w:b/>
          <w:u w:val="single"/>
        </w:rPr>
        <w:t>2026</w:t>
      </w:r>
      <w:r w:rsidRPr="00DD477A">
        <w:t>.</w:t>
      </w:r>
    </w:p>
    <w:p w14:paraId="3B75A6C0" w14:textId="77777777" w:rsidR="002130F5" w:rsidRPr="00DD477A" w:rsidRDefault="002130F5" w:rsidP="0014243A">
      <w:r w:rsidRPr="00C04430">
        <w:t xml:space="preserve">Portfolio Departments must </w:t>
      </w:r>
      <w:r>
        <w:t xml:space="preserve">prepare their workbooks and undertake data cleansing activities </w:t>
      </w:r>
      <w:r w:rsidRPr="00C04430">
        <w:t>prior to sending the</w:t>
      </w:r>
      <w:r>
        <w:t>ir</w:t>
      </w:r>
      <w:r w:rsidRPr="00C04430">
        <w:t xml:space="preserve"> financial tables to Finance</w:t>
      </w:r>
      <w:r>
        <w:t>. Refer to</w:t>
      </w:r>
      <w:r w:rsidRPr="00C04430">
        <w:t xml:space="preserve"> </w:t>
      </w:r>
      <w:r>
        <w:t>detailed instructions included in</w:t>
      </w:r>
      <w:r w:rsidRPr="00C04430">
        <w:t xml:space="preserve"> </w:t>
      </w:r>
      <w:r w:rsidRPr="00975ECB">
        <w:rPr>
          <w:u w:val="single"/>
        </w:rPr>
        <w:t>Attachment D</w:t>
      </w:r>
      <w:r>
        <w:t xml:space="preserve"> </w:t>
      </w:r>
      <w:r w:rsidRPr="002939EE">
        <w:rPr>
          <w:i/>
          <w:iCs/>
        </w:rPr>
        <w:t>Online file publication checklist for data.gov.au</w:t>
      </w:r>
      <w:r>
        <w:t>.</w:t>
      </w:r>
    </w:p>
    <w:p w14:paraId="4FBF57AC" w14:textId="77777777" w:rsidR="00290B0B" w:rsidRPr="00DD477A" w:rsidRDefault="00290B0B" w:rsidP="00290B0B">
      <w:pPr>
        <w:rPr>
          <w:rFonts w:cs="Calibri"/>
        </w:rPr>
      </w:pPr>
      <w:r w:rsidRPr="00DD477A">
        <w:rPr>
          <w:rFonts w:cs="Calibri"/>
        </w:rPr>
        <w:t xml:space="preserve">Prior to sending the financial tables to Finance, Portfolio departments </w:t>
      </w:r>
      <w:r w:rsidRPr="00DD477A">
        <w:rPr>
          <w:rFonts w:cs="Calibri"/>
          <w:b/>
          <w:bCs/>
        </w:rPr>
        <w:t>must</w:t>
      </w:r>
      <w:r w:rsidRPr="00DD477A">
        <w:rPr>
          <w:rFonts w:cs="Calibri"/>
        </w:rPr>
        <w:t xml:space="preserve"> ensure the following:</w:t>
      </w:r>
    </w:p>
    <w:p w14:paraId="7A933F5E" w14:textId="77777777" w:rsidR="00290B0B" w:rsidRPr="00DD477A" w:rsidRDefault="00290B0B" w:rsidP="00AA1E87">
      <w:pPr>
        <w:pStyle w:val="Numbered"/>
        <w:numPr>
          <w:ilvl w:val="0"/>
          <w:numId w:val="49"/>
        </w:numPr>
      </w:pPr>
      <w:r w:rsidRPr="00DD477A">
        <w:t>tables are in one Excel workbook per entity</w:t>
      </w:r>
    </w:p>
    <w:p w14:paraId="7DF2E9D6" w14:textId="77777777" w:rsidR="00290B0B" w:rsidRPr="00DD477A" w:rsidRDefault="00290B0B" w:rsidP="00157BAB">
      <w:pPr>
        <w:pStyle w:val="Numbered"/>
      </w:pPr>
      <w:r w:rsidRPr="00DD477A">
        <w:t>tables are presented using the wrap-text function</w:t>
      </w:r>
    </w:p>
    <w:p w14:paraId="6B01BE23" w14:textId="77777777" w:rsidR="00290B0B" w:rsidRPr="00DD477A" w:rsidRDefault="00290B0B" w:rsidP="00157BAB">
      <w:pPr>
        <w:pStyle w:val="Numbered"/>
      </w:pPr>
      <w:r w:rsidRPr="00DD477A">
        <w:t>tables are not merged in any way</w:t>
      </w:r>
    </w:p>
    <w:p w14:paraId="3CE8273F" w14:textId="77777777" w:rsidR="00290B0B" w:rsidRPr="00DD477A" w:rsidRDefault="00290B0B" w:rsidP="00157BAB">
      <w:pPr>
        <w:pStyle w:val="Numbered"/>
      </w:pPr>
      <w:r w:rsidRPr="00DD477A">
        <w:t>figures in tables are rounded and presented in thousands</w:t>
      </w:r>
    </w:p>
    <w:p w14:paraId="31367055" w14:textId="77777777" w:rsidR="00290B0B" w:rsidRPr="00DD477A" w:rsidRDefault="00290B0B" w:rsidP="00157BAB">
      <w:pPr>
        <w:pStyle w:val="Numbered"/>
      </w:pPr>
      <w:r w:rsidRPr="00DD477A">
        <w:t>figures in tables are correct and the same as those presented in their PB Statements</w:t>
      </w:r>
    </w:p>
    <w:p w14:paraId="10803B8F" w14:textId="77777777" w:rsidR="00290B0B" w:rsidRPr="00DD477A" w:rsidRDefault="00290B0B" w:rsidP="00157BAB">
      <w:pPr>
        <w:pStyle w:val="Numbered"/>
      </w:pPr>
      <w:r w:rsidRPr="00DD477A">
        <w:t>tables are presented as text and figures</w:t>
      </w:r>
    </w:p>
    <w:p w14:paraId="227985CA" w14:textId="77777777" w:rsidR="00290B0B" w:rsidRPr="00DD477A" w:rsidRDefault="00290B0B" w:rsidP="00157BAB">
      <w:pPr>
        <w:pStyle w:val="Numbered"/>
      </w:pPr>
      <w:r w:rsidRPr="00DD477A">
        <w:t>links to other workbooks are broken/removed</w:t>
      </w:r>
    </w:p>
    <w:p w14:paraId="2B0E49A3" w14:textId="35A801ED" w:rsidR="00290B0B" w:rsidRPr="00DD477A" w:rsidRDefault="00290B0B" w:rsidP="00157BAB">
      <w:pPr>
        <w:pStyle w:val="Numbered"/>
      </w:pPr>
      <w:r w:rsidRPr="00DD477A">
        <w:t>all hidden and working</w:t>
      </w:r>
      <w:r w:rsidR="00E041D9">
        <w:t>s</w:t>
      </w:r>
      <w:r w:rsidRPr="00DD477A">
        <w:t xml:space="preserve"> </w:t>
      </w:r>
      <w:r w:rsidR="00E041D9">
        <w:t xml:space="preserve">excel </w:t>
      </w:r>
      <w:r w:rsidRPr="00DD477A">
        <w:t>sheets, as well as cell comments, have been removed</w:t>
      </w:r>
    </w:p>
    <w:p w14:paraId="5E2BAEFB" w14:textId="77777777" w:rsidR="00290B0B" w:rsidRPr="00DD477A" w:rsidRDefault="00290B0B" w:rsidP="00157BAB">
      <w:pPr>
        <w:pStyle w:val="Numbered"/>
      </w:pPr>
      <w:r w:rsidRPr="00DD477A">
        <w:t>all hidden rows, blank rows and blank columns have been removed</w:t>
      </w:r>
    </w:p>
    <w:p w14:paraId="4CE4B8F0" w14:textId="77777777" w:rsidR="00290B0B" w:rsidRPr="00DD477A" w:rsidRDefault="00290B0B" w:rsidP="00157BAB">
      <w:pPr>
        <w:pStyle w:val="Numbered"/>
      </w:pPr>
      <w:r w:rsidRPr="00DD477A">
        <w:t>all passwords have been removed from the files</w:t>
      </w:r>
    </w:p>
    <w:p w14:paraId="7D979C49" w14:textId="6A35ED09" w:rsidR="00290B0B" w:rsidRPr="00DD477A" w:rsidRDefault="00290B0B" w:rsidP="00157BAB">
      <w:pPr>
        <w:pStyle w:val="Numbered"/>
      </w:pPr>
      <w:r w:rsidRPr="00DD477A">
        <w:t>footnotes are in the correct format (one footnote per line)</w:t>
      </w:r>
      <w:r w:rsidR="00102387">
        <w:t xml:space="preserve"> and</w:t>
      </w:r>
    </w:p>
    <w:p w14:paraId="3C539933" w14:textId="77777777" w:rsidR="00290B0B" w:rsidRPr="00DD477A" w:rsidRDefault="00290B0B" w:rsidP="00157BAB">
      <w:pPr>
        <w:pStyle w:val="Numbered"/>
      </w:pPr>
      <w:r w:rsidRPr="00DD477A">
        <w:t>footnotes are pasted as text below the relevant tables, not as pictures.</w:t>
      </w:r>
    </w:p>
    <w:p w14:paraId="6E291CF4" w14:textId="2D75C0D2" w:rsidR="00290B0B" w:rsidRPr="00DD477A" w:rsidRDefault="00165676" w:rsidP="00165676">
      <w:r w:rsidRPr="002671EF">
        <w:t>When portfolios table a corrigendum to the P</w:t>
      </w:r>
      <w:r w:rsidR="00692641">
        <w:t>B Statement</w:t>
      </w:r>
      <w:r w:rsidRPr="002671EF">
        <w:t>, updated tables should be provided to Finance following tabling for upload onto data.gov.au.</w:t>
      </w:r>
    </w:p>
    <w:p w14:paraId="3A48BE44" w14:textId="4B4F9C84" w:rsidR="00290B0B" w:rsidRPr="00DD477A" w:rsidRDefault="00290B0B" w:rsidP="00DC5AB1">
      <w:pPr>
        <w:rPr>
          <w:rStyle w:val="BodyTextChar"/>
          <w:rFonts w:cs="Calibri"/>
        </w:rPr>
      </w:pPr>
      <w:r w:rsidRPr="00DD477A">
        <w:rPr>
          <w:rStyle w:val="BodyTextChar"/>
          <w:rFonts w:cs="Calibri"/>
        </w:rPr>
        <w:t xml:space="preserve">Finance will review the files for adherence to the above requirements. Where discrepancies are found, files will be returned to portfolios for amendment, prior to publication on </w:t>
      </w:r>
      <w:hyperlink r:id="rId53">
        <w:r w:rsidRPr="00DD477A">
          <w:rPr>
            <w:rStyle w:val="Hyperlink"/>
          </w:rPr>
          <w:t>data.gov.au</w:t>
        </w:r>
      </w:hyperlink>
      <w:r w:rsidR="006A51A9">
        <w:rPr>
          <w:rStyle w:val="BodyTextChar"/>
          <w:rFonts w:cs="Calibri"/>
        </w:rPr>
        <w:t>.</w:t>
      </w:r>
    </w:p>
    <w:p w14:paraId="13B819D6" w14:textId="77777777" w:rsidR="00290B0B" w:rsidRPr="00DD477A" w:rsidRDefault="00290B0B" w:rsidP="00A85E0D">
      <w:r w:rsidRPr="00DD477A">
        <w:t>It is the portfolio department’s responsibility to check the integrity of the data provided in each table and that it matches the published PB Statements.</w:t>
      </w:r>
    </w:p>
    <w:p w14:paraId="18C3E622" w14:textId="77777777" w:rsidR="00290B0B" w:rsidRPr="00DD477A" w:rsidRDefault="00290B0B" w:rsidP="00DC5AB1">
      <w:pPr>
        <w:rPr>
          <w:rStyle w:val="BodyTextChar"/>
          <w:rFonts w:cs="Calibri"/>
        </w:rPr>
      </w:pPr>
      <w:r w:rsidRPr="00DD477A">
        <w:rPr>
          <w:rStyle w:val="BodyTextChar"/>
          <w:rFonts w:cs="Calibri"/>
        </w:rPr>
        <w:t xml:space="preserve">For information on </w:t>
      </w:r>
      <w:hyperlink r:id="rId54">
        <w:r w:rsidRPr="00DD477A">
          <w:rPr>
            <w:rStyle w:val="Hyperlink"/>
          </w:rPr>
          <w:t>data.gov.au</w:t>
        </w:r>
      </w:hyperlink>
      <w:r w:rsidRPr="00DD477A">
        <w:rPr>
          <w:rStyle w:val="BodyTextChar"/>
          <w:rFonts w:cs="Calibri"/>
        </w:rPr>
        <w:t xml:space="preserve"> please email </w:t>
      </w:r>
      <w:hyperlink r:id="rId55">
        <w:r w:rsidRPr="00DD477A">
          <w:rPr>
            <w:rStyle w:val="Hyperlink"/>
          </w:rPr>
          <w:t>data@digital.gov.au</w:t>
        </w:r>
      </w:hyperlink>
      <w:r w:rsidRPr="00DD477A">
        <w:rPr>
          <w:rStyle w:val="BodyTextChar"/>
          <w:rFonts w:cs="Calibri"/>
        </w:rPr>
        <w:t>.</w:t>
      </w:r>
    </w:p>
    <w:p w14:paraId="282C0DFF" w14:textId="77777777" w:rsidR="00DC5AB1" w:rsidRPr="00DD477A" w:rsidRDefault="00DC5AB1" w:rsidP="003D6589">
      <w:pPr>
        <w:pStyle w:val="Heading3"/>
      </w:pPr>
      <w:bookmarkStart w:id="642" w:name="_Toc227749003"/>
      <w:r w:rsidRPr="00DD477A">
        <w:t>Checklist for preparing files for online publication on data.gov.au</w:t>
      </w:r>
      <w:bookmarkEnd w:id="642"/>
    </w:p>
    <w:p w14:paraId="3D21BCF7" w14:textId="77777777" w:rsidR="00DC5AB1" w:rsidRPr="00DD477A" w:rsidRDefault="00DC5AB1" w:rsidP="00DC5AB1">
      <w:r w:rsidRPr="00DD477A">
        <w:t xml:space="preserve">Portfolios should refer to </w:t>
      </w:r>
      <w:r w:rsidRPr="00DD477A">
        <w:rPr>
          <w:u w:val="single"/>
        </w:rPr>
        <w:t>Attachment D</w:t>
      </w:r>
      <w:r w:rsidRPr="00DD477A">
        <w:t xml:space="preserve"> Online file publication checklist for data.gov.au</w:t>
      </w:r>
      <w:r w:rsidRPr="00DD477A" w:rsidDel="00B2797F">
        <w:t xml:space="preserve"> </w:t>
      </w:r>
      <w:r w:rsidRPr="00DD477A">
        <w:t>for further instructions on how to prepare their files before submitting to Finance.</w:t>
      </w:r>
    </w:p>
    <w:p w14:paraId="525B1497" w14:textId="77777777" w:rsidR="00DC5AB1" w:rsidRPr="00DD477A" w:rsidRDefault="00DC5AB1" w:rsidP="003D6589">
      <w:pPr>
        <w:pStyle w:val="Heading1"/>
      </w:pPr>
      <w:bookmarkStart w:id="643" w:name="_Toc227749004"/>
      <w:r w:rsidRPr="00DD477A">
        <w:t>Use of ISBN/ISSN number</w:t>
      </w:r>
      <w:bookmarkEnd w:id="643"/>
    </w:p>
    <w:p w14:paraId="7AB97645" w14:textId="6AFEF686" w:rsidR="000F1B06" w:rsidRDefault="00DC5AB1" w:rsidP="00DC5AB1">
      <w:pPr>
        <w:rPr>
          <w:rFonts w:cs="Calibri"/>
        </w:rPr>
      </w:pPr>
      <w:r w:rsidRPr="00DD477A">
        <w:rPr>
          <w:rFonts w:cs="Calibri"/>
        </w:rPr>
        <w:t>All portfolios require an associated assigned International Standard Serial Number (ISSN) for their PB Statements</w:t>
      </w:r>
      <w:r w:rsidR="00B36C1E">
        <w:rPr>
          <w:rFonts w:cs="Calibri"/>
        </w:rPr>
        <w:t>.</w:t>
      </w:r>
    </w:p>
    <w:p w14:paraId="0D0638C3" w14:textId="67BBBB28" w:rsidR="0050160D" w:rsidRDefault="008118F5" w:rsidP="008118F5">
      <w:r w:rsidRPr="00C04430">
        <w:t xml:space="preserve">The International Standard Serial Number (ISSN) number is used for a full </w:t>
      </w:r>
      <w:r w:rsidR="008D2E89">
        <w:t xml:space="preserve">complete </w:t>
      </w:r>
      <w:r w:rsidRPr="00C04430">
        <w:t>set of documents (</w:t>
      </w:r>
      <w:r w:rsidR="00963F38">
        <w:t xml:space="preserve">such as </w:t>
      </w:r>
      <w:r w:rsidRPr="00C04430">
        <w:t xml:space="preserve">the PB Statements) </w:t>
      </w:r>
      <w:r w:rsidR="0050160D">
        <w:t xml:space="preserve">that </w:t>
      </w:r>
      <w:r w:rsidR="008D2E89">
        <w:t>are envisaged to continue as a series indefinitely</w:t>
      </w:r>
      <w:r w:rsidR="00963F38">
        <w:t>.</w:t>
      </w:r>
    </w:p>
    <w:p w14:paraId="6D604B2E" w14:textId="5FAC684A" w:rsidR="00540AE3" w:rsidRDefault="00963F38" w:rsidP="008118F5">
      <w:r>
        <w:t>T</w:t>
      </w:r>
      <w:r w:rsidR="008118F5" w:rsidRPr="00C04430">
        <w:t xml:space="preserve">he </w:t>
      </w:r>
      <w:r w:rsidR="00540AE3" w:rsidRPr="00DD477A">
        <w:rPr>
          <w:rFonts w:cs="Calibri"/>
        </w:rPr>
        <w:t xml:space="preserve">International Standard Book Number </w:t>
      </w:r>
      <w:r w:rsidR="00540AE3">
        <w:rPr>
          <w:rFonts w:cs="Calibri"/>
        </w:rPr>
        <w:t>(</w:t>
      </w:r>
      <w:r w:rsidR="008118F5" w:rsidRPr="00C04430">
        <w:t>ISBN</w:t>
      </w:r>
      <w:r w:rsidR="00540AE3">
        <w:t>)</w:t>
      </w:r>
      <w:r w:rsidR="008118F5" w:rsidRPr="00C04430">
        <w:t xml:space="preserve"> is utilised for partial sets of documents</w:t>
      </w:r>
      <w:r w:rsidR="00B719A9">
        <w:t>. The ISBN is therefore seen as a supplementary serial number specifically developed for partial sets of document</w:t>
      </w:r>
      <w:r w:rsidR="009A28C4">
        <w:t xml:space="preserve">s, making this suitable </w:t>
      </w:r>
      <w:r w:rsidR="00B719A9">
        <w:t xml:space="preserve">for the </w:t>
      </w:r>
      <w:r w:rsidR="008118F5" w:rsidRPr="00C04430">
        <w:t>PAES</w:t>
      </w:r>
      <w:r w:rsidR="00B719A9">
        <w:t xml:space="preserve"> book</w:t>
      </w:r>
      <w:r w:rsidR="008118F5" w:rsidRPr="00C04430">
        <w:t>.</w:t>
      </w:r>
    </w:p>
    <w:p w14:paraId="3A2BD051" w14:textId="29C57DE8" w:rsidR="00B719A9" w:rsidRPr="00C04430" w:rsidRDefault="008118F5" w:rsidP="008118F5">
      <w:r w:rsidRPr="00C04430">
        <w:t xml:space="preserve">This practice is followed as not every portfolio is required to produce a PAES </w:t>
      </w:r>
      <w:r w:rsidR="00540AE3">
        <w:t xml:space="preserve">book, </w:t>
      </w:r>
      <w:r w:rsidRPr="00C04430">
        <w:t>but all portfolios are required to produce a PB Statement</w:t>
      </w:r>
      <w:r w:rsidR="00540AE3">
        <w:t xml:space="preserve"> in the course of a Budget update.</w:t>
      </w:r>
    </w:p>
    <w:p w14:paraId="2D931B85" w14:textId="37BA34B4" w:rsidR="00E175DE" w:rsidRDefault="00841893" w:rsidP="00DC5AB1">
      <w:pPr>
        <w:rPr>
          <w:rFonts w:cs="Calibri"/>
        </w:rPr>
      </w:pPr>
      <w:r w:rsidRPr="00841893">
        <w:rPr>
          <w:rFonts w:cs="Calibri"/>
        </w:rPr>
        <w:t>The ISBN number will change from year-to-year and</w:t>
      </w:r>
      <w:r w:rsidR="00DB751E">
        <w:rPr>
          <w:rFonts w:cs="Calibri"/>
        </w:rPr>
        <w:t>,</w:t>
      </w:r>
      <w:r w:rsidRPr="00841893">
        <w:rPr>
          <w:rFonts w:cs="Calibri"/>
        </w:rPr>
        <w:t xml:space="preserve"> portfolio budget officers should engage with their own department’s </w:t>
      </w:r>
      <w:r w:rsidR="00CA5027">
        <w:rPr>
          <w:rFonts w:cs="Calibri"/>
        </w:rPr>
        <w:t>C</w:t>
      </w:r>
      <w:r>
        <w:rPr>
          <w:rFonts w:cs="Calibri"/>
        </w:rPr>
        <w:t xml:space="preserve">reative </w:t>
      </w:r>
      <w:r w:rsidR="00CA5027">
        <w:rPr>
          <w:rFonts w:cs="Calibri"/>
        </w:rPr>
        <w:t>S</w:t>
      </w:r>
      <w:r>
        <w:rPr>
          <w:rFonts w:cs="Calibri"/>
        </w:rPr>
        <w:t>ervices team (</w:t>
      </w:r>
      <w:r w:rsidRPr="00841893">
        <w:rPr>
          <w:rFonts w:cs="Calibri"/>
        </w:rPr>
        <w:t>graphic design / publishing area</w:t>
      </w:r>
      <w:r>
        <w:rPr>
          <w:rFonts w:cs="Calibri"/>
        </w:rPr>
        <w:t>)</w:t>
      </w:r>
      <w:r w:rsidRPr="00841893">
        <w:rPr>
          <w:rFonts w:cs="Calibri"/>
        </w:rPr>
        <w:t xml:space="preserve"> to obtain an ISBN</w:t>
      </w:r>
      <w:r w:rsidR="00731CBA">
        <w:rPr>
          <w:rFonts w:cs="Calibri"/>
        </w:rPr>
        <w:t xml:space="preserve"> /ISSN</w:t>
      </w:r>
      <w:r w:rsidRPr="00841893">
        <w:rPr>
          <w:rFonts w:cs="Calibri"/>
        </w:rPr>
        <w:t xml:space="preserve"> number. This is because </w:t>
      </w:r>
      <w:r w:rsidR="00CA5027">
        <w:rPr>
          <w:rFonts w:cs="Calibri"/>
        </w:rPr>
        <w:t xml:space="preserve">your Creative Services team </w:t>
      </w:r>
      <w:r w:rsidRPr="00841893">
        <w:rPr>
          <w:rFonts w:cs="Calibri"/>
        </w:rPr>
        <w:t>may have procured a batch of ISBN</w:t>
      </w:r>
      <w:r w:rsidR="00820E37">
        <w:rPr>
          <w:rFonts w:cs="Calibri"/>
        </w:rPr>
        <w:t xml:space="preserve"> /ISSN</w:t>
      </w:r>
      <w:r w:rsidRPr="00841893">
        <w:rPr>
          <w:rFonts w:cs="Calibri"/>
        </w:rPr>
        <w:t xml:space="preserve"> numbers for departmental use.</w:t>
      </w:r>
    </w:p>
    <w:p w14:paraId="4C738095" w14:textId="43AFC162" w:rsidR="00A22117" w:rsidRPr="00DD477A" w:rsidRDefault="00733254" w:rsidP="00DC5AB1">
      <w:pPr>
        <w:rPr>
          <w:rFonts w:cs="Calibri"/>
        </w:rPr>
      </w:pPr>
      <w:r>
        <w:t xml:space="preserve">An ISSN can be applied for through the </w:t>
      </w:r>
      <w:hyperlink r:id="rId56" w:history="1">
        <w:r w:rsidR="00F20597">
          <w:rPr>
            <w:rStyle w:val="Hyperlink"/>
            <w:rFonts w:cstheme="minorBidi"/>
          </w:rPr>
          <w:t>National Library of Australia ISSN's</w:t>
        </w:r>
      </w:hyperlink>
      <w:r>
        <w:t xml:space="preserve"> webpage.</w:t>
      </w:r>
      <w:r w:rsidR="00D92C37">
        <w:t xml:space="preserve"> </w:t>
      </w:r>
      <w:r w:rsidR="00C93A64">
        <w:t xml:space="preserve">The </w:t>
      </w:r>
      <w:hyperlink r:id="rId57" w:history="1">
        <w:r w:rsidR="00F20597">
          <w:rPr>
            <w:rStyle w:val="Hyperlink"/>
            <w:rFonts w:cstheme="minorBidi"/>
          </w:rPr>
          <w:t>National Library of Australia ISBN's</w:t>
        </w:r>
      </w:hyperlink>
      <w:r w:rsidR="00F20597">
        <w:t xml:space="preserve"> webpage advises, ISBN numbers </w:t>
      </w:r>
      <w:r w:rsidR="007C4F6D" w:rsidRPr="00C04430">
        <w:t>can be applied for through</w:t>
      </w:r>
      <w:r w:rsidR="007C4F6D">
        <w:rPr>
          <w:rFonts w:eastAsia="Calibri" w:cs="Calibri"/>
        </w:rPr>
        <w:t xml:space="preserve"> the</w:t>
      </w:r>
      <w:r w:rsidR="00E94894" w:rsidRPr="00C04430">
        <w:rPr>
          <w:rFonts w:eastAsia="Calibri" w:cs="Calibri"/>
        </w:rPr>
        <w:t xml:space="preserve"> </w:t>
      </w:r>
      <w:hyperlink r:id="rId58" w:history="1">
        <w:r w:rsidR="00504D7E">
          <w:rPr>
            <w:rStyle w:val="Hyperlink"/>
          </w:rPr>
          <w:t>Thorpe-Bowker Australia Publishing Services</w:t>
        </w:r>
      </w:hyperlink>
      <w:r w:rsidR="00E94894" w:rsidRPr="00C04430">
        <w:rPr>
          <w:rFonts w:eastAsia="Calibri" w:cs="Calibri"/>
        </w:rPr>
        <w:t xml:space="preserve"> webp</w:t>
      </w:r>
      <w:r w:rsidR="00E94894" w:rsidRPr="00C04430">
        <w:t>age</w:t>
      </w:r>
      <w:r w:rsidR="00E94894">
        <w:t>.</w:t>
      </w:r>
    </w:p>
    <w:p w14:paraId="715118C5" w14:textId="6305443A" w:rsidR="00820E37" w:rsidRDefault="00820E37" w:rsidP="00820E37">
      <w:pPr>
        <w:rPr>
          <w:rFonts w:cs="Calibri"/>
        </w:rPr>
      </w:pPr>
      <w:r>
        <w:rPr>
          <w:rFonts w:cs="Calibri"/>
        </w:rPr>
        <w:t xml:space="preserve">It is worth noting the </w:t>
      </w:r>
      <w:r w:rsidRPr="00DD477A">
        <w:rPr>
          <w:rFonts w:cs="Calibri"/>
        </w:rPr>
        <w:t xml:space="preserve">PB </w:t>
      </w:r>
      <w:r>
        <w:rPr>
          <w:rFonts w:cs="Calibri"/>
        </w:rPr>
        <w:t>and PAES</w:t>
      </w:r>
      <w:r w:rsidRPr="00DD477A">
        <w:rPr>
          <w:rFonts w:cs="Calibri"/>
        </w:rPr>
        <w:t xml:space="preserve"> Statements are </w:t>
      </w:r>
      <w:r w:rsidR="00C43DCA">
        <w:rPr>
          <w:rFonts w:cs="Calibri"/>
        </w:rPr>
        <w:t xml:space="preserve">also </w:t>
      </w:r>
      <w:r w:rsidRPr="00DD477A">
        <w:rPr>
          <w:rFonts w:cs="Calibri"/>
        </w:rPr>
        <w:t xml:space="preserve">considered </w:t>
      </w:r>
      <w:r>
        <w:rPr>
          <w:rFonts w:cs="Calibri"/>
        </w:rPr>
        <w:t xml:space="preserve">to form </w:t>
      </w:r>
      <w:r w:rsidRPr="00DD477A">
        <w:rPr>
          <w:rFonts w:cs="Calibri"/>
        </w:rPr>
        <w:t xml:space="preserve">part of the </w:t>
      </w:r>
      <w:hyperlink r:id="rId59" w:history="1">
        <w:r w:rsidRPr="00DD477A">
          <w:rPr>
            <w:rStyle w:val="Hyperlink"/>
            <w:rFonts w:cs="Calibri"/>
          </w:rPr>
          <w:t>Parliamentary Papers series</w:t>
        </w:r>
      </w:hyperlink>
      <w:r w:rsidRPr="00DD477A">
        <w:rPr>
          <w:rFonts w:cs="Calibri"/>
        </w:rPr>
        <w:t>.</w:t>
      </w:r>
    </w:p>
    <w:p w14:paraId="0B0DE967" w14:textId="77777777" w:rsidR="00DC5AB1" w:rsidRPr="00DD477A" w:rsidRDefault="00DC5AB1" w:rsidP="0014243A">
      <w:pPr>
        <w:pStyle w:val="Heading1"/>
        <w:ind w:left="992" w:hanging="992"/>
        <w:contextualSpacing w:val="0"/>
      </w:pPr>
      <w:bookmarkStart w:id="644" w:name="_Toc222147968"/>
      <w:bookmarkStart w:id="645" w:name="_Toc222148230"/>
      <w:bookmarkStart w:id="646" w:name="_Toc222148456"/>
      <w:bookmarkStart w:id="647" w:name="_Toc222148684"/>
      <w:bookmarkStart w:id="648" w:name="_Toc222148912"/>
      <w:bookmarkStart w:id="649" w:name="_Toc222149140"/>
      <w:bookmarkStart w:id="650" w:name="_Toc222149368"/>
      <w:bookmarkStart w:id="651" w:name="_Toc222149597"/>
      <w:bookmarkStart w:id="652" w:name="_Toc222150062"/>
      <w:bookmarkStart w:id="653" w:name="_Toc222150288"/>
      <w:bookmarkStart w:id="654" w:name="_Toc227749005"/>
      <w:bookmarkEnd w:id="644"/>
      <w:bookmarkEnd w:id="645"/>
      <w:bookmarkEnd w:id="646"/>
      <w:bookmarkEnd w:id="647"/>
      <w:bookmarkEnd w:id="648"/>
      <w:bookmarkEnd w:id="649"/>
      <w:bookmarkEnd w:id="650"/>
      <w:bookmarkEnd w:id="651"/>
      <w:bookmarkEnd w:id="652"/>
      <w:bookmarkEnd w:id="653"/>
      <w:r w:rsidRPr="00DD477A">
        <w:t>Issuing a corrigendum (correction)/addendum</w:t>
      </w:r>
      <w:bookmarkEnd w:id="654"/>
    </w:p>
    <w:p w14:paraId="3DC4D5AE" w14:textId="2C13C5A7" w:rsidR="0023200C" w:rsidRPr="00C04430" w:rsidRDefault="0023200C" w:rsidP="0023200C">
      <w:r>
        <w:t>Where</w:t>
      </w:r>
      <w:r w:rsidRPr="00C04430">
        <w:t xml:space="preserve"> necessary, refer to the </w:t>
      </w:r>
      <w:hyperlink r:id="rId60" w:history="1">
        <w:r w:rsidRPr="00C04430">
          <w:rPr>
            <w:rStyle w:val="Hyperlink"/>
          </w:rPr>
          <w:t>Department of the Prime Minister and Cabinet's (PM&amp;C) tabling guidelines</w:t>
        </w:r>
      </w:hyperlink>
      <w:r>
        <w:t xml:space="preserve">, </w:t>
      </w:r>
      <w:r w:rsidRPr="00C04430">
        <w:t>available from their website.</w:t>
      </w:r>
    </w:p>
    <w:p w14:paraId="7888A207" w14:textId="46A29C78" w:rsidR="00DC5AB1" w:rsidRPr="00DD477A" w:rsidRDefault="00DC5AB1" w:rsidP="00DC5AB1">
      <w:pPr>
        <w:rPr>
          <w:rStyle w:val="BodyTextChar"/>
          <w:rFonts w:cs="Calibri"/>
        </w:rPr>
      </w:pPr>
      <w:r w:rsidRPr="00DD477A">
        <w:rPr>
          <w:rFonts w:cs="Calibri"/>
        </w:rPr>
        <w:t xml:space="preserve">An addendum is required where information has been inadvertently omitted from the PB Statements, such as a table or a footnote. A corrigendum is required where information has been misstated within the PB Statements and requires a correction. When </w:t>
      </w:r>
      <w:r w:rsidRPr="00DD477A">
        <w:rPr>
          <w:rStyle w:val="BodyTextChar"/>
          <w:rFonts w:cs="Calibri"/>
        </w:rPr>
        <w:t>an error in PB Statements, PAES or PSAES has been identified, entities should follow the following process:</w:t>
      </w:r>
    </w:p>
    <w:p w14:paraId="2CBCF0B6" w14:textId="77777777" w:rsidR="00DC5AB1" w:rsidRPr="00DD477A" w:rsidRDefault="00DC5AB1" w:rsidP="00B54999">
      <w:pPr>
        <w:pStyle w:val="Bullet1"/>
        <w:rPr>
          <w:rStyle w:val="BodyTextChar"/>
          <w:rFonts w:cs="Calibri"/>
        </w:rPr>
      </w:pPr>
      <w:r w:rsidRPr="00DD477A">
        <w:rPr>
          <w:rStyle w:val="BodyTextChar"/>
          <w:rFonts w:cs="Calibri"/>
        </w:rPr>
        <w:t>advise your minister’s office of the error and seek approval for the updated PB Statements/PAES tables and pages</w:t>
      </w:r>
    </w:p>
    <w:p w14:paraId="0A2969B4" w14:textId="6044EC3A" w:rsidR="00BD119F" w:rsidRPr="00DD477A" w:rsidRDefault="00DC5AB1" w:rsidP="00B54999">
      <w:pPr>
        <w:pStyle w:val="Bullet1"/>
        <w:rPr>
          <w:rStyle w:val="BodyTextChar"/>
          <w:rFonts w:cs="Calibri"/>
        </w:rPr>
      </w:pPr>
      <w:r w:rsidRPr="00DD477A">
        <w:rPr>
          <w:rStyle w:val="BodyTextChar"/>
          <w:rFonts w:cs="Calibri"/>
        </w:rPr>
        <w:t xml:space="preserve">contact the </w:t>
      </w:r>
      <w:r w:rsidR="00D36543">
        <w:rPr>
          <w:rStyle w:val="BodyTextChar"/>
          <w:rFonts w:cs="Calibri"/>
        </w:rPr>
        <w:t xml:space="preserve">Senate </w:t>
      </w:r>
      <w:r w:rsidRPr="00DD477A">
        <w:rPr>
          <w:rStyle w:val="BodyTextChar"/>
          <w:rFonts w:cs="Calibri"/>
        </w:rPr>
        <w:t>Tabling Officer to advise that a correction is required:</w:t>
      </w:r>
    </w:p>
    <w:p w14:paraId="2435A04D" w14:textId="34842007" w:rsidR="00DC5AB1" w:rsidRPr="00DD477A" w:rsidRDefault="00BD119F" w:rsidP="00B54999">
      <w:pPr>
        <w:pStyle w:val="IndentText1"/>
        <w:ind w:left="850"/>
        <w:rPr>
          <w:rStyle w:val="Hyperlink"/>
          <w:rFonts w:cs="Calibri"/>
          <w:u w:val="none"/>
        </w:rPr>
      </w:pPr>
      <w:r w:rsidRPr="00DD477A">
        <w:rPr>
          <w:rStyle w:val="BodyTextChar"/>
          <w:rFonts w:cs="Calibri"/>
        </w:rPr>
        <w:t>P</w:t>
      </w:r>
      <w:r w:rsidR="004A38C9">
        <w:rPr>
          <w:rStyle w:val="BodyTextChar"/>
          <w:rFonts w:cs="Calibri"/>
        </w:rPr>
        <w:t>h</w:t>
      </w:r>
      <w:r w:rsidRPr="00DD477A">
        <w:rPr>
          <w:rStyle w:val="BodyTextChar"/>
          <w:rFonts w:cs="Calibri"/>
        </w:rPr>
        <w:t xml:space="preserve">: </w:t>
      </w:r>
      <w:r w:rsidR="00DC5AB1" w:rsidRPr="00DD477A">
        <w:rPr>
          <w:rStyle w:val="BodyTextChar"/>
          <w:rFonts w:cs="Calibri"/>
        </w:rPr>
        <w:t xml:space="preserve">(02) 6277 </w:t>
      </w:r>
      <w:r w:rsidR="00052D40">
        <w:rPr>
          <w:rStyle w:val="BodyTextChar"/>
          <w:rFonts w:cs="Calibri"/>
        </w:rPr>
        <w:t>3037</w:t>
      </w:r>
      <w:r w:rsidR="00DC5AB1" w:rsidRPr="00DD477A">
        <w:rPr>
          <w:rStyle w:val="BodyTextChar"/>
          <w:rFonts w:cs="Calibri"/>
        </w:rPr>
        <w:br/>
      </w:r>
      <w:r w:rsidRPr="00DD477A">
        <w:rPr>
          <w:u w:color="0070C0"/>
        </w:rPr>
        <w:t xml:space="preserve">E: </w:t>
      </w:r>
      <w:hyperlink r:id="rId61" w:history="1">
        <w:r w:rsidR="00D14077" w:rsidRPr="00267294">
          <w:rPr>
            <w:rStyle w:val="Hyperlink"/>
            <w:rFonts w:cstheme="minorHAnsi"/>
          </w:rPr>
          <w:t>table.docs@aph.gov.au</w:t>
        </w:r>
      </w:hyperlink>
    </w:p>
    <w:p w14:paraId="38536DB5" w14:textId="0E83F8A8" w:rsidR="00DC5AB1" w:rsidRPr="00DD477A" w:rsidRDefault="00DC5AB1" w:rsidP="00B54999">
      <w:pPr>
        <w:pStyle w:val="Bullet1"/>
        <w:rPr>
          <w:rStyle w:val="BodyTextChar"/>
          <w:rFonts w:cs="Calibri"/>
        </w:rPr>
      </w:pPr>
      <w:r w:rsidRPr="00DD477A">
        <w:rPr>
          <w:rStyle w:val="BodyTextChar"/>
          <w:rFonts w:cs="Calibri"/>
        </w:rPr>
        <w:t xml:space="preserve">if the error affects published BP and/or Appropriation Bill figures, your minister </w:t>
      </w:r>
      <w:r w:rsidRPr="0014243A">
        <w:rPr>
          <w:rStyle w:val="BodyTextChar"/>
          <w:rFonts w:cs="Calibri"/>
          <w:b/>
          <w:bCs/>
        </w:rPr>
        <w:t>must</w:t>
      </w:r>
      <w:r w:rsidRPr="0014243A">
        <w:rPr>
          <w:rStyle w:val="BodyTextChar"/>
          <w:rFonts w:cs="Calibri"/>
        </w:rPr>
        <w:t xml:space="preserve"> </w:t>
      </w:r>
      <w:r w:rsidRPr="00DD477A">
        <w:rPr>
          <w:rStyle w:val="BodyTextChar"/>
          <w:rFonts w:cs="Calibri"/>
        </w:rPr>
        <w:t xml:space="preserve">submit the corrigendum (and background reports) to the </w:t>
      </w:r>
      <w:r w:rsidR="009C007F" w:rsidRPr="00DD477A">
        <w:rPr>
          <w:rStyle w:val="BodyTextChar"/>
          <w:rFonts w:cs="Calibri"/>
        </w:rPr>
        <w:t>Minister for Finance</w:t>
      </w:r>
      <w:r w:rsidRPr="00DD477A">
        <w:rPr>
          <w:rStyle w:val="BodyTextChar"/>
          <w:rFonts w:cs="Calibri"/>
        </w:rPr>
        <w:t xml:space="preserve"> for approval</w:t>
      </w:r>
      <w:r w:rsidR="007E6364">
        <w:rPr>
          <w:rStyle w:val="BodyTextChar"/>
          <w:rFonts w:cs="Calibri"/>
        </w:rPr>
        <w:t xml:space="preserve"> </w:t>
      </w:r>
      <w:r w:rsidR="007E6364" w:rsidRPr="00C04430">
        <w:t xml:space="preserve">(and if required to be tabled out-of-session, </w:t>
      </w:r>
      <w:r w:rsidR="007E6364">
        <w:t xml:space="preserve">prepare </w:t>
      </w:r>
      <w:r w:rsidR="007E6364" w:rsidRPr="00C04430">
        <w:t>a Transmittal letter - see below).</w:t>
      </w:r>
    </w:p>
    <w:p w14:paraId="73A49A62" w14:textId="0AD4B783" w:rsidR="00DC5AB1" w:rsidRPr="00DD477A" w:rsidRDefault="00FA3457" w:rsidP="0014243A">
      <w:pPr>
        <w:pStyle w:val="Bullet1"/>
        <w:tabs>
          <w:tab w:val="num" w:pos="360"/>
        </w:tabs>
        <w:ind w:left="360"/>
      </w:pPr>
      <w:r>
        <w:t>Portfolios departments</w:t>
      </w:r>
      <w:r w:rsidRPr="00C04430">
        <w:t xml:space="preserve"> must also advise your AAU and the Accounting Framework and Capability Support Team </w:t>
      </w:r>
      <w:hyperlink r:id="rId62" w:history="1">
        <w:r w:rsidRPr="00C04430">
          <w:rPr>
            <w:rStyle w:val="Hyperlink"/>
          </w:rPr>
          <w:t>budget_framework@finance.gov.au</w:t>
        </w:r>
      </w:hyperlink>
      <w:r w:rsidRPr="00C04430">
        <w:t xml:space="preserve"> prior to submitting the corrigendum to the Finance Minister for approval. </w:t>
      </w:r>
    </w:p>
    <w:p w14:paraId="655EED55" w14:textId="77777777" w:rsidR="00691C97" w:rsidRPr="00C04430" w:rsidRDefault="00691C97" w:rsidP="0014243A">
      <w:r w:rsidRPr="00C04430">
        <w:t xml:space="preserve">Corrections will be tabled in the same manner through the Senate and subject to the same copy requirements (including approval by the relevant Minister) as the original report. </w:t>
      </w:r>
      <w:r>
        <w:t>Refer to</w:t>
      </w:r>
      <w:r w:rsidRPr="00C04430">
        <w:t xml:space="preserve"> </w:t>
      </w:r>
      <w:hyperlink r:id="rId63" w:history="1">
        <w:r w:rsidRPr="00C04430">
          <w:rPr>
            <w:rStyle w:val="Hyperlink"/>
          </w:rPr>
          <w:t>PM&amp;C’s tabling guidelines</w:t>
        </w:r>
      </w:hyperlink>
      <w:r w:rsidRPr="00C04430">
        <w:t xml:space="preserve"> for further detail</w:t>
      </w:r>
      <w:r>
        <w:t>s</w:t>
      </w:r>
      <w:r w:rsidRPr="00C04430">
        <w:t xml:space="preserve"> of hard and soft copies require</w:t>
      </w:r>
      <w:r>
        <w:t>ments</w:t>
      </w:r>
      <w:r w:rsidRPr="00C04430">
        <w:t>.</w:t>
      </w:r>
    </w:p>
    <w:p w14:paraId="4648E2FF" w14:textId="5EE2EBEF" w:rsidR="00DC5AB1" w:rsidRPr="00DD477A" w:rsidRDefault="00DC5AB1" w:rsidP="00DC5AB1">
      <w:pPr>
        <w:rPr>
          <w:rStyle w:val="BodyTextChar"/>
          <w:rFonts w:cs="Calibri"/>
        </w:rPr>
      </w:pPr>
      <w:r w:rsidRPr="00DD477A">
        <w:rPr>
          <w:rStyle w:val="BodyTextChar"/>
          <w:rFonts w:cs="Calibri"/>
        </w:rPr>
        <w:t xml:space="preserve">Following approval by your minister (and where required, the </w:t>
      </w:r>
      <w:r w:rsidR="009C007F" w:rsidRPr="00DD477A">
        <w:rPr>
          <w:rStyle w:val="BodyTextChar"/>
          <w:rFonts w:cs="Calibri"/>
        </w:rPr>
        <w:t>Minister for Finance</w:t>
      </w:r>
      <w:r w:rsidRPr="00DD477A">
        <w:rPr>
          <w:rStyle w:val="BodyTextChar"/>
          <w:rFonts w:cs="Calibri"/>
        </w:rPr>
        <w:t>):</w:t>
      </w:r>
    </w:p>
    <w:p w14:paraId="75392D65" w14:textId="29036CC6" w:rsidR="00DC5AB1" w:rsidRPr="00DD477A" w:rsidRDefault="00DC5AB1" w:rsidP="00B54999">
      <w:pPr>
        <w:pStyle w:val="Bullet1"/>
        <w:rPr>
          <w:rStyle w:val="BodyTextChar"/>
          <w:rFonts w:cs="Calibri"/>
        </w:rPr>
      </w:pPr>
      <w:r w:rsidRPr="00DD477A">
        <w:rPr>
          <w:rStyle w:val="BodyTextChar"/>
          <w:rFonts w:cs="Calibri"/>
        </w:rPr>
        <w:t xml:space="preserve">For </w:t>
      </w:r>
      <w:r w:rsidRPr="00DD477A">
        <w:rPr>
          <w:rStyle w:val="BodyTextChar"/>
          <w:rFonts w:cs="Calibri"/>
          <w:b/>
          <w:bCs/>
        </w:rPr>
        <w:t>in</w:t>
      </w:r>
      <w:r w:rsidRPr="00DD477A">
        <w:rPr>
          <w:rStyle w:val="BodyTextChar"/>
          <w:rFonts w:cs="Calibri"/>
          <w:b/>
        </w:rPr>
        <w:noBreakHyphen/>
      </w:r>
      <w:r w:rsidRPr="00DD477A">
        <w:rPr>
          <w:rStyle w:val="BodyTextChar"/>
          <w:rFonts w:cs="Calibri"/>
          <w:b/>
          <w:bCs/>
        </w:rPr>
        <w:t xml:space="preserve">session tabling </w:t>
      </w:r>
      <w:r w:rsidRPr="00DD477A">
        <w:rPr>
          <w:rStyle w:val="BodyTextChar"/>
          <w:rFonts w:cs="Calibri"/>
        </w:rPr>
        <w:t xml:space="preserve">i.e. when Parliament </w:t>
      </w:r>
      <w:r w:rsidRPr="0014243A">
        <w:rPr>
          <w:rStyle w:val="BodyTextChar"/>
          <w:rFonts w:cs="Calibri"/>
          <w:b/>
          <w:bCs/>
        </w:rPr>
        <w:t>is</w:t>
      </w:r>
      <w:r w:rsidRPr="00F86930">
        <w:rPr>
          <w:rStyle w:val="BodyTextChar"/>
          <w:rFonts w:cs="Calibri"/>
        </w:rPr>
        <w:t xml:space="preserve"> sitting</w:t>
      </w:r>
      <w:r w:rsidRPr="00DD477A">
        <w:rPr>
          <w:rStyle w:val="BodyTextChar"/>
          <w:rFonts w:cs="Calibri"/>
        </w:rPr>
        <w:t>:</w:t>
      </w:r>
    </w:p>
    <w:p w14:paraId="2D8F76F3" w14:textId="177317FE" w:rsidR="00DC5AB1" w:rsidRPr="00DD477A" w:rsidRDefault="00DC5AB1" w:rsidP="00DC5AB1">
      <w:pPr>
        <w:pStyle w:val="Bullet2"/>
        <w:rPr>
          <w:rStyle w:val="BodyTextChar"/>
          <w:rFonts w:cs="Calibri"/>
        </w:rPr>
      </w:pPr>
      <w:r w:rsidRPr="00DD477A">
        <w:rPr>
          <w:rStyle w:val="BodyTextChar"/>
          <w:rFonts w:cs="Calibri"/>
        </w:rPr>
        <w:t xml:space="preserve">a covering memorandum should be provided to the </w:t>
      </w:r>
      <w:r w:rsidR="003C28AB">
        <w:rPr>
          <w:rStyle w:val="BodyTextChar"/>
          <w:rFonts w:cs="Calibri"/>
        </w:rPr>
        <w:t>Senate</w:t>
      </w:r>
      <w:r w:rsidRPr="00DD477A">
        <w:rPr>
          <w:rStyle w:val="BodyTextChar"/>
          <w:rFonts w:cs="Calibri"/>
        </w:rPr>
        <w:t xml:space="preserve"> Tabling Officer. This memorandum does not need to be approved by the minister but does </w:t>
      </w:r>
      <w:r w:rsidRPr="00DD477A">
        <w:rPr>
          <w:rStyle w:val="BodyTextChar"/>
          <w:rFonts w:cs="Calibri"/>
          <w:bCs/>
        </w:rPr>
        <w:t>need</w:t>
      </w:r>
      <w:r w:rsidRPr="00DD477A">
        <w:rPr>
          <w:rStyle w:val="BodyTextChar"/>
          <w:rFonts w:cs="Calibri"/>
        </w:rPr>
        <w:t xml:space="preserve"> to note the </w:t>
      </w:r>
      <w:r w:rsidRPr="00DD477A">
        <w:rPr>
          <w:rStyle w:val="BodyTextChar"/>
          <w:rFonts w:cs="Calibri"/>
          <w:b/>
          <w:bCs/>
        </w:rPr>
        <w:t>minister’s approval</w:t>
      </w:r>
      <w:r w:rsidRPr="00DD477A">
        <w:rPr>
          <w:rStyle w:val="BodyTextChar"/>
          <w:rFonts w:cs="Calibri"/>
        </w:rPr>
        <w:t xml:space="preserve"> of the corrigendum</w:t>
      </w:r>
      <w:r w:rsidR="00D41B33">
        <w:rPr>
          <w:rStyle w:val="BodyTextChar"/>
          <w:rFonts w:cs="Calibri"/>
        </w:rPr>
        <w:t xml:space="preserve"> and</w:t>
      </w:r>
    </w:p>
    <w:p w14:paraId="73D31A79" w14:textId="107CD692" w:rsidR="00DC5AB1" w:rsidRPr="00DD477A" w:rsidRDefault="00DC5AB1" w:rsidP="00DC5AB1">
      <w:pPr>
        <w:pStyle w:val="Bullet2"/>
        <w:rPr>
          <w:rStyle w:val="BodyTextChar"/>
          <w:rFonts w:cs="Calibri"/>
        </w:rPr>
      </w:pPr>
      <w:r w:rsidRPr="00DD477A">
        <w:rPr>
          <w:rStyle w:val="BodyTextChar"/>
          <w:rFonts w:cs="Calibri"/>
        </w:rPr>
        <w:t xml:space="preserve">the covering sheet for government documents and copies of the corrigendum should also be provided to the </w:t>
      </w:r>
      <w:r w:rsidR="003C28AB">
        <w:rPr>
          <w:rStyle w:val="BodyTextChar"/>
          <w:rFonts w:cs="Calibri"/>
        </w:rPr>
        <w:t>Senate</w:t>
      </w:r>
      <w:r w:rsidRPr="00DD477A">
        <w:rPr>
          <w:rStyle w:val="BodyTextChar"/>
          <w:rFonts w:cs="Calibri"/>
        </w:rPr>
        <w:t xml:space="preserve"> Tabling Officer.</w:t>
      </w:r>
    </w:p>
    <w:p w14:paraId="04AB77C4" w14:textId="605C7018" w:rsidR="00DC5AB1" w:rsidRPr="00DD477A" w:rsidRDefault="00DC5AB1" w:rsidP="00B54999">
      <w:pPr>
        <w:pStyle w:val="Bullet1"/>
        <w:rPr>
          <w:rStyle w:val="BodyTextChar"/>
          <w:rFonts w:cs="Calibri"/>
        </w:rPr>
      </w:pPr>
      <w:r w:rsidRPr="00DD477A">
        <w:rPr>
          <w:rStyle w:val="BodyTextChar"/>
          <w:rFonts w:cs="Calibri"/>
        </w:rPr>
        <w:t xml:space="preserve">For </w:t>
      </w:r>
      <w:r w:rsidRPr="00DD477A">
        <w:rPr>
          <w:rStyle w:val="BodyTextChar"/>
          <w:rFonts w:cs="Calibri"/>
          <w:b/>
          <w:bCs/>
        </w:rPr>
        <w:t>out</w:t>
      </w:r>
      <w:r w:rsidR="00BD119F" w:rsidRPr="00DD477A">
        <w:rPr>
          <w:rStyle w:val="BodyTextChar"/>
          <w:rFonts w:cs="Calibri"/>
          <w:b/>
          <w:bCs/>
        </w:rPr>
        <w:t>-</w:t>
      </w:r>
      <w:r w:rsidRPr="00DD477A">
        <w:rPr>
          <w:rStyle w:val="BodyTextChar"/>
          <w:rFonts w:cs="Calibri"/>
          <w:b/>
          <w:bCs/>
        </w:rPr>
        <w:t>of</w:t>
      </w:r>
      <w:r w:rsidR="00BD119F" w:rsidRPr="00DD477A">
        <w:rPr>
          <w:rStyle w:val="BodyTextChar"/>
          <w:rFonts w:cs="Calibri"/>
          <w:b/>
          <w:bCs/>
        </w:rPr>
        <w:t>-</w:t>
      </w:r>
      <w:r w:rsidRPr="00DD477A">
        <w:rPr>
          <w:rStyle w:val="BodyTextChar"/>
          <w:rFonts w:cs="Calibri"/>
          <w:b/>
          <w:bCs/>
        </w:rPr>
        <w:t>session tabling</w:t>
      </w:r>
      <w:r w:rsidRPr="00DD477A">
        <w:rPr>
          <w:rStyle w:val="BodyTextChar"/>
          <w:rFonts w:cs="Calibri"/>
        </w:rPr>
        <w:t xml:space="preserve"> i.e. when Parliament </w:t>
      </w:r>
      <w:r w:rsidRPr="0014243A">
        <w:rPr>
          <w:rStyle w:val="BodyTextChar"/>
          <w:rFonts w:cs="Calibri"/>
          <w:b/>
          <w:bCs/>
        </w:rPr>
        <w:t>is not</w:t>
      </w:r>
      <w:r w:rsidRPr="00DD477A">
        <w:rPr>
          <w:rStyle w:val="BodyTextChar"/>
          <w:rFonts w:cs="Calibri"/>
        </w:rPr>
        <w:t xml:space="preserve"> sitting:</w:t>
      </w:r>
    </w:p>
    <w:p w14:paraId="411E4B95" w14:textId="4E8F5641" w:rsidR="00DC5AB1" w:rsidRPr="00DD477A" w:rsidRDefault="00DC5AB1" w:rsidP="00DC5AB1">
      <w:pPr>
        <w:pStyle w:val="Bullet2"/>
        <w:rPr>
          <w:rStyle w:val="BodyTextChar"/>
          <w:rFonts w:cs="Calibri"/>
        </w:rPr>
      </w:pPr>
      <w:r w:rsidRPr="00DD477A">
        <w:rPr>
          <w:rStyle w:val="BodyTextChar"/>
          <w:rFonts w:cs="Calibri"/>
        </w:rPr>
        <w:t>the Senate Tabling Office must be advised of the requirement to table the corrigendum out-of-session</w:t>
      </w:r>
      <w:r w:rsidR="006B5A93">
        <w:rPr>
          <w:rStyle w:val="BodyTextChar"/>
          <w:rFonts w:cs="Calibri"/>
        </w:rPr>
        <w:t xml:space="preserve"> and</w:t>
      </w:r>
    </w:p>
    <w:p w14:paraId="42466181" w14:textId="5CB546CB" w:rsidR="00DC5AB1" w:rsidRPr="00DD477A" w:rsidRDefault="00DC5AB1" w:rsidP="00DC5AB1">
      <w:pPr>
        <w:pStyle w:val="Bullet2"/>
        <w:rPr>
          <w:rStyle w:val="BodyTextChar"/>
          <w:rFonts w:cs="Calibri"/>
        </w:rPr>
      </w:pPr>
      <w:r w:rsidRPr="00DD477A">
        <w:rPr>
          <w:rStyle w:val="BodyTextChar"/>
          <w:rFonts w:cs="Calibri"/>
        </w:rPr>
        <w:t xml:space="preserve">a covering memorandum should be provided to the </w:t>
      </w:r>
      <w:r w:rsidR="003C28AB">
        <w:rPr>
          <w:rStyle w:val="BodyTextChar"/>
          <w:rFonts w:cs="Calibri"/>
        </w:rPr>
        <w:t>Senate</w:t>
      </w:r>
      <w:r w:rsidRPr="00DD477A">
        <w:rPr>
          <w:rStyle w:val="BodyTextChar"/>
          <w:rFonts w:cs="Calibri"/>
        </w:rPr>
        <w:t xml:space="preserve"> Tabling Officer. This memorandum does not need to be approved by the minister, but does </w:t>
      </w:r>
      <w:r w:rsidRPr="00DD477A">
        <w:rPr>
          <w:rStyle w:val="BodyTextChar"/>
          <w:rFonts w:cs="Calibri"/>
          <w:bCs/>
        </w:rPr>
        <w:t>need</w:t>
      </w:r>
      <w:r w:rsidRPr="00DD477A">
        <w:rPr>
          <w:rStyle w:val="BodyTextChar"/>
          <w:rFonts w:cs="Calibri"/>
        </w:rPr>
        <w:t xml:space="preserve"> to note the </w:t>
      </w:r>
      <w:r w:rsidR="00252BF3">
        <w:rPr>
          <w:rStyle w:val="BodyTextChar"/>
          <w:rFonts w:cs="Calibri"/>
          <w:b/>
          <w:bCs/>
        </w:rPr>
        <w:t>M</w:t>
      </w:r>
      <w:r w:rsidRPr="00DD477A">
        <w:rPr>
          <w:rStyle w:val="BodyTextChar"/>
          <w:rFonts w:cs="Calibri"/>
          <w:b/>
          <w:bCs/>
        </w:rPr>
        <w:t>inister’s approval</w:t>
      </w:r>
      <w:r w:rsidRPr="00DD477A">
        <w:rPr>
          <w:rStyle w:val="BodyTextChar"/>
          <w:rFonts w:cs="Calibri"/>
        </w:rPr>
        <w:t xml:space="preserve"> of the corrigendum:</w:t>
      </w:r>
    </w:p>
    <w:p w14:paraId="21176B8E" w14:textId="3169D12F" w:rsidR="00DC5AB1" w:rsidRPr="00DD477A" w:rsidRDefault="00DC5AB1" w:rsidP="00074797">
      <w:pPr>
        <w:pStyle w:val="Bullet3"/>
        <w:rPr>
          <w:rStyle w:val="BodyTextChar"/>
          <w:rFonts w:cs="Calibri"/>
        </w:rPr>
      </w:pPr>
      <w:r w:rsidRPr="00DD477A">
        <w:rPr>
          <w:rStyle w:val="BodyTextChar"/>
          <w:rFonts w:cs="Calibri"/>
        </w:rPr>
        <w:t xml:space="preserve">the covering memorandum for government documents and copies of the corrigendum should also be provided to the </w:t>
      </w:r>
      <w:r w:rsidR="003C28AB">
        <w:rPr>
          <w:rStyle w:val="BodyTextChar"/>
          <w:rFonts w:cs="Calibri"/>
        </w:rPr>
        <w:t>Senate</w:t>
      </w:r>
      <w:r w:rsidRPr="00DD477A">
        <w:rPr>
          <w:rStyle w:val="BodyTextChar"/>
          <w:rFonts w:cs="Calibri"/>
        </w:rPr>
        <w:t xml:space="preserve"> Tabling Officer</w:t>
      </w:r>
    </w:p>
    <w:p w14:paraId="1A85EA53" w14:textId="72EAA939" w:rsidR="00DC5AB1" w:rsidRPr="00DD477A" w:rsidRDefault="00DC5AB1" w:rsidP="00074797">
      <w:pPr>
        <w:pStyle w:val="Bullet3"/>
        <w:rPr>
          <w:rStyle w:val="BodyTextChar"/>
          <w:rFonts w:cs="Calibri"/>
        </w:rPr>
      </w:pPr>
      <w:r w:rsidRPr="00DD477A">
        <w:rPr>
          <w:rStyle w:val="BodyTextChar"/>
          <w:rFonts w:cs="Calibri"/>
        </w:rPr>
        <w:t>a Transmittal letter is required to be sent by the portfolio minister to the President of the Senate to present a document when the Senate is not sitting.</w:t>
      </w:r>
    </w:p>
    <w:p w14:paraId="4E75F5E9" w14:textId="04ECADA0" w:rsidR="00A14EAF" w:rsidRPr="00DD477A" w:rsidRDefault="00DC5AB1" w:rsidP="0014243A">
      <w:r w:rsidRPr="00DD477A">
        <w:rPr>
          <w:rStyle w:val="BodyTextChar"/>
          <w:rFonts w:cs="Calibri"/>
        </w:rPr>
        <w:t xml:space="preserve">Following tabling in Parliament, a soft copy of the corrigendum and any updated Excel tables for </w:t>
      </w:r>
      <w:hyperlink r:id="rId64">
        <w:r w:rsidRPr="00DD477A">
          <w:rPr>
            <w:rStyle w:val="Hyperlink"/>
          </w:rPr>
          <w:t>data.gov.au</w:t>
        </w:r>
      </w:hyperlink>
      <w:r w:rsidRPr="00DD477A">
        <w:rPr>
          <w:rStyle w:val="BodyTextChar"/>
          <w:rFonts w:cs="Calibri"/>
        </w:rPr>
        <w:t xml:space="preserve"> </w:t>
      </w:r>
      <w:r w:rsidR="00E152B1">
        <w:rPr>
          <w:rStyle w:val="BodyTextChar"/>
          <w:rFonts w:cs="Calibri"/>
        </w:rPr>
        <w:t>must</w:t>
      </w:r>
      <w:r w:rsidRPr="00DD477A">
        <w:rPr>
          <w:rStyle w:val="BodyTextChar"/>
          <w:rFonts w:cs="Calibri"/>
        </w:rPr>
        <w:t xml:space="preserve"> be emailed to </w:t>
      </w:r>
      <w:hyperlink r:id="rId65">
        <w:r w:rsidRPr="00DD477A">
          <w:rPr>
            <w:rStyle w:val="Hyperlink"/>
          </w:rPr>
          <w:t>budget_framework@finance.gov.au</w:t>
        </w:r>
      </w:hyperlink>
      <w:r w:rsidRPr="00DD477A">
        <w:rPr>
          <w:rStyle w:val="BodyTextChar"/>
          <w:rFonts w:cs="Calibri"/>
        </w:rPr>
        <w:t>.</w:t>
      </w:r>
      <w:r w:rsidR="00A14EAF" w:rsidRPr="00DD477A">
        <w:br w:type="page"/>
      </w:r>
    </w:p>
    <w:p w14:paraId="73DD8BB4" w14:textId="7092CEBC" w:rsidR="00A33FE8" w:rsidRPr="00DD477A" w:rsidRDefault="00A33FE8" w:rsidP="00656AF4">
      <w:pPr>
        <w:pStyle w:val="Heading1Numbered"/>
      </w:pPr>
      <w:bookmarkStart w:id="655" w:name="_Toc227749006"/>
      <w:r w:rsidRPr="00DD477A">
        <w:t>Detailed Guidance of PB Statement Sections</w:t>
      </w:r>
      <w:bookmarkEnd w:id="655"/>
    </w:p>
    <w:p w14:paraId="02A5CC5A" w14:textId="6791FB4E" w:rsidR="00B54FB3" w:rsidRPr="00DD477A" w:rsidRDefault="00473D66" w:rsidP="003D6589">
      <w:pPr>
        <w:pStyle w:val="Heading1"/>
      </w:pPr>
      <w:bookmarkStart w:id="656" w:name="_Toc227749007"/>
      <w:r w:rsidRPr="00DD477A">
        <w:t>Performance Framework Diagram, Clear Read Principle and AASB 1055 Link to the Financial Statements</w:t>
      </w:r>
      <w:bookmarkEnd w:id="656"/>
    </w:p>
    <w:p w14:paraId="23AEC6A5" w14:textId="144C691E" w:rsidR="006E2E24" w:rsidRPr="00DD477A" w:rsidRDefault="006E2E24" w:rsidP="003D6589">
      <w:pPr>
        <w:pStyle w:val="Heading2"/>
      </w:pPr>
      <w:bookmarkStart w:id="657" w:name="_Toc63347672"/>
      <w:bookmarkStart w:id="658" w:name="_Toc227749008"/>
      <w:bookmarkEnd w:id="657"/>
      <w:r w:rsidRPr="00DD477A">
        <w:t>Commonwealth performance framework diagram</w:t>
      </w:r>
      <w:bookmarkEnd w:id="658"/>
    </w:p>
    <w:p w14:paraId="34D5C96F" w14:textId="786F0796" w:rsidR="00F10C66" w:rsidRPr="00DD477A" w:rsidRDefault="00EF4FBA" w:rsidP="000A7DEC">
      <w:pPr>
        <w:pStyle w:val="Boxed2Text"/>
        <w:rPr>
          <w:rFonts w:cs="Calibri"/>
        </w:rPr>
      </w:pPr>
      <w:r w:rsidRPr="00DD477A">
        <w:rPr>
          <w:rFonts w:cs="Calibri"/>
          <w:u w:val="single"/>
        </w:rPr>
        <w:t>Attachment C</w:t>
      </w:r>
      <w:r w:rsidRPr="00DD477A">
        <w:rPr>
          <w:rFonts w:cs="Calibri"/>
        </w:rPr>
        <w:t>, t</w:t>
      </w:r>
      <w:r w:rsidR="53BF0693" w:rsidRPr="00DD477A">
        <w:rPr>
          <w:rFonts w:cs="Calibri"/>
        </w:rPr>
        <w:t xml:space="preserve">he PB Statement template (in Word) includes the </w:t>
      </w:r>
      <w:r w:rsidR="53BF0693" w:rsidRPr="00DD477A">
        <w:rPr>
          <w:rFonts w:cs="Calibri"/>
          <w:i/>
          <w:iCs/>
        </w:rPr>
        <w:t>Commonwealth performance framework diagram</w:t>
      </w:r>
      <w:r w:rsidR="53BF0693" w:rsidRPr="00DD477A">
        <w:rPr>
          <w:rFonts w:cs="Calibri"/>
        </w:rPr>
        <w:t xml:space="preserve">. This diagram identifies the content of each publication and the relationships between them. This diagram </w:t>
      </w:r>
      <w:r w:rsidR="53BF0693" w:rsidRPr="00DD477A">
        <w:rPr>
          <w:rFonts w:cs="Calibri"/>
          <w:b/>
          <w:bCs/>
        </w:rPr>
        <w:t>must</w:t>
      </w:r>
      <w:r w:rsidR="53BF0693" w:rsidRPr="00DD477A">
        <w:rPr>
          <w:rFonts w:cs="Calibri"/>
        </w:rPr>
        <w:t xml:space="preserve"> be included and not be moved, re</w:t>
      </w:r>
      <w:r w:rsidR="00B346E1" w:rsidRPr="00DD477A">
        <w:rPr>
          <w:rFonts w:cs="Calibri"/>
        </w:rPr>
        <w:t>-</w:t>
      </w:r>
      <w:r w:rsidR="53BF0693" w:rsidRPr="00DD477A">
        <w:rPr>
          <w:rFonts w:cs="Calibri"/>
        </w:rPr>
        <w:t>worded or deleted from its position in the PB Statement template.</w:t>
      </w:r>
    </w:p>
    <w:p w14:paraId="089D7614" w14:textId="5BE583E0" w:rsidR="00FA0945" w:rsidRPr="00DD477A" w:rsidRDefault="53BF0693" w:rsidP="003D6589">
      <w:pPr>
        <w:pStyle w:val="Heading2"/>
      </w:pPr>
      <w:bookmarkStart w:id="659" w:name="_Toc63347673"/>
      <w:bookmarkStart w:id="660" w:name="_Toc227749009"/>
      <w:r w:rsidRPr="00DD477A">
        <w:t xml:space="preserve">Consistency of reporting – the </w:t>
      </w:r>
      <w:r w:rsidR="006714EB" w:rsidRPr="00DD477A">
        <w:t>‘</w:t>
      </w:r>
      <w:r w:rsidRPr="00DD477A">
        <w:t>clear read</w:t>
      </w:r>
      <w:r w:rsidR="006714EB" w:rsidRPr="00DD477A">
        <w:t>’</w:t>
      </w:r>
      <w:r w:rsidRPr="00DD477A">
        <w:t xml:space="preserve"> principle</w:t>
      </w:r>
      <w:bookmarkEnd w:id="659"/>
      <w:bookmarkEnd w:id="660"/>
    </w:p>
    <w:p w14:paraId="1BC78D13" w14:textId="76CD7862" w:rsidR="00FA0945" w:rsidRPr="00DD477A" w:rsidRDefault="53BF0693" w:rsidP="000A7DEC">
      <w:pPr>
        <w:rPr>
          <w:rFonts w:cs="Calibri"/>
        </w:rPr>
      </w:pPr>
      <w:r w:rsidRPr="00DD477A">
        <w:rPr>
          <w:rFonts w:cs="Calibri"/>
        </w:rPr>
        <w:t xml:space="preserve">The Commonwealth </w:t>
      </w:r>
      <w:r w:rsidR="00D33B8E" w:rsidRPr="00DD477A">
        <w:rPr>
          <w:rFonts w:cs="Calibri"/>
        </w:rPr>
        <w:t>resource management framework is de</w:t>
      </w:r>
      <w:r w:rsidRPr="00DD477A">
        <w:rPr>
          <w:rFonts w:cs="Calibri"/>
        </w:rPr>
        <w:t>signed to support accountab</w:t>
      </w:r>
      <w:r w:rsidR="00FD2F43" w:rsidRPr="00DD477A">
        <w:rPr>
          <w:rFonts w:cs="Calibri"/>
        </w:rPr>
        <w:t>ility</w:t>
      </w:r>
      <w:r w:rsidRPr="00DD477A">
        <w:rPr>
          <w:rFonts w:cs="Calibri"/>
        </w:rPr>
        <w:t xml:space="preserve"> and transparen</w:t>
      </w:r>
      <w:r w:rsidR="00FD2F43" w:rsidRPr="00DD477A">
        <w:rPr>
          <w:rFonts w:cs="Calibri"/>
        </w:rPr>
        <w:t>cy</w:t>
      </w:r>
      <w:r w:rsidR="00AF582E" w:rsidRPr="00DD477A">
        <w:rPr>
          <w:rFonts w:cs="Calibri"/>
        </w:rPr>
        <w:t xml:space="preserve"> in the</w:t>
      </w:r>
      <w:r w:rsidRPr="00DD477A">
        <w:rPr>
          <w:rFonts w:cs="Calibri"/>
        </w:rPr>
        <w:t xml:space="preserve"> public sector. </w:t>
      </w:r>
      <w:r w:rsidR="0017365E" w:rsidRPr="00DD477A">
        <w:rPr>
          <w:rFonts w:cs="Calibri"/>
        </w:rPr>
        <w:t>R</w:t>
      </w:r>
      <w:r w:rsidRPr="00DD477A">
        <w:rPr>
          <w:rFonts w:cs="Calibri"/>
        </w:rPr>
        <w:t xml:space="preserve">eporting entities </w:t>
      </w:r>
      <w:r w:rsidR="00EB2D80" w:rsidRPr="00DD477A">
        <w:rPr>
          <w:rFonts w:cs="Calibri"/>
        </w:rPr>
        <w:t xml:space="preserve">are required </w:t>
      </w:r>
      <w:r w:rsidRPr="00DD477A">
        <w:rPr>
          <w:rFonts w:cs="Calibri"/>
        </w:rPr>
        <w:t>to</w:t>
      </w:r>
      <w:r w:rsidR="00EB2D80" w:rsidRPr="00DD477A">
        <w:rPr>
          <w:rFonts w:cs="Calibri"/>
        </w:rPr>
        <w:t xml:space="preserve"> </w:t>
      </w:r>
      <w:r w:rsidR="002D03E5" w:rsidRPr="00DD477A">
        <w:rPr>
          <w:rFonts w:cs="Calibri"/>
        </w:rPr>
        <w:t>detail</w:t>
      </w:r>
      <w:r w:rsidRPr="00DD477A">
        <w:rPr>
          <w:rFonts w:cs="Calibri"/>
        </w:rPr>
        <w:t xml:space="preserve"> a clear linkage (a </w:t>
      </w:r>
      <w:r w:rsidR="006714EB" w:rsidRPr="00DD477A">
        <w:rPr>
          <w:rFonts w:cs="Calibri"/>
        </w:rPr>
        <w:t>‘</w:t>
      </w:r>
      <w:r w:rsidRPr="00DD477A">
        <w:rPr>
          <w:rFonts w:cs="Calibri"/>
        </w:rPr>
        <w:t>clear read</w:t>
      </w:r>
      <w:r w:rsidR="006714EB" w:rsidRPr="00DD477A">
        <w:rPr>
          <w:rFonts w:cs="Calibri"/>
        </w:rPr>
        <w:t>’</w:t>
      </w:r>
      <w:r w:rsidRPr="00DD477A">
        <w:rPr>
          <w:rFonts w:cs="Calibri"/>
        </w:rPr>
        <w:t>) between the allocation and use of public resources</w:t>
      </w:r>
      <w:r w:rsidR="00A668D1" w:rsidRPr="00DD477A">
        <w:rPr>
          <w:rFonts w:cs="Calibri"/>
        </w:rPr>
        <w:t xml:space="preserve"> to</w:t>
      </w:r>
      <w:r w:rsidRPr="00DD477A">
        <w:rPr>
          <w:rFonts w:cs="Calibri"/>
        </w:rPr>
        <w:t xml:space="preserve"> results being achieved.</w:t>
      </w:r>
    </w:p>
    <w:p w14:paraId="517BC108" w14:textId="4D07C25A" w:rsidR="00257FB6" w:rsidRPr="00DD477A" w:rsidRDefault="53BF0693" w:rsidP="00257FB6">
      <w:pPr>
        <w:rPr>
          <w:rFonts w:cs="Calibri"/>
        </w:rPr>
      </w:pPr>
      <w:r w:rsidRPr="00DD477A">
        <w:rPr>
          <w:rFonts w:cs="Calibri"/>
        </w:rPr>
        <w:t xml:space="preserve">Entities should present </w:t>
      </w:r>
      <w:r w:rsidR="00035B73" w:rsidRPr="00DD477A">
        <w:rPr>
          <w:rFonts w:cs="Calibri"/>
        </w:rPr>
        <w:t xml:space="preserve">clear, consistent and reconcilable </w:t>
      </w:r>
      <w:r w:rsidRPr="00DD477A">
        <w:rPr>
          <w:rFonts w:cs="Calibri"/>
        </w:rPr>
        <w:t xml:space="preserve">performance </w:t>
      </w:r>
      <w:r w:rsidR="00BF050C" w:rsidRPr="00DD477A">
        <w:rPr>
          <w:rFonts w:cs="Calibri"/>
        </w:rPr>
        <w:t xml:space="preserve">specific </w:t>
      </w:r>
      <w:r w:rsidRPr="00DD477A">
        <w:rPr>
          <w:rFonts w:cs="Calibri"/>
        </w:rPr>
        <w:t>information between publications within and across reporting cycles</w:t>
      </w:r>
      <w:r w:rsidR="00F37F72" w:rsidRPr="00DD477A">
        <w:rPr>
          <w:rFonts w:cs="Calibri"/>
        </w:rPr>
        <w:t xml:space="preserve">, from Appropriation Bills to the </w:t>
      </w:r>
      <w:r w:rsidR="000D47CA">
        <w:rPr>
          <w:rFonts w:cs="Calibri"/>
        </w:rPr>
        <w:t>PB Statement</w:t>
      </w:r>
      <w:r w:rsidR="00F37F72" w:rsidRPr="00DD477A">
        <w:rPr>
          <w:rFonts w:cs="Calibri"/>
        </w:rPr>
        <w:t xml:space="preserve">s, </w:t>
      </w:r>
      <w:r w:rsidR="00866C7A" w:rsidRPr="00DD477A">
        <w:rPr>
          <w:rFonts w:cs="Calibri"/>
        </w:rPr>
        <w:t xml:space="preserve">through </w:t>
      </w:r>
      <w:r w:rsidR="00F37F72" w:rsidRPr="00DD477A">
        <w:rPr>
          <w:rFonts w:cs="Calibri"/>
        </w:rPr>
        <w:t>to individual entities’ corporate plan and annual report</w:t>
      </w:r>
      <w:r w:rsidRPr="00DD477A">
        <w:rPr>
          <w:rFonts w:cs="Calibri"/>
        </w:rPr>
        <w:t>.</w:t>
      </w:r>
    </w:p>
    <w:p w14:paraId="13A9336A" w14:textId="14F2B020" w:rsidR="00257FB6" w:rsidRPr="00DD477A" w:rsidRDefault="53BF0693" w:rsidP="00257FB6">
      <w:pPr>
        <w:rPr>
          <w:rFonts w:cs="Calibri"/>
        </w:rPr>
      </w:pPr>
      <w:r w:rsidRPr="00DD477A">
        <w:rPr>
          <w:rFonts w:cs="Calibri"/>
        </w:rPr>
        <w:t xml:space="preserve">The </w:t>
      </w:r>
      <w:r w:rsidR="00DC026B">
        <w:rPr>
          <w:rFonts w:cs="Calibri"/>
        </w:rPr>
        <w:t>2026</w:t>
      </w:r>
      <w:r w:rsidR="00C917CE">
        <w:rPr>
          <w:rFonts w:cs="Calibri"/>
        </w:rPr>
        <w:t>–</w:t>
      </w:r>
      <w:r w:rsidR="00DC026B">
        <w:rPr>
          <w:rFonts w:cs="Calibri"/>
        </w:rPr>
        <w:t>27</w:t>
      </w:r>
      <w:r w:rsidR="00197D38" w:rsidRPr="00DD477A">
        <w:rPr>
          <w:rFonts w:cs="Calibri"/>
        </w:rPr>
        <w:t xml:space="preserve"> </w:t>
      </w:r>
      <w:r w:rsidRPr="00DD477A">
        <w:rPr>
          <w:rFonts w:cs="Calibri"/>
        </w:rPr>
        <w:t>PB Statements will cover the current financial year (</w:t>
      </w:r>
      <w:r w:rsidR="0095585E">
        <w:rPr>
          <w:rFonts w:cs="Calibri"/>
        </w:rPr>
        <w:t>2025</w:t>
      </w:r>
      <w:r w:rsidR="00C917CE">
        <w:rPr>
          <w:rFonts w:cs="Calibri"/>
        </w:rPr>
        <w:t>–</w:t>
      </w:r>
      <w:r w:rsidR="0095585E">
        <w:rPr>
          <w:rFonts w:cs="Calibri"/>
        </w:rPr>
        <w:t>26</w:t>
      </w:r>
      <w:r w:rsidRPr="00DD477A">
        <w:rPr>
          <w:rFonts w:cs="Calibri"/>
        </w:rPr>
        <w:t>), the budget year (</w:t>
      </w:r>
      <w:r w:rsidR="00DC026B">
        <w:rPr>
          <w:rFonts w:cs="Calibri"/>
        </w:rPr>
        <w:t>2026</w:t>
      </w:r>
      <w:r w:rsidR="00C917CE">
        <w:rPr>
          <w:rFonts w:cs="Calibri"/>
        </w:rPr>
        <w:t>–</w:t>
      </w:r>
      <w:r w:rsidR="00DC026B">
        <w:rPr>
          <w:rFonts w:cs="Calibri"/>
        </w:rPr>
        <w:t>27</w:t>
      </w:r>
      <w:r w:rsidRPr="00DD477A">
        <w:rPr>
          <w:rFonts w:cs="Calibri"/>
        </w:rPr>
        <w:t>) and the forward estimates years (</w:t>
      </w:r>
      <w:r w:rsidR="00DC026B">
        <w:rPr>
          <w:rFonts w:cs="Calibri"/>
        </w:rPr>
        <w:t>2027</w:t>
      </w:r>
      <w:r w:rsidR="00C917CE">
        <w:rPr>
          <w:rFonts w:cs="Calibri"/>
        </w:rPr>
        <w:t>–</w:t>
      </w:r>
      <w:r w:rsidR="00DC026B">
        <w:rPr>
          <w:rFonts w:cs="Calibri"/>
        </w:rPr>
        <w:t>28</w:t>
      </w:r>
      <w:r w:rsidR="00A85D2A">
        <w:rPr>
          <w:rFonts w:cs="Calibri"/>
        </w:rPr>
        <w:t xml:space="preserve">, </w:t>
      </w:r>
      <w:r w:rsidR="00B5347E">
        <w:rPr>
          <w:rFonts w:cs="Calibri"/>
        </w:rPr>
        <w:t>2028</w:t>
      </w:r>
      <w:r w:rsidR="00C917CE">
        <w:rPr>
          <w:rFonts w:cs="Calibri"/>
        </w:rPr>
        <w:t>–</w:t>
      </w:r>
      <w:r w:rsidR="00B5347E">
        <w:rPr>
          <w:rFonts w:cs="Calibri"/>
        </w:rPr>
        <w:t>29</w:t>
      </w:r>
      <w:r w:rsidR="00197D38" w:rsidRPr="00DD477A">
        <w:rPr>
          <w:rFonts w:cs="Calibri"/>
        </w:rPr>
        <w:t xml:space="preserve"> </w:t>
      </w:r>
      <w:r w:rsidRPr="00DD477A">
        <w:rPr>
          <w:rFonts w:cs="Calibri"/>
        </w:rPr>
        <w:t xml:space="preserve">and </w:t>
      </w:r>
      <w:r w:rsidR="00B5347E">
        <w:rPr>
          <w:rFonts w:cs="Calibri"/>
        </w:rPr>
        <w:t>2029</w:t>
      </w:r>
      <w:r w:rsidR="00C917CE">
        <w:rPr>
          <w:rFonts w:cs="Calibri"/>
        </w:rPr>
        <w:t>–</w:t>
      </w:r>
      <w:r w:rsidR="00B5347E">
        <w:rPr>
          <w:rFonts w:cs="Calibri"/>
        </w:rPr>
        <w:t>30</w:t>
      </w:r>
      <w:r w:rsidRPr="00DD477A">
        <w:rPr>
          <w:rFonts w:cs="Calibri"/>
        </w:rPr>
        <w:t>).</w:t>
      </w:r>
    </w:p>
    <w:p w14:paraId="00467617" w14:textId="77777777" w:rsidR="008C2329" w:rsidRPr="00DD477A" w:rsidRDefault="008C2329">
      <w:pPr>
        <w:suppressAutoHyphens w:val="0"/>
        <w:spacing w:before="0" w:after="120" w:line="440" w:lineRule="atLeast"/>
        <w:rPr>
          <w:rFonts w:asciiTheme="majorHAnsi" w:eastAsiaTheme="majorEastAsia" w:hAnsiTheme="majorHAnsi" w:cstheme="majorBidi"/>
          <w:color w:val="1C1C1C" w:themeColor="text2"/>
          <w:sz w:val="34"/>
          <w:szCs w:val="26"/>
        </w:rPr>
      </w:pPr>
      <w:bookmarkStart w:id="661" w:name="_Toc65165079"/>
      <w:bookmarkStart w:id="662" w:name="_Toc65230582"/>
      <w:bookmarkStart w:id="663" w:name="_Toc63347674"/>
      <w:bookmarkEnd w:id="661"/>
      <w:bookmarkEnd w:id="662"/>
      <w:r w:rsidRPr="00DD477A">
        <w:br w:type="page"/>
      </w:r>
    </w:p>
    <w:p w14:paraId="5D262560" w14:textId="60D32898" w:rsidR="00E86EC8" w:rsidRPr="00DD477A" w:rsidRDefault="53BF0693" w:rsidP="003D6589">
      <w:pPr>
        <w:pStyle w:val="Heading2"/>
      </w:pPr>
      <w:bookmarkStart w:id="664" w:name="_Toc227749010"/>
      <w:r w:rsidRPr="00DD477A">
        <w:t>‘Clear read’ linkages</w:t>
      </w:r>
      <w:bookmarkEnd w:id="663"/>
      <w:bookmarkEnd w:id="664"/>
    </w:p>
    <w:p w14:paraId="1B74B2BD" w14:textId="64F3BA10" w:rsidR="00FA0945" w:rsidRPr="00DD477A" w:rsidRDefault="00FA0945" w:rsidP="00E86EC8">
      <w:pPr>
        <w:pStyle w:val="BodyText1"/>
        <w:rPr>
          <w:rFonts w:ascii="Calibri" w:hAnsi="Calibri" w:cs="Calibri"/>
        </w:rPr>
      </w:pPr>
    </w:p>
    <w:p w14:paraId="6CB014C2" w14:textId="31E61826" w:rsidR="00F766E5" w:rsidRPr="00DD477A" w:rsidRDefault="00F766E5" w:rsidP="00E86EC8">
      <w:pPr>
        <w:pStyle w:val="BodyText1"/>
        <w:rPr>
          <w:rFonts w:ascii="Calibri" w:hAnsi="Calibri" w:cs="Calibri"/>
        </w:rPr>
      </w:pPr>
      <w:r w:rsidRPr="00DD477A">
        <w:rPr>
          <w:rFonts w:ascii="Calibri" w:hAnsi="Calibri" w:cs="Calibri"/>
          <w:noProof/>
        </w:rPr>
        <w:drawing>
          <wp:inline distT="0" distB="0" distL="0" distR="0" wp14:anchorId="77537DFF" wp14:editId="69C07838">
            <wp:extent cx="5725551" cy="3200400"/>
            <wp:effectExtent l="0" t="0" r="0" b="0"/>
            <wp:docPr id="186431214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1EFD5389" w14:textId="0F53C16F" w:rsidR="00C90222" w:rsidRPr="00DD477A" w:rsidRDefault="00E4296A" w:rsidP="003D6589">
      <w:pPr>
        <w:pStyle w:val="Heading2"/>
      </w:pPr>
      <w:bookmarkStart w:id="665" w:name="_Ref65232223"/>
      <w:bookmarkStart w:id="666" w:name="_Toc227749011"/>
      <w:r w:rsidRPr="00DD477A">
        <w:t>AASB 1055</w:t>
      </w:r>
      <w:r w:rsidR="007B7B26" w:rsidRPr="00DD477A">
        <w:t xml:space="preserve"> -</w:t>
      </w:r>
      <w:r w:rsidR="000A3FDA" w:rsidRPr="00DD477A">
        <w:t xml:space="preserve"> </w:t>
      </w:r>
      <w:r w:rsidR="00EF4FBA" w:rsidRPr="00DD477A">
        <w:t>L</w:t>
      </w:r>
      <w:r w:rsidR="53BF0693" w:rsidRPr="00DD477A">
        <w:t xml:space="preserve">ink </w:t>
      </w:r>
      <w:r w:rsidR="00EF4FBA" w:rsidRPr="00DD477A">
        <w:t xml:space="preserve">between </w:t>
      </w:r>
      <w:r w:rsidR="53BF0693" w:rsidRPr="00DD477A">
        <w:t>budget</w:t>
      </w:r>
      <w:r w:rsidR="00DB33F6" w:rsidRPr="00DD477A">
        <w:t>ed</w:t>
      </w:r>
      <w:r w:rsidR="53BF0693" w:rsidRPr="00DD477A">
        <w:t xml:space="preserve"> </w:t>
      </w:r>
      <w:r w:rsidR="00EF4FBA" w:rsidRPr="00DD477A">
        <w:t xml:space="preserve">and financial </w:t>
      </w:r>
      <w:r w:rsidR="00DB33F6" w:rsidRPr="00DD477A">
        <w:t>statement</w:t>
      </w:r>
      <w:r w:rsidR="006C2259" w:rsidRPr="00DD477A">
        <w:t>s</w:t>
      </w:r>
      <w:r w:rsidR="00DB33F6" w:rsidRPr="00DD477A">
        <w:t xml:space="preserve"> </w:t>
      </w:r>
      <w:r w:rsidR="53BF0693" w:rsidRPr="00DD477A">
        <w:t>reporting</w:t>
      </w:r>
      <w:bookmarkEnd w:id="665"/>
      <w:bookmarkEnd w:id="666"/>
    </w:p>
    <w:p w14:paraId="15A631A3" w14:textId="28F13D5B" w:rsidR="00F92065" w:rsidRPr="00DD477A" w:rsidRDefault="00AD0506" w:rsidP="0095142C">
      <w:r w:rsidRPr="00DD477A">
        <w:t xml:space="preserve">For the purposes </w:t>
      </w:r>
      <w:r w:rsidR="00BF12A8" w:rsidRPr="00DD477A">
        <w:t xml:space="preserve">of </w:t>
      </w:r>
      <w:r w:rsidR="00360A80" w:rsidRPr="00DD477A">
        <w:t xml:space="preserve">accounting standard </w:t>
      </w:r>
      <w:hyperlink r:id="rId71" w:history="1">
        <w:r w:rsidR="00B8636B" w:rsidRPr="00DD477A">
          <w:rPr>
            <w:rStyle w:val="Hyperlink"/>
            <w:rFonts w:cs="Calibri"/>
          </w:rPr>
          <w:t>AASB 1055</w:t>
        </w:r>
      </w:hyperlink>
      <w:r w:rsidR="00CD0BFA" w:rsidRPr="00DD477A">
        <w:t xml:space="preserve"> (budgetary variance reporting) </w:t>
      </w:r>
      <w:r w:rsidRPr="00DD477A">
        <w:t>disclosure</w:t>
      </w:r>
      <w:r w:rsidR="00CD0BFA" w:rsidRPr="00DD477A">
        <w:t>s</w:t>
      </w:r>
      <w:r w:rsidRPr="00DD477A">
        <w:t xml:space="preserve"> in entities</w:t>
      </w:r>
      <w:r w:rsidR="00CD0BFA" w:rsidRPr="00DD477A">
        <w:t>’</w:t>
      </w:r>
      <w:r w:rsidRPr="00DD477A">
        <w:t xml:space="preserve"> </w:t>
      </w:r>
      <w:r w:rsidR="0095585E">
        <w:t>2025</w:t>
      </w:r>
      <w:r w:rsidR="00C917CE">
        <w:t>–</w:t>
      </w:r>
      <w:r w:rsidR="0095585E">
        <w:t>26</w:t>
      </w:r>
      <w:r w:rsidR="00CD0BFA" w:rsidRPr="00DD477A">
        <w:t xml:space="preserve"> </w:t>
      </w:r>
      <w:r w:rsidRPr="00DD477A">
        <w:t xml:space="preserve">financial statements published at the end of the financial year, entities </w:t>
      </w:r>
      <w:r w:rsidR="00E116A2" w:rsidRPr="00DD477A">
        <w:t xml:space="preserve">should refer </w:t>
      </w:r>
      <w:r w:rsidR="00BF12A8" w:rsidRPr="00DD477A">
        <w:t xml:space="preserve">to </w:t>
      </w:r>
      <w:r w:rsidR="00F92065" w:rsidRPr="00DD477A">
        <w:t xml:space="preserve">the </w:t>
      </w:r>
      <w:r w:rsidR="00CD0BFA" w:rsidRPr="00DD477A">
        <w:t>‘</w:t>
      </w:r>
      <w:r w:rsidR="0095585E">
        <w:t>2025</w:t>
      </w:r>
      <w:r w:rsidR="00C917CE">
        <w:t>–</w:t>
      </w:r>
      <w:r w:rsidR="0095585E">
        <w:t>26</w:t>
      </w:r>
      <w:r w:rsidR="00672F19">
        <w:t xml:space="preserve"> </w:t>
      </w:r>
      <w:r w:rsidR="00CD0BFA" w:rsidRPr="00DD477A">
        <w:t xml:space="preserve">Budget’ </w:t>
      </w:r>
      <w:r w:rsidR="00044743">
        <w:t>in</w:t>
      </w:r>
      <w:r w:rsidR="00F03D7E">
        <w:t>cluded</w:t>
      </w:r>
      <w:r w:rsidR="00F41560">
        <w:t xml:space="preserve"> </w:t>
      </w:r>
      <w:r w:rsidR="00044743">
        <w:t xml:space="preserve">in </w:t>
      </w:r>
      <w:r w:rsidR="00BF12A8" w:rsidRPr="00DD477A">
        <w:t xml:space="preserve">the </w:t>
      </w:r>
      <w:r w:rsidR="0095585E">
        <w:t>2025</w:t>
      </w:r>
      <w:r w:rsidR="00C917CE">
        <w:t>–</w:t>
      </w:r>
      <w:r w:rsidR="0095585E">
        <w:t>26</w:t>
      </w:r>
      <w:r w:rsidR="00E116A2" w:rsidRPr="00DD477A">
        <w:t xml:space="preserve"> PB Statement as the ‘original budget’ for recognition and </w:t>
      </w:r>
      <w:r w:rsidR="00666CAB" w:rsidRPr="00DD477A">
        <w:t>to</w:t>
      </w:r>
      <w:r w:rsidR="00E116A2" w:rsidRPr="00DD477A">
        <w:t xml:space="preserve"> identify their Bill 1 Departmental Capital Budget (DCB) component split in their </w:t>
      </w:r>
      <w:r w:rsidR="0095585E">
        <w:t>2025</w:t>
      </w:r>
      <w:r w:rsidR="00C917CE">
        <w:t>–</w:t>
      </w:r>
      <w:r w:rsidR="0095585E">
        <w:t>26</w:t>
      </w:r>
      <w:r w:rsidR="00F92065" w:rsidRPr="00DD477A">
        <w:t xml:space="preserve"> financial </w:t>
      </w:r>
      <w:r w:rsidR="00E116A2" w:rsidRPr="00DD477A">
        <w:t>statements.</w:t>
      </w:r>
      <w:r w:rsidR="00F92065" w:rsidRPr="00DD477A">
        <w:t xml:space="preserve"> </w:t>
      </w:r>
    </w:p>
    <w:p w14:paraId="442E4CA8" w14:textId="685BB56C" w:rsidR="00E116A2" w:rsidRPr="00DD477A" w:rsidRDefault="00F92065" w:rsidP="0095142C">
      <w:r w:rsidRPr="00DD477A">
        <w:t xml:space="preserve">Likewise, for entities’ </w:t>
      </w:r>
      <w:r w:rsidR="00DC026B">
        <w:t>2026</w:t>
      </w:r>
      <w:r w:rsidR="00C917CE">
        <w:t>–</w:t>
      </w:r>
      <w:r w:rsidR="00DC026B">
        <w:t>27</w:t>
      </w:r>
      <w:r w:rsidRPr="00DD477A">
        <w:t xml:space="preserve"> financial statements, they should refer to the ‘</w:t>
      </w:r>
      <w:r w:rsidR="00DC026B">
        <w:t>2026</w:t>
      </w:r>
      <w:r w:rsidR="00C917CE">
        <w:t>–</w:t>
      </w:r>
      <w:r w:rsidR="00DC026B">
        <w:t>27</w:t>
      </w:r>
      <w:r w:rsidR="00672F19" w:rsidRPr="00DD477A">
        <w:t xml:space="preserve"> </w:t>
      </w:r>
      <w:r w:rsidRPr="00DD477A">
        <w:t xml:space="preserve">Budget’ in the </w:t>
      </w:r>
      <w:r w:rsidR="00A85D2A">
        <w:t>202</w:t>
      </w:r>
      <w:r w:rsidR="00FC41E8">
        <w:t>6</w:t>
      </w:r>
      <w:r w:rsidR="00F87CCA">
        <w:rPr>
          <w:rFonts w:ascii="Cambria Math" w:hAnsi="Cambria Math"/>
        </w:rPr>
        <w:t>‑</w:t>
      </w:r>
      <w:r w:rsidR="00A85D2A">
        <w:t>2</w:t>
      </w:r>
      <w:r w:rsidR="00FC41E8">
        <w:t>7</w:t>
      </w:r>
      <w:r w:rsidRPr="00DD477A">
        <w:t xml:space="preserve"> PB Statements as the ‘original budget’.</w:t>
      </w:r>
    </w:p>
    <w:p w14:paraId="34141328" w14:textId="75784E7C" w:rsidR="009C40A3" w:rsidRPr="00DD477A" w:rsidRDefault="00F80FFA" w:rsidP="00157BAB">
      <w:pPr>
        <w:pStyle w:val="Numbered"/>
        <w:numPr>
          <w:ilvl w:val="0"/>
          <w:numId w:val="0"/>
        </w:numPr>
      </w:pPr>
      <w:r w:rsidRPr="00DD477A">
        <w:t xml:space="preserve">Where a revised budget (i.e. Portfolio Additional Estimates Statement) is presented to </w:t>
      </w:r>
      <w:r w:rsidR="00F92065" w:rsidRPr="00DD477A">
        <w:t xml:space="preserve">Parliament </w:t>
      </w:r>
      <w:r w:rsidRPr="00DD477A">
        <w:t xml:space="preserve">during the reporting period, entities will </w:t>
      </w:r>
      <w:r w:rsidR="00843D8D" w:rsidRPr="00DD477A">
        <w:t xml:space="preserve">be </w:t>
      </w:r>
      <w:r w:rsidRPr="00DD477A">
        <w:t>required to explain any major variance as part of their financial statement’s variance explanation.</w:t>
      </w:r>
    </w:p>
    <w:p w14:paraId="41CA22DA" w14:textId="214BD70A" w:rsidR="00783E43" w:rsidRPr="00DD477A" w:rsidRDefault="53BF0693" w:rsidP="00783E43">
      <w:pPr>
        <w:pStyle w:val="Boxed2Text"/>
        <w:rPr>
          <w:rFonts w:cs="Calibri"/>
        </w:rPr>
      </w:pPr>
      <w:r w:rsidRPr="00DD477A">
        <w:rPr>
          <w:rFonts w:cs="Calibri"/>
        </w:rPr>
        <w:t xml:space="preserve">Entities are reminded of the importance </w:t>
      </w:r>
      <w:r w:rsidR="00672ADA" w:rsidRPr="00DD477A">
        <w:rPr>
          <w:rFonts w:cs="Calibri"/>
        </w:rPr>
        <w:t>of</w:t>
      </w:r>
      <w:r w:rsidRPr="00DD477A">
        <w:rPr>
          <w:rFonts w:cs="Calibri"/>
        </w:rPr>
        <w:t xml:space="preserve"> </w:t>
      </w:r>
      <w:r w:rsidR="007D0DC2" w:rsidRPr="00DD477A">
        <w:rPr>
          <w:rFonts w:cs="Calibri"/>
        </w:rPr>
        <w:t>re</w:t>
      </w:r>
      <w:r w:rsidRPr="00DD477A">
        <w:rPr>
          <w:rFonts w:cs="Calibri"/>
        </w:rPr>
        <w:t xml:space="preserve">taining </w:t>
      </w:r>
      <w:r w:rsidR="003872AA" w:rsidRPr="00DD477A">
        <w:rPr>
          <w:rFonts w:cs="Calibri"/>
        </w:rPr>
        <w:t>formal</w:t>
      </w:r>
      <w:r w:rsidR="00786FD9" w:rsidRPr="00DD477A">
        <w:rPr>
          <w:rFonts w:cs="Calibri"/>
        </w:rPr>
        <w:t xml:space="preserve"> </w:t>
      </w:r>
      <w:r w:rsidRPr="00DD477A">
        <w:rPr>
          <w:rFonts w:cs="Calibri"/>
        </w:rPr>
        <w:t>documentation t</w:t>
      </w:r>
      <w:r w:rsidR="0014333B" w:rsidRPr="00DD477A">
        <w:rPr>
          <w:rFonts w:cs="Calibri"/>
        </w:rPr>
        <w:t xml:space="preserve">hat </w:t>
      </w:r>
      <w:r w:rsidRPr="00DD477A">
        <w:rPr>
          <w:rFonts w:cs="Calibri"/>
        </w:rPr>
        <w:t>substantiate</w:t>
      </w:r>
      <w:r w:rsidR="0014333B" w:rsidRPr="00DD477A">
        <w:rPr>
          <w:rFonts w:cs="Calibri"/>
        </w:rPr>
        <w:t>s</w:t>
      </w:r>
      <w:r w:rsidRPr="00DD477A">
        <w:rPr>
          <w:rFonts w:cs="Calibri"/>
        </w:rPr>
        <w:t xml:space="preserve"> the estimates </w:t>
      </w:r>
      <w:r w:rsidR="00672ADA" w:rsidRPr="00DD477A">
        <w:rPr>
          <w:rFonts w:cs="Calibri"/>
        </w:rPr>
        <w:t>reported through</w:t>
      </w:r>
      <w:r w:rsidRPr="00DD477A">
        <w:rPr>
          <w:rFonts w:cs="Calibri"/>
        </w:rPr>
        <w:t xml:space="preserve"> the</w:t>
      </w:r>
      <w:r w:rsidR="0081690C" w:rsidRPr="00DD477A">
        <w:rPr>
          <w:rFonts w:cs="Calibri"/>
        </w:rPr>
        <w:t>ir</w:t>
      </w:r>
      <w:r w:rsidRPr="00DD477A">
        <w:rPr>
          <w:rFonts w:cs="Calibri"/>
        </w:rPr>
        <w:t xml:space="preserve"> PB Statements. Appropriate documentation </w:t>
      </w:r>
      <w:r w:rsidR="00786FD9" w:rsidRPr="00DD477A">
        <w:rPr>
          <w:rFonts w:cs="Calibri"/>
        </w:rPr>
        <w:t xml:space="preserve">may </w:t>
      </w:r>
      <w:r w:rsidR="00CC34EA" w:rsidRPr="00DD477A">
        <w:rPr>
          <w:rFonts w:cs="Calibri"/>
        </w:rPr>
        <w:t>include</w:t>
      </w:r>
      <w:r w:rsidR="00AE5DB4" w:rsidRPr="00DD477A">
        <w:rPr>
          <w:rFonts w:cs="Calibri"/>
        </w:rPr>
        <w:t xml:space="preserve"> </w:t>
      </w:r>
      <w:r w:rsidRPr="00DD477A">
        <w:rPr>
          <w:rFonts w:cs="Calibri"/>
        </w:rPr>
        <w:t>CBMS reconciliations,</w:t>
      </w:r>
      <w:r w:rsidR="003A1BAD" w:rsidRPr="00DD477A">
        <w:t xml:space="preserve"> </w:t>
      </w:r>
      <w:r w:rsidR="00786FD9" w:rsidRPr="00DD477A">
        <w:rPr>
          <w:rFonts w:cs="Calibri"/>
        </w:rPr>
        <w:t>budget allocation authority document</w:t>
      </w:r>
      <w:r w:rsidR="00506FF0" w:rsidRPr="00DD477A">
        <w:rPr>
          <w:rFonts w:cs="Calibri"/>
        </w:rPr>
        <w:t>s</w:t>
      </w:r>
      <w:r w:rsidR="00666CAB" w:rsidRPr="00DD477A">
        <w:rPr>
          <w:rFonts w:cs="Calibri"/>
        </w:rPr>
        <w:t xml:space="preserve"> (such as costing agreements, ministerial correspondence and government decision references)</w:t>
      </w:r>
      <w:r w:rsidR="00786FD9" w:rsidRPr="00DD477A">
        <w:rPr>
          <w:rFonts w:cs="Calibri"/>
        </w:rPr>
        <w:t xml:space="preserve">, </w:t>
      </w:r>
      <w:r w:rsidR="00DC6078" w:rsidRPr="00DD477A">
        <w:rPr>
          <w:rFonts w:cs="Calibri"/>
        </w:rPr>
        <w:t xml:space="preserve">and/or </w:t>
      </w:r>
      <w:r w:rsidR="003A1BAD" w:rsidRPr="00DD477A">
        <w:rPr>
          <w:rFonts w:cs="Calibri"/>
        </w:rPr>
        <w:t>Chief Finance Officer</w:t>
      </w:r>
      <w:r w:rsidRPr="00DD477A">
        <w:rPr>
          <w:rFonts w:cs="Calibri"/>
        </w:rPr>
        <w:t xml:space="preserve"> </w:t>
      </w:r>
      <w:r w:rsidR="003A1BAD" w:rsidRPr="00DD477A">
        <w:rPr>
          <w:rFonts w:cs="Calibri"/>
        </w:rPr>
        <w:t>(</w:t>
      </w:r>
      <w:r w:rsidRPr="00DD477A">
        <w:rPr>
          <w:rFonts w:cs="Calibri"/>
        </w:rPr>
        <w:t>CFO</w:t>
      </w:r>
      <w:r w:rsidR="003A1BAD" w:rsidRPr="00DD477A">
        <w:rPr>
          <w:rFonts w:cs="Calibri"/>
        </w:rPr>
        <w:t>)</w:t>
      </w:r>
      <w:r w:rsidRPr="00DD477A">
        <w:rPr>
          <w:rFonts w:cs="Calibri"/>
        </w:rPr>
        <w:t xml:space="preserve"> </w:t>
      </w:r>
      <w:r w:rsidR="00022801" w:rsidRPr="00DD477A">
        <w:rPr>
          <w:rFonts w:cs="Calibri"/>
        </w:rPr>
        <w:t>signoffs</w:t>
      </w:r>
      <w:r w:rsidR="00251D08" w:rsidRPr="00DD477A">
        <w:rPr>
          <w:rFonts w:cs="Calibri"/>
        </w:rPr>
        <w:t xml:space="preserve"> of amounts included in </w:t>
      </w:r>
      <w:r w:rsidR="00336855" w:rsidRPr="00DD477A">
        <w:rPr>
          <w:rFonts w:cs="Calibri"/>
        </w:rPr>
        <w:t xml:space="preserve">the Annual Appropriation Bills </w:t>
      </w:r>
      <w:r w:rsidRPr="00DD477A">
        <w:rPr>
          <w:rFonts w:cs="Calibri"/>
        </w:rPr>
        <w:t xml:space="preserve">and </w:t>
      </w:r>
      <w:r w:rsidR="0064470D" w:rsidRPr="00DD477A">
        <w:rPr>
          <w:rFonts w:cs="Calibri"/>
        </w:rPr>
        <w:t>Budget Paper No.</w:t>
      </w:r>
      <w:r w:rsidR="00F6538F" w:rsidRPr="00DD477A">
        <w:rPr>
          <w:rFonts w:cs="Calibri"/>
        </w:rPr>
        <w:t xml:space="preserve">4 </w:t>
      </w:r>
      <w:r w:rsidR="003525F1" w:rsidRPr="00DD477A">
        <w:rPr>
          <w:rFonts w:cs="Calibri"/>
        </w:rPr>
        <w:t>Agency Resourcing</w:t>
      </w:r>
      <w:r w:rsidR="00FC1674" w:rsidRPr="00DD477A">
        <w:rPr>
          <w:rFonts w:cs="Calibri"/>
        </w:rPr>
        <w:t xml:space="preserve"> </w:t>
      </w:r>
      <w:r w:rsidR="00137FD5" w:rsidRPr="00DD477A">
        <w:rPr>
          <w:rFonts w:cs="Calibri"/>
        </w:rPr>
        <w:t>Table.</w:t>
      </w:r>
      <w:r w:rsidR="00786FD9" w:rsidRPr="00DD477A">
        <w:rPr>
          <w:rFonts w:cs="Calibri"/>
        </w:rPr>
        <w:t xml:space="preserve"> </w:t>
      </w:r>
    </w:p>
    <w:p w14:paraId="2D6F67C8" w14:textId="15BB9272" w:rsidR="0090553A" w:rsidRPr="00DD477A" w:rsidRDefault="00783E43" w:rsidP="00C22626">
      <w:pPr>
        <w:pStyle w:val="Boxed2Text"/>
        <w:rPr>
          <w:rFonts w:cs="Calibri"/>
        </w:rPr>
      </w:pPr>
      <w:r w:rsidRPr="00DD477A">
        <w:rPr>
          <w:rFonts w:cs="Calibri"/>
        </w:rPr>
        <w:t>The financial information reported in PB Statements must reconcile with the information included in CBMS</w:t>
      </w:r>
      <w:r w:rsidR="00251D08" w:rsidRPr="00DD477A">
        <w:rPr>
          <w:rFonts w:cs="Calibri"/>
        </w:rPr>
        <w:t xml:space="preserve"> at each Budget estimates update</w:t>
      </w:r>
      <w:r w:rsidRPr="00DD477A">
        <w:rPr>
          <w:rFonts w:cs="Calibri"/>
        </w:rPr>
        <w:t>.</w:t>
      </w:r>
    </w:p>
    <w:p w14:paraId="6D847B70" w14:textId="59F1495D" w:rsidR="00C90222" w:rsidRPr="00DD477A" w:rsidRDefault="53BF0693" w:rsidP="00C90222">
      <w:pPr>
        <w:rPr>
          <w:rFonts w:cs="Calibri"/>
        </w:rPr>
      </w:pPr>
      <w:r w:rsidRPr="00DD477A">
        <w:rPr>
          <w:rFonts w:cs="Calibri"/>
        </w:rPr>
        <w:t>For further information on the AASB 1055 reporting requirements, refer to</w:t>
      </w:r>
      <w:r w:rsidR="00936490" w:rsidRPr="00DD477A">
        <w:rPr>
          <w:rFonts w:cs="Calibri"/>
        </w:rPr>
        <w:t xml:space="preserve"> </w:t>
      </w:r>
      <w:hyperlink r:id="rId72" w:history="1">
        <w:r w:rsidR="004545D7">
          <w:rPr>
            <w:rStyle w:val="Hyperlink"/>
          </w:rPr>
          <w:t>RMG 125 Commonwealth entities financial statements guide</w:t>
        </w:r>
      </w:hyperlink>
      <w:r w:rsidR="00936490" w:rsidRPr="00DD477A" w:rsidDel="00936490">
        <w:rPr>
          <w:rFonts w:cs="Calibri"/>
        </w:rPr>
        <w:t xml:space="preserve"> </w:t>
      </w:r>
      <w:r w:rsidRPr="00DD477A">
        <w:rPr>
          <w:rFonts w:cs="Calibri"/>
        </w:rPr>
        <w:t xml:space="preserve">and the </w:t>
      </w:r>
      <w:hyperlink r:id="rId73" w:history="1">
        <w:r w:rsidR="00871B76" w:rsidRPr="00DD477A">
          <w:rPr>
            <w:rStyle w:val="Hyperlink"/>
            <w:rFonts w:cs="Calibri"/>
          </w:rPr>
          <w:t>Primary Reporting and Information Management Aid</w:t>
        </w:r>
      </w:hyperlink>
      <w:r w:rsidR="00871B76" w:rsidRPr="00DD477A">
        <w:rPr>
          <w:rFonts w:cs="Calibri"/>
        </w:rPr>
        <w:t xml:space="preserve"> (</w:t>
      </w:r>
      <w:r w:rsidRPr="00DD477A">
        <w:rPr>
          <w:rFonts w:cs="Calibri"/>
        </w:rPr>
        <w:t>PRIMA</w:t>
      </w:r>
      <w:r w:rsidR="00871B76" w:rsidRPr="00DD477A">
        <w:rPr>
          <w:rFonts w:cs="Calibri"/>
        </w:rPr>
        <w:t>)</w:t>
      </w:r>
      <w:r w:rsidR="00C52FE8" w:rsidRPr="00DD477A">
        <w:rPr>
          <w:rFonts w:cs="Calibri"/>
        </w:rPr>
        <w:t xml:space="preserve"> forms</w:t>
      </w:r>
      <w:r w:rsidRPr="00DD477A">
        <w:rPr>
          <w:rFonts w:cs="Calibri"/>
        </w:rPr>
        <w:t>.</w:t>
      </w:r>
    </w:p>
    <w:p w14:paraId="058EFDBB" w14:textId="4E7AF0FA" w:rsidR="00FA0945" w:rsidRPr="00DD477A" w:rsidRDefault="53BF0693" w:rsidP="003D6589">
      <w:pPr>
        <w:pStyle w:val="Heading1"/>
      </w:pPr>
      <w:bookmarkStart w:id="667" w:name="_Toc156403494"/>
      <w:bookmarkStart w:id="668" w:name="_Toc156482526"/>
      <w:bookmarkStart w:id="669" w:name="_Toc156483331"/>
      <w:bookmarkStart w:id="670" w:name="_Toc156484094"/>
      <w:bookmarkStart w:id="671" w:name="_Toc156487615"/>
      <w:bookmarkStart w:id="672" w:name="_Toc156403495"/>
      <w:bookmarkStart w:id="673" w:name="_Toc156482527"/>
      <w:bookmarkStart w:id="674" w:name="_Toc156483332"/>
      <w:bookmarkStart w:id="675" w:name="_Toc156484095"/>
      <w:bookmarkStart w:id="676" w:name="_Toc156487616"/>
      <w:bookmarkStart w:id="677" w:name="_Toc411852665"/>
      <w:bookmarkStart w:id="678" w:name="_Toc63347675"/>
      <w:bookmarkStart w:id="679" w:name="_Toc227749012"/>
      <w:bookmarkStart w:id="680" w:name="Continue_from_here_5_3"/>
      <w:bookmarkEnd w:id="667"/>
      <w:bookmarkEnd w:id="668"/>
      <w:bookmarkEnd w:id="669"/>
      <w:bookmarkEnd w:id="670"/>
      <w:bookmarkEnd w:id="671"/>
      <w:bookmarkEnd w:id="672"/>
      <w:bookmarkEnd w:id="673"/>
      <w:bookmarkEnd w:id="674"/>
      <w:bookmarkEnd w:id="675"/>
      <w:bookmarkEnd w:id="676"/>
      <w:r w:rsidRPr="00DD477A">
        <w:t>Clearance processes</w:t>
      </w:r>
      <w:bookmarkEnd w:id="677"/>
      <w:bookmarkEnd w:id="678"/>
      <w:bookmarkEnd w:id="679"/>
    </w:p>
    <w:bookmarkEnd w:id="680"/>
    <w:p w14:paraId="59A897C5" w14:textId="51554F77" w:rsidR="00FA0945" w:rsidRPr="00DD477A" w:rsidRDefault="30B59CBF" w:rsidP="000A7DEC">
      <w:pPr>
        <w:rPr>
          <w:rFonts w:cs="Calibri"/>
        </w:rPr>
      </w:pPr>
      <w:r w:rsidRPr="00DD477A">
        <w:rPr>
          <w:rFonts w:cs="Calibri"/>
        </w:rPr>
        <w:t xml:space="preserve">While there is no requirement for portfolios to provide </w:t>
      </w:r>
      <w:r w:rsidR="00803A31" w:rsidRPr="00DD477A">
        <w:rPr>
          <w:rFonts w:cs="Calibri"/>
        </w:rPr>
        <w:t xml:space="preserve">Finance </w:t>
      </w:r>
      <w:r w:rsidRPr="00DD477A">
        <w:rPr>
          <w:rFonts w:cs="Calibri"/>
        </w:rPr>
        <w:t>their whole PB Statements document for checking, certain material</w:t>
      </w:r>
      <w:r w:rsidR="00C666AC" w:rsidRPr="00DD477A">
        <w:rPr>
          <w:rFonts w:cs="Calibri"/>
        </w:rPr>
        <w:t>, includ</w:t>
      </w:r>
      <w:r w:rsidR="009D11A9" w:rsidRPr="00DD477A">
        <w:rPr>
          <w:rFonts w:cs="Calibri"/>
        </w:rPr>
        <w:t>ing</w:t>
      </w:r>
      <w:r w:rsidR="00C666AC" w:rsidRPr="00DD477A">
        <w:rPr>
          <w:rFonts w:cs="Calibri"/>
        </w:rPr>
        <w:t xml:space="preserve"> information on the appropriations and the measures tables</w:t>
      </w:r>
      <w:r w:rsidR="009D11A9" w:rsidRPr="00DD477A">
        <w:rPr>
          <w:rFonts w:cs="Calibri"/>
        </w:rPr>
        <w:t>,</w:t>
      </w:r>
      <w:r w:rsidR="00C666AC" w:rsidRPr="00DD477A">
        <w:rPr>
          <w:rFonts w:cs="Calibri"/>
        </w:rPr>
        <w:t xml:space="preserve"> </w:t>
      </w:r>
      <w:r w:rsidRPr="00DD477A">
        <w:rPr>
          <w:rFonts w:cs="Calibri"/>
        </w:rPr>
        <w:t>must match information contained elsewhere in the BPs for which the Treasurer and Minister for Finance are responsible. As the PB Statements describe measures that are published in BP No. 2, the two documents should be consistent. Finance recommends</w:t>
      </w:r>
      <w:r w:rsidR="005C1C8B" w:rsidRPr="00DD477A">
        <w:rPr>
          <w:rFonts w:cs="Calibri"/>
        </w:rPr>
        <w:t>,</w:t>
      </w:r>
      <w:r w:rsidR="00AC4886" w:rsidRPr="00DD477A">
        <w:rPr>
          <w:rFonts w:cs="Calibri"/>
        </w:rPr>
        <w:t xml:space="preserve"> where</w:t>
      </w:r>
      <w:r w:rsidRPr="00DD477A">
        <w:rPr>
          <w:rFonts w:cs="Calibri"/>
        </w:rPr>
        <w:t xml:space="preserve"> possible</w:t>
      </w:r>
      <w:r w:rsidR="005C1C8B" w:rsidRPr="00DD477A">
        <w:rPr>
          <w:rFonts w:cs="Calibri"/>
        </w:rPr>
        <w:t>,</w:t>
      </w:r>
      <w:r w:rsidR="00EA5456" w:rsidRPr="00DD477A">
        <w:rPr>
          <w:rFonts w:cs="Calibri"/>
        </w:rPr>
        <w:t xml:space="preserve"> that the</w:t>
      </w:r>
      <w:r w:rsidRPr="00DD477A">
        <w:rPr>
          <w:rFonts w:cs="Calibri"/>
        </w:rPr>
        <w:t xml:space="preserve"> PB Statements </w:t>
      </w:r>
      <w:r w:rsidR="00454846" w:rsidRPr="00DD477A">
        <w:rPr>
          <w:rFonts w:cs="Calibri"/>
        </w:rPr>
        <w:t xml:space="preserve">are </w:t>
      </w:r>
      <w:r w:rsidRPr="00DD477A">
        <w:rPr>
          <w:rFonts w:cs="Calibri"/>
        </w:rPr>
        <w:t>not printed until BP No. 2 is cleared.</w:t>
      </w:r>
    </w:p>
    <w:p w14:paraId="4CCC1911" w14:textId="064CDD2E" w:rsidR="00A007B3" w:rsidRPr="00DD477A" w:rsidRDefault="53BF0693" w:rsidP="000A7DEC">
      <w:pPr>
        <w:rPr>
          <w:rFonts w:cs="Calibri"/>
        </w:rPr>
      </w:pPr>
      <w:r w:rsidRPr="00DD477A">
        <w:rPr>
          <w:rFonts w:cs="Calibri"/>
        </w:rPr>
        <w:t xml:space="preserve">Table 1.2: Budget measures should be provided to your </w:t>
      </w:r>
      <w:r w:rsidR="00B862FC" w:rsidRPr="00DD477A">
        <w:rPr>
          <w:rFonts w:cs="Calibri"/>
        </w:rPr>
        <w:t xml:space="preserve">Finance </w:t>
      </w:r>
      <w:r w:rsidRPr="00DD477A">
        <w:rPr>
          <w:rFonts w:cs="Calibri"/>
        </w:rPr>
        <w:t>AAU for checking against BP No. 2 measures titles and Appropriation Bills reports prior to the PB Statements being printed.</w:t>
      </w:r>
      <w:r w:rsidR="00A33A00" w:rsidRPr="00DD477A">
        <w:rPr>
          <w:rFonts w:cs="Calibri"/>
        </w:rPr>
        <w:t xml:space="preserve"> Finance AAUs will provide a list of final measures titles and figures once they are finalised to Portfolios to update Table 1.2: Budget measures in the PB Statements, usually in the week before the Budget.</w:t>
      </w:r>
    </w:p>
    <w:p w14:paraId="33B67FB3" w14:textId="4DCDEEE6" w:rsidR="00382E5B" w:rsidRPr="00DD477A" w:rsidRDefault="53BF0693" w:rsidP="000A7DEC">
      <w:pPr>
        <w:rPr>
          <w:rFonts w:cs="Calibri"/>
        </w:rPr>
      </w:pPr>
      <w:r w:rsidRPr="00DD477A">
        <w:rPr>
          <w:rFonts w:cs="Calibri"/>
        </w:rPr>
        <w:t>Portfolio entities are responsible for ensuring the accuracy and completeness of the information contained in their PB Statements</w:t>
      </w:r>
      <w:r w:rsidR="008E433E" w:rsidRPr="00DD477A">
        <w:rPr>
          <w:rFonts w:cs="Calibri"/>
        </w:rPr>
        <w:t>.</w:t>
      </w:r>
    </w:p>
    <w:p w14:paraId="4990F2DC" w14:textId="75855633" w:rsidR="00FA0945" w:rsidRPr="00DD477A" w:rsidRDefault="53BF0693" w:rsidP="000A7DEC">
      <w:pPr>
        <w:rPr>
          <w:rFonts w:cs="Calibri"/>
        </w:rPr>
      </w:pPr>
      <w:r w:rsidRPr="00DD477A">
        <w:rPr>
          <w:rFonts w:cs="Calibri"/>
        </w:rPr>
        <w:t>As a minimum, before publication</w:t>
      </w:r>
      <w:r w:rsidR="00382E5B" w:rsidRPr="00DD477A">
        <w:rPr>
          <w:rFonts w:cs="Calibri"/>
        </w:rPr>
        <w:t>,</w:t>
      </w:r>
      <w:r w:rsidRPr="00DD477A">
        <w:rPr>
          <w:rFonts w:cs="Calibri"/>
        </w:rPr>
        <w:t xml:space="preserve"> entities should ensure </w:t>
      </w:r>
      <w:r w:rsidR="00383215">
        <w:rPr>
          <w:rFonts w:cs="Calibri"/>
        </w:rPr>
        <w:t>their</w:t>
      </w:r>
      <w:r w:rsidRPr="00DD477A">
        <w:rPr>
          <w:rFonts w:cs="Calibri"/>
        </w:rPr>
        <w:t>:</w:t>
      </w:r>
    </w:p>
    <w:p w14:paraId="58C1AF06" w14:textId="1748CBE1" w:rsidR="00FA0945" w:rsidRPr="00DD477A" w:rsidRDefault="53BF0693" w:rsidP="00B54999">
      <w:pPr>
        <w:pStyle w:val="Bullet1"/>
      </w:pPr>
      <w:r w:rsidRPr="00DD477A">
        <w:t>PB Statements are completed in accordance with the guidance and templates provided</w:t>
      </w:r>
    </w:p>
    <w:p w14:paraId="19644F80" w14:textId="270A855B" w:rsidR="00FA0945" w:rsidRPr="00DD477A" w:rsidRDefault="53BF0693" w:rsidP="00B54999">
      <w:pPr>
        <w:pStyle w:val="Bullet1"/>
      </w:pPr>
      <w:r w:rsidRPr="00DD477A">
        <w:t>the measures table matches the final measures list provided by your AAU</w:t>
      </w:r>
    </w:p>
    <w:p w14:paraId="384A9E91" w14:textId="5EC23933" w:rsidR="00FA0945" w:rsidRPr="00DD477A" w:rsidRDefault="53BF0693" w:rsidP="00B54999">
      <w:pPr>
        <w:pStyle w:val="Bullet1"/>
      </w:pPr>
      <w:r w:rsidRPr="00DD477A">
        <w:t xml:space="preserve">the ASL </w:t>
      </w:r>
      <w:r w:rsidR="00C65B36">
        <w:t>estimates</w:t>
      </w:r>
      <w:r w:rsidR="00C65B36" w:rsidRPr="00DD477A">
        <w:t xml:space="preserve"> </w:t>
      </w:r>
      <w:r w:rsidRPr="00DD477A">
        <w:t xml:space="preserve">match the </w:t>
      </w:r>
      <w:r w:rsidR="000874D1" w:rsidRPr="00DD477A">
        <w:t xml:space="preserve">figures </w:t>
      </w:r>
      <w:r w:rsidRPr="00DD477A">
        <w:t>to be published in BP No. 4</w:t>
      </w:r>
    </w:p>
    <w:p w14:paraId="441B092B" w14:textId="53E6AF3A" w:rsidR="00C72A5A" w:rsidRPr="00DD477A" w:rsidRDefault="53BF0693" w:rsidP="00B54999">
      <w:pPr>
        <w:pStyle w:val="Bullet1"/>
      </w:pPr>
      <w:r w:rsidRPr="00DD477A">
        <w:t xml:space="preserve">all </w:t>
      </w:r>
      <w:r w:rsidR="007B6B32" w:rsidRPr="00DD477A">
        <w:t xml:space="preserve">Appropriation </w:t>
      </w:r>
      <w:r w:rsidRPr="00DD477A">
        <w:t>Bills information matches the Appropriation Bill</w:t>
      </w:r>
      <w:r w:rsidR="00EC7CB7" w:rsidRPr="00DD477A">
        <w:t>s</w:t>
      </w:r>
      <w:r w:rsidRPr="00DD477A">
        <w:t xml:space="preserve"> Schedule in the </w:t>
      </w:r>
      <w:r w:rsidR="007B6B32" w:rsidRPr="00DD477A">
        <w:br/>
      </w:r>
      <w:r w:rsidR="007A7373" w:rsidRPr="00DD477A">
        <w:t xml:space="preserve">CBMS </w:t>
      </w:r>
      <w:r w:rsidRPr="00DD477A">
        <w:t>Appropriation Bill</w:t>
      </w:r>
      <w:r w:rsidR="00EC7CB7" w:rsidRPr="00DD477A">
        <w:t>s</w:t>
      </w:r>
      <w:r w:rsidRPr="00DD477A">
        <w:t xml:space="preserve"> report</w:t>
      </w:r>
      <w:r w:rsidR="00766C6D" w:rsidRPr="00DD477A">
        <w:t>.</w:t>
      </w:r>
      <w:r w:rsidR="009D5B48" w:rsidRPr="00DD477A">
        <w:t xml:space="preserve"> </w:t>
      </w:r>
      <w:r w:rsidR="00E706C3" w:rsidRPr="00DD477A">
        <w:t>T</w:t>
      </w:r>
      <w:r w:rsidRPr="00DD477A">
        <w:t xml:space="preserve">he relevant CFO </w:t>
      </w:r>
      <w:r w:rsidR="00022801" w:rsidRPr="00DD477A">
        <w:t>signoff</w:t>
      </w:r>
      <w:r w:rsidRPr="00DD477A">
        <w:t xml:space="preserve"> </w:t>
      </w:r>
      <w:r w:rsidR="000627E4">
        <w:t>pages</w:t>
      </w:r>
      <w:r w:rsidRPr="00DD477A">
        <w:t xml:space="preserve"> </w:t>
      </w:r>
      <w:r w:rsidR="007B6B32" w:rsidRPr="00DD477A">
        <w:t xml:space="preserve">Appropriation </w:t>
      </w:r>
      <w:r w:rsidRPr="00DD477A">
        <w:t xml:space="preserve">Bills and </w:t>
      </w:r>
      <w:r w:rsidR="007B6B32" w:rsidRPr="00DD477A">
        <w:br/>
      </w:r>
      <w:r w:rsidRPr="00DD477A">
        <w:t>BP No. 4 are available in CBMS under statutory reports</w:t>
      </w:r>
      <w:r w:rsidR="00A33A00" w:rsidRPr="00DD477A">
        <w:t xml:space="preserve"> (see the relevant Finance guidance on the </w:t>
      </w:r>
      <w:r w:rsidR="00A33A00" w:rsidRPr="00DD477A">
        <w:rPr>
          <w:i/>
          <w:iCs/>
        </w:rPr>
        <w:t>Budget estimates update, Appropriation Bills and Budget Paper No. 4</w:t>
      </w:r>
      <w:r w:rsidR="00A33A00" w:rsidRPr="00DD477A">
        <w:t xml:space="preserve"> for information on the sign-off process)</w:t>
      </w:r>
      <w:r w:rsidRPr="00DD477A">
        <w:t>.</w:t>
      </w:r>
    </w:p>
    <w:p w14:paraId="41A54CD4" w14:textId="019A05F2" w:rsidR="00FA0945" w:rsidRPr="00DD477A" w:rsidRDefault="53BF0693" w:rsidP="003D6589">
      <w:pPr>
        <w:pStyle w:val="Heading1"/>
      </w:pPr>
      <w:bookmarkStart w:id="681" w:name="_Toc29980653"/>
      <w:bookmarkStart w:id="682" w:name="_Toc30405530"/>
      <w:bookmarkStart w:id="683" w:name="_Toc30581271"/>
      <w:bookmarkStart w:id="684" w:name="_Toc32829933"/>
      <w:bookmarkStart w:id="685" w:name="_Toc32917435"/>
      <w:bookmarkStart w:id="686" w:name="_Toc32918241"/>
      <w:bookmarkStart w:id="687" w:name="_Toc32999624"/>
      <w:bookmarkStart w:id="688" w:name="_Toc33099343"/>
      <w:bookmarkStart w:id="689" w:name="_Toc33195973"/>
      <w:bookmarkStart w:id="690" w:name="_Toc33196275"/>
      <w:bookmarkStart w:id="691" w:name="_Toc29980654"/>
      <w:bookmarkStart w:id="692" w:name="_Toc30405531"/>
      <w:bookmarkStart w:id="693" w:name="_Toc30581272"/>
      <w:bookmarkStart w:id="694" w:name="_Toc32829934"/>
      <w:bookmarkStart w:id="695" w:name="_Toc32917436"/>
      <w:bookmarkStart w:id="696" w:name="_Toc32918242"/>
      <w:bookmarkStart w:id="697" w:name="_Toc32999625"/>
      <w:bookmarkStart w:id="698" w:name="_Toc33099344"/>
      <w:bookmarkStart w:id="699" w:name="_Toc33195974"/>
      <w:bookmarkStart w:id="700" w:name="_Toc33196276"/>
      <w:bookmarkStart w:id="701" w:name="_Toc29980655"/>
      <w:bookmarkStart w:id="702" w:name="_Toc30405532"/>
      <w:bookmarkStart w:id="703" w:name="_Toc30581273"/>
      <w:bookmarkStart w:id="704" w:name="_Toc32829935"/>
      <w:bookmarkStart w:id="705" w:name="_Toc32917437"/>
      <w:bookmarkStart w:id="706" w:name="_Toc32918243"/>
      <w:bookmarkStart w:id="707" w:name="_Toc32999626"/>
      <w:bookmarkStart w:id="708" w:name="_Toc33099345"/>
      <w:bookmarkStart w:id="709" w:name="_Toc33195975"/>
      <w:bookmarkStart w:id="710" w:name="_Toc33196277"/>
      <w:bookmarkStart w:id="711" w:name="_Toc29394530"/>
      <w:bookmarkStart w:id="712" w:name="_Toc29394828"/>
      <w:bookmarkStart w:id="713" w:name="_Toc29394959"/>
      <w:bookmarkStart w:id="714" w:name="_Toc29395355"/>
      <w:bookmarkStart w:id="715" w:name="_Toc29395441"/>
      <w:bookmarkStart w:id="716" w:name="_Toc29396872"/>
      <w:bookmarkStart w:id="717" w:name="_Toc29478109"/>
      <w:bookmarkStart w:id="718" w:name="_Toc29481846"/>
      <w:bookmarkStart w:id="719" w:name="_Toc29544149"/>
      <w:bookmarkStart w:id="720" w:name="_Toc29544736"/>
      <w:bookmarkStart w:id="721" w:name="_Toc29544811"/>
      <w:bookmarkStart w:id="722" w:name="_Toc29546675"/>
      <w:bookmarkStart w:id="723" w:name="_Toc29980656"/>
      <w:bookmarkStart w:id="724" w:name="_Toc30405533"/>
      <w:bookmarkStart w:id="725" w:name="_Toc30581274"/>
      <w:bookmarkStart w:id="726" w:name="_Toc32829936"/>
      <w:bookmarkStart w:id="727" w:name="_Toc32917438"/>
      <w:bookmarkStart w:id="728" w:name="_Toc32918244"/>
      <w:bookmarkStart w:id="729" w:name="_Toc32999627"/>
      <w:bookmarkStart w:id="730" w:name="_Toc33099346"/>
      <w:bookmarkStart w:id="731" w:name="_Toc33195976"/>
      <w:bookmarkStart w:id="732" w:name="_Toc33196278"/>
      <w:bookmarkStart w:id="733" w:name="_Toc534803483"/>
      <w:bookmarkStart w:id="734" w:name="_Toc534814174"/>
      <w:bookmarkStart w:id="735" w:name="_Toc536108544"/>
      <w:bookmarkStart w:id="736" w:name="_Toc32917441"/>
      <w:bookmarkStart w:id="737" w:name="_Toc32918247"/>
      <w:bookmarkStart w:id="738" w:name="_Toc32999630"/>
      <w:bookmarkStart w:id="739" w:name="_Toc33099349"/>
      <w:bookmarkStart w:id="740" w:name="_Toc33195979"/>
      <w:bookmarkStart w:id="741" w:name="_Toc33196281"/>
      <w:bookmarkStart w:id="742" w:name="_Toc30405539"/>
      <w:bookmarkStart w:id="743" w:name="_Toc30581280"/>
      <w:bookmarkStart w:id="744" w:name="_Toc32829942"/>
      <w:bookmarkStart w:id="745" w:name="_Toc32917446"/>
      <w:bookmarkStart w:id="746" w:name="_Toc32918252"/>
      <w:bookmarkStart w:id="747" w:name="_Toc32999635"/>
      <w:bookmarkStart w:id="748" w:name="_Toc33099354"/>
      <w:bookmarkStart w:id="749" w:name="_Toc33195984"/>
      <w:bookmarkStart w:id="750" w:name="_Toc33196286"/>
      <w:bookmarkStart w:id="751" w:name="_Toc536108548"/>
      <w:bookmarkStart w:id="752" w:name="_Toc536802098"/>
      <w:bookmarkStart w:id="753" w:name="_Toc536108549"/>
      <w:bookmarkStart w:id="754" w:name="_Toc536802099"/>
      <w:bookmarkStart w:id="755" w:name="_Toc536108550"/>
      <w:bookmarkStart w:id="756" w:name="_Toc536802100"/>
      <w:bookmarkStart w:id="757" w:name="_Toc62648841"/>
      <w:bookmarkStart w:id="758" w:name="_Toc30405546"/>
      <w:bookmarkStart w:id="759" w:name="_Toc30581287"/>
      <w:bookmarkStart w:id="760" w:name="_Toc32829949"/>
      <w:bookmarkStart w:id="761" w:name="_Toc32917453"/>
      <w:bookmarkStart w:id="762" w:name="_Toc32918259"/>
      <w:bookmarkStart w:id="763" w:name="_Toc32999642"/>
      <w:bookmarkStart w:id="764" w:name="_Toc33099361"/>
      <w:bookmarkStart w:id="765" w:name="_Toc33195991"/>
      <w:bookmarkStart w:id="766" w:name="_Toc33196293"/>
      <w:bookmarkStart w:id="767" w:name="_Toc30405547"/>
      <w:bookmarkStart w:id="768" w:name="_Toc30581288"/>
      <w:bookmarkStart w:id="769" w:name="_Toc32829950"/>
      <w:bookmarkStart w:id="770" w:name="_Toc32917454"/>
      <w:bookmarkStart w:id="771" w:name="_Toc32918260"/>
      <w:bookmarkStart w:id="772" w:name="_Toc32999643"/>
      <w:bookmarkStart w:id="773" w:name="_Toc33099362"/>
      <w:bookmarkStart w:id="774" w:name="_Toc33195992"/>
      <w:bookmarkStart w:id="775" w:name="_Toc33196294"/>
      <w:bookmarkStart w:id="776" w:name="_Toc30405548"/>
      <w:bookmarkStart w:id="777" w:name="_Toc30581289"/>
      <w:bookmarkStart w:id="778" w:name="_Toc32829951"/>
      <w:bookmarkStart w:id="779" w:name="_Toc32917455"/>
      <w:bookmarkStart w:id="780" w:name="_Toc32918261"/>
      <w:bookmarkStart w:id="781" w:name="_Toc32999644"/>
      <w:bookmarkStart w:id="782" w:name="_Toc33099363"/>
      <w:bookmarkStart w:id="783" w:name="_Toc33195993"/>
      <w:bookmarkStart w:id="784" w:name="_Toc33196295"/>
      <w:bookmarkStart w:id="785" w:name="_Toc32917457"/>
      <w:bookmarkStart w:id="786" w:name="_Toc32918263"/>
      <w:bookmarkStart w:id="787" w:name="_Toc32999646"/>
      <w:bookmarkStart w:id="788" w:name="_Toc33099365"/>
      <w:bookmarkStart w:id="789" w:name="_Toc33195995"/>
      <w:bookmarkStart w:id="790" w:name="_Toc33196297"/>
      <w:bookmarkStart w:id="791" w:name="_Toc32917458"/>
      <w:bookmarkStart w:id="792" w:name="_Toc32918264"/>
      <w:bookmarkStart w:id="793" w:name="_Toc32999647"/>
      <w:bookmarkStart w:id="794" w:name="_Toc33099366"/>
      <w:bookmarkStart w:id="795" w:name="_Toc33195996"/>
      <w:bookmarkStart w:id="796" w:name="_Toc33196298"/>
      <w:bookmarkStart w:id="797" w:name="_Toc32917459"/>
      <w:bookmarkStart w:id="798" w:name="_Toc32918265"/>
      <w:bookmarkStart w:id="799" w:name="_Toc32999648"/>
      <w:bookmarkStart w:id="800" w:name="_Toc33099367"/>
      <w:bookmarkStart w:id="801" w:name="_Toc33195997"/>
      <w:bookmarkStart w:id="802" w:name="_Toc33196299"/>
      <w:bookmarkStart w:id="803" w:name="_Toc534803489"/>
      <w:bookmarkStart w:id="804" w:name="_Toc534814180"/>
      <w:bookmarkStart w:id="805" w:name="_Toc536108553"/>
      <w:bookmarkStart w:id="806" w:name="_Toc536802103"/>
      <w:bookmarkStart w:id="807" w:name="_Toc87979862"/>
      <w:bookmarkStart w:id="808" w:name="_Toc34314210"/>
      <w:bookmarkStart w:id="809" w:name="_Toc34314211"/>
      <w:bookmarkStart w:id="810" w:name="_Toc94870565"/>
      <w:bookmarkStart w:id="811" w:name="_Toc94870705"/>
      <w:bookmarkStart w:id="812" w:name="_Toc94873646"/>
      <w:bookmarkStart w:id="813" w:name="_Toc65165101"/>
      <w:bookmarkStart w:id="814" w:name="_Toc65230604"/>
      <w:bookmarkStart w:id="815" w:name="_Toc411852671"/>
      <w:bookmarkStart w:id="816" w:name="_Toc63347695"/>
      <w:bookmarkStart w:id="817" w:name="_Toc227749013"/>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sidRPr="00DD477A">
        <w:t xml:space="preserve">Portfolio </w:t>
      </w:r>
      <w:r w:rsidR="009374B2" w:rsidRPr="00DD477A">
        <w:t>O</w:t>
      </w:r>
      <w:r w:rsidRPr="00DD477A">
        <w:t xml:space="preserve">verview </w:t>
      </w:r>
      <w:r w:rsidR="00AB7541" w:rsidRPr="00DD477A">
        <w:t>S</w:t>
      </w:r>
      <w:r w:rsidRPr="00DD477A">
        <w:t>ection</w:t>
      </w:r>
      <w:bookmarkEnd w:id="815"/>
      <w:bookmarkEnd w:id="816"/>
      <w:bookmarkEnd w:id="817"/>
    </w:p>
    <w:p w14:paraId="7D812798" w14:textId="6F63458A" w:rsidR="00FA2E80" w:rsidRPr="00DD477A" w:rsidRDefault="53BF0693" w:rsidP="53BF0693">
      <w:pPr>
        <w:rPr>
          <w:rStyle w:val="BodyTextChar"/>
          <w:rFonts w:cs="Calibri"/>
        </w:rPr>
      </w:pPr>
      <w:r w:rsidRPr="00DD477A">
        <w:rPr>
          <w:rStyle w:val="BodyTextChar"/>
          <w:rFonts w:cs="Calibri"/>
        </w:rPr>
        <w:t xml:space="preserve">The </w:t>
      </w:r>
      <w:r w:rsidRPr="00DD477A">
        <w:rPr>
          <w:rStyle w:val="BodyTextChar"/>
          <w:rFonts w:cs="Calibri"/>
          <w:i/>
          <w:iCs/>
        </w:rPr>
        <w:t>Portfolio Overview</w:t>
      </w:r>
      <w:r w:rsidRPr="00DD477A">
        <w:rPr>
          <w:rStyle w:val="BodyTextChar"/>
          <w:rFonts w:cs="Calibri"/>
        </w:rPr>
        <w:t xml:space="preserve"> section of the PB Statements is intended to provide a high</w:t>
      </w:r>
      <w:r w:rsidR="00984700" w:rsidRPr="00DD477A">
        <w:rPr>
          <w:rStyle w:val="BodyTextChar"/>
          <w:rFonts w:cs="Calibri"/>
        </w:rPr>
        <w:noBreakHyphen/>
      </w:r>
      <w:r w:rsidRPr="00DD477A">
        <w:rPr>
          <w:rStyle w:val="BodyTextChar"/>
          <w:rFonts w:cs="Calibri"/>
        </w:rPr>
        <w:t xml:space="preserve">level summary of the portfolio, its </w:t>
      </w:r>
      <w:r w:rsidR="000C18CF" w:rsidRPr="00DD477A">
        <w:rPr>
          <w:rStyle w:val="BodyTextChar"/>
          <w:rFonts w:cs="Calibri"/>
        </w:rPr>
        <w:t xml:space="preserve">minister(s), portfolio entities, goals/objectives, and structure. </w:t>
      </w:r>
      <w:r w:rsidR="00A91A41" w:rsidRPr="00DD477A">
        <w:rPr>
          <w:rStyle w:val="BodyTextChar"/>
          <w:rFonts w:cs="Calibri"/>
        </w:rPr>
        <w:t xml:space="preserve">All </w:t>
      </w:r>
      <w:r w:rsidR="000C18CF" w:rsidRPr="00DD477A">
        <w:rPr>
          <w:rStyle w:val="BodyTextChar"/>
          <w:rFonts w:cs="Calibri"/>
        </w:rPr>
        <w:t>entities within the portfolio are to be included, for example, en</w:t>
      </w:r>
      <w:r w:rsidRPr="00DD477A">
        <w:rPr>
          <w:rStyle w:val="BodyTextChar"/>
          <w:rFonts w:cs="Calibri"/>
        </w:rPr>
        <w:t xml:space="preserve">tities outside of the </w:t>
      </w:r>
      <w:r w:rsidR="00681C3A" w:rsidRPr="00DD477A">
        <w:rPr>
          <w:rStyle w:val="BodyTextChar"/>
          <w:rFonts w:cs="Calibri"/>
        </w:rPr>
        <w:t>GGS</w:t>
      </w:r>
      <w:r w:rsidRPr="00DD477A">
        <w:rPr>
          <w:rStyle w:val="BodyTextChar"/>
          <w:rFonts w:cs="Calibri"/>
        </w:rPr>
        <w:t xml:space="preserve">. Please refer to the most current </w:t>
      </w:r>
      <w:r w:rsidRPr="00DD477A">
        <w:rPr>
          <w:rStyle w:val="BodyTextChar"/>
          <w:rFonts w:cs="Calibri"/>
          <w:i/>
          <w:iCs/>
        </w:rPr>
        <w:t>Public Governance, Performance and Accountability Act (</w:t>
      </w:r>
      <w:r w:rsidRPr="00DD477A">
        <w:rPr>
          <w:rStyle w:val="BodyTextChar"/>
          <w:rFonts w:cs="Calibri"/>
        </w:rPr>
        <w:t>PGPA Act</w:t>
      </w:r>
      <w:r w:rsidRPr="00DD477A">
        <w:rPr>
          <w:rStyle w:val="BodyTextChar"/>
          <w:rFonts w:cs="Calibri"/>
          <w:i/>
          <w:iCs/>
        </w:rPr>
        <w:t xml:space="preserve">) </w:t>
      </w:r>
      <w:hyperlink r:id="rId74" w:history="1">
        <w:r w:rsidRPr="004E3070">
          <w:rPr>
            <w:rStyle w:val="Hyperlink"/>
          </w:rPr>
          <w:t>Flipchart of PGPA Act</w:t>
        </w:r>
        <w:r w:rsidR="00EA6A14" w:rsidRPr="004E3070">
          <w:rPr>
            <w:rStyle w:val="Hyperlink"/>
          </w:rPr>
          <w:t xml:space="preserve"> Commonwealth entities and companies</w:t>
        </w:r>
      </w:hyperlink>
      <w:r w:rsidR="00123B3F" w:rsidRPr="00DD477A">
        <w:rPr>
          <w:rStyle w:val="Hyperlink"/>
          <w:rFonts w:eastAsia="Cambria" w:cs="Calibri"/>
          <w:u w:val="none"/>
        </w:rPr>
        <w:t>.</w:t>
      </w:r>
    </w:p>
    <w:p w14:paraId="5ED8F677" w14:textId="06091342" w:rsidR="002808B0" w:rsidRPr="00DD477A" w:rsidRDefault="00CB613D" w:rsidP="53BF0693">
      <w:pPr>
        <w:rPr>
          <w:rStyle w:val="BodyTextChar"/>
          <w:rFonts w:cs="Calibri"/>
        </w:rPr>
      </w:pPr>
      <w:r w:rsidRPr="00DD477A">
        <w:rPr>
          <w:rStyle w:val="BodyTextChar"/>
          <w:rFonts w:cs="Calibri"/>
        </w:rPr>
        <w:t>I</w:t>
      </w:r>
      <w:r w:rsidR="53BF0693" w:rsidRPr="00DD477A">
        <w:rPr>
          <w:rStyle w:val="BodyTextChar"/>
          <w:rFonts w:cs="Calibri"/>
        </w:rPr>
        <w:t>nclud</w:t>
      </w:r>
      <w:r w:rsidRPr="00DD477A">
        <w:rPr>
          <w:rStyle w:val="BodyTextChar"/>
          <w:rFonts w:cs="Calibri"/>
        </w:rPr>
        <w:t>ing</w:t>
      </w:r>
      <w:r w:rsidR="53BF0693" w:rsidRPr="00DD477A">
        <w:rPr>
          <w:rStyle w:val="BodyTextChar"/>
          <w:rFonts w:cs="Calibri"/>
        </w:rPr>
        <w:t xml:space="preserve"> information that is relevant from a </w:t>
      </w:r>
      <w:r w:rsidR="00121217" w:rsidRPr="00DD477A">
        <w:rPr>
          <w:rStyle w:val="BodyTextChar"/>
          <w:rFonts w:cs="Calibri"/>
        </w:rPr>
        <w:t xml:space="preserve">whole of </w:t>
      </w:r>
      <w:r w:rsidR="53BF0693" w:rsidRPr="00DD477A">
        <w:rPr>
          <w:rStyle w:val="BodyTextChar"/>
          <w:rFonts w:cs="Calibri"/>
        </w:rPr>
        <w:t>portfolio perspective should minimise duplication of entity-specific information presented in later sections.</w:t>
      </w:r>
    </w:p>
    <w:p w14:paraId="447423FF" w14:textId="40B3D0EC" w:rsidR="00767AB3" w:rsidRPr="00DD477A" w:rsidRDefault="53BF0693" w:rsidP="53BF0693">
      <w:pPr>
        <w:rPr>
          <w:rStyle w:val="BodyTextChar"/>
          <w:rFonts w:cs="Calibri"/>
        </w:rPr>
      </w:pPr>
      <w:r w:rsidRPr="00DD477A">
        <w:rPr>
          <w:rStyle w:val="BodyTextChar"/>
          <w:rFonts w:cs="Calibri"/>
        </w:rPr>
        <w:t>Information at a department or entity level should be included only where it contributes to a broader understanding of portfolio</w:t>
      </w:r>
      <w:r w:rsidR="00CE6B32" w:rsidRPr="00DD477A">
        <w:rPr>
          <w:rStyle w:val="BodyTextChar"/>
          <w:rFonts w:cs="Calibri"/>
        </w:rPr>
        <w:t>’s</w:t>
      </w:r>
      <w:r w:rsidRPr="00DD477A">
        <w:rPr>
          <w:rStyle w:val="BodyTextChar"/>
          <w:rFonts w:cs="Calibri"/>
        </w:rPr>
        <w:t xml:space="preserve"> goals and responsibilities.</w:t>
      </w:r>
    </w:p>
    <w:p w14:paraId="3695D5A3" w14:textId="523A6F5D" w:rsidR="00FA0945" w:rsidRPr="00DD477A" w:rsidRDefault="6B6EE5C4" w:rsidP="6B6EE5C4">
      <w:pPr>
        <w:spacing w:before="80"/>
        <w:rPr>
          <w:rStyle w:val="BodyTextChar"/>
          <w:rFonts w:cs="Calibri"/>
        </w:rPr>
      </w:pPr>
      <w:r w:rsidRPr="00DD477A">
        <w:rPr>
          <w:rStyle w:val="BodyTextChar"/>
          <w:rFonts w:cs="Calibri"/>
        </w:rPr>
        <w:t xml:space="preserve">Components of </w:t>
      </w:r>
      <w:r w:rsidR="00B55CF6" w:rsidRPr="00DD477A">
        <w:rPr>
          <w:rStyle w:val="BodyTextChar"/>
          <w:rFonts w:cs="Calibri"/>
        </w:rPr>
        <w:t xml:space="preserve">the </w:t>
      </w:r>
      <w:r w:rsidR="00396887" w:rsidRPr="00DD477A">
        <w:rPr>
          <w:rStyle w:val="BodyTextChar"/>
          <w:rFonts w:cs="Calibri"/>
        </w:rPr>
        <w:t>portfolio</w:t>
      </w:r>
      <w:r w:rsidRPr="00DD477A">
        <w:rPr>
          <w:rStyle w:val="BodyTextChar"/>
          <w:rFonts w:cs="Calibri"/>
        </w:rPr>
        <w:t xml:space="preserve"> overview</w:t>
      </w:r>
      <w:r w:rsidR="00B55CF6" w:rsidRPr="00DD477A">
        <w:rPr>
          <w:rStyle w:val="BodyTextChar"/>
          <w:rFonts w:cs="Calibri"/>
        </w:rPr>
        <w:t xml:space="preserve"> include</w:t>
      </w:r>
      <w:r w:rsidRPr="00DD477A">
        <w:rPr>
          <w:rStyle w:val="BodyTextChar"/>
          <w:rFonts w:cs="Calibri"/>
        </w:rPr>
        <w:t>:</w:t>
      </w:r>
    </w:p>
    <w:p w14:paraId="2D31AC8D" w14:textId="40389BAA" w:rsidR="00FA0945" w:rsidRPr="00DD477A" w:rsidRDefault="000C18CF" w:rsidP="00B54999">
      <w:pPr>
        <w:pStyle w:val="Bullet1"/>
        <w:rPr>
          <w:rStyle w:val="BodyTextChar"/>
          <w:rFonts w:cs="Calibri"/>
        </w:rPr>
      </w:pPr>
      <w:r w:rsidRPr="00DD477A">
        <w:rPr>
          <w:rStyle w:val="BodyTextChar"/>
          <w:rFonts w:cs="Calibri"/>
        </w:rPr>
        <w:t>minister(s) and por</w:t>
      </w:r>
      <w:r w:rsidR="6B6EE5C4" w:rsidRPr="00DD477A">
        <w:rPr>
          <w:rStyle w:val="BodyTextChar"/>
          <w:rFonts w:cs="Calibri"/>
        </w:rPr>
        <w:t xml:space="preserve">tfolio responsibilities – text description of portfolio of around two pages </w:t>
      </w:r>
    </w:p>
    <w:p w14:paraId="65B56AFF" w14:textId="5035420D" w:rsidR="00FA0945" w:rsidRPr="00DD477A" w:rsidRDefault="53BF0693" w:rsidP="00B54999">
      <w:pPr>
        <w:pStyle w:val="Bullet1"/>
        <w:rPr>
          <w:rStyle w:val="BodyTextChar"/>
          <w:rFonts w:cs="Calibri"/>
        </w:rPr>
      </w:pPr>
      <w:r w:rsidRPr="00DD477A">
        <w:rPr>
          <w:rStyle w:val="BodyTextChar"/>
          <w:rFonts w:cs="Calibri"/>
        </w:rPr>
        <w:t xml:space="preserve">portfolio structure and outcomes </w:t>
      </w:r>
      <w:r w:rsidR="00711305" w:rsidRPr="00DD477A">
        <w:rPr>
          <w:rStyle w:val="BodyTextChar"/>
          <w:rFonts w:cs="Calibri"/>
        </w:rPr>
        <w:t>and</w:t>
      </w:r>
    </w:p>
    <w:p w14:paraId="7BD6A74D" w14:textId="77777777" w:rsidR="00FA0945" w:rsidRPr="00DD477A" w:rsidRDefault="53BF0693" w:rsidP="00B54999">
      <w:pPr>
        <w:pStyle w:val="Bullet1"/>
        <w:rPr>
          <w:rStyle w:val="BodyTextChar"/>
          <w:rFonts w:cs="Calibri"/>
        </w:rPr>
      </w:pPr>
      <w:r w:rsidRPr="00DD477A">
        <w:rPr>
          <w:rStyle w:val="BodyTextChar"/>
          <w:rFonts w:cs="Calibri"/>
        </w:rPr>
        <w:t>Figure 1: Portfolio structure and outcomes.</w:t>
      </w:r>
    </w:p>
    <w:p w14:paraId="1A04C60C" w14:textId="3F833CCC" w:rsidR="00D87546" w:rsidRPr="00DD477A" w:rsidRDefault="00D87546" w:rsidP="00B54999">
      <w:pPr>
        <w:pStyle w:val="Bullet1"/>
        <w:numPr>
          <w:ilvl w:val="0"/>
          <w:numId w:val="0"/>
        </w:numPr>
        <w:rPr>
          <w:rStyle w:val="BodyTextChar"/>
          <w:rFonts w:cs="Calibri"/>
        </w:rPr>
      </w:pPr>
      <w:r w:rsidRPr="00DD477A">
        <w:rPr>
          <w:rStyle w:val="BodyTextChar"/>
          <w:rFonts w:cs="Calibri"/>
        </w:rPr>
        <w:t xml:space="preserve">Where entities within the portfolio are subject to Machinery of Government (MoG) changes, these changes can be described in the Portfolio Overview section. </w:t>
      </w:r>
    </w:p>
    <w:p w14:paraId="74DD4009" w14:textId="3FC267B2" w:rsidR="00FA0945" w:rsidRPr="00DD477A" w:rsidRDefault="53BF0693" w:rsidP="003D6589">
      <w:pPr>
        <w:pStyle w:val="Heading2"/>
        <w:rPr>
          <w:spacing w:val="-6"/>
        </w:rPr>
      </w:pPr>
      <w:bookmarkStart w:id="818" w:name="_Toc411852672"/>
      <w:bookmarkStart w:id="819" w:name="_Toc63347696"/>
      <w:bookmarkStart w:id="820" w:name="_Toc227749014"/>
      <w:r w:rsidRPr="00DD477A">
        <w:t>Minister(s) and portfolio responsibilities</w:t>
      </w:r>
      <w:bookmarkEnd w:id="818"/>
      <w:bookmarkEnd w:id="819"/>
      <w:bookmarkEnd w:id="820"/>
    </w:p>
    <w:p w14:paraId="66EE9E44" w14:textId="7DFC95B1" w:rsidR="002D6E6F" w:rsidRPr="00DD477A" w:rsidRDefault="53BF0693" w:rsidP="53BF0693">
      <w:pPr>
        <w:rPr>
          <w:rStyle w:val="BodyTextChar"/>
          <w:rFonts w:cs="Calibri"/>
        </w:rPr>
      </w:pPr>
      <w:r w:rsidRPr="00DD477A">
        <w:rPr>
          <w:rStyle w:val="BodyTextChar"/>
          <w:rFonts w:cs="Calibri"/>
        </w:rPr>
        <w:t>The</w:t>
      </w:r>
      <w:r w:rsidR="000C18CF" w:rsidRPr="00DD477A">
        <w:rPr>
          <w:rStyle w:val="BodyTextChar"/>
          <w:rFonts w:cs="Calibri"/>
        </w:rPr>
        <w:t xml:space="preserve"> </w:t>
      </w:r>
      <w:r w:rsidR="0090797F" w:rsidRPr="00DD477A">
        <w:rPr>
          <w:rStyle w:val="BodyTextChar"/>
          <w:rFonts w:cs="Calibri"/>
          <w:i/>
          <w:iCs/>
        </w:rPr>
        <w:t>M</w:t>
      </w:r>
      <w:r w:rsidR="000C18CF" w:rsidRPr="00DD477A">
        <w:rPr>
          <w:rStyle w:val="BodyTextChar"/>
          <w:rFonts w:cs="Calibri"/>
          <w:i/>
          <w:iCs/>
        </w:rPr>
        <w:t>inister(s) and portfolio responsibilities</w:t>
      </w:r>
      <w:r w:rsidR="000C18CF" w:rsidRPr="00DD477A">
        <w:rPr>
          <w:rStyle w:val="BodyTextChar"/>
          <w:rFonts w:cs="Calibri"/>
        </w:rPr>
        <w:t xml:space="preserve"> section should provide a description of the </w:t>
      </w:r>
      <w:r w:rsidR="00A91A41" w:rsidRPr="00DD477A">
        <w:rPr>
          <w:rStyle w:val="BodyTextChar"/>
          <w:rFonts w:cs="Calibri"/>
        </w:rPr>
        <w:t>P</w:t>
      </w:r>
      <w:r w:rsidR="00CE6B32" w:rsidRPr="00DD477A">
        <w:rPr>
          <w:rStyle w:val="BodyTextChar"/>
          <w:rFonts w:cs="Calibri"/>
        </w:rPr>
        <w:t>ortfolio </w:t>
      </w:r>
      <w:r w:rsidR="00A91A41" w:rsidRPr="00DD477A">
        <w:rPr>
          <w:rStyle w:val="BodyTextChar"/>
          <w:rFonts w:cs="Calibri"/>
        </w:rPr>
        <w:t>Minister</w:t>
      </w:r>
      <w:r w:rsidR="000C18CF" w:rsidRPr="00DD477A">
        <w:rPr>
          <w:rStyle w:val="BodyTextChar"/>
          <w:rFonts w:cs="Calibri"/>
        </w:rPr>
        <w:t>(s)</w:t>
      </w:r>
      <w:r w:rsidR="00150D9C" w:rsidRPr="00DD477A">
        <w:rPr>
          <w:rStyle w:val="BodyTextChar"/>
          <w:rFonts w:cs="Calibri"/>
        </w:rPr>
        <w:t xml:space="preserve"> and </w:t>
      </w:r>
      <w:r w:rsidRPr="00DD477A">
        <w:rPr>
          <w:rStyle w:val="BodyTextChar"/>
          <w:rFonts w:cs="Calibri"/>
        </w:rPr>
        <w:t>the structure of the portfolio</w:t>
      </w:r>
      <w:r w:rsidR="00640B3F" w:rsidRPr="00DD477A">
        <w:rPr>
          <w:rStyle w:val="BodyTextChar"/>
          <w:rFonts w:cs="Calibri"/>
        </w:rPr>
        <w:t xml:space="preserve"> and</w:t>
      </w:r>
      <w:r w:rsidR="00766C6D" w:rsidRPr="00DD477A">
        <w:rPr>
          <w:rStyle w:val="BodyTextChar"/>
          <w:rFonts w:cs="Calibri"/>
        </w:rPr>
        <w:t xml:space="preserve"> </w:t>
      </w:r>
      <w:r w:rsidR="00B90B9F" w:rsidRPr="00DD477A">
        <w:rPr>
          <w:rStyle w:val="BodyTextChar"/>
          <w:rFonts w:cs="Calibri"/>
        </w:rPr>
        <w:t xml:space="preserve">portfolio </w:t>
      </w:r>
      <w:r w:rsidRPr="00DD477A">
        <w:rPr>
          <w:rStyle w:val="BodyTextChar"/>
          <w:rFonts w:cs="Calibri"/>
        </w:rPr>
        <w:t>objectives at a strategic level. Specifics of portfolio entities should be left to the relevant entity’s section.</w:t>
      </w:r>
    </w:p>
    <w:p w14:paraId="2FA3CF4C" w14:textId="6663B335" w:rsidR="007A35B6" w:rsidRPr="00DD477A" w:rsidRDefault="007E7170" w:rsidP="53BF0693">
      <w:pPr>
        <w:rPr>
          <w:rStyle w:val="BodyTextChar"/>
          <w:rFonts w:cs="Calibri"/>
        </w:rPr>
      </w:pPr>
      <w:r w:rsidRPr="00DD477A">
        <w:rPr>
          <w:rStyle w:val="BodyTextChar"/>
          <w:rFonts w:cs="Calibri"/>
        </w:rPr>
        <w:t xml:space="preserve">This section </w:t>
      </w:r>
      <w:r w:rsidR="53BF0693" w:rsidRPr="00DD477A">
        <w:rPr>
          <w:rStyle w:val="BodyTextChar"/>
          <w:rFonts w:cs="Calibri"/>
        </w:rPr>
        <w:t xml:space="preserve">should include a brief discussion of </w:t>
      </w:r>
      <w:r w:rsidR="00B8003B" w:rsidRPr="00DD477A">
        <w:rPr>
          <w:rStyle w:val="BodyTextChar"/>
          <w:rFonts w:cs="Calibri"/>
        </w:rPr>
        <w:t xml:space="preserve">key policies </w:t>
      </w:r>
      <w:r w:rsidR="008F3029" w:rsidRPr="00DD477A">
        <w:rPr>
          <w:rStyle w:val="BodyTextChar"/>
          <w:rFonts w:cs="Calibri"/>
        </w:rPr>
        <w:t>and shared</w:t>
      </w:r>
      <w:r w:rsidR="53BF0693" w:rsidRPr="00DD477A">
        <w:rPr>
          <w:rStyle w:val="BodyTextChar"/>
          <w:rFonts w:cs="Calibri"/>
        </w:rPr>
        <w:t xml:space="preserve"> </w:t>
      </w:r>
      <w:r w:rsidR="00C14C83" w:rsidRPr="00DD477A">
        <w:rPr>
          <w:rStyle w:val="BodyTextChar"/>
          <w:rFonts w:cs="Calibri"/>
        </w:rPr>
        <w:t>purposes</w:t>
      </w:r>
      <w:r w:rsidR="53BF0693" w:rsidRPr="00DD477A">
        <w:rPr>
          <w:rStyle w:val="BodyTextChar"/>
          <w:rFonts w:cs="Calibri"/>
        </w:rPr>
        <w:t xml:space="preserve"> across the portfolio outcomes. For example, the broad impacts and/or trends of health policy on the Australian </w:t>
      </w:r>
      <w:r w:rsidR="00E25144" w:rsidRPr="00DD477A">
        <w:rPr>
          <w:rStyle w:val="BodyTextChar"/>
          <w:rFonts w:cs="Calibri"/>
        </w:rPr>
        <w:t>c</w:t>
      </w:r>
      <w:r w:rsidR="53BF0693" w:rsidRPr="00DD477A">
        <w:rPr>
          <w:rStyle w:val="BodyTextChar"/>
          <w:rFonts w:cs="Calibri"/>
        </w:rPr>
        <w:t>ommunity (Health</w:t>
      </w:r>
      <w:r w:rsidR="00AD2401">
        <w:rPr>
          <w:rStyle w:val="BodyTextChar"/>
          <w:rFonts w:cs="Calibri"/>
        </w:rPr>
        <w:t>, Disability</w:t>
      </w:r>
      <w:r w:rsidR="0068424D" w:rsidRPr="00DD477A">
        <w:rPr>
          <w:rStyle w:val="BodyTextChar"/>
          <w:rFonts w:cs="Calibri"/>
        </w:rPr>
        <w:t xml:space="preserve"> and Age</w:t>
      </w:r>
      <w:r w:rsidR="00740D89">
        <w:rPr>
          <w:rStyle w:val="BodyTextChar"/>
          <w:rFonts w:cs="Calibri"/>
        </w:rPr>
        <w:t>ing</w:t>
      </w:r>
      <w:r w:rsidR="53BF0693" w:rsidRPr="00DD477A">
        <w:rPr>
          <w:rStyle w:val="BodyTextChar"/>
          <w:rFonts w:cs="Calibri"/>
        </w:rPr>
        <w:t xml:space="preserve"> </w:t>
      </w:r>
      <w:r w:rsidR="00CE6B32" w:rsidRPr="00DD477A">
        <w:rPr>
          <w:rStyle w:val="BodyTextChar"/>
          <w:rFonts w:cs="Calibri"/>
        </w:rPr>
        <w:t>P</w:t>
      </w:r>
      <w:r w:rsidR="53BF0693" w:rsidRPr="00DD477A">
        <w:rPr>
          <w:rStyle w:val="BodyTextChar"/>
          <w:rFonts w:cs="Calibri"/>
        </w:rPr>
        <w:t xml:space="preserve">ortfolio), or improvements in Indigenous </w:t>
      </w:r>
      <w:r w:rsidR="00715EF2" w:rsidRPr="00DD477A">
        <w:rPr>
          <w:rStyle w:val="BodyTextChar"/>
          <w:rFonts w:cs="Calibri"/>
        </w:rPr>
        <w:t>a</w:t>
      </w:r>
      <w:r w:rsidR="53BF0693" w:rsidRPr="00DD477A">
        <w:rPr>
          <w:rStyle w:val="BodyTextChar"/>
          <w:rFonts w:cs="Calibri"/>
        </w:rPr>
        <w:t>ffairs (</w:t>
      </w:r>
      <w:r w:rsidR="00715EF2" w:rsidRPr="00DD477A">
        <w:rPr>
          <w:rStyle w:val="BodyTextChar"/>
          <w:rFonts w:cs="Calibri"/>
        </w:rPr>
        <w:t xml:space="preserve">the </w:t>
      </w:r>
      <w:r w:rsidR="53BF0693" w:rsidRPr="00DD477A">
        <w:rPr>
          <w:rStyle w:val="BodyTextChar"/>
          <w:rFonts w:cs="Calibri"/>
        </w:rPr>
        <w:t xml:space="preserve">Prime Minister and Cabinet </w:t>
      </w:r>
      <w:r w:rsidR="00CE6B32" w:rsidRPr="00DD477A">
        <w:rPr>
          <w:rStyle w:val="BodyTextChar"/>
          <w:rFonts w:cs="Calibri"/>
        </w:rPr>
        <w:t>P</w:t>
      </w:r>
      <w:r w:rsidR="53BF0693" w:rsidRPr="00DD477A">
        <w:rPr>
          <w:rStyle w:val="BodyTextChar"/>
          <w:rFonts w:cs="Calibri"/>
        </w:rPr>
        <w:t xml:space="preserve">ortfolio). </w:t>
      </w:r>
    </w:p>
    <w:p w14:paraId="6B3A806D" w14:textId="7499C145" w:rsidR="00FA0945" w:rsidRPr="00DD477A" w:rsidRDefault="00745FE8" w:rsidP="53BF0693">
      <w:pPr>
        <w:rPr>
          <w:rStyle w:val="BodyTextChar"/>
          <w:rFonts w:cs="Calibri"/>
        </w:rPr>
      </w:pPr>
      <w:r w:rsidRPr="00DD477A">
        <w:rPr>
          <w:rStyle w:val="BodyTextChar"/>
          <w:rFonts w:cs="Calibri"/>
        </w:rPr>
        <w:t xml:space="preserve">When preparing this narrative </w:t>
      </w:r>
      <w:r w:rsidR="53BF0693" w:rsidRPr="00DD477A">
        <w:rPr>
          <w:rStyle w:val="BodyTextChar"/>
          <w:rFonts w:cs="Calibri"/>
        </w:rPr>
        <w:t xml:space="preserve">Portfolios should also </w:t>
      </w:r>
      <w:r w:rsidR="00C14C83" w:rsidRPr="00DD477A">
        <w:rPr>
          <w:rStyle w:val="BodyTextChar"/>
          <w:rFonts w:cs="Calibri"/>
        </w:rPr>
        <w:t>consider</w:t>
      </w:r>
      <w:r w:rsidR="53BF0693" w:rsidRPr="00DD477A">
        <w:rPr>
          <w:rStyle w:val="BodyTextChar"/>
          <w:rFonts w:cs="Calibri"/>
        </w:rPr>
        <w:t xml:space="preserve"> the following:</w:t>
      </w:r>
    </w:p>
    <w:p w14:paraId="3E5DBAC0" w14:textId="77777777" w:rsidR="00FA0945" w:rsidRPr="00DD477A" w:rsidRDefault="53BF0693" w:rsidP="00B54999">
      <w:pPr>
        <w:pStyle w:val="Bullet1"/>
        <w:rPr>
          <w:rStyle w:val="BodyTextChar"/>
          <w:rFonts w:cs="Calibri"/>
        </w:rPr>
      </w:pPr>
      <w:r w:rsidRPr="00DD477A">
        <w:rPr>
          <w:rStyle w:val="BodyTextChar"/>
          <w:rFonts w:cs="Calibri"/>
        </w:rPr>
        <w:t>major new government policy or legislation affecting the portfolio and the intended results and impacts</w:t>
      </w:r>
    </w:p>
    <w:p w14:paraId="2CD239FC" w14:textId="39468D27" w:rsidR="00FA0945" w:rsidRPr="00DD477A" w:rsidRDefault="53BF0693" w:rsidP="00B54999">
      <w:pPr>
        <w:pStyle w:val="Bullet1"/>
        <w:rPr>
          <w:rStyle w:val="BodyTextChar"/>
          <w:rFonts w:cs="Calibri"/>
        </w:rPr>
      </w:pPr>
      <w:r w:rsidRPr="00DD477A">
        <w:rPr>
          <w:rStyle w:val="BodyTextChar"/>
          <w:rFonts w:cs="Calibri"/>
        </w:rPr>
        <w:t xml:space="preserve">the </w:t>
      </w:r>
      <w:r w:rsidR="00396887" w:rsidRPr="00DD477A">
        <w:rPr>
          <w:rStyle w:val="BodyTextChar"/>
          <w:rFonts w:cs="Calibri"/>
        </w:rPr>
        <w:t>portfolio department</w:t>
      </w:r>
      <w:r w:rsidRPr="00DD477A">
        <w:rPr>
          <w:rStyle w:val="BodyTextChar"/>
          <w:rFonts w:cs="Calibri"/>
        </w:rPr>
        <w:t>’s purpose</w:t>
      </w:r>
      <w:r w:rsidR="005763DD">
        <w:rPr>
          <w:rStyle w:val="BodyTextChar"/>
          <w:rFonts w:cs="Calibri"/>
        </w:rPr>
        <w:t>s</w:t>
      </w:r>
      <w:r w:rsidR="002E0E5C" w:rsidRPr="00DD477A">
        <w:rPr>
          <w:rStyle w:val="BodyTextChar"/>
          <w:rFonts w:cs="Calibri"/>
        </w:rPr>
        <w:t xml:space="preserve"> and</w:t>
      </w:r>
    </w:p>
    <w:p w14:paraId="66F14B2F" w14:textId="3DD0C41F" w:rsidR="00FA0945" w:rsidRPr="00DD477A" w:rsidRDefault="53BF0693" w:rsidP="00B54999">
      <w:pPr>
        <w:pStyle w:val="Bullet1"/>
        <w:rPr>
          <w:rStyle w:val="BodyTextChar"/>
          <w:rFonts w:cs="Calibri"/>
        </w:rPr>
      </w:pPr>
      <w:r w:rsidRPr="00DD477A">
        <w:rPr>
          <w:rStyle w:val="BodyTextChar"/>
          <w:rFonts w:cs="Calibri"/>
        </w:rPr>
        <w:t xml:space="preserve">ministerial statements by </w:t>
      </w:r>
      <w:r w:rsidR="00A91A41" w:rsidRPr="00DD477A">
        <w:rPr>
          <w:rStyle w:val="BodyTextChar"/>
          <w:rFonts w:cs="Calibri"/>
        </w:rPr>
        <w:t>Portfolio Ministers</w:t>
      </w:r>
      <w:r w:rsidR="000C18CF" w:rsidRPr="00DD477A">
        <w:rPr>
          <w:rStyle w:val="BodyTextChar"/>
          <w:rFonts w:cs="Calibri"/>
        </w:rPr>
        <w:t>.</w:t>
      </w:r>
    </w:p>
    <w:p w14:paraId="51DE4242" w14:textId="6F17EE09" w:rsidR="00FA0945" w:rsidRPr="00DD477A" w:rsidRDefault="53BF0693" w:rsidP="003D6589">
      <w:pPr>
        <w:pStyle w:val="Heading2"/>
        <w:rPr>
          <w:spacing w:val="-6"/>
        </w:rPr>
      </w:pPr>
      <w:bookmarkStart w:id="821" w:name="_Toc411852673"/>
      <w:bookmarkStart w:id="822" w:name="_Toc63347697"/>
      <w:bookmarkStart w:id="823" w:name="_Toc227749015"/>
      <w:r w:rsidRPr="00DD477A">
        <w:t>Portfolio structure and outcomes</w:t>
      </w:r>
      <w:bookmarkEnd w:id="821"/>
      <w:bookmarkEnd w:id="822"/>
      <w:bookmarkEnd w:id="823"/>
    </w:p>
    <w:p w14:paraId="395FD65F" w14:textId="0098C71D" w:rsidR="008E452D" w:rsidRPr="00DD477A" w:rsidRDefault="008E452D" w:rsidP="53BF0693">
      <w:pPr>
        <w:rPr>
          <w:rStyle w:val="BodyTextChar"/>
          <w:rFonts w:cs="Calibri"/>
        </w:rPr>
      </w:pPr>
      <w:r w:rsidRPr="00DD477A">
        <w:rPr>
          <w:rFonts w:eastAsia="Cambria" w:cs="Calibri"/>
          <w:noProof/>
        </w:rPr>
        <w:drawing>
          <wp:inline distT="0" distB="0" distL="0" distR="0" wp14:anchorId="272C09B7" wp14:editId="12404980">
            <wp:extent cx="5835650" cy="1036708"/>
            <wp:effectExtent l="0" t="0" r="0" b="0"/>
            <wp:docPr id="51810622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70BE0751" w14:textId="620C747F" w:rsidR="00577C1F" w:rsidRPr="00DD477A" w:rsidRDefault="53BF0693" w:rsidP="53BF0693">
      <w:pPr>
        <w:rPr>
          <w:rStyle w:val="BodyTextChar"/>
          <w:rFonts w:cs="Calibri"/>
        </w:rPr>
      </w:pPr>
      <w:r w:rsidRPr="00DD477A">
        <w:rPr>
          <w:rStyle w:val="BodyTextChar"/>
          <w:rFonts w:cs="Calibri"/>
        </w:rPr>
        <w:t>This figure is a graphical representation of the portfolio structure and the responsible</w:t>
      </w:r>
      <w:r w:rsidR="000C18CF" w:rsidRPr="00DD477A">
        <w:rPr>
          <w:rStyle w:val="BodyTextChar"/>
          <w:rFonts w:cs="Calibri"/>
        </w:rPr>
        <w:t xml:space="preserve"> ministers. </w:t>
      </w:r>
      <w:r w:rsidR="00DF1500" w:rsidRPr="00DD477A">
        <w:rPr>
          <w:rStyle w:val="BodyTextChar"/>
          <w:rFonts w:cs="Calibri"/>
        </w:rPr>
        <w:t>I</w:t>
      </w:r>
      <w:r w:rsidR="000C18CF" w:rsidRPr="00DD477A">
        <w:rPr>
          <w:rStyle w:val="BodyTextChar"/>
          <w:rFonts w:cs="Calibri"/>
        </w:rPr>
        <w:t xml:space="preserve">t should clearly </w:t>
      </w:r>
      <w:r w:rsidR="007F466D" w:rsidRPr="00DD477A">
        <w:rPr>
          <w:rStyle w:val="BodyTextChar"/>
          <w:rFonts w:cs="Calibri"/>
        </w:rPr>
        <w:t xml:space="preserve">state </w:t>
      </w:r>
      <w:r w:rsidR="000C18CF" w:rsidRPr="00DD477A">
        <w:rPr>
          <w:rStyle w:val="BodyTextChar"/>
          <w:rFonts w:cs="Calibri"/>
        </w:rPr>
        <w:t>the names and titles of the ministers, the portfolio department(s) a</w:t>
      </w:r>
      <w:r w:rsidRPr="00DD477A">
        <w:rPr>
          <w:rStyle w:val="BodyTextChar"/>
          <w:rFonts w:cs="Calibri"/>
        </w:rPr>
        <w:t>nd the Secretary.</w:t>
      </w:r>
    </w:p>
    <w:p w14:paraId="452BA14A" w14:textId="0BE1EF4F" w:rsidR="00FA0945" w:rsidRPr="00DD477A" w:rsidRDefault="00993CA2" w:rsidP="6B6EE5C4">
      <w:pPr>
        <w:rPr>
          <w:rStyle w:val="BodyTextChar"/>
          <w:rFonts w:cs="Calibri"/>
        </w:rPr>
      </w:pPr>
      <w:r w:rsidRPr="00DD477A">
        <w:rPr>
          <w:rStyle w:val="BodyTextChar"/>
          <w:rFonts w:cs="Calibri"/>
        </w:rPr>
        <w:t>The figure must include</w:t>
      </w:r>
      <w:r w:rsidR="00FA0945" w:rsidRPr="00DD477A">
        <w:rPr>
          <w:rStyle w:val="BodyTextChar"/>
          <w:rFonts w:cs="Calibri"/>
        </w:rPr>
        <w:t xml:space="preserve"> the other portfolio entities and their </w:t>
      </w:r>
      <w:r w:rsidR="006959D0" w:rsidRPr="00DD477A">
        <w:rPr>
          <w:rStyle w:val="BodyTextChar"/>
          <w:rFonts w:cs="Calibri"/>
        </w:rPr>
        <w:t>accountable authorities</w:t>
      </w:r>
      <w:r w:rsidR="00FA0945" w:rsidRPr="00DD477A">
        <w:rPr>
          <w:rStyle w:val="BodyTextChar"/>
          <w:rFonts w:cs="Calibri"/>
        </w:rPr>
        <w:t xml:space="preserve">, </w:t>
      </w:r>
      <w:r w:rsidRPr="00DD477A">
        <w:rPr>
          <w:rStyle w:val="BodyTextChar"/>
          <w:rFonts w:cs="Calibri"/>
        </w:rPr>
        <w:t xml:space="preserve">principal bodies in the portfolio as </w:t>
      </w:r>
      <w:r w:rsidR="00EE530E" w:rsidRPr="00DD477A">
        <w:rPr>
          <w:rStyle w:val="BodyTextChar"/>
          <w:rFonts w:cs="Calibri"/>
        </w:rPr>
        <w:t>outlined</w:t>
      </w:r>
      <w:r w:rsidR="006959D0" w:rsidRPr="00DD477A">
        <w:rPr>
          <w:rStyle w:val="BodyTextChar"/>
          <w:rFonts w:cs="Calibri"/>
        </w:rPr>
        <w:t xml:space="preserve"> </w:t>
      </w:r>
      <w:r w:rsidR="00EE530E" w:rsidRPr="00DD477A">
        <w:rPr>
          <w:rStyle w:val="BodyTextChar"/>
          <w:rFonts w:cs="Calibri"/>
        </w:rPr>
        <w:t>in t</w:t>
      </w:r>
      <w:r w:rsidR="000E0572" w:rsidRPr="00DD477A">
        <w:rPr>
          <w:rStyle w:val="BodyTextChar"/>
          <w:rFonts w:cs="Calibri"/>
        </w:rPr>
        <w:t xml:space="preserve">he </w:t>
      </w:r>
      <w:hyperlink r:id="rId80" w:history="1">
        <w:r w:rsidR="006959D0" w:rsidRPr="00DD477A">
          <w:rPr>
            <w:rStyle w:val="Hyperlink"/>
          </w:rPr>
          <w:t>PGPA flipchart</w:t>
        </w:r>
      </w:hyperlink>
      <w:r w:rsidR="000E0572" w:rsidRPr="00DD477A">
        <w:rPr>
          <w:rStyle w:val="BodyTextChar"/>
          <w:rFonts w:cs="Calibri"/>
        </w:rPr>
        <w:t xml:space="preserve"> and a</w:t>
      </w:r>
      <w:r w:rsidR="00FA0945" w:rsidRPr="00DD477A">
        <w:rPr>
          <w:rStyle w:val="BodyTextChar"/>
          <w:rFonts w:cs="Calibri"/>
        </w:rPr>
        <w:t>ll portfolio entities covered by the PGPA</w:t>
      </w:r>
      <w:r w:rsidR="00761FCC" w:rsidRPr="00DD477A">
        <w:rPr>
          <w:rStyle w:val="BodyTextChar"/>
          <w:rFonts w:cs="Calibri"/>
        </w:rPr>
        <w:t xml:space="preserve"> Act</w:t>
      </w:r>
      <w:r w:rsidR="00D16CA8" w:rsidRPr="00DD477A">
        <w:rPr>
          <w:rStyle w:val="BodyTextChar"/>
          <w:rFonts w:cs="Calibri"/>
        </w:rPr>
        <w:t xml:space="preserve">. Entities such as </w:t>
      </w:r>
      <w:r w:rsidR="00027573" w:rsidRPr="00DD477A">
        <w:rPr>
          <w:rStyle w:val="BodyTextChar"/>
          <w:rFonts w:cs="Calibri"/>
          <w:i/>
          <w:iCs/>
        </w:rPr>
        <w:t>Public </w:t>
      </w:r>
      <w:r w:rsidR="00AE025F" w:rsidRPr="00DD477A">
        <w:rPr>
          <w:rStyle w:val="BodyTextChar"/>
          <w:rFonts w:cs="Calibri"/>
          <w:i/>
          <w:iCs/>
        </w:rPr>
        <w:t>F</w:t>
      </w:r>
      <w:r w:rsidR="000E0572" w:rsidRPr="00DD477A">
        <w:rPr>
          <w:rStyle w:val="BodyTextChar"/>
          <w:rFonts w:cs="Calibri"/>
          <w:i/>
          <w:iCs/>
        </w:rPr>
        <w:t xml:space="preserve">inancial </w:t>
      </w:r>
      <w:r w:rsidR="00AE025F" w:rsidRPr="00DD477A">
        <w:rPr>
          <w:rStyle w:val="BodyTextChar"/>
          <w:rFonts w:cs="Calibri"/>
          <w:i/>
          <w:iCs/>
        </w:rPr>
        <w:t>C</w:t>
      </w:r>
      <w:r w:rsidR="000E0572" w:rsidRPr="00DD477A">
        <w:rPr>
          <w:rStyle w:val="BodyTextChar"/>
          <w:rFonts w:cs="Calibri"/>
          <w:i/>
          <w:iCs/>
        </w:rPr>
        <w:t>orporations</w:t>
      </w:r>
      <w:r w:rsidR="000E0572" w:rsidRPr="00DD477A">
        <w:rPr>
          <w:rStyle w:val="BodyTextChar"/>
          <w:rFonts w:cs="Calibri"/>
        </w:rPr>
        <w:t xml:space="preserve">, </w:t>
      </w:r>
      <w:r w:rsidR="00AE025F" w:rsidRPr="00DD477A">
        <w:rPr>
          <w:rStyle w:val="BodyTextChar"/>
          <w:rFonts w:cs="Calibri"/>
          <w:i/>
          <w:iCs/>
        </w:rPr>
        <w:t>P</w:t>
      </w:r>
      <w:r w:rsidR="000E0572" w:rsidRPr="00DD477A">
        <w:rPr>
          <w:rStyle w:val="BodyTextChar"/>
          <w:rFonts w:cs="Calibri"/>
          <w:i/>
          <w:iCs/>
        </w:rPr>
        <w:t xml:space="preserve">ublic </w:t>
      </w:r>
      <w:r w:rsidR="00AE025F" w:rsidRPr="00DD477A">
        <w:rPr>
          <w:rStyle w:val="BodyTextChar"/>
          <w:rFonts w:cs="Calibri"/>
          <w:i/>
          <w:iCs/>
        </w:rPr>
        <w:t>N</w:t>
      </w:r>
      <w:r w:rsidR="000E0572" w:rsidRPr="00DD477A">
        <w:rPr>
          <w:rStyle w:val="BodyTextChar"/>
          <w:rFonts w:cs="Calibri"/>
          <w:i/>
          <w:iCs/>
        </w:rPr>
        <w:t>on</w:t>
      </w:r>
      <w:r w:rsidR="00C20907" w:rsidRPr="00DD477A">
        <w:rPr>
          <w:rStyle w:val="BodyTextChar"/>
          <w:rFonts w:cs="Calibri"/>
          <w:i/>
        </w:rPr>
        <w:noBreakHyphen/>
      </w:r>
      <w:r w:rsidR="00AE025F" w:rsidRPr="00DD477A">
        <w:rPr>
          <w:rStyle w:val="BodyTextChar"/>
          <w:rFonts w:cs="Calibri"/>
          <w:i/>
          <w:iCs/>
        </w:rPr>
        <w:t>F</w:t>
      </w:r>
      <w:r w:rsidR="000E0572" w:rsidRPr="00DD477A">
        <w:rPr>
          <w:rStyle w:val="BodyTextChar"/>
          <w:rFonts w:cs="Calibri"/>
          <w:i/>
          <w:iCs/>
        </w:rPr>
        <w:t>inancial</w:t>
      </w:r>
      <w:r w:rsidR="000C18CF" w:rsidRPr="00DD477A">
        <w:rPr>
          <w:rStyle w:val="BodyTextChar"/>
          <w:rFonts w:cs="Calibri"/>
          <w:i/>
          <w:iCs/>
        </w:rPr>
        <w:t xml:space="preserve"> </w:t>
      </w:r>
      <w:r w:rsidR="00A93E4B" w:rsidRPr="00DD477A">
        <w:rPr>
          <w:rStyle w:val="BodyTextChar"/>
          <w:rFonts w:cs="Calibri"/>
          <w:i/>
          <w:iCs/>
        </w:rPr>
        <w:t>C</w:t>
      </w:r>
      <w:r w:rsidR="000C18CF" w:rsidRPr="00DD477A">
        <w:rPr>
          <w:rStyle w:val="BodyTextChar"/>
          <w:rFonts w:cs="Calibri"/>
          <w:i/>
          <w:iCs/>
        </w:rPr>
        <w:t>orporations</w:t>
      </w:r>
      <w:r w:rsidR="000C18CF" w:rsidRPr="00DD477A">
        <w:rPr>
          <w:rStyle w:val="BodyTextChar"/>
          <w:rFonts w:cs="Calibri"/>
        </w:rPr>
        <w:t xml:space="preserve"> and entities outside of the GGS, should at least be mentioned in this section to show the minister respon</w:t>
      </w:r>
      <w:r w:rsidR="00D16CA8" w:rsidRPr="00DD477A">
        <w:rPr>
          <w:rStyle w:val="BodyTextChar"/>
          <w:rFonts w:cs="Calibri"/>
        </w:rPr>
        <w:t>sible for their functions.</w:t>
      </w:r>
    </w:p>
    <w:p w14:paraId="2306B200" w14:textId="1EE9355E" w:rsidR="007B19EC" w:rsidRPr="00DD477A" w:rsidRDefault="53BF0693">
      <w:pPr>
        <w:suppressAutoHyphens w:val="0"/>
        <w:spacing w:before="0" w:after="120" w:line="240" w:lineRule="auto"/>
        <w:rPr>
          <w:rStyle w:val="BodyTextChar"/>
          <w:rFonts w:cs="Calibri"/>
        </w:rPr>
      </w:pPr>
      <w:r w:rsidRPr="00DD477A">
        <w:rPr>
          <w:rStyle w:val="BodyTextChar"/>
          <w:rFonts w:cs="Calibri"/>
        </w:rPr>
        <w:t xml:space="preserve">Portfolios should include the current outcome statements for each entity </w:t>
      </w:r>
      <w:r w:rsidRPr="00DD477A">
        <w:rPr>
          <w:rStyle w:val="BodyTextChar"/>
          <w:rFonts w:cs="Calibri"/>
          <w:b/>
          <w:bCs/>
        </w:rPr>
        <w:t>as agreed by the</w:t>
      </w:r>
      <w:r w:rsidR="0085310E" w:rsidRPr="00DD477A">
        <w:rPr>
          <w:rStyle w:val="BodyTextChar"/>
          <w:rFonts w:cs="Calibri"/>
          <w:b/>
          <w:bCs/>
        </w:rPr>
        <w:t xml:space="preserve"> </w:t>
      </w:r>
      <w:r w:rsidRPr="00DD477A">
        <w:rPr>
          <w:rStyle w:val="BodyTextChar"/>
          <w:rFonts w:cs="Calibri"/>
          <w:b/>
        </w:rPr>
        <w:t>Minister</w:t>
      </w:r>
      <w:r w:rsidR="007F282A" w:rsidRPr="00DD477A">
        <w:rPr>
          <w:rStyle w:val="BodyTextChar"/>
          <w:rFonts w:cs="Calibri"/>
          <w:b/>
        </w:rPr>
        <w:t xml:space="preserve"> for Finance</w:t>
      </w:r>
      <w:r w:rsidRPr="00DD477A">
        <w:rPr>
          <w:rStyle w:val="BodyTextChar"/>
          <w:rFonts w:cs="Calibri"/>
        </w:rPr>
        <w:t>. The outcome statement(s) included in Figure 1, and throughout the PB Statement, must be consistent with the Appropriation Bills.</w:t>
      </w:r>
      <w:bookmarkStart w:id="824" w:name="_Toc63347698"/>
    </w:p>
    <w:p w14:paraId="3CFF2E3A" w14:textId="7CA6A72D" w:rsidR="007C010C" w:rsidRPr="00DD477A" w:rsidRDefault="53BF0693" w:rsidP="003D6589">
      <w:pPr>
        <w:pStyle w:val="Heading1"/>
      </w:pPr>
      <w:bookmarkStart w:id="825" w:name="_Toc227749016"/>
      <w:r w:rsidRPr="00DD477A">
        <w:t xml:space="preserve">Entity overview and resources </w:t>
      </w:r>
      <w:bookmarkEnd w:id="824"/>
      <w:r w:rsidR="008E77DE" w:rsidRPr="00DD477A">
        <w:t>- Section 1</w:t>
      </w:r>
      <w:bookmarkEnd w:id="825"/>
    </w:p>
    <w:p w14:paraId="249D4D20" w14:textId="3AC83369" w:rsidR="006F1726" w:rsidRPr="00DD477A" w:rsidRDefault="53BF0693" w:rsidP="53BF0693">
      <w:pPr>
        <w:rPr>
          <w:rStyle w:val="BodyTextChar"/>
          <w:rFonts w:cs="Calibri"/>
        </w:rPr>
      </w:pPr>
      <w:r w:rsidRPr="00DD477A">
        <w:rPr>
          <w:rStyle w:val="BodyTextChar"/>
          <w:rFonts w:cs="Calibri"/>
        </w:rPr>
        <w:t xml:space="preserve">The Entity overview and resources section of the PB Statements provides details of each entity’s </w:t>
      </w:r>
      <w:r w:rsidR="004E37CE" w:rsidRPr="00DD477A">
        <w:rPr>
          <w:rStyle w:val="BodyTextChar"/>
          <w:rFonts w:cs="Calibri"/>
        </w:rPr>
        <w:t xml:space="preserve">strategic direction and planned performance, </w:t>
      </w:r>
      <w:r w:rsidRPr="00DD477A">
        <w:rPr>
          <w:rStyle w:val="BodyTextChar"/>
          <w:rFonts w:cs="Calibri"/>
        </w:rPr>
        <w:t xml:space="preserve">objectives and resources </w:t>
      </w:r>
      <w:r w:rsidR="004E37CE" w:rsidRPr="00DD477A">
        <w:rPr>
          <w:rStyle w:val="BodyTextChar"/>
          <w:rFonts w:cs="Calibri"/>
        </w:rPr>
        <w:t xml:space="preserve">and new government measures </w:t>
      </w:r>
      <w:r w:rsidRPr="00DD477A">
        <w:rPr>
          <w:rStyle w:val="BodyTextChar"/>
          <w:rFonts w:cs="Calibri"/>
        </w:rPr>
        <w:t>across the budget and forward estimates.</w:t>
      </w:r>
    </w:p>
    <w:p w14:paraId="5FE4F4FE" w14:textId="2F4982DD" w:rsidR="00FA0945" w:rsidRPr="00DD477A" w:rsidRDefault="53BF0693" w:rsidP="53BF0693">
      <w:pPr>
        <w:rPr>
          <w:rStyle w:val="BodyTextChar"/>
          <w:rFonts w:cs="Calibri"/>
        </w:rPr>
      </w:pPr>
      <w:r w:rsidRPr="00DD477A">
        <w:rPr>
          <w:rStyle w:val="BodyTextChar"/>
          <w:rFonts w:cs="Calibri"/>
        </w:rPr>
        <w:t>There are three components to this section that together link the entity</w:t>
      </w:r>
      <w:r w:rsidR="00864F88" w:rsidRPr="00DD477A">
        <w:rPr>
          <w:rStyle w:val="BodyTextChar"/>
          <w:rFonts w:cs="Calibri"/>
        </w:rPr>
        <w:t>’s</w:t>
      </w:r>
      <w:r w:rsidRPr="00DD477A">
        <w:rPr>
          <w:rStyle w:val="BodyTextChar"/>
          <w:rFonts w:cs="Calibri"/>
        </w:rPr>
        <w:t xml:space="preserve"> strategy with the resources available.</w:t>
      </w:r>
    </w:p>
    <w:p w14:paraId="6D979933" w14:textId="77777777" w:rsidR="00FA0945" w:rsidRPr="00DD477A" w:rsidRDefault="53BF0693" w:rsidP="00B968DC">
      <w:pPr>
        <w:keepNext/>
        <w:rPr>
          <w:rStyle w:val="BodyTextChar"/>
          <w:rFonts w:cs="Calibri"/>
          <w:b/>
          <w:bCs/>
          <w:sz w:val="24"/>
          <w:szCs w:val="24"/>
        </w:rPr>
      </w:pPr>
      <w:r w:rsidRPr="00DD477A">
        <w:rPr>
          <w:rStyle w:val="BodyTextChar"/>
          <w:rFonts w:cs="Calibri"/>
          <w:b/>
          <w:bCs/>
          <w:sz w:val="24"/>
          <w:szCs w:val="24"/>
        </w:rPr>
        <w:t>Components of Section 1: Entity overview and resources</w:t>
      </w:r>
    </w:p>
    <w:p w14:paraId="6BDD2D10" w14:textId="3A165B8E" w:rsidR="00FA0945" w:rsidRPr="00DD477A" w:rsidRDefault="0063794F" w:rsidP="00B54999">
      <w:pPr>
        <w:pStyle w:val="Bullet1"/>
        <w:rPr>
          <w:rStyle w:val="BodyTextChar"/>
          <w:rFonts w:cs="Calibri"/>
        </w:rPr>
      </w:pPr>
      <w:r w:rsidRPr="00DD477A">
        <w:rPr>
          <w:rStyle w:val="BodyTextChar"/>
          <w:rFonts w:cs="Calibri"/>
        </w:rPr>
        <w:t>1.</w:t>
      </w:r>
      <w:r w:rsidR="00264D96" w:rsidRPr="00DD477A">
        <w:rPr>
          <w:rStyle w:val="BodyTextChar"/>
          <w:rFonts w:cs="Calibri"/>
        </w:rPr>
        <w:t xml:space="preserve">1 </w:t>
      </w:r>
      <w:r w:rsidR="53BF0693" w:rsidRPr="00DD477A">
        <w:rPr>
          <w:rStyle w:val="BodyTextChar"/>
          <w:rFonts w:cs="Calibri"/>
        </w:rPr>
        <w:t>Strategic direction statement</w:t>
      </w:r>
    </w:p>
    <w:p w14:paraId="1F16C29D" w14:textId="2AA70A01" w:rsidR="00FA0945" w:rsidRPr="00DD477A" w:rsidRDefault="00264D96" w:rsidP="00B54999">
      <w:pPr>
        <w:pStyle w:val="Bullet1"/>
        <w:rPr>
          <w:rStyle w:val="BodyTextChar"/>
          <w:rFonts w:cs="Calibri"/>
        </w:rPr>
      </w:pPr>
      <w:r w:rsidRPr="00DD477A">
        <w:rPr>
          <w:rStyle w:val="BodyTextChar"/>
          <w:rFonts w:cs="Calibri"/>
        </w:rPr>
        <w:t xml:space="preserve">1.2 </w:t>
      </w:r>
      <w:r w:rsidR="53BF0693" w:rsidRPr="00DD477A">
        <w:rPr>
          <w:rStyle w:val="BodyTextChar"/>
          <w:rFonts w:cs="Calibri"/>
        </w:rPr>
        <w:t>Entity resource statement (including Table 1.1)</w:t>
      </w:r>
    </w:p>
    <w:p w14:paraId="4EE935A3" w14:textId="215AD8CD" w:rsidR="00FA0945" w:rsidRPr="00DD477A" w:rsidRDefault="00264D96" w:rsidP="00B54999">
      <w:pPr>
        <w:pStyle w:val="Bullet1"/>
        <w:rPr>
          <w:rStyle w:val="BodyTextChar"/>
          <w:rFonts w:cs="Calibri"/>
        </w:rPr>
      </w:pPr>
      <w:r w:rsidRPr="00DD477A">
        <w:rPr>
          <w:rStyle w:val="BodyTextChar"/>
          <w:rFonts w:cs="Calibri"/>
        </w:rPr>
        <w:t xml:space="preserve">1.3 </w:t>
      </w:r>
      <w:r w:rsidR="53BF0693" w:rsidRPr="00DD477A">
        <w:rPr>
          <w:rStyle w:val="BodyTextChar"/>
          <w:rFonts w:cs="Calibri"/>
        </w:rPr>
        <w:t>Budget Measures (Table 1.2).</w:t>
      </w:r>
    </w:p>
    <w:p w14:paraId="63BB8A4D" w14:textId="34752B45" w:rsidR="00FA0945" w:rsidRPr="00DD477A" w:rsidRDefault="53BF0693" w:rsidP="003D6589">
      <w:pPr>
        <w:pStyle w:val="Heading2"/>
      </w:pPr>
      <w:bookmarkStart w:id="826" w:name="_Toc411852676"/>
      <w:bookmarkStart w:id="827" w:name="_Toc63347699"/>
      <w:bookmarkStart w:id="828" w:name="_Toc227749017"/>
      <w:r w:rsidRPr="00DD477A">
        <w:t>Strategic direction statement</w:t>
      </w:r>
      <w:bookmarkEnd w:id="826"/>
      <w:bookmarkEnd w:id="827"/>
      <w:bookmarkEnd w:id="828"/>
    </w:p>
    <w:p w14:paraId="2CB58EE1" w14:textId="19A3B58A" w:rsidR="00FA0945" w:rsidRPr="00DD477A" w:rsidRDefault="53BF0693" w:rsidP="53BF0693">
      <w:pPr>
        <w:rPr>
          <w:rStyle w:val="BodyTextChar"/>
          <w:rFonts w:cs="Calibri"/>
          <w:color w:val="1C1C1C" w:themeColor="text2"/>
          <w:sz w:val="34"/>
          <w:szCs w:val="34"/>
        </w:rPr>
      </w:pPr>
      <w:r w:rsidRPr="00DD477A">
        <w:rPr>
          <w:rStyle w:val="BodyTextChar"/>
          <w:rFonts w:cs="Calibri"/>
        </w:rPr>
        <w:t xml:space="preserve">The </w:t>
      </w:r>
      <w:r w:rsidR="00C04F5D" w:rsidRPr="00DD477A">
        <w:rPr>
          <w:rStyle w:val="BodyTextChar"/>
          <w:rFonts w:cs="Calibri"/>
        </w:rPr>
        <w:t>S</w:t>
      </w:r>
      <w:r w:rsidRPr="00DD477A">
        <w:rPr>
          <w:rStyle w:val="BodyTextChar"/>
          <w:rFonts w:cs="Calibri"/>
        </w:rPr>
        <w:t xml:space="preserve">trategic direction statement should be </w:t>
      </w:r>
      <w:r w:rsidR="00F053A0" w:rsidRPr="00DD477A">
        <w:rPr>
          <w:rStyle w:val="BodyTextChar"/>
          <w:rFonts w:cs="Calibri"/>
        </w:rPr>
        <w:t xml:space="preserve">a high-level </w:t>
      </w:r>
      <w:r w:rsidR="00AB1745" w:rsidRPr="00DD477A">
        <w:rPr>
          <w:rStyle w:val="BodyTextChar"/>
          <w:rFonts w:cs="Calibri"/>
        </w:rPr>
        <w:t>descriptor</w:t>
      </w:r>
      <w:r w:rsidR="0085571D" w:rsidRPr="00DD477A">
        <w:rPr>
          <w:rStyle w:val="BodyTextChar"/>
          <w:rFonts w:cs="Calibri"/>
        </w:rPr>
        <w:t>,</w:t>
      </w:r>
      <w:r w:rsidR="00AB1745" w:rsidRPr="00DD477A">
        <w:rPr>
          <w:rStyle w:val="BodyTextChar"/>
          <w:rFonts w:cs="Calibri"/>
        </w:rPr>
        <w:t xml:space="preserve"> </w:t>
      </w:r>
      <w:r w:rsidRPr="00DD477A">
        <w:rPr>
          <w:rStyle w:val="BodyTextChar"/>
          <w:rFonts w:cs="Calibri"/>
        </w:rPr>
        <w:t>no longer than two pages</w:t>
      </w:r>
      <w:r w:rsidR="0085571D" w:rsidRPr="00DD477A">
        <w:rPr>
          <w:rStyle w:val="BodyTextChar"/>
          <w:rFonts w:cs="Calibri"/>
        </w:rPr>
        <w:t>, outlin</w:t>
      </w:r>
      <w:r w:rsidR="00E722B9">
        <w:rPr>
          <w:rStyle w:val="BodyTextChar"/>
          <w:rFonts w:cs="Calibri"/>
        </w:rPr>
        <w:t>ing</w:t>
      </w:r>
      <w:r w:rsidR="0085571D" w:rsidRPr="00DD477A">
        <w:rPr>
          <w:rStyle w:val="BodyTextChar"/>
          <w:rFonts w:cs="Calibri"/>
        </w:rPr>
        <w:t xml:space="preserve"> an entity’s anticipated strategic direction for the budget and forward estimates years</w:t>
      </w:r>
      <w:r w:rsidRPr="00DD477A">
        <w:rPr>
          <w:rStyle w:val="BodyTextChar"/>
          <w:rFonts w:cs="Calibri"/>
        </w:rPr>
        <w:t xml:space="preserve">. </w:t>
      </w:r>
    </w:p>
    <w:p w14:paraId="4600707C" w14:textId="38784095" w:rsidR="00AF4240" w:rsidRPr="00DD477A" w:rsidRDefault="53BF0693" w:rsidP="53BF0693">
      <w:pPr>
        <w:rPr>
          <w:rStyle w:val="BodyTextChar"/>
          <w:rFonts w:cs="Calibri"/>
        </w:rPr>
      </w:pPr>
      <w:r w:rsidRPr="00DD477A">
        <w:rPr>
          <w:rStyle w:val="BodyTextChar"/>
          <w:rFonts w:cs="Calibri"/>
        </w:rPr>
        <w:t xml:space="preserve">The Strategic direction statement </w:t>
      </w:r>
      <w:r w:rsidR="00B90961">
        <w:rPr>
          <w:rStyle w:val="BodyTextChar"/>
          <w:rFonts w:cs="Calibri"/>
        </w:rPr>
        <w:t>in intend to cover the following</w:t>
      </w:r>
      <w:r w:rsidR="00A3790A" w:rsidRPr="00DD477A">
        <w:rPr>
          <w:rStyle w:val="BodyTextChar"/>
          <w:rFonts w:cs="Calibri"/>
        </w:rPr>
        <w:t>:</w:t>
      </w:r>
    </w:p>
    <w:p w14:paraId="602E983A" w14:textId="3B0E6F98" w:rsidR="008F56B6" w:rsidRPr="00DD477A" w:rsidRDefault="008F56B6" w:rsidP="00B54999">
      <w:pPr>
        <w:pStyle w:val="Bullet1"/>
        <w:rPr>
          <w:rStyle w:val="BodyTextChar"/>
          <w:rFonts w:cs="Calibri"/>
        </w:rPr>
      </w:pPr>
      <w:r w:rsidRPr="00DD477A">
        <w:rPr>
          <w:rStyle w:val="BodyTextChar"/>
          <w:rFonts w:cs="Calibri"/>
        </w:rPr>
        <w:t>identify major ongoing functions, new functions (or loss of functions) and measures allocated to the entity</w:t>
      </w:r>
    </w:p>
    <w:p w14:paraId="4724A8A4" w14:textId="2E8DB295" w:rsidR="008F56B6" w:rsidRPr="00DD477A" w:rsidRDefault="00C11487" w:rsidP="00B54999">
      <w:pPr>
        <w:pStyle w:val="Bullet1"/>
        <w:rPr>
          <w:rStyle w:val="BodyTextChar"/>
          <w:rFonts w:cs="Calibri"/>
        </w:rPr>
      </w:pPr>
      <w:r w:rsidRPr="00DD477A">
        <w:rPr>
          <w:rStyle w:val="BodyTextChar"/>
          <w:rFonts w:cs="Calibri"/>
        </w:rPr>
        <w:t>detail any significant challenges that will impact on the entity’s performance against its outcome(s) over the medium-term and</w:t>
      </w:r>
    </w:p>
    <w:p w14:paraId="14445968" w14:textId="55E582BE" w:rsidR="00347C35" w:rsidRPr="00DD477A" w:rsidRDefault="00E82C09" w:rsidP="00B54999">
      <w:pPr>
        <w:pStyle w:val="Bullet1"/>
        <w:rPr>
          <w:rStyle w:val="BodyTextChar"/>
          <w:rFonts w:cs="Calibri"/>
        </w:rPr>
      </w:pPr>
      <w:r w:rsidRPr="00DD477A">
        <w:rPr>
          <w:rStyle w:val="BodyTextChar"/>
          <w:rFonts w:cs="Calibri"/>
        </w:rPr>
        <w:t>describe an entity’s outcome statement(s)</w:t>
      </w:r>
      <w:r w:rsidR="00133C2F">
        <w:rPr>
          <w:rStyle w:val="BodyTextChar"/>
          <w:rFonts w:cs="Calibri"/>
        </w:rPr>
        <w:t xml:space="preserve"> </w:t>
      </w:r>
      <w:r w:rsidR="53BF0693" w:rsidRPr="00DD477A">
        <w:rPr>
          <w:rStyle w:val="BodyTextChar"/>
          <w:rFonts w:cs="Calibri"/>
        </w:rPr>
        <w:t>in a strategic, relevant and concise manner,</w:t>
      </w:r>
      <w:r w:rsidR="00701205" w:rsidRPr="00DD477A">
        <w:rPr>
          <w:rStyle w:val="BodyTextChar"/>
          <w:rFonts w:cs="Calibri"/>
        </w:rPr>
        <w:t xml:space="preserve"> </w:t>
      </w:r>
      <w:r w:rsidR="00C11487" w:rsidRPr="00DD477A">
        <w:rPr>
          <w:rStyle w:val="BodyTextChar"/>
          <w:rFonts w:cs="Calibri"/>
        </w:rPr>
        <w:t>by</w:t>
      </w:r>
      <w:r w:rsidR="00347C35" w:rsidRPr="00DD477A">
        <w:rPr>
          <w:rStyle w:val="BodyTextChar"/>
          <w:rFonts w:cs="Calibri"/>
        </w:rPr>
        <w:t xml:space="preserve"> outlin</w:t>
      </w:r>
      <w:r w:rsidR="00C11487" w:rsidRPr="00DD477A">
        <w:rPr>
          <w:rStyle w:val="BodyTextChar"/>
          <w:rFonts w:cs="Calibri"/>
        </w:rPr>
        <w:t>ing</w:t>
      </w:r>
      <w:r w:rsidR="00347C35" w:rsidRPr="00DD477A">
        <w:rPr>
          <w:rStyle w:val="BodyTextChar"/>
          <w:rFonts w:cs="Calibri"/>
        </w:rPr>
        <w:t xml:space="preserve"> the</w:t>
      </w:r>
      <w:r w:rsidR="00A20AF1" w:rsidRPr="00DD477A">
        <w:rPr>
          <w:rStyle w:val="BodyTextChar"/>
          <w:rFonts w:cs="Calibri"/>
        </w:rPr>
        <w:t>:</w:t>
      </w:r>
    </w:p>
    <w:p w14:paraId="66D397B9" w14:textId="242A8CEC" w:rsidR="00CC5BB0" w:rsidRPr="00FC08F0" w:rsidRDefault="53BF0693" w:rsidP="00FC08F0">
      <w:pPr>
        <w:pStyle w:val="Bullet2"/>
        <w:rPr>
          <w:rStyle w:val="BodyTextChar"/>
          <w:rFonts w:cs="Calibri"/>
        </w:rPr>
      </w:pPr>
      <w:r w:rsidRPr="00FC08F0">
        <w:rPr>
          <w:rStyle w:val="BodyTextChar"/>
          <w:rFonts w:cs="Calibri"/>
        </w:rPr>
        <w:t>broad strategies the entity intends to adopt to achieve these outcomes</w:t>
      </w:r>
    </w:p>
    <w:p w14:paraId="184F9280" w14:textId="59E4834B" w:rsidR="00183215" w:rsidRPr="00FC08F0" w:rsidRDefault="53BF0693" w:rsidP="00FC08F0">
      <w:pPr>
        <w:pStyle w:val="Bullet2"/>
        <w:rPr>
          <w:rStyle w:val="BodyTextChar"/>
          <w:rFonts w:cs="Calibri"/>
        </w:rPr>
      </w:pPr>
      <w:r w:rsidRPr="00FC08F0">
        <w:rPr>
          <w:rStyle w:val="BodyTextChar"/>
          <w:rFonts w:cs="Calibri"/>
        </w:rPr>
        <w:t>planned results and goals to be achieved</w:t>
      </w:r>
      <w:r w:rsidR="009A2C71" w:rsidRPr="00FC08F0">
        <w:rPr>
          <w:rStyle w:val="BodyTextChar"/>
          <w:rFonts w:cs="Calibri"/>
        </w:rPr>
        <w:t xml:space="preserve"> and</w:t>
      </w:r>
    </w:p>
    <w:p w14:paraId="799D39F4" w14:textId="1729A4D7" w:rsidR="00FA0945" w:rsidRPr="00FC08F0" w:rsidRDefault="00BC1EFB" w:rsidP="00FC08F0">
      <w:pPr>
        <w:pStyle w:val="Bullet2"/>
        <w:rPr>
          <w:rStyle w:val="BodyTextChar"/>
          <w:rFonts w:cs="Calibri"/>
        </w:rPr>
      </w:pPr>
      <w:r w:rsidRPr="00FC08F0">
        <w:rPr>
          <w:rStyle w:val="BodyTextChar"/>
          <w:rFonts w:cs="Calibri"/>
        </w:rPr>
        <w:t>way</w:t>
      </w:r>
      <w:r w:rsidR="53BF0693" w:rsidRPr="00FC08F0">
        <w:rPr>
          <w:rStyle w:val="BodyTextChar"/>
          <w:rFonts w:cs="Calibri"/>
        </w:rPr>
        <w:t xml:space="preserve"> these outcome statements contribute to the achievement of whole-of-government strategic priorities and outcomes. </w:t>
      </w:r>
    </w:p>
    <w:p w14:paraId="6D63093B" w14:textId="16983ABF" w:rsidR="002C1E1B" w:rsidRPr="00DD477A" w:rsidRDefault="00C82252" w:rsidP="53BF0693">
      <w:pPr>
        <w:rPr>
          <w:rStyle w:val="BodyTextChar"/>
          <w:rFonts w:cs="Calibri"/>
        </w:rPr>
      </w:pPr>
      <w:r w:rsidRPr="00DD477A">
        <w:rPr>
          <w:rStyle w:val="BodyTextChar"/>
          <w:rFonts w:cs="Calibri"/>
        </w:rPr>
        <w:t xml:space="preserve">More </w:t>
      </w:r>
      <w:r w:rsidR="53BF0693" w:rsidRPr="00DD477A">
        <w:rPr>
          <w:rStyle w:val="BodyTextChar"/>
          <w:rFonts w:cs="Calibri"/>
        </w:rPr>
        <w:t>detailed discussion of operational issues can be covered in the entity’s corporate plan or on its website, which should be cross-referenced in this section.</w:t>
      </w:r>
    </w:p>
    <w:p w14:paraId="0B66161F" w14:textId="008F092A" w:rsidR="00926CBF" w:rsidRPr="00DD477A" w:rsidRDefault="53BF0693" w:rsidP="003D6589">
      <w:pPr>
        <w:pStyle w:val="Heading2"/>
      </w:pPr>
      <w:bookmarkStart w:id="829" w:name="_Toc411852677"/>
      <w:bookmarkStart w:id="830" w:name="_Toc534382557"/>
      <w:bookmarkStart w:id="831" w:name="_Toc63347700"/>
      <w:bookmarkStart w:id="832" w:name="_Toc227749018"/>
      <w:r w:rsidRPr="00DD477A">
        <w:t>Entity resource statement</w:t>
      </w:r>
      <w:bookmarkEnd w:id="829"/>
      <w:bookmarkEnd w:id="830"/>
      <w:bookmarkEnd w:id="831"/>
      <w:bookmarkEnd w:id="832"/>
    </w:p>
    <w:p w14:paraId="3ED4635E" w14:textId="64DC4A40" w:rsidR="00B54712" w:rsidRPr="00DD477A" w:rsidRDefault="53BF0693" w:rsidP="53BF0693">
      <w:pPr>
        <w:rPr>
          <w:rStyle w:val="BodyTextChar"/>
          <w:rFonts w:cs="Calibri"/>
        </w:rPr>
      </w:pPr>
      <w:r w:rsidRPr="00DD477A">
        <w:rPr>
          <w:rStyle w:val="BodyTextChar"/>
          <w:rFonts w:cs="Calibri"/>
        </w:rPr>
        <w:t>The Entity resource statement summar</w:t>
      </w:r>
      <w:r w:rsidR="00830E63" w:rsidRPr="00DD477A">
        <w:rPr>
          <w:rStyle w:val="BodyTextChar"/>
          <w:rFonts w:cs="Calibri"/>
        </w:rPr>
        <w:t xml:space="preserve">ises </w:t>
      </w:r>
      <w:r w:rsidRPr="00DD477A">
        <w:rPr>
          <w:rStyle w:val="BodyTextChar"/>
          <w:rFonts w:cs="Calibri"/>
        </w:rPr>
        <w:t xml:space="preserve">all resources available to the entity </w:t>
      </w:r>
      <w:r w:rsidR="00BC665A" w:rsidRPr="00DD477A">
        <w:rPr>
          <w:rStyle w:val="BodyTextChar"/>
          <w:rFonts w:cs="Calibri"/>
        </w:rPr>
        <w:t>in</w:t>
      </w:r>
      <w:r w:rsidRPr="00DD477A">
        <w:rPr>
          <w:rStyle w:val="BodyTextChar"/>
          <w:rFonts w:cs="Calibri"/>
        </w:rPr>
        <w:t xml:space="preserve"> the budget year which may </w:t>
      </w:r>
      <w:r w:rsidR="00B415C2" w:rsidRPr="00DD477A">
        <w:rPr>
          <w:rStyle w:val="BodyTextChar"/>
          <w:rFonts w:cs="Calibri"/>
        </w:rPr>
        <w:t xml:space="preserve">be </w:t>
      </w:r>
      <w:r w:rsidRPr="00DD477A">
        <w:rPr>
          <w:rStyle w:val="BodyTextChar"/>
          <w:rFonts w:cs="Calibri"/>
        </w:rPr>
        <w:t>draw</w:t>
      </w:r>
      <w:r w:rsidR="00B415C2" w:rsidRPr="00DD477A">
        <w:rPr>
          <w:rStyle w:val="BodyTextChar"/>
          <w:rFonts w:cs="Calibri"/>
        </w:rPr>
        <w:t>n</w:t>
      </w:r>
      <w:r w:rsidRPr="00DD477A">
        <w:rPr>
          <w:rStyle w:val="BodyTextChar"/>
          <w:rFonts w:cs="Calibri"/>
        </w:rPr>
        <w:t xml:space="preserve"> upon </w:t>
      </w:r>
      <w:r w:rsidR="00B415C2" w:rsidRPr="00DD477A">
        <w:rPr>
          <w:rStyle w:val="BodyTextChar"/>
          <w:rFonts w:cs="Calibri"/>
        </w:rPr>
        <w:t>to</w:t>
      </w:r>
      <w:r w:rsidRPr="00DD477A">
        <w:rPr>
          <w:rStyle w:val="BodyTextChar"/>
          <w:rFonts w:cs="Calibri"/>
        </w:rPr>
        <w:t xml:space="preserve"> achiev</w:t>
      </w:r>
      <w:r w:rsidR="00B415C2" w:rsidRPr="00DD477A">
        <w:rPr>
          <w:rStyle w:val="BodyTextChar"/>
          <w:rFonts w:cs="Calibri"/>
        </w:rPr>
        <w:t>e</w:t>
      </w:r>
      <w:r w:rsidRPr="00DD477A">
        <w:rPr>
          <w:rStyle w:val="BodyTextChar"/>
          <w:rFonts w:cs="Calibri"/>
        </w:rPr>
        <w:t xml:space="preserve"> government outcomes and objectives. This table </w:t>
      </w:r>
      <w:r w:rsidR="00FF7E84" w:rsidRPr="00DD477A">
        <w:rPr>
          <w:rStyle w:val="BodyTextChar"/>
          <w:rFonts w:cs="Calibri"/>
        </w:rPr>
        <w:t xml:space="preserve">provides a breakdown of these resources by funding source and </w:t>
      </w:r>
      <w:r w:rsidRPr="00DD477A">
        <w:rPr>
          <w:rStyle w:val="BodyTextChar"/>
          <w:rFonts w:cs="Calibri"/>
        </w:rPr>
        <w:t>is to be prepared on a</w:t>
      </w:r>
      <w:r w:rsidRPr="00DD477A">
        <w:rPr>
          <w:rStyle w:val="BodyTextChar"/>
          <w:rFonts w:cs="Calibri"/>
          <w:b/>
          <w:bCs/>
        </w:rPr>
        <w:t xml:space="preserve"> </w:t>
      </w:r>
      <w:r w:rsidRPr="00DD477A">
        <w:rPr>
          <w:rStyle w:val="BodyTextChar"/>
          <w:rFonts w:cs="Calibri"/>
        </w:rPr>
        <w:t>resourcing (i.e.</w:t>
      </w:r>
      <w:r w:rsidR="7F647119" w:rsidRPr="00DD477A">
        <w:rPr>
          <w:rStyle w:val="BodyTextChar"/>
          <w:rFonts w:cs="Calibri"/>
        </w:rPr>
        <w:t>,</w:t>
      </w:r>
      <w:r w:rsidRPr="00DD477A">
        <w:rPr>
          <w:rStyle w:val="BodyTextChar"/>
          <w:rFonts w:cs="Calibri"/>
        </w:rPr>
        <w:t xml:space="preserve"> appropriations/cash available) basis.</w:t>
      </w:r>
    </w:p>
    <w:p w14:paraId="74F4E124" w14:textId="777C6CD5" w:rsidR="002B27EC" w:rsidRPr="00DD477A" w:rsidRDefault="53BF0693" w:rsidP="53BF0693">
      <w:pPr>
        <w:rPr>
          <w:rStyle w:val="BodyTextChar"/>
          <w:rFonts w:cs="Calibri"/>
        </w:rPr>
      </w:pPr>
      <w:r w:rsidRPr="00DD477A">
        <w:rPr>
          <w:rStyle w:val="BodyTextChar"/>
          <w:rFonts w:cs="Calibri"/>
        </w:rPr>
        <w:t>The Entity resource statement includes undrawn and unspent amounts from prior years as well as the balances of special accounts</w:t>
      </w:r>
      <w:r w:rsidR="008D1024" w:rsidRPr="00DD477A">
        <w:rPr>
          <w:rStyle w:val="BodyTextChar"/>
          <w:rFonts w:cs="Calibri"/>
        </w:rPr>
        <w:t xml:space="preserve"> </w:t>
      </w:r>
      <w:r w:rsidRPr="00DD477A">
        <w:rPr>
          <w:rStyle w:val="BodyTextChar"/>
          <w:rFonts w:cs="Calibri"/>
        </w:rPr>
        <w:t>but</w:t>
      </w:r>
      <w:r w:rsidR="000E2AAE" w:rsidRPr="00DD477A">
        <w:rPr>
          <w:rStyle w:val="BodyTextChar"/>
          <w:rFonts w:cs="Calibri"/>
        </w:rPr>
        <w:t>,</w:t>
      </w:r>
      <w:r w:rsidRPr="00DD477A">
        <w:rPr>
          <w:rStyle w:val="BodyTextChar"/>
          <w:rFonts w:cs="Calibri"/>
        </w:rPr>
        <w:t xml:space="preserve"> </w:t>
      </w:r>
      <w:r w:rsidRPr="00DD477A">
        <w:rPr>
          <w:rStyle w:val="BodyTextChar"/>
          <w:rFonts w:cs="Calibri"/>
          <w:bCs/>
        </w:rPr>
        <w:t>excludes</w:t>
      </w:r>
      <w:r w:rsidRPr="00DD477A">
        <w:rPr>
          <w:rStyle w:val="BodyTextChar"/>
          <w:rFonts w:cs="Calibri"/>
        </w:rPr>
        <w:t xml:space="preserve"> amounts subject to </w:t>
      </w:r>
      <w:r w:rsidR="008D1024" w:rsidRPr="00DD477A">
        <w:rPr>
          <w:rStyle w:val="BodyTextChar"/>
          <w:rFonts w:cs="Calibri"/>
        </w:rPr>
        <w:t>administrati</w:t>
      </w:r>
      <w:r w:rsidR="00F60CA4" w:rsidRPr="00DD477A">
        <w:rPr>
          <w:rStyle w:val="BodyTextChar"/>
          <w:rFonts w:cs="Calibri"/>
        </w:rPr>
        <w:t>ve</w:t>
      </w:r>
      <w:r w:rsidR="008D1024" w:rsidRPr="00DD477A">
        <w:rPr>
          <w:rStyle w:val="BodyTextChar"/>
          <w:rFonts w:cs="Calibri"/>
        </w:rPr>
        <w:t xml:space="preserve"> </w:t>
      </w:r>
      <w:r w:rsidRPr="00DD477A">
        <w:rPr>
          <w:rStyle w:val="BodyTextChar"/>
          <w:rFonts w:cs="Calibri"/>
        </w:rPr>
        <w:t xml:space="preserve">quarantine or </w:t>
      </w:r>
      <w:r w:rsidR="008D1024" w:rsidRPr="00DD477A">
        <w:rPr>
          <w:rStyle w:val="BodyTextChar"/>
          <w:rFonts w:cs="Calibri"/>
        </w:rPr>
        <w:t xml:space="preserve">formal </w:t>
      </w:r>
      <w:r w:rsidRPr="00DD477A">
        <w:rPr>
          <w:rStyle w:val="BodyTextChar"/>
          <w:rFonts w:cs="Calibri"/>
        </w:rPr>
        <w:t xml:space="preserve">reduction. </w:t>
      </w:r>
    </w:p>
    <w:p w14:paraId="716E13AB" w14:textId="7852589C" w:rsidR="00B54712" w:rsidRPr="00DD477A" w:rsidRDefault="6B6EE5C4" w:rsidP="6B6EE5C4">
      <w:pPr>
        <w:rPr>
          <w:rStyle w:val="BodyTextChar"/>
          <w:rFonts w:cs="Calibri"/>
        </w:rPr>
      </w:pPr>
      <w:r w:rsidRPr="00DD477A">
        <w:rPr>
          <w:rStyle w:val="BodyTextChar"/>
          <w:rFonts w:cs="Calibri"/>
        </w:rPr>
        <w:t xml:space="preserve">A total estimate of ASL for the entity is also provided – this total should equal the ASL </w:t>
      </w:r>
      <w:r w:rsidR="003002A5">
        <w:rPr>
          <w:rStyle w:val="BodyTextChar"/>
          <w:rFonts w:cs="Calibri"/>
        </w:rPr>
        <w:t>estimates</w:t>
      </w:r>
      <w:r w:rsidR="003002A5" w:rsidRPr="00DD477A">
        <w:rPr>
          <w:rStyle w:val="BodyTextChar"/>
          <w:rFonts w:cs="Calibri"/>
        </w:rPr>
        <w:t xml:space="preserve"> </w:t>
      </w:r>
      <w:r w:rsidRPr="00DD477A">
        <w:rPr>
          <w:rStyle w:val="BodyTextChar"/>
          <w:rFonts w:cs="Calibri"/>
        </w:rPr>
        <w:t>published for each outcome in Table 2.X.1</w:t>
      </w:r>
      <w:r w:rsidR="008D1024" w:rsidRPr="00DD477A">
        <w:rPr>
          <w:rStyle w:val="BodyTextChar"/>
          <w:rFonts w:cs="Calibri"/>
        </w:rPr>
        <w:t>, and match those to be published in BP</w:t>
      </w:r>
      <w:r w:rsidR="00335280" w:rsidRPr="00DD477A">
        <w:rPr>
          <w:rStyle w:val="BodyTextChar"/>
          <w:rFonts w:cs="Calibri"/>
        </w:rPr>
        <w:t xml:space="preserve"> No.</w:t>
      </w:r>
      <w:r w:rsidR="008D1024" w:rsidRPr="00DD477A">
        <w:rPr>
          <w:rStyle w:val="BodyTextChar"/>
          <w:rFonts w:cs="Calibri"/>
        </w:rPr>
        <w:t xml:space="preserve"> 4</w:t>
      </w:r>
      <w:r w:rsidRPr="00DD477A">
        <w:rPr>
          <w:rStyle w:val="BodyTextChar"/>
          <w:rFonts w:cs="Calibri"/>
        </w:rPr>
        <w:t>.</w:t>
      </w:r>
    </w:p>
    <w:p w14:paraId="3655EF57" w14:textId="2E588B77" w:rsidR="00B37817" w:rsidRPr="00DD477A" w:rsidRDefault="53BF0693" w:rsidP="00F611EB">
      <w:pPr>
        <w:rPr>
          <w:rStyle w:val="BodyTextChar"/>
          <w:rFonts w:eastAsiaTheme="majorEastAsia" w:cs="Calibri"/>
          <w:bCs/>
        </w:rPr>
      </w:pPr>
      <w:r w:rsidRPr="00DD477A">
        <w:rPr>
          <w:rStyle w:val="BodyTextChar"/>
          <w:rFonts w:cs="Calibri"/>
        </w:rPr>
        <w:t xml:space="preserve">Entities with special accounts should ensure amounts transferred between special accounts and other appropriation sources </w:t>
      </w:r>
      <w:r w:rsidRPr="00DD477A">
        <w:rPr>
          <w:rStyle w:val="BodyTextChar"/>
          <w:rFonts w:cs="Calibri"/>
          <w:bCs/>
        </w:rPr>
        <w:t>are netted</w:t>
      </w:r>
      <w:r w:rsidRPr="00DD477A">
        <w:rPr>
          <w:rStyle w:val="BodyTextChar"/>
          <w:rFonts w:cs="Calibri"/>
        </w:rPr>
        <w:t xml:space="preserve"> off so the appropriations are not double counted. </w:t>
      </w:r>
    </w:p>
    <w:p w14:paraId="1CC6AF65" w14:textId="0729CA90" w:rsidR="00320843" w:rsidRPr="00DD477A" w:rsidRDefault="00320843" w:rsidP="003D6589">
      <w:pPr>
        <w:pStyle w:val="Heading2"/>
      </w:pPr>
      <w:bookmarkStart w:id="833" w:name="_Toc61875005"/>
      <w:bookmarkStart w:id="834" w:name="_Toc62648857"/>
      <w:bookmarkStart w:id="835" w:name="_Toc61875006"/>
      <w:bookmarkStart w:id="836" w:name="_Toc62648858"/>
      <w:bookmarkStart w:id="837" w:name="_Toc128665480"/>
      <w:bookmarkStart w:id="838" w:name="_Toc129015716"/>
      <w:bookmarkStart w:id="839" w:name="_Toc129017871"/>
      <w:bookmarkStart w:id="840" w:name="_Toc129163680"/>
      <w:bookmarkStart w:id="841" w:name="_Toc129166923"/>
      <w:bookmarkStart w:id="842" w:name="_Toc227749019"/>
      <w:bookmarkEnd w:id="833"/>
      <w:bookmarkEnd w:id="834"/>
      <w:bookmarkEnd w:id="835"/>
      <w:bookmarkEnd w:id="836"/>
      <w:bookmarkEnd w:id="837"/>
      <w:bookmarkEnd w:id="838"/>
      <w:bookmarkEnd w:id="839"/>
      <w:bookmarkEnd w:id="840"/>
      <w:bookmarkEnd w:id="841"/>
      <w:r w:rsidRPr="00DD477A">
        <w:t>Payments to the states</w:t>
      </w:r>
      <w:bookmarkEnd w:id="842"/>
    </w:p>
    <w:p w14:paraId="30A95A87" w14:textId="2D28B787" w:rsidR="00B54712" w:rsidRPr="00DD477A" w:rsidRDefault="6B6EE5C4" w:rsidP="000A7DEC">
      <w:pPr>
        <w:rPr>
          <w:rFonts w:cs="Calibri"/>
        </w:rPr>
      </w:pPr>
      <w:r w:rsidRPr="00DD477A">
        <w:rPr>
          <w:rFonts w:cs="Calibri"/>
        </w:rPr>
        <w:t xml:space="preserve">Entities receiving appropriations, through </w:t>
      </w:r>
      <w:r w:rsidRPr="00DD477A">
        <w:rPr>
          <w:rFonts w:cs="Calibri"/>
          <w:iCs/>
        </w:rPr>
        <w:t xml:space="preserve">Appropriation Bill (No. 2) </w:t>
      </w:r>
      <w:r w:rsidR="0005119C">
        <w:rPr>
          <w:rFonts w:cs="Calibri"/>
          <w:iCs/>
        </w:rPr>
        <w:t>2026</w:t>
      </w:r>
      <w:r w:rsidR="00C917CE">
        <w:rPr>
          <w:rFonts w:cs="Calibri"/>
          <w:iCs/>
        </w:rPr>
        <w:t>–</w:t>
      </w:r>
      <w:r w:rsidR="0005119C">
        <w:rPr>
          <w:rFonts w:cs="Calibri"/>
          <w:iCs/>
        </w:rPr>
        <w:t>2027</w:t>
      </w:r>
      <w:r w:rsidRPr="00DD477A">
        <w:rPr>
          <w:rFonts w:cs="Calibri"/>
        </w:rPr>
        <w:t xml:space="preserve">, for payments to States, Territories and local government, </w:t>
      </w:r>
      <w:r w:rsidRPr="00DD477A">
        <w:rPr>
          <w:rFonts w:cs="Calibri"/>
          <w:b/>
          <w:bCs/>
        </w:rPr>
        <w:t>must</w:t>
      </w:r>
      <w:r w:rsidRPr="00DD477A">
        <w:rPr>
          <w:rFonts w:cs="Calibri"/>
        </w:rPr>
        <w:t xml:space="preserve"> include additional information in a footnote to </w:t>
      </w:r>
      <w:r w:rsidR="00C90976" w:rsidRPr="00DD477A">
        <w:rPr>
          <w:rFonts w:cs="Calibri"/>
        </w:rPr>
        <w:t>T</w:t>
      </w:r>
      <w:r w:rsidR="00200055" w:rsidRPr="00DD477A">
        <w:rPr>
          <w:rFonts w:cs="Calibri"/>
        </w:rPr>
        <w:t>able </w:t>
      </w:r>
      <w:r w:rsidRPr="00DD477A">
        <w:rPr>
          <w:rFonts w:cs="Calibri"/>
        </w:rPr>
        <w:t>1.1. The note only applies for the current year appropriation and not prior year comparisons.</w:t>
      </w:r>
    </w:p>
    <w:p w14:paraId="11D445E6" w14:textId="71C04ADD" w:rsidR="00714B5A" w:rsidRPr="00DD477A" w:rsidRDefault="53BF0693" w:rsidP="000A7DEC">
      <w:pPr>
        <w:rPr>
          <w:rFonts w:cs="Calibri"/>
        </w:rPr>
      </w:pPr>
      <w:r w:rsidRPr="00DD477A">
        <w:rPr>
          <w:rFonts w:cs="Calibri"/>
        </w:rPr>
        <w:t xml:space="preserve">Footnote (l) in Table 1.1 </w:t>
      </w:r>
      <w:r w:rsidRPr="00DD477A">
        <w:rPr>
          <w:rFonts w:cs="Calibri"/>
          <w:b/>
          <w:bCs/>
        </w:rPr>
        <w:t>must</w:t>
      </w:r>
      <w:r w:rsidRPr="00DD477A">
        <w:rPr>
          <w:rFonts w:cs="Calibri"/>
        </w:rPr>
        <w:t xml:space="preserve"> include</w:t>
      </w:r>
      <w:r w:rsidR="00642149" w:rsidRPr="00DD477A">
        <w:rPr>
          <w:rFonts w:cs="Calibri"/>
        </w:rPr>
        <w:t>:</w:t>
      </w:r>
    </w:p>
    <w:p w14:paraId="1F4BCD64" w14:textId="31CCACD7" w:rsidR="00642149" w:rsidRPr="00DD477A" w:rsidRDefault="53BF0693" w:rsidP="00B54999">
      <w:pPr>
        <w:pStyle w:val="Bullet1"/>
      </w:pPr>
      <w:r>
        <w:t xml:space="preserve">the particular purposes </w:t>
      </w:r>
      <w:r w:rsidR="004D5D21">
        <w:t xml:space="preserve">for </w:t>
      </w:r>
      <w:r>
        <w:t xml:space="preserve">the payments to the States, </w:t>
      </w:r>
      <w:r w:rsidR="00387355">
        <w:t>Territories</w:t>
      </w:r>
      <w:r>
        <w:t xml:space="preserve"> and local government</w:t>
      </w:r>
      <w:r w:rsidR="007104F5">
        <w:t>s</w:t>
      </w:r>
      <w:r>
        <w:t xml:space="preserve"> </w:t>
      </w:r>
    </w:p>
    <w:p w14:paraId="1782D2D2" w14:textId="1798E7B1" w:rsidR="00642149" w:rsidRPr="00DD477A" w:rsidRDefault="53BF0693" w:rsidP="00B54999">
      <w:pPr>
        <w:pStyle w:val="Bullet1"/>
      </w:pPr>
      <w:r w:rsidRPr="00DD477A">
        <w:t>a breakdown of proposed amounts by State</w:t>
      </w:r>
      <w:r w:rsidR="00200055" w:rsidRPr="00DD477A">
        <w:t xml:space="preserve"> and/or </w:t>
      </w:r>
      <w:r w:rsidRPr="00DD477A">
        <w:t>Territory</w:t>
      </w:r>
      <w:r w:rsidR="00740CF9" w:rsidRPr="00DD477A">
        <w:t xml:space="preserve"> </w:t>
      </w:r>
    </w:p>
    <w:p w14:paraId="0BE34958" w14:textId="69EC9E01" w:rsidR="00926D45" w:rsidRPr="00DD477A" w:rsidRDefault="00903AB4" w:rsidP="00B54999">
      <w:pPr>
        <w:pStyle w:val="Bullet1"/>
      </w:pPr>
      <w:r w:rsidRPr="00DD477A">
        <w:t>i</w:t>
      </w:r>
      <w:r w:rsidR="004E28C0" w:rsidRPr="00DD477A">
        <w:t xml:space="preserve">nformation on </w:t>
      </w:r>
      <w:r w:rsidR="001D07E5" w:rsidRPr="00DD477A">
        <w:t xml:space="preserve">where to locate </w:t>
      </w:r>
      <w:r w:rsidR="00AD2D7D" w:rsidRPr="00DD477A">
        <w:t>the</w:t>
      </w:r>
      <w:r w:rsidR="53BF0693" w:rsidRPr="00DD477A">
        <w:t xml:space="preserve"> terms and conditions and the program guidelines and</w:t>
      </w:r>
    </w:p>
    <w:p w14:paraId="1D89AA93" w14:textId="603E91DA" w:rsidR="00926D45" w:rsidRPr="00DD477A" w:rsidRDefault="53BF0693" w:rsidP="00B54999">
      <w:pPr>
        <w:pStyle w:val="Bullet1"/>
      </w:pPr>
      <w:r w:rsidRPr="00DD477A">
        <w:t xml:space="preserve"> </w:t>
      </w:r>
      <w:r w:rsidR="00926D45" w:rsidRPr="00DD477A">
        <w:t>the statutory or other provisions under which the terms and conditions are made.</w:t>
      </w:r>
    </w:p>
    <w:p w14:paraId="26FABE20" w14:textId="2B86558E" w:rsidR="00A368E7" w:rsidRPr="00DD477A" w:rsidRDefault="53BF0693" w:rsidP="000A7DEC">
      <w:pPr>
        <w:rPr>
          <w:rFonts w:cs="Calibri"/>
        </w:rPr>
      </w:pPr>
      <w:r w:rsidRPr="00DD477A">
        <w:rPr>
          <w:rFonts w:cs="Calibri"/>
        </w:rPr>
        <w:t>An example is provided below.</w:t>
      </w:r>
    </w:p>
    <w:p w14:paraId="7154D9D2" w14:textId="14957A93" w:rsidR="00594DF7" w:rsidRPr="00DD477A" w:rsidRDefault="6B6EE5C4" w:rsidP="00A85E0D">
      <w:pPr>
        <w:pStyle w:val="Boxed2Text"/>
        <w:keepLines/>
        <w:spacing w:before="0" w:line="240" w:lineRule="auto"/>
        <w:rPr>
          <w:rStyle w:val="BodyTextChar"/>
          <w:rFonts w:cs="Calibri"/>
          <w:szCs w:val="28"/>
        </w:rPr>
      </w:pPr>
      <w:r w:rsidRPr="00DD477A">
        <w:rPr>
          <w:rStyle w:val="BodyTextChar"/>
          <w:rFonts w:cs="Calibri"/>
        </w:rPr>
        <w:t xml:space="preserve">(l) </w:t>
      </w:r>
      <w:r w:rsidR="00594DF7" w:rsidRPr="00DD477A">
        <w:rPr>
          <w:rStyle w:val="BodyTextChar"/>
          <w:rFonts w:cs="Calibri"/>
        </w:rPr>
        <w:t>Relates to appropriations sought for payment</w:t>
      </w:r>
      <w:r w:rsidR="00DA0EBC" w:rsidRPr="00DD477A">
        <w:rPr>
          <w:rStyle w:val="BodyTextChar"/>
          <w:rFonts w:cs="Calibri"/>
        </w:rPr>
        <w:t>s</w:t>
      </w:r>
      <w:r w:rsidR="00594DF7" w:rsidRPr="00DD477A">
        <w:rPr>
          <w:rStyle w:val="BodyTextChar"/>
          <w:rFonts w:cs="Calibri"/>
        </w:rPr>
        <w:t xml:space="preserve"> to the States, Territories and local government in </w:t>
      </w:r>
      <w:r w:rsidR="00594DF7" w:rsidRPr="00DD477A">
        <w:rPr>
          <w:rStyle w:val="BodyTextChar"/>
          <w:rFonts w:cs="Calibri"/>
          <w:iCs/>
        </w:rPr>
        <w:t>Appropriation Bill (No.</w:t>
      </w:r>
      <w:r w:rsidR="002C5521" w:rsidRPr="00DD477A">
        <w:rPr>
          <w:rStyle w:val="BodyTextChar"/>
          <w:rFonts w:cs="Calibri"/>
          <w:iCs/>
        </w:rPr>
        <w:t xml:space="preserve"> </w:t>
      </w:r>
      <w:r w:rsidR="00594DF7" w:rsidRPr="00DD477A">
        <w:rPr>
          <w:rStyle w:val="BodyTextChar"/>
          <w:rFonts w:cs="Calibri"/>
          <w:iCs/>
        </w:rPr>
        <w:t xml:space="preserve">2) </w:t>
      </w:r>
      <w:r w:rsidR="0005119C">
        <w:rPr>
          <w:rStyle w:val="BodyTextChar"/>
          <w:rFonts w:cs="Calibri"/>
          <w:iCs/>
        </w:rPr>
        <w:t>2026</w:t>
      </w:r>
      <w:r w:rsidR="00C917CE">
        <w:rPr>
          <w:rStyle w:val="BodyTextChar"/>
          <w:rFonts w:cs="Calibri"/>
          <w:iCs/>
        </w:rPr>
        <w:t>–</w:t>
      </w:r>
      <w:r w:rsidR="0005119C">
        <w:rPr>
          <w:rStyle w:val="BodyTextChar"/>
          <w:rFonts w:cs="Calibri"/>
          <w:iCs/>
        </w:rPr>
        <w:t>2027</w:t>
      </w:r>
      <w:r w:rsidR="00594DF7" w:rsidRPr="00DD477A">
        <w:rPr>
          <w:rStyle w:val="BodyTextChar"/>
          <w:rFonts w:cs="Calibri"/>
        </w:rPr>
        <w:t xml:space="preserve">. Outcome 1 - Program 1.2: Children and Schooling includes the National Partnership on Northern Territory Remote Aboriginal Investment (Non-Government Schools) with payments of $3.6 million to the Northern Territory in </w:t>
      </w:r>
      <w:r w:rsidR="00DC026B">
        <w:rPr>
          <w:rStyle w:val="BodyTextChar"/>
          <w:rFonts w:cs="Calibri"/>
        </w:rPr>
        <w:t>2026</w:t>
      </w:r>
      <w:r w:rsidR="00C917CE">
        <w:rPr>
          <w:rStyle w:val="BodyTextChar"/>
          <w:rFonts w:cs="Calibri"/>
        </w:rPr>
        <w:t>–</w:t>
      </w:r>
      <w:r w:rsidR="00DC026B">
        <w:rPr>
          <w:rStyle w:val="BodyTextChar"/>
          <w:rFonts w:cs="Calibri"/>
        </w:rPr>
        <w:t>27</w:t>
      </w:r>
      <w:r w:rsidR="00594DF7" w:rsidRPr="00DD477A">
        <w:rPr>
          <w:rStyle w:val="BodyTextChar"/>
          <w:rFonts w:cs="Calibri"/>
        </w:rPr>
        <w:t xml:space="preserve">. Information on the terms and conditions can be found in the </w:t>
      </w:r>
      <w:hyperlink r:id="rId81" w:history="1">
        <w:r w:rsidR="00D33B8E" w:rsidRPr="00DD477A">
          <w:rPr>
            <w:rStyle w:val="Hyperlink"/>
            <w:rFonts w:eastAsia="Cambria" w:cs="Calibri"/>
          </w:rPr>
          <w:t>National Partnership on Northern Territory remote aboriginal investment</w:t>
        </w:r>
      </w:hyperlink>
      <w:r w:rsidR="00250F9B" w:rsidRPr="00DD477A">
        <w:rPr>
          <w:rStyle w:val="BodyTextChar"/>
          <w:rFonts w:cs="Calibri"/>
        </w:rPr>
        <w:t>.</w:t>
      </w:r>
    </w:p>
    <w:p w14:paraId="0A392542" w14:textId="458C192B" w:rsidR="00B54712" w:rsidRPr="00DD477A" w:rsidRDefault="00594DF7" w:rsidP="00A85E0D">
      <w:pPr>
        <w:pStyle w:val="Boxed2Text"/>
        <w:keepLines/>
        <w:spacing w:before="0" w:after="0" w:line="240" w:lineRule="auto"/>
        <w:rPr>
          <w:rFonts w:cs="Calibri"/>
        </w:rPr>
      </w:pPr>
      <w:r w:rsidRPr="00DD477A">
        <w:rPr>
          <w:rStyle w:val="BodyTextChar"/>
          <w:rFonts w:cs="Calibri"/>
        </w:rPr>
        <w:t xml:space="preserve">Terms and conditions are made under authority from section 7(2) of the </w:t>
      </w:r>
      <w:r w:rsidR="005D4E9C">
        <w:rPr>
          <w:rStyle w:val="BodyTextChar"/>
          <w:rFonts w:cs="Calibri"/>
          <w:i/>
          <w:iCs/>
        </w:rPr>
        <w:t>Federation</w:t>
      </w:r>
      <w:r w:rsidR="005D4E9C" w:rsidRPr="00DD477A">
        <w:rPr>
          <w:rStyle w:val="BodyTextChar"/>
          <w:rFonts w:cs="Calibri"/>
          <w:i/>
          <w:iCs/>
        </w:rPr>
        <w:t xml:space="preserve"> </w:t>
      </w:r>
      <w:r w:rsidRPr="00DD477A">
        <w:rPr>
          <w:rStyle w:val="BodyTextChar"/>
          <w:rFonts w:cs="Calibri"/>
          <w:i/>
          <w:iCs/>
        </w:rPr>
        <w:t>Reform Fund Act 2008</w:t>
      </w:r>
      <w:r w:rsidRPr="00DD477A">
        <w:rPr>
          <w:rStyle w:val="BodyTextChar"/>
          <w:rFonts w:cs="Calibri"/>
        </w:rPr>
        <w:t xml:space="preserve"> and the Intergovernmental Agreement on Federal Financial Relations.</w:t>
      </w:r>
    </w:p>
    <w:p w14:paraId="25F4078D" w14:textId="36ED5C3F" w:rsidR="00DB7808" w:rsidRPr="00DD477A" w:rsidRDefault="00DB7808" w:rsidP="003D6589">
      <w:pPr>
        <w:pStyle w:val="Heading2"/>
      </w:pPr>
      <w:bookmarkStart w:id="843" w:name="_Toc30405565"/>
      <w:bookmarkStart w:id="844" w:name="_Toc30581306"/>
      <w:bookmarkStart w:id="845" w:name="_Toc32829968"/>
      <w:bookmarkStart w:id="846" w:name="_Toc32917475"/>
      <w:bookmarkStart w:id="847" w:name="_Toc32918281"/>
      <w:bookmarkStart w:id="848" w:name="_Toc32999664"/>
      <w:bookmarkStart w:id="849" w:name="_Toc33099383"/>
      <w:bookmarkStart w:id="850" w:name="_Toc47369876"/>
      <w:bookmarkStart w:id="851" w:name="_Toc47369877"/>
      <w:bookmarkStart w:id="852" w:name="_Toc227749020"/>
      <w:bookmarkEnd w:id="843"/>
      <w:bookmarkEnd w:id="844"/>
      <w:bookmarkEnd w:id="845"/>
      <w:bookmarkEnd w:id="846"/>
      <w:bookmarkEnd w:id="847"/>
      <w:bookmarkEnd w:id="848"/>
      <w:bookmarkEnd w:id="849"/>
      <w:bookmarkEnd w:id="850"/>
      <w:bookmarkEnd w:id="851"/>
      <w:r w:rsidRPr="00DD477A">
        <w:t>Additional guidance on cash management reports an</w:t>
      </w:r>
      <w:r w:rsidR="00F35733">
        <w:t>d</w:t>
      </w:r>
      <w:r w:rsidR="00142BE4">
        <w:t xml:space="preserve"> </w:t>
      </w:r>
      <w:r w:rsidR="00D87CD3" w:rsidRPr="00DD477A">
        <w:t>A</w:t>
      </w:r>
      <w:r w:rsidRPr="00DD477A">
        <w:t xml:space="preserve">ppropriation </w:t>
      </w:r>
      <w:r w:rsidR="00D87CD3" w:rsidRPr="00DD477A">
        <w:t>B</w:t>
      </w:r>
      <w:r w:rsidRPr="00DD477A">
        <w:t>ills</w:t>
      </w:r>
      <w:bookmarkEnd w:id="852"/>
    </w:p>
    <w:p w14:paraId="1B856E5D" w14:textId="1BECC4E1" w:rsidR="005E0AF6" w:rsidRPr="00DD477A" w:rsidRDefault="005E0AF6" w:rsidP="005E0AF6">
      <w:pPr>
        <w:rPr>
          <w:rFonts w:cs="Calibri"/>
        </w:rPr>
      </w:pPr>
      <w:r w:rsidRPr="00DD477A">
        <w:rPr>
          <w:rStyle w:val="BodyTextChar"/>
          <w:rFonts w:cs="Calibri"/>
        </w:rPr>
        <w:t xml:space="preserve">The appropriation estimates recorded in CBMS in the </w:t>
      </w:r>
      <w:r w:rsidR="0069035D" w:rsidRPr="00DD477A">
        <w:rPr>
          <w:rStyle w:val="BodyTextChar"/>
          <w:rFonts w:cs="Calibri"/>
        </w:rPr>
        <w:t xml:space="preserve">Annual Estimates </w:t>
      </w:r>
      <w:r w:rsidRPr="00DD477A">
        <w:rPr>
          <w:rStyle w:val="BodyTextChar"/>
          <w:rFonts w:cs="Calibri"/>
        </w:rPr>
        <w:t>module are used to create the Appropriation Bills.</w:t>
      </w:r>
    </w:p>
    <w:p w14:paraId="68E79E0E" w14:textId="562B5E9B" w:rsidR="005E0AF6" w:rsidRPr="00DD477A" w:rsidRDefault="005E0AF6" w:rsidP="005E0AF6">
      <w:pPr>
        <w:rPr>
          <w:rStyle w:val="BodyTextChar"/>
          <w:rFonts w:cs="Calibri"/>
        </w:rPr>
      </w:pPr>
      <w:r w:rsidRPr="00DD477A">
        <w:rPr>
          <w:rStyle w:val="BodyTextChar"/>
          <w:rFonts w:cs="Calibri"/>
        </w:rPr>
        <w:t xml:space="preserve">When an Appropriation Bill </w:t>
      </w:r>
      <w:r w:rsidR="0069035D" w:rsidRPr="00DD477A">
        <w:rPr>
          <w:rStyle w:val="BodyTextChar"/>
          <w:rFonts w:cs="Calibri"/>
        </w:rPr>
        <w:t xml:space="preserve">receives </w:t>
      </w:r>
      <w:r w:rsidRPr="00DD477A">
        <w:rPr>
          <w:rStyle w:val="BodyTextChar"/>
          <w:rFonts w:cs="Calibri"/>
        </w:rPr>
        <w:t xml:space="preserve">Royal Assent and becomes an Appropriation Act, the values captured in the </w:t>
      </w:r>
      <w:r w:rsidR="0069035D" w:rsidRPr="00DD477A">
        <w:rPr>
          <w:rStyle w:val="BodyTextChar"/>
          <w:rFonts w:cs="Calibri"/>
        </w:rPr>
        <w:t xml:space="preserve">Annual Estimates </w:t>
      </w:r>
      <w:r w:rsidRPr="00DD477A">
        <w:rPr>
          <w:rStyle w:val="BodyTextChar"/>
          <w:rFonts w:cs="Calibri"/>
        </w:rPr>
        <w:t>module are then used as the Appropriation Limits in the CBMS Cash Management module. Appropriation limits are treated as ‘Hard’ or ‘Soft’ depending on their outcome requirements and/or other legal restrictions.</w:t>
      </w:r>
    </w:p>
    <w:p w14:paraId="18A768BD" w14:textId="2AAE5034" w:rsidR="005E0AF6" w:rsidRPr="00DD477A" w:rsidRDefault="005E0AF6" w:rsidP="005E0AF6">
      <w:pPr>
        <w:rPr>
          <w:rStyle w:val="BodyTextChar"/>
          <w:rFonts w:cs="Calibri"/>
        </w:rPr>
      </w:pPr>
      <w:r w:rsidRPr="00DD477A">
        <w:rPr>
          <w:rStyle w:val="BodyTextChar"/>
          <w:rFonts w:cs="Calibri"/>
        </w:rPr>
        <w:t xml:space="preserve">A ‘hard limit’ is a limit that cannot be exceeded with a drawdown because </w:t>
      </w:r>
      <w:r w:rsidR="00E94F06" w:rsidRPr="00DD477A">
        <w:rPr>
          <w:rStyle w:val="BodyTextChar"/>
          <w:rFonts w:cs="Calibri"/>
        </w:rPr>
        <w:t xml:space="preserve">it </w:t>
      </w:r>
      <w:r w:rsidRPr="00DD477A">
        <w:rPr>
          <w:rStyle w:val="BodyTextChar"/>
          <w:rFonts w:cs="Calibri"/>
        </w:rPr>
        <w:t>is a legally appropriated amount, adjusted for changes authorised in law</w:t>
      </w:r>
      <w:r w:rsidR="00E94F06" w:rsidRPr="00DD477A">
        <w:rPr>
          <w:rStyle w:val="BodyTextChar"/>
          <w:rFonts w:cs="Calibri"/>
        </w:rPr>
        <w:t xml:space="preserve">. </w:t>
      </w:r>
      <w:r w:rsidR="002B31DC" w:rsidRPr="00DD477A">
        <w:rPr>
          <w:rStyle w:val="BodyTextChar"/>
          <w:rFonts w:cs="Calibri"/>
        </w:rPr>
        <w:t>Adjustments can include</w:t>
      </w:r>
      <w:r w:rsidRPr="00DD477A">
        <w:rPr>
          <w:rStyle w:val="BodyTextChar"/>
          <w:rFonts w:cs="Calibri"/>
        </w:rPr>
        <w:t xml:space="preserve"> transfers as a result of MoG changes </w:t>
      </w:r>
      <w:r w:rsidR="002B31DC" w:rsidRPr="00DD477A">
        <w:rPr>
          <w:rStyle w:val="BodyTextChar"/>
          <w:rFonts w:cs="Calibri"/>
        </w:rPr>
        <w:t>(</w:t>
      </w:r>
      <w:r w:rsidRPr="00DD477A">
        <w:rPr>
          <w:rStyle w:val="BodyTextChar"/>
          <w:rFonts w:cs="Calibri"/>
        </w:rPr>
        <w:t>under section 75 of the PGPA Act</w:t>
      </w:r>
      <w:r w:rsidR="002B31DC" w:rsidRPr="00DD477A">
        <w:rPr>
          <w:rStyle w:val="BodyTextChar"/>
          <w:rFonts w:cs="Calibri"/>
        </w:rPr>
        <w:t>)</w:t>
      </w:r>
      <w:r w:rsidRPr="00DD477A">
        <w:rPr>
          <w:rStyle w:val="BodyTextChar"/>
          <w:rFonts w:cs="Calibri"/>
        </w:rPr>
        <w:t xml:space="preserve">, external revenue </w:t>
      </w:r>
      <w:r w:rsidR="002B31DC" w:rsidRPr="00DD477A">
        <w:rPr>
          <w:rStyle w:val="BodyTextChar"/>
          <w:rFonts w:cs="Calibri"/>
        </w:rPr>
        <w:t>(</w:t>
      </w:r>
      <w:r w:rsidRPr="00DD477A">
        <w:rPr>
          <w:rStyle w:val="BodyTextChar"/>
          <w:rFonts w:cs="Calibri"/>
        </w:rPr>
        <w:t>under section 74 of the PGPA Act</w:t>
      </w:r>
      <w:r w:rsidR="002B31DC" w:rsidRPr="00DD477A">
        <w:rPr>
          <w:rStyle w:val="BodyTextChar"/>
          <w:rFonts w:cs="Calibri"/>
        </w:rPr>
        <w:t>)</w:t>
      </w:r>
      <w:r w:rsidRPr="00DD477A">
        <w:rPr>
          <w:rStyle w:val="BodyTextChar"/>
          <w:rFonts w:cs="Calibri"/>
        </w:rPr>
        <w:t xml:space="preserve">, </w:t>
      </w:r>
      <w:r w:rsidR="0069035D" w:rsidRPr="00DD477A">
        <w:rPr>
          <w:rStyle w:val="BodyTextChar"/>
          <w:rFonts w:cs="Calibri"/>
        </w:rPr>
        <w:t xml:space="preserve">withholdings </w:t>
      </w:r>
      <w:r w:rsidRPr="00DD477A">
        <w:rPr>
          <w:rStyle w:val="BodyTextChar"/>
          <w:rFonts w:cs="Calibri"/>
        </w:rPr>
        <w:t xml:space="preserve">by the </w:t>
      </w:r>
      <w:r w:rsidR="009C007F" w:rsidRPr="00DD477A">
        <w:rPr>
          <w:rStyle w:val="BodyTextChar"/>
          <w:rFonts w:cs="Calibri"/>
        </w:rPr>
        <w:t>Minister for Finance</w:t>
      </w:r>
      <w:r w:rsidR="0069035D" w:rsidRPr="00DD477A">
        <w:rPr>
          <w:rStyle w:val="BodyTextChar"/>
          <w:rFonts w:cs="Calibri"/>
        </w:rPr>
        <w:t xml:space="preserve"> (under section 51 of the PGPA Act)</w:t>
      </w:r>
      <w:r w:rsidR="009206C0" w:rsidRPr="00DD477A">
        <w:rPr>
          <w:rStyle w:val="BodyTextChar"/>
          <w:rFonts w:cs="Calibri"/>
        </w:rPr>
        <w:t>,</w:t>
      </w:r>
      <w:r w:rsidRPr="00DD477A">
        <w:rPr>
          <w:rStyle w:val="BodyTextChar"/>
          <w:rFonts w:cs="Calibri"/>
        </w:rPr>
        <w:t xml:space="preserve"> or Advances to the Minister for Finance (AFM).</w:t>
      </w:r>
      <w:r w:rsidR="0069035D" w:rsidRPr="00DD477A">
        <w:rPr>
          <w:rStyle w:val="BodyTextChar"/>
          <w:rFonts w:cs="Calibri"/>
        </w:rPr>
        <w:t xml:space="preserve"> Please see</w:t>
      </w:r>
      <w:r w:rsidR="00F35384" w:rsidRPr="00DD477A">
        <w:rPr>
          <w:rStyle w:val="BodyTextChar"/>
          <w:rFonts w:cs="Calibri"/>
        </w:rPr>
        <w:t xml:space="preserve"> </w:t>
      </w:r>
      <w:r w:rsidR="0006513F" w:rsidRPr="00892E30">
        <w:t xml:space="preserve">section 40 of the </w:t>
      </w:r>
      <w:hyperlink r:id="rId82" w:history="1">
        <w:r w:rsidR="0006513F" w:rsidRPr="00892E30">
          <w:rPr>
            <w:rStyle w:val="Hyperlink"/>
            <w:rFonts w:eastAsia="Cambria" w:cs="Calibri"/>
            <w:i/>
            <w:iCs/>
          </w:rPr>
          <w:t>Public Governance, Performance and Accountability (Financial Reporting) Rule 2015</w:t>
        </w:r>
      </w:hyperlink>
      <w:r w:rsidR="00F35384" w:rsidRPr="00DD477A">
        <w:rPr>
          <w:rStyle w:val="BodyTextChar"/>
          <w:rFonts w:cs="Calibri"/>
        </w:rPr>
        <w:t xml:space="preserve"> </w:t>
      </w:r>
      <w:r w:rsidR="001A0595" w:rsidRPr="00DD477A">
        <w:rPr>
          <w:rStyle w:val="BodyTextChar"/>
          <w:rFonts w:cs="Calibri"/>
        </w:rPr>
        <w:t xml:space="preserve">(FRR) </w:t>
      </w:r>
      <w:r w:rsidR="00F35384" w:rsidRPr="009E5625">
        <w:rPr>
          <w:rStyle w:val="BodyTextChar"/>
          <w:rFonts w:cs="Calibri"/>
        </w:rPr>
        <w:t xml:space="preserve">and </w:t>
      </w:r>
      <w:hyperlink r:id="rId83" w:history="1">
        <w:r w:rsidR="00F35384" w:rsidRPr="009E5625">
          <w:rPr>
            <w:rStyle w:val="Hyperlink"/>
            <w:rFonts w:eastAsia="Cambria" w:cs="Calibri"/>
          </w:rPr>
          <w:t xml:space="preserve">RMG 116 </w:t>
        </w:r>
        <w:r w:rsidR="00F35384" w:rsidRPr="009E5625">
          <w:rPr>
            <w:rStyle w:val="Hyperlink"/>
            <w:rFonts w:cs="Calibri"/>
          </w:rPr>
          <w:t>Accounting for Annual Appropriations</w:t>
        </w:r>
      </w:hyperlink>
      <w:r w:rsidR="00F35384" w:rsidRPr="009E5625">
        <w:rPr>
          <w:rStyle w:val="BodyTextChar"/>
          <w:rFonts w:cs="Calibri"/>
        </w:rPr>
        <w:t xml:space="preserve"> for information</w:t>
      </w:r>
      <w:r w:rsidR="00F35384" w:rsidRPr="00DD477A">
        <w:rPr>
          <w:rStyle w:val="BodyTextChar"/>
          <w:rFonts w:cs="Calibri"/>
        </w:rPr>
        <w:t xml:space="preserve"> on ‘formal additions’ to appropriations.</w:t>
      </w:r>
    </w:p>
    <w:p w14:paraId="31598DF5" w14:textId="245F0B78" w:rsidR="00894C7E" w:rsidRPr="00DD477A" w:rsidRDefault="00894C7E" w:rsidP="005E0AF6">
      <w:pPr>
        <w:rPr>
          <w:rStyle w:val="BodyTextChar"/>
          <w:rFonts w:cs="Calibri"/>
        </w:rPr>
      </w:pPr>
      <w:r w:rsidRPr="00DD477A">
        <w:rPr>
          <w:rStyle w:val="BodyTextChar"/>
          <w:rFonts w:cs="Calibri"/>
        </w:rPr>
        <w:t>A hard limit is equal to</w:t>
      </w:r>
      <w:r w:rsidR="00B06A2C">
        <w:rPr>
          <w:rStyle w:val="BodyTextChar"/>
          <w:rFonts w:cs="Calibri"/>
        </w:rPr>
        <w:t>:</w:t>
      </w:r>
    </w:p>
    <w:p w14:paraId="6969D27B" w14:textId="36C24A6D" w:rsidR="005E0AF6" w:rsidRPr="00DD477A" w:rsidRDefault="005E0AF6" w:rsidP="00B54999">
      <w:pPr>
        <w:pStyle w:val="Bullet1"/>
        <w:rPr>
          <w:rStyle w:val="BodyTextChar"/>
          <w:rFonts w:cs="Calibri"/>
        </w:rPr>
      </w:pPr>
      <w:r w:rsidRPr="00DD477A">
        <w:rPr>
          <w:rStyle w:val="BodyTextChar"/>
          <w:rFonts w:cs="Calibri"/>
        </w:rPr>
        <w:t>the total amount appropriated for the entity</w:t>
      </w:r>
      <w:r w:rsidR="00C15CCF" w:rsidRPr="00DD477A">
        <w:rPr>
          <w:rStyle w:val="BodyTextChar"/>
          <w:rFonts w:cs="Calibri"/>
        </w:rPr>
        <w:t xml:space="preserve"> for departmental appropriations</w:t>
      </w:r>
      <w:r w:rsidR="00F800AE" w:rsidRPr="00DD477A">
        <w:rPr>
          <w:rStyle w:val="BodyTextChar"/>
          <w:rFonts w:cs="Calibri"/>
        </w:rPr>
        <w:t xml:space="preserve"> by item listed in the Appropriation Acts</w:t>
      </w:r>
      <w:r w:rsidR="000919BD" w:rsidRPr="00DD477A">
        <w:rPr>
          <w:rStyle w:val="BodyTextChar"/>
          <w:rFonts w:cs="Calibri"/>
        </w:rPr>
        <w:t xml:space="preserve"> and</w:t>
      </w:r>
    </w:p>
    <w:p w14:paraId="1BBC9EE3" w14:textId="5BADDEAE" w:rsidR="005E0AF6" w:rsidRPr="00DD477A" w:rsidRDefault="005E0AF6" w:rsidP="00B54999">
      <w:pPr>
        <w:pStyle w:val="Bullet1"/>
        <w:rPr>
          <w:rStyle w:val="BodyTextChar"/>
          <w:rFonts w:cs="Calibri"/>
        </w:rPr>
      </w:pPr>
      <w:r w:rsidRPr="00DD477A">
        <w:rPr>
          <w:rStyle w:val="BodyTextChar"/>
          <w:rFonts w:cs="Calibri"/>
        </w:rPr>
        <w:t>the amount provided for each outcome</w:t>
      </w:r>
      <w:r w:rsidR="00023D10" w:rsidRPr="00DD477A">
        <w:rPr>
          <w:rStyle w:val="BodyTextChar"/>
          <w:rFonts w:cs="Calibri"/>
        </w:rPr>
        <w:t xml:space="preserve"> for administered appropriations</w:t>
      </w:r>
      <w:r w:rsidR="001831E3" w:rsidRPr="00DD477A">
        <w:rPr>
          <w:rStyle w:val="BodyTextChar"/>
          <w:rFonts w:cs="Calibri"/>
        </w:rPr>
        <w:t xml:space="preserve"> or</w:t>
      </w:r>
      <w:r w:rsidR="00F800AE" w:rsidRPr="00DD477A">
        <w:rPr>
          <w:rStyle w:val="BodyTextChar"/>
          <w:rFonts w:cs="Calibri"/>
        </w:rPr>
        <w:t xml:space="preserve"> </w:t>
      </w:r>
      <w:r w:rsidR="001831E3" w:rsidRPr="00DD477A">
        <w:rPr>
          <w:rStyle w:val="BodyTextChar"/>
          <w:rFonts w:cs="Calibri"/>
        </w:rPr>
        <w:t xml:space="preserve">each other administered </w:t>
      </w:r>
      <w:r w:rsidR="00F800AE" w:rsidRPr="00DD477A">
        <w:rPr>
          <w:rStyle w:val="BodyTextChar"/>
          <w:rFonts w:cs="Calibri"/>
        </w:rPr>
        <w:t>item listed in the Appropriation Acts</w:t>
      </w:r>
      <w:r w:rsidRPr="00DD477A">
        <w:rPr>
          <w:rStyle w:val="BodyTextChar"/>
          <w:rFonts w:cs="Calibri"/>
        </w:rPr>
        <w:t xml:space="preserve">. </w:t>
      </w:r>
    </w:p>
    <w:p w14:paraId="13D2C3E8" w14:textId="57608EB4" w:rsidR="00DE4026" w:rsidRPr="00DD477A" w:rsidRDefault="005E0AF6" w:rsidP="0095670F">
      <w:r w:rsidRPr="00DD477A">
        <w:rPr>
          <w:rStyle w:val="BodyTextChar"/>
          <w:rFonts w:cs="Calibri"/>
        </w:rPr>
        <w:t xml:space="preserve">A ‘soft limit’ is the limit against a portion of the hard limit after it is allocated to a program (i.e., administered operating) or outcome (i.e., departmental operating). </w:t>
      </w:r>
      <w:r w:rsidR="00BB61EE" w:rsidRPr="00DD477A">
        <w:rPr>
          <w:rStyle w:val="BodyTextChar"/>
          <w:rFonts w:cs="Calibri"/>
        </w:rPr>
        <w:t>Soft</w:t>
      </w:r>
      <w:r w:rsidRPr="00DD477A">
        <w:rPr>
          <w:rStyle w:val="BodyTextChar"/>
          <w:rFonts w:cs="Calibri"/>
        </w:rPr>
        <w:t xml:space="preserve"> limits can be exceeded with a drawdown, providing they do not exceed the hard limit. Soft limits can be adjusted on request from entities (though they generally reflect splits identified in PB Statements or PAES).</w:t>
      </w:r>
    </w:p>
    <w:p w14:paraId="56CDBC3F" w14:textId="3844AC27" w:rsidR="00077D9C" w:rsidRPr="00DD477A" w:rsidRDefault="00077D9C" w:rsidP="003D6589">
      <w:pPr>
        <w:pStyle w:val="Heading2"/>
      </w:pPr>
      <w:bookmarkStart w:id="853" w:name="_Toc227749021"/>
      <w:r w:rsidRPr="00DD477A">
        <w:t xml:space="preserve">Resource statement </w:t>
      </w:r>
      <w:r w:rsidR="00473D66" w:rsidRPr="00DD477A">
        <w:t>- Table 1.1</w:t>
      </w:r>
      <w:bookmarkEnd w:id="853"/>
    </w:p>
    <w:p w14:paraId="78C5F622" w14:textId="44BD1DAC" w:rsidR="00607418" w:rsidRPr="00DD477A" w:rsidRDefault="003519AB" w:rsidP="00F301F1">
      <w:pPr>
        <w:rPr>
          <w:rFonts w:cs="Calibri"/>
        </w:rPr>
      </w:pPr>
      <w:bookmarkStart w:id="854" w:name="_Ref61532163"/>
      <w:bookmarkStart w:id="855" w:name="_Ref61532167"/>
      <w:bookmarkStart w:id="856" w:name="_Toc63347704"/>
      <w:r w:rsidRPr="00DD477A">
        <w:rPr>
          <w:rFonts w:eastAsia="Cambria" w:cs="Calibri"/>
          <w:noProof/>
        </w:rPr>
        <w:drawing>
          <wp:inline distT="0" distB="0" distL="0" distR="0" wp14:anchorId="164E2D29" wp14:editId="42D576ED">
            <wp:extent cx="6090920" cy="1159017"/>
            <wp:effectExtent l="0" t="0" r="5080" b="0"/>
            <wp:docPr id="948700781" name="Diagram 9487007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14:paraId="54668675" w14:textId="7B74D046" w:rsidR="00607418" w:rsidRPr="00DD477A" w:rsidRDefault="00607418" w:rsidP="00F301F1">
      <w:pPr>
        <w:rPr>
          <w:rFonts w:cs="Calibri"/>
        </w:rPr>
      </w:pPr>
      <w:r w:rsidRPr="00DD477A">
        <w:rPr>
          <w:rFonts w:cs="Calibri"/>
        </w:rPr>
        <w:t>Appropriation information in Table 1.1 must be sourced from CBMS and an entity’s annual report and should be consistent with information captured in an entity’s FMIS.</w:t>
      </w:r>
    </w:p>
    <w:p w14:paraId="3053DF1B" w14:textId="30323225" w:rsidR="004D65F0" w:rsidRPr="00DD477A" w:rsidRDefault="004D65F0" w:rsidP="003D6589">
      <w:pPr>
        <w:pStyle w:val="Heading2"/>
      </w:pPr>
      <w:bookmarkStart w:id="857" w:name="_Toc227749022"/>
      <w:r w:rsidRPr="00DD477A">
        <w:t>Annual Appropriations – ordinary annual services</w:t>
      </w:r>
      <w:bookmarkEnd w:id="857"/>
    </w:p>
    <w:p w14:paraId="051A71D7" w14:textId="7C479C99" w:rsidR="00CE43AD" w:rsidRPr="00DD477A" w:rsidRDefault="004D65F0" w:rsidP="00CE43AD">
      <w:pPr>
        <w:rPr>
          <w:rFonts w:cs="Calibri"/>
        </w:rPr>
      </w:pPr>
      <w:r w:rsidRPr="00DD477A">
        <w:rPr>
          <w:rStyle w:val="BodyTextChar"/>
          <w:rFonts w:cs="Calibri"/>
        </w:rPr>
        <w:t xml:space="preserve">The </w:t>
      </w:r>
      <w:r w:rsidRPr="00DD477A">
        <w:rPr>
          <w:rStyle w:val="BodyTextChar"/>
          <w:rFonts w:cs="Calibri"/>
          <w:b/>
          <w:bCs/>
        </w:rPr>
        <w:t>Annual Appropriations – ordinary annual services</w:t>
      </w:r>
      <w:r w:rsidRPr="00DD477A">
        <w:rPr>
          <w:rStyle w:val="BodyTextChar"/>
          <w:rFonts w:cs="Calibri"/>
        </w:rPr>
        <w:t xml:space="preserve"> reflect the amount appropriated to the entity in the relevant year. </w:t>
      </w:r>
      <w:r w:rsidR="00CE43AD" w:rsidRPr="00DD477A">
        <w:rPr>
          <w:rFonts w:cs="Calibri"/>
        </w:rPr>
        <w:t xml:space="preserve">For administered, the Annual Appropriations is split into </w:t>
      </w:r>
      <w:r w:rsidR="00935F0E" w:rsidRPr="0014243A">
        <w:rPr>
          <w:rFonts w:cs="Calibri"/>
          <w:b/>
          <w:bCs/>
        </w:rPr>
        <w:t>o</w:t>
      </w:r>
      <w:r w:rsidR="00CE43AD" w:rsidRPr="0014243A">
        <w:rPr>
          <w:rFonts w:cs="Calibri"/>
          <w:b/>
          <w:bCs/>
        </w:rPr>
        <w:t>utcome</w:t>
      </w:r>
      <w:r w:rsidR="00CE43AD" w:rsidRPr="00DD477A">
        <w:rPr>
          <w:rFonts w:cs="Calibri"/>
        </w:rPr>
        <w:t xml:space="preserve"> figures.</w:t>
      </w:r>
    </w:p>
    <w:p w14:paraId="1CA2D060" w14:textId="628E0252" w:rsidR="004D65F0" w:rsidRPr="00DD477A" w:rsidRDefault="004D65F0" w:rsidP="004D65F0">
      <w:pPr>
        <w:rPr>
          <w:rStyle w:val="BodyTextChar"/>
          <w:rFonts w:cs="Calibri"/>
        </w:rPr>
      </w:pPr>
      <w:r w:rsidRPr="00DD477A">
        <w:rPr>
          <w:rStyle w:val="BodyTextChar"/>
          <w:rFonts w:cs="Calibri"/>
        </w:rPr>
        <w:t>The amount is made up of:</w:t>
      </w:r>
    </w:p>
    <w:p w14:paraId="1EB06B0D" w14:textId="034656E9" w:rsidR="00C119E0" w:rsidRPr="00157BAB" w:rsidRDefault="00C119E0" w:rsidP="00B54999">
      <w:pPr>
        <w:pStyle w:val="Bullet1"/>
        <w:rPr>
          <w:rStyle w:val="BodyTextChar"/>
          <w:rFonts w:cs="Calibri"/>
        </w:rPr>
      </w:pPr>
      <w:r w:rsidRPr="00157BAB">
        <w:rPr>
          <w:rStyle w:val="BodyTextChar"/>
          <w:rFonts w:cs="Calibri"/>
        </w:rPr>
        <w:t>Amounts appropriated through Appropriation Bill 1</w:t>
      </w:r>
      <w:r w:rsidR="004A2AFB">
        <w:rPr>
          <w:rStyle w:val="BodyTextChar"/>
          <w:rFonts w:cs="Calibri"/>
        </w:rPr>
        <w:t xml:space="preserve"> and Supply Acts as required</w:t>
      </w:r>
    </w:p>
    <w:p w14:paraId="00F7FE58" w14:textId="70BC879D" w:rsidR="0090051A" w:rsidRPr="00DD477A" w:rsidRDefault="0090051A" w:rsidP="00A85E0D">
      <w:pPr>
        <w:pStyle w:val="Bullet2"/>
        <w:rPr>
          <w:rStyle w:val="BodyTextChar"/>
          <w:rFonts w:cs="Calibri"/>
        </w:rPr>
      </w:pPr>
      <w:r w:rsidRPr="00DD477A">
        <w:rPr>
          <w:rStyle w:val="BodyTextChar"/>
          <w:rFonts w:cs="Calibri"/>
          <w:b/>
          <w:bCs/>
        </w:rPr>
        <w:t>Include</w:t>
      </w:r>
      <w:r w:rsidRPr="00DD477A">
        <w:rPr>
          <w:rStyle w:val="BodyTextChar"/>
          <w:rFonts w:cs="Calibri"/>
        </w:rPr>
        <w:t xml:space="preserve"> </w:t>
      </w:r>
      <w:r w:rsidR="005929D4">
        <w:rPr>
          <w:rStyle w:val="BodyTextChar"/>
          <w:rFonts w:cs="Calibri"/>
        </w:rPr>
        <w:t>Advance to the Finance Minister (</w:t>
      </w:r>
      <w:r w:rsidRPr="00DD477A">
        <w:rPr>
          <w:rStyle w:val="BodyTextChar"/>
          <w:rFonts w:cs="Calibri"/>
        </w:rPr>
        <w:t>AFM</w:t>
      </w:r>
      <w:r w:rsidR="005929D4">
        <w:rPr>
          <w:rStyle w:val="BodyTextChar"/>
          <w:rFonts w:cs="Calibri"/>
        </w:rPr>
        <w:t>)</w:t>
      </w:r>
    </w:p>
    <w:p w14:paraId="4F669E3B" w14:textId="624FA53F" w:rsidR="0090051A" w:rsidRPr="00DD477A" w:rsidRDefault="0090051A" w:rsidP="00A85E0D">
      <w:pPr>
        <w:pStyle w:val="Bullet2"/>
        <w:rPr>
          <w:rStyle w:val="BodyTextChar"/>
          <w:rFonts w:cs="Calibri"/>
        </w:rPr>
      </w:pPr>
      <w:r w:rsidRPr="00DD477A">
        <w:rPr>
          <w:rStyle w:val="BodyTextChar"/>
          <w:rFonts w:cs="Calibri"/>
          <w:b/>
          <w:bCs/>
        </w:rPr>
        <w:t>Include / exclude</w:t>
      </w:r>
      <w:r w:rsidRPr="00DD477A">
        <w:rPr>
          <w:rStyle w:val="BodyTextChar"/>
          <w:rFonts w:cs="Calibri"/>
        </w:rPr>
        <w:t xml:space="preserve"> </w:t>
      </w:r>
      <w:r w:rsidR="00C73BF4" w:rsidRPr="00DD477A">
        <w:rPr>
          <w:rStyle w:val="BodyTextChar"/>
          <w:rFonts w:cs="Calibri"/>
        </w:rPr>
        <w:t>s7</w:t>
      </w:r>
      <w:r w:rsidR="00C73BF4">
        <w:rPr>
          <w:rStyle w:val="BodyTextChar"/>
          <w:rFonts w:cs="Calibri"/>
        </w:rPr>
        <w:t>5</w:t>
      </w:r>
      <w:r w:rsidR="00C73BF4" w:rsidRPr="00DD477A">
        <w:rPr>
          <w:rStyle w:val="BodyTextChar"/>
          <w:rFonts w:cs="Calibri"/>
        </w:rPr>
        <w:t xml:space="preserve"> </w:t>
      </w:r>
      <w:r w:rsidR="00775804">
        <w:rPr>
          <w:rStyle w:val="BodyTextChar"/>
          <w:rFonts w:cs="Calibri"/>
        </w:rPr>
        <w:t>transfers</w:t>
      </w:r>
      <w:r w:rsidRPr="00DD477A">
        <w:rPr>
          <w:rStyle w:val="BodyTextChar"/>
          <w:rFonts w:cs="Calibri"/>
        </w:rPr>
        <w:t xml:space="preserve"> as a result of MoG changes</w:t>
      </w:r>
    </w:p>
    <w:p w14:paraId="7FF686DB" w14:textId="5859DA84" w:rsidR="0090051A" w:rsidRPr="00DD477A" w:rsidRDefault="0090051A" w:rsidP="00A85E0D">
      <w:pPr>
        <w:pStyle w:val="Bullet2"/>
        <w:rPr>
          <w:rStyle w:val="BodyTextChar"/>
          <w:rFonts w:cs="Calibri"/>
        </w:rPr>
      </w:pPr>
      <w:r w:rsidRPr="00DD477A">
        <w:rPr>
          <w:rStyle w:val="BodyTextChar"/>
          <w:rFonts w:cs="Calibri"/>
          <w:b/>
          <w:bCs/>
        </w:rPr>
        <w:t>Exclude</w:t>
      </w:r>
      <w:r w:rsidRPr="00DD477A">
        <w:rPr>
          <w:rStyle w:val="BodyTextChar"/>
          <w:rFonts w:cs="Calibri"/>
        </w:rPr>
        <w:t xml:space="preserve"> any withholdings under s51 of the PGPA Act (such as for foreign exchange movements, savings measures, movement of funds and re</w:t>
      </w:r>
      <w:r w:rsidR="00F8520D">
        <w:rPr>
          <w:rStyle w:val="BodyTextChar"/>
          <w:rFonts w:cs="Calibri"/>
        </w:rPr>
        <w:t>classifications</w:t>
      </w:r>
      <w:r w:rsidRPr="00DD477A">
        <w:rPr>
          <w:rStyle w:val="BodyTextChar"/>
          <w:rFonts w:cs="Calibri"/>
        </w:rPr>
        <w:t>)</w:t>
      </w:r>
      <w:r w:rsidR="002D5A5E" w:rsidRPr="00DD477A">
        <w:rPr>
          <w:rStyle w:val="BodyTextChar"/>
          <w:rFonts w:cs="Calibri"/>
        </w:rPr>
        <w:t xml:space="preserve"> and</w:t>
      </w:r>
    </w:p>
    <w:p w14:paraId="5DA6AD43" w14:textId="55F17240" w:rsidR="0090051A" w:rsidRPr="00D10BDF" w:rsidRDefault="0090051A" w:rsidP="00D10BDF">
      <w:pPr>
        <w:pStyle w:val="Bullet2"/>
        <w:rPr>
          <w:rStyle w:val="BodyTextChar"/>
          <w:rFonts w:cs="Calibri"/>
        </w:rPr>
      </w:pPr>
      <w:r w:rsidRPr="00DD477A">
        <w:rPr>
          <w:rStyle w:val="BodyTextChar"/>
          <w:rFonts w:cs="Calibri"/>
          <w:b/>
          <w:bCs/>
        </w:rPr>
        <w:t>Exclude</w:t>
      </w:r>
      <w:r w:rsidRPr="00DD477A">
        <w:rPr>
          <w:rStyle w:val="BodyTextChar"/>
          <w:rFonts w:cs="Calibri"/>
        </w:rPr>
        <w:t xml:space="preserve"> administrative quarantines made by Finance</w:t>
      </w:r>
    </w:p>
    <w:p w14:paraId="3C04E44B" w14:textId="1057DE96" w:rsidR="005C1E7D" w:rsidRPr="00DD477A" w:rsidRDefault="005C1E7D" w:rsidP="003D6589">
      <w:pPr>
        <w:pStyle w:val="Heading2"/>
      </w:pPr>
      <w:bookmarkStart w:id="858" w:name="_Toc227749023"/>
      <w:r w:rsidRPr="00DD477A">
        <w:t>Annual Appropriations Repeal / Sunsetting Provisions and</w:t>
      </w:r>
      <w:r w:rsidR="00142BE4">
        <w:t xml:space="preserve"> </w:t>
      </w:r>
      <w:r w:rsidRPr="00DD477A">
        <w:t>s51 PGPA Act Withholdings</w:t>
      </w:r>
      <w:bookmarkEnd w:id="858"/>
    </w:p>
    <w:p w14:paraId="22B6E385" w14:textId="49426AE7" w:rsidR="005C1E7D" w:rsidRPr="00DD477A" w:rsidRDefault="005C1E7D" w:rsidP="005C1E7D">
      <w:r w:rsidRPr="00DD477A">
        <w:t xml:space="preserve">Entities should be aware that the annual Appropriation Acts include a sunsetting clause, referring to a repeal date of up to three years. For example, all </w:t>
      </w:r>
      <w:r w:rsidR="0095585E">
        <w:t>2025</w:t>
      </w:r>
      <w:r w:rsidR="00C917CE">
        <w:t>–</w:t>
      </w:r>
      <w:r w:rsidR="0095585E">
        <w:t>26</w:t>
      </w:r>
      <w:r w:rsidRPr="00DD477A">
        <w:t xml:space="preserve"> Appropriation Acts will be </w:t>
      </w:r>
      <w:r w:rsidR="00D16B61">
        <w:t>repealed</w:t>
      </w:r>
      <w:r w:rsidRPr="00DD477A">
        <w:t xml:space="preserve"> on 1 July </w:t>
      </w:r>
      <w:r w:rsidR="00A85D2A">
        <w:t>202</w:t>
      </w:r>
      <w:r w:rsidR="00916401">
        <w:t>8</w:t>
      </w:r>
      <w:r w:rsidRPr="00DD477A">
        <w:t>.</w:t>
      </w:r>
    </w:p>
    <w:p w14:paraId="5D4329B9" w14:textId="2A4B5B38" w:rsidR="005C1E7D" w:rsidRPr="00DD477A" w:rsidRDefault="005C1E7D" w:rsidP="005C1E7D">
      <w:pPr>
        <w:rPr>
          <w:rFonts w:cs="Calibri"/>
        </w:rPr>
      </w:pPr>
      <w:r w:rsidRPr="00DD477A">
        <w:rPr>
          <w:rFonts w:cs="Calibri"/>
        </w:rPr>
        <w:t xml:space="preserve">Unspent </w:t>
      </w:r>
      <w:r w:rsidR="007D04C2">
        <w:rPr>
          <w:rFonts w:cs="Calibri"/>
        </w:rPr>
        <w:t xml:space="preserve">prior year </w:t>
      </w:r>
      <w:r w:rsidRPr="00DD477A">
        <w:rPr>
          <w:rFonts w:cs="Calibri"/>
        </w:rPr>
        <w:t xml:space="preserve">annual appropriations relating to the </w:t>
      </w:r>
      <w:r w:rsidR="001252A5">
        <w:rPr>
          <w:rFonts w:cs="Calibri"/>
        </w:rPr>
        <w:t>2024</w:t>
      </w:r>
      <w:r w:rsidR="00C917CE">
        <w:rPr>
          <w:rFonts w:cs="Calibri"/>
        </w:rPr>
        <w:t>–</w:t>
      </w:r>
      <w:r w:rsidR="001252A5">
        <w:rPr>
          <w:rFonts w:cs="Calibri"/>
        </w:rPr>
        <w:t>25</w:t>
      </w:r>
      <w:r w:rsidRPr="00DD477A">
        <w:rPr>
          <w:rFonts w:cs="Calibri"/>
        </w:rPr>
        <w:t xml:space="preserve"> and </w:t>
      </w:r>
      <w:r w:rsidR="0095585E">
        <w:rPr>
          <w:rFonts w:cs="Calibri"/>
        </w:rPr>
        <w:t>2025</w:t>
      </w:r>
      <w:r w:rsidR="00C917CE">
        <w:rPr>
          <w:rFonts w:cs="Calibri"/>
        </w:rPr>
        <w:t>–</w:t>
      </w:r>
      <w:r w:rsidR="0095585E">
        <w:rPr>
          <w:rFonts w:cs="Calibri"/>
        </w:rPr>
        <w:t>26</w:t>
      </w:r>
      <w:r w:rsidRPr="00DD477A">
        <w:rPr>
          <w:rFonts w:cs="Calibri"/>
        </w:rPr>
        <w:t xml:space="preserve"> financial years </w:t>
      </w:r>
      <w:r w:rsidR="007D04C2">
        <w:rPr>
          <w:rFonts w:cs="Calibri"/>
        </w:rPr>
        <w:t xml:space="preserve">may </w:t>
      </w:r>
      <w:r w:rsidRPr="00DD477A">
        <w:rPr>
          <w:rFonts w:cs="Calibri"/>
        </w:rPr>
        <w:t>still exist</w:t>
      </w:r>
      <w:r w:rsidR="0090513B">
        <w:rPr>
          <w:rFonts w:cs="Calibri"/>
        </w:rPr>
        <w:t xml:space="preserve"> during the pre</w:t>
      </w:r>
      <w:r w:rsidR="001E0F03">
        <w:rPr>
          <w:rFonts w:cs="Calibri"/>
        </w:rPr>
        <w:t>paration of the 2026</w:t>
      </w:r>
      <w:r w:rsidR="00C917CE">
        <w:rPr>
          <w:rFonts w:cs="Calibri"/>
        </w:rPr>
        <w:t>–</w:t>
      </w:r>
      <w:r w:rsidR="00190554">
        <w:rPr>
          <w:rFonts w:cs="Calibri"/>
        </w:rPr>
        <w:t>27 PB Statements</w:t>
      </w:r>
      <w:r w:rsidRPr="00DD477A">
        <w:rPr>
          <w:rFonts w:cs="Calibri"/>
        </w:rPr>
        <w:t>. However, amounts withheld under</w:t>
      </w:r>
      <w:r w:rsidRPr="00DD477A">
        <w:t xml:space="preserve"> </w:t>
      </w:r>
      <w:r w:rsidRPr="00DD477A">
        <w:rPr>
          <w:b/>
          <w:bCs/>
        </w:rPr>
        <w:t>s51 of the PGPA Act, or administratively quarantined, should be excluded</w:t>
      </w:r>
      <w:r w:rsidRPr="00DD477A">
        <w:rPr>
          <w:rFonts w:cs="Calibri"/>
        </w:rPr>
        <w:t xml:space="preserve"> from the calculation of prior year balances for the purposes of the Entity resource statement, as they are not available to be spent by the entity.</w:t>
      </w:r>
    </w:p>
    <w:p w14:paraId="74A49830" w14:textId="77777777" w:rsidR="005C1E7D" w:rsidRPr="00DD477A" w:rsidRDefault="005C1E7D" w:rsidP="005C1E7D">
      <w:pPr>
        <w:rPr>
          <w:rStyle w:val="Bullet1Char"/>
        </w:rPr>
      </w:pPr>
      <w:r w:rsidRPr="00DD477A">
        <w:rPr>
          <w:rStyle w:val="Bullet1Char"/>
        </w:rPr>
        <w:t>Under s51 of the PGPA Act, the Minister for Finance may withhold appropriations:</w:t>
      </w:r>
    </w:p>
    <w:p w14:paraId="696F5E8C" w14:textId="77777777" w:rsidR="005C1E7D" w:rsidRPr="00DD477A" w:rsidRDefault="005C1E7D" w:rsidP="00B54999">
      <w:pPr>
        <w:pStyle w:val="Bullet1"/>
      </w:pPr>
      <w:r w:rsidRPr="00DD477A">
        <w:t>These amounts should not be recognised as appropriations in Table 1.1.</w:t>
      </w:r>
    </w:p>
    <w:p w14:paraId="708B1D76" w14:textId="72C0C41E" w:rsidR="005C1E7D" w:rsidRPr="00DD477A" w:rsidRDefault="005C1E7D" w:rsidP="005C1E7D">
      <w:r w:rsidRPr="00DD477A">
        <w:t>In addition, the Minister for Finance may make s51 PGPA Act withholdings for amounts entities no longer require, or no longer have policy authority to spend and will result in a loss of control for accounting purposes.</w:t>
      </w:r>
      <w:r w:rsidR="008968D3">
        <w:t xml:space="preserve"> </w:t>
      </w:r>
      <w:bookmarkStart w:id="859" w:name="_Hlk203042179"/>
      <w:r w:rsidR="008968D3">
        <w:t>For the purposes of PBS/PAES reporting, entities will need adjust the figures in their</w:t>
      </w:r>
      <w:r w:rsidR="00775804" w:rsidRPr="00775804">
        <w:rPr>
          <w:rFonts w:eastAsia="Times New Roman"/>
          <w:szCs w:val="22"/>
        </w:rPr>
        <w:t xml:space="preserve"> </w:t>
      </w:r>
      <w:r w:rsidR="00775804">
        <w:t>F</w:t>
      </w:r>
      <w:r w:rsidR="00775804" w:rsidRPr="00775804">
        <w:t xml:space="preserve">inancial statement/annual report to show </w:t>
      </w:r>
      <w:r w:rsidR="008968D3">
        <w:t xml:space="preserve">that the </w:t>
      </w:r>
      <w:r w:rsidR="00775804" w:rsidRPr="00775804">
        <w:t>quarantined amounts a</w:t>
      </w:r>
      <w:r w:rsidR="008968D3">
        <w:t>re</w:t>
      </w:r>
      <w:r w:rsidR="00775804" w:rsidRPr="00775804">
        <w:t xml:space="preserve"> not available</w:t>
      </w:r>
      <w:r w:rsidR="008968D3">
        <w:t>.</w:t>
      </w:r>
      <w:bookmarkEnd w:id="859"/>
    </w:p>
    <w:p w14:paraId="23F63AB2" w14:textId="27F741F2" w:rsidR="005C1E7D" w:rsidRPr="00DD477A" w:rsidRDefault="005C1E7D" w:rsidP="0014243A">
      <w:pPr>
        <w:pStyle w:val="Boxed2Text"/>
        <w:keepLines/>
      </w:pPr>
      <w:r w:rsidRPr="00DD477A">
        <w:t xml:space="preserve">For budgetary reporting both </w:t>
      </w:r>
      <w:r w:rsidR="00D82CD5">
        <w:t>a</w:t>
      </w:r>
      <w:r w:rsidRPr="00DD477A">
        <w:t xml:space="preserve">dministrative </w:t>
      </w:r>
      <w:r w:rsidR="00EF3860">
        <w:t>qu</w:t>
      </w:r>
      <w:r w:rsidR="0075032F">
        <w:t>a</w:t>
      </w:r>
      <w:r w:rsidR="00996288">
        <w:t>rantines</w:t>
      </w:r>
      <w:r w:rsidRPr="00DD477A">
        <w:t xml:space="preserve"> and s51 withholdings are excluded from Table 1.1 Entity Resource Statement’s derived figures as this table is prepared on a resourcing (i.e. appropriation available) basis. The </w:t>
      </w:r>
      <w:r w:rsidR="00D82CD5">
        <w:t xml:space="preserve">administrative quarantines and s51 </w:t>
      </w:r>
      <w:r w:rsidRPr="00DD477A">
        <w:t xml:space="preserve">withholdings are therefore referenced as </w:t>
      </w:r>
      <w:r w:rsidR="0027684C">
        <w:t xml:space="preserve">a </w:t>
      </w:r>
      <w:r w:rsidRPr="00DD477A">
        <w:t>footnote accompanying the table.</w:t>
      </w:r>
    </w:p>
    <w:p w14:paraId="383677D6" w14:textId="53A9A925" w:rsidR="005C1E7D" w:rsidRPr="009E5625" w:rsidRDefault="005C1E7D" w:rsidP="005C1E7D">
      <w:pPr>
        <w:rPr>
          <w:bCs/>
        </w:rPr>
      </w:pPr>
      <w:r w:rsidRPr="00DD477A">
        <w:t xml:space="preserve">Entities should note this is distinct to how withholdings are reported as part of an entity’s annual financial statements </w:t>
      </w:r>
      <w:r w:rsidR="003A2A4B">
        <w:t>(</w:t>
      </w:r>
      <w:r w:rsidRPr="00DD477A">
        <w:t xml:space="preserve">Note 5.1 Appropriations </w:t>
      </w:r>
      <w:r w:rsidR="003A2A4B" w:rsidRPr="009E5625">
        <w:t xml:space="preserve">in PRIMA forms) </w:t>
      </w:r>
      <w:r w:rsidRPr="009E5625">
        <w:t xml:space="preserve">where withholdings </w:t>
      </w:r>
      <w:r w:rsidR="0027684C" w:rsidRPr="009E5625">
        <w:t xml:space="preserve">are </w:t>
      </w:r>
      <w:r w:rsidRPr="009E5625">
        <w:t xml:space="preserve">included as part of the derived figures. This is because the note is prepared on a legally available basis i.e. amounts available in the Appropriation Acts (as per the </w:t>
      </w:r>
      <w:r w:rsidR="00CA5DA9" w:rsidRPr="009E5625">
        <w:t>FRR</w:t>
      </w:r>
      <w:r w:rsidRPr="009E5625">
        <w:t xml:space="preserve"> </w:t>
      </w:r>
      <w:r w:rsidR="004545D7" w:rsidRPr="009E5625">
        <w:t xml:space="preserve">and </w:t>
      </w:r>
      <w:hyperlink r:id="rId89" w:history="1">
        <w:r w:rsidR="004545D7" w:rsidRPr="009E5625">
          <w:rPr>
            <w:rStyle w:val="Hyperlink"/>
            <w:rFonts w:cstheme="minorBidi"/>
          </w:rPr>
          <w:t>RMG-116 Accounting for annual appropriations</w:t>
        </w:r>
      </w:hyperlink>
      <w:r w:rsidRPr="009E5625">
        <w:t>).</w:t>
      </w:r>
    </w:p>
    <w:p w14:paraId="5B1BAE7E" w14:textId="104DCC84" w:rsidR="000544B8" w:rsidRPr="009E5625" w:rsidRDefault="000544B8" w:rsidP="003D6589">
      <w:pPr>
        <w:pStyle w:val="Heading2"/>
      </w:pPr>
      <w:bookmarkStart w:id="860" w:name="_Toc227749024"/>
      <w:r w:rsidRPr="009E5625">
        <w:t>Prior year annual appropriation balances</w:t>
      </w:r>
      <w:bookmarkEnd w:id="860"/>
    </w:p>
    <w:p w14:paraId="37D89BAB" w14:textId="1CDD4457" w:rsidR="006C03AC" w:rsidRPr="00DD477A" w:rsidRDefault="00AA32C1" w:rsidP="000544B8">
      <w:pPr>
        <w:rPr>
          <w:rFonts w:cs="Calibri"/>
        </w:rPr>
      </w:pPr>
      <w:r w:rsidRPr="00DD477A">
        <w:rPr>
          <w:rFonts w:eastAsia="Cambria" w:cs="Calibri"/>
          <w:noProof/>
        </w:rPr>
        <w:drawing>
          <wp:inline distT="0" distB="0" distL="0" distR="0" wp14:anchorId="6F937679" wp14:editId="76BC7754">
            <wp:extent cx="5835650" cy="524178"/>
            <wp:effectExtent l="0" t="0" r="0" b="0"/>
            <wp:docPr id="957103636" name="Diagram 9571036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p>
    <w:p w14:paraId="5001F848" w14:textId="3554771B" w:rsidR="000544B8" w:rsidRPr="00DD477A" w:rsidRDefault="000544B8" w:rsidP="000544B8">
      <w:pPr>
        <w:rPr>
          <w:rFonts w:cs="Calibri"/>
        </w:rPr>
      </w:pPr>
      <w:r w:rsidRPr="00DD477A">
        <w:rPr>
          <w:rFonts w:cs="Calibri"/>
        </w:rPr>
        <w:t xml:space="preserve">The </w:t>
      </w:r>
      <w:r w:rsidRPr="00DD477A">
        <w:rPr>
          <w:rFonts w:cs="Calibri"/>
          <w:b/>
          <w:bCs/>
        </w:rPr>
        <w:t>prior year appropriations available</w:t>
      </w:r>
      <w:r w:rsidRPr="00DD477A">
        <w:rPr>
          <w:rFonts w:cs="Calibri"/>
        </w:rPr>
        <w:t xml:space="preserve"> reflect</w:t>
      </w:r>
      <w:r w:rsidR="00843297" w:rsidRPr="00DD477A">
        <w:rPr>
          <w:rFonts w:cs="Calibri"/>
        </w:rPr>
        <w:t>s</w:t>
      </w:r>
      <w:r w:rsidRPr="00DD477A">
        <w:rPr>
          <w:rFonts w:cs="Calibri"/>
        </w:rPr>
        <w:t xml:space="preserve"> unspent/undrawn appropriations available at the start of the financial year (i.e., the closing balance of the previous year).</w:t>
      </w:r>
    </w:p>
    <w:p w14:paraId="769EBA32" w14:textId="7303B98C" w:rsidR="000544B8" w:rsidRPr="00DD477A" w:rsidRDefault="000544B8" w:rsidP="00B54999">
      <w:pPr>
        <w:pStyle w:val="Bullet1"/>
        <w:rPr>
          <w:rStyle w:val="BodyTextChar"/>
          <w:rFonts w:cs="Calibri"/>
        </w:rPr>
      </w:pPr>
      <w:r w:rsidRPr="00DD477A">
        <w:rPr>
          <w:rStyle w:val="BodyTextChar"/>
          <w:rFonts w:cs="Calibri"/>
        </w:rPr>
        <w:t xml:space="preserve">For the </w:t>
      </w:r>
      <w:r w:rsidR="0095585E">
        <w:rPr>
          <w:rStyle w:val="BodyTextChar"/>
          <w:rFonts w:cs="Calibri"/>
          <w:b/>
          <w:bCs/>
        </w:rPr>
        <w:t>2025</w:t>
      </w:r>
      <w:r w:rsidR="00C917CE">
        <w:rPr>
          <w:rStyle w:val="BodyTextChar"/>
          <w:rFonts w:cs="Calibri"/>
          <w:b/>
          <w:bCs/>
        </w:rPr>
        <w:t>–</w:t>
      </w:r>
      <w:r w:rsidR="0095585E">
        <w:rPr>
          <w:rStyle w:val="BodyTextChar"/>
          <w:rFonts w:cs="Calibri"/>
          <w:b/>
          <w:bCs/>
        </w:rPr>
        <w:t>26</w:t>
      </w:r>
      <w:r w:rsidRPr="00DD477A">
        <w:rPr>
          <w:rStyle w:val="BodyTextChar"/>
          <w:rFonts w:cs="Calibri"/>
          <w:b/>
          <w:bCs/>
        </w:rPr>
        <w:t xml:space="preserve"> estimated actual</w:t>
      </w:r>
      <w:r w:rsidRPr="00DD477A">
        <w:rPr>
          <w:rStyle w:val="BodyTextChar"/>
          <w:rFonts w:cs="Calibri"/>
        </w:rPr>
        <w:t xml:space="preserve"> column, this will be the closing unspent appropriation balance from the entity’s </w:t>
      </w:r>
      <w:r w:rsidR="001252A5">
        <w:rPr>
          <w:rStyle w:val="BodyTextChar"/>
          <w:rFonts w:cs="Calibri"/>
        </w:rPr>
        <w:t>2024</w:t>
      </w:r>
      <w:r w:rsidR="00C917CE">
        <w:rPr>
          <w:rStyle w:val="BodyTextChar"/>
          <w:rFonts w:cs="Calibri"/>
        </w:rPr>
        <w:t>–</w:t>
      </w:r>
      <w:r w:rsidR="001252A5">
        <w:rPr>
          <w:rStyle w:val="BodyTextChar"/>
          <w:rFonts w:cs="Calibri"/>
        </w:rPr>
        <w:t>25</w:t>
      </w:r>
      <w:r w:rsidRPr="00DD477A">
        <w:rPr>
          <w:rStyle w:val="BodyTextChar"/>
          <w:rFonts w:cs="Calibri"/>
        </w:rPr>
        <w:t xml:space="preserve"> financial statements, adjusted for any additional withholdings under s51 withholdings and/or administrative quarantines currently in place.</w:t>
      </w:r>
    </w:p>
    <w:p w14:paraId="4259FA6A" w14:textId="40949CBF" w:rsidR="000544B8" w:rsidRPr="00DD477A" w:rsidRDefault="000544B8" w:rsidP="00B54999">
      <w:pPr>
        <w:pStyle w:val="Bullet1"/>
        <w:rPr>
          <w:rStyle w:val="BodyTextChar"/>
          <w:rFonts w:cs="Calibri"/>
        </w:rPr>
      </w:pPr>
      <w:r w:rsidRPr="00DD477A">
        <w:rPr>
          <w:rStyle w:val="BodyTextChar"/>
          <w:rFonts w:cs="Calibri"/>
        </w:rPr>
        <w:t xml:space="preserve">For the </w:t>
      </w:r>
      <w:r w:rsidR="00DC026B">
        <w:rPr>
          <w:rStyle w:val="BodyTextChar"/>
          <w:rFonts w:cs="Calibri"/>
          <w:b/>
          <w:bCs/>
        </w:rPr>
        <w:t>2026</w:t>
      </w:r>
      <w:r w:rsidR="00C917CE">
        <w:rPr>
          <w:rStyle w:val="BodyTextChar"/>
          <w:rFonts w:cs="Calibri"/>
          <w:b/>
          <w:bCs/>
        </w:rPr>
        <w:t>–</w:t>
      </w:r>
      <w:r w:rsidR="00DC026B">
        <w:rPr>
          <w:rStyle w:val="BodyTextChar"/>
          <w:rFonts w:cs="Calibri"/>
          <w:b/>
          <w:bCs/>
        </w:rPr>
        <w:t>27</w:t>
      </w:r>
      <w:r w:rsidRPr="00DD477A">
        <w:rPr>
          <w:rStyle w:val="BodyTextChar"/>
          <w:rFonts w:cs="Calibri"/>
          <w:b/>
          <w:bCs/>
        </w:rPr>
        <w:t xml:space="preserve"> estimate</w:t>
      </w:r>
      <w:r w:rsidRPr="00DD477A">
        <w:rPr>
          <w:rStyle w:val="BodyTextChar"/>
          <w:rFonts w:cs="Calibri"/>
        </w:rPr>
        <w:t xml:space="preserve"> column, this will be the forecast closing unspent appropriation balance as at the end of the </w:t>
      </w:r>
      <w:r w:rsidR="0095585E">
        <w:rPr>
          <w:rStyle w:val="BodyTextChar"/>
          <w:rFonts w:cs="Calibri"/>
        </w:rPr>
        <w:t>2025</w:t>
      </w:r>
      <w:r w:rsidR="00C917CE">
        <w:rPr>
          <w:rStyle w:val="BodyTextChar"/>
          <w:rFonts w:cs="Calibri"/>
        </w:rPr>
        <w:t>–</w:t>
      </w:r>
      <w:r w:rsidR="0095585E">
        <w:rPr>
          <w:rStyle w:val="BodyTextChar"/>
          <w:rFonts w:cs="Calibri"/>
        </w:rPr>
        <w:t>26</w:t>
      </w:r>
      <w:r w:rsidRPr="00DD477A">
        <w:rPr>
          <w:rStyle w:val="BodyTextChar"/>
          <w:rFonts w:cs="Calibri"/>
        </w:rPr>
        <w:t xml:space="preserve"> year, adjusted for any additional s51 withholdings and/or administrative quarantines currently in place. </w:t>
      </w:r>
      <w:r w:rsidR="00D270AA">
        <w:rPr>
          <w:rStyle w:val="BodyTextChar"/>
          <w:rFonts w:cs="Calibri"/>
        </w:rPr>
        <w:t xml:space="preserve">Where </w:t>
      </w:r>
      <w:r w:rsidRPr="00DD477A">
        <w:rPr>
          <w:rStyle w:val="BodyTextChar"/>
          <w:rFonts w:cs="Calibri"/>
        </w:rPr>
        <w:t>Appropriation Bills (No. 3 and 4</w:t>
      </w:r>
      <w:r w:rsidR="00D270AA" w:rsidRPr="00DD477A">
        <w:rPr>
          <w:rStyle w:val="BodyTextChar"/>
          <w:rFonts w:cs="Calibri"/>
        </w:rPr>
        <w:t>)</w:t>
      </w:r>
      <w:r w:rsidR="00D270AA">
        <w:rPr>
          <w:rStyle w:val="BodyTextChar"/>
          <w:rFonts w:cs="Calibri"/>
        </w:rPr>
        <w:t xml:space="preserve"> </w:t>
      </w:r>
      <w:r w:rsidR="00143012">
        <w:rPr>
          <w:rStyle w:val="BodyTextChar"/>
          <w:rFonts w:cs="Calibri"/>
        </w:rPr>
        <w:t>2025</w:t>
      </w:r>
      <w:r w:rsidR="00C917CE">
        <w:rPr>
          <w:rStyle w:val="BodyTextChar"/>
          <w:rFonts w:cs="Calibri"/>
        </w:rPr>
        <w:t>–</w:t>
      </w:r>
      <w:r w:rsidR="00143012">
        <w:rPr>
          <w:rStyle w:val="BodyTextChar"/>
          <w:rFonts w:cs="Calibri"/>
        </w:rPr>
        <w:t>26</w:t>
      </w:r>
      <w:r w:rsidR="00D270AA">
        <w:rPr>
          <w:rStyle w:val="BodyTextChar"/>
          <w:rFonts w:cs="Calibri"/>
        </w:rPr>
        <w:t xml:space="preserve"> have not have received Royal asse</w:t>
      </w:r>
      <w:r w:rsidR="00041451">
        <w:rPr>
          <w:rStyle w:val="BodyTextChar"/>
          <w:rFonts w:cs="Calibri"/>
        </w:rPr>
        <w:t>n</w:t>
      </w:r>
      <w:r w:rsidR="00D270AA">
        <w:rPr>
          <w:rStyle w:val="BodyTextChar"/>
          <w:rFonts w:cs="Calibri"/>
        </w:rPr>
        <w:t xml:space="preserve">t at the time the </w:t>
      </w:r>
      <w:r w:rsidR="000D47CA">
        <w:rPr>
          <w:rStyle w:val="BodyTextChar"/>
          <w:rFonts w:cs="Calibri"/>
        </w:rPr>
        <w:t>PB Statement</w:t>
      </w:r>
      <w:r w:rsidR="00D270AA">
        <w:rPr>
          <w:rStyle w:val="BodyTextChar"/>
          <w:rFonts w:cs="Calibri"/>
        </w:rPr>
        <w:t xml:space="preserve">s are </w:t>
      </w:r>
      <w:r w:rsidR="00FD05CD">
        <w:rPr>
          <w:rStyle w:val="BodyTextChar"/>
          <w:rFonts w:cs="Calibri"/>
        </w:rPr>
        <w:t xml:space="preserve">prepared and </w:t>
      </w:r>
      <w:r w:rsidR="00D270AA">
        <w:rPr>
          <w:rStyle w:val="BodyTextChar"/>
          <w:rFonts w:cs="Calibri"/>
        </w:rPr>
        <w:t xml:space="preserve">tabled, these </w:t>
      </w:r>
      <w:r w:rsidR="00FD4C2C" w:rsidRPr="00DD477A">
        <w:rPr>
          <w:rStyle w:val="BodyTextChar"/>
          <w:rFonts w:cs="Calibri"/>
        </w:rPr>
        <w:t xml:space="preserve">amounts </w:t>
      </w:r>
      <w:r w:rsidRPr="00DD477A">
        <w:rPr>
          <w:rStyle w:val="BodyTextChar"/>
          <w:rFonts w:cs="Calibri"/>
        </w:rPr>
        <w:t>should be excluded from this figure (but</w:t>
      </w:r>
      <w:r w:rsidR="0075064A">
        <w:rPr>
          <w:rStyle w:val="BodyTextChar"/>
          <w:rFonts w:cs="Calibri"/>
        </w:rPr>
        <w:t xml:space="preserve"> they</w:t>
      </w:r>
      <w:r w:rsidRPr="00DD477A">
        <w:rPr>
          <w:rStyle w:val="BodyTextChar"/>
          <w:rFonts w:cs="Calibri"/>
        </w:rPr>
        <w:t xml:space="preserve"> </w:t>
      </w:r>
      <w:r w:rsidR="0075064A">
        <w:rPr>
          <w:rStyle w:val="BodyTextChar"/>
          <w:rFonts w:cs="Calibri"/>
        </w:rPr>
        <w:t xml:space="preserve">should be </w:t>
      </w:r>
      <w:r w:rsidRPr="00DD477A">
        <w:rPr>
          <w:rStyle w:val="BodyTextChar"/>
          <w:rFonts w:cs="Calibri"/>
        </w:rPr>
        <w:t>referenced in the footnote</w:t>
      </w:r>
      <w:r w:rsidR="0075064A">
        <w:rPr>
          <w:rStyle w:val="BodyTextChar"/>
          <w:rFonts w:cs="Calibri"/>
        </w:rPr>
        <w:t>s to the table</w:t>
      </w:r>
      <w:r w:rsidRPr="00DD477A">
        <w:rPr>
          <w:rStyle w:val="BodyTextChar"/>
          <w:rFonts w:cs="Calibri"/>
        </w:rPr>
        <w:t>).</w:t>
      </w:r>
    </w:p>
    <w:p w14:paraId="42315A75" w14:textId="75F76994" w:rsidR="000544B8" w:rsidRPr="00DD477A" w:rsidRDefault="005937F4" w:rsidP="00B54999">
      <w:pPr>
        <w:pStyle w:val="Bullet1"/>
        <w:numPr>
          <w:ilvl w:val="0"/>
          <w:numId w:val="0"/>
        </w:numPr>
        <w:rPr>
          <w:rStyle w:val="BodyTextChar"/>
          <w:rFonts w:cs="Calibri"/>
        </w:rPr>
      </w:pPr>
      <w:r w:rsidRPr="00DD477A">
        <w:rPr>
          <w:rStyle w:val="BodyTextChar"/>
          <w:rFonts w:cs="Calibri"/>
        </w:rPr>
        <w:t xml:space="preserve">The </w:t>
      </w:r>
      <w:r w:rsidR="00F301F1" w:rsidRPr="00DD477A">
        <w:rPr>
          <w:rStyle w:val="BodyTextChar"/>
          <w:rFonts w:cs="Calibri"/>
        </w:rPr>
        <w:t xml:space="preserve">unspent, undrawn </w:t>
      </w:r>
      <w:r w:rsidRPr="00DD477A">
        <w:rPr>
          <w:rStyle w:val="BodyTextChar"/>
          <w:rFonts w:cs="Calibri"/>
        </w:rPr>
        <w:t xml:space="preserve">figure </w:t>
      </w:r>
      <w:r w:rsidR="00B736E8" w:rsidRPr="00DD477A">
        <w:rPr>
          <w:rStyle w:val="BodyTextChar"/>
          <w:rFonts w:cs="Calibri"/>
        </w:rPr>
        <w:t xml:space="preserve">for any given financial year </w:t>
      </w:r>
      <w:r w:rsidR="00236936" w:rsidRPr="00DD477A">
        <w:rPr>
          <w:rStyle w:val="BodyTextChar"/>
          <w:rFonts w:cs="Calibri"/>
        </w:rPr>
        <w:t xml:space="preserve">is sourced </w:t>
      </w:r>
      <w:r w:rsidR="00F301F1" w:rsidRPr="00DD477A">
        <w:rPr>
          <w:rStyle w:val="BodyTextChar"/>
          <w:rFonts w:cs="Calibri"/>
        </w:rPr>
        <w:t xml:space="preserve">directly from </w:t>
      </w:r>
      <w:r w:rsidR="00236936" w:rsidRPr="00DD477A">
        <w:rPr>
          <w:rStyle w:val="BodyTextChar"/>
          <w:rFonts w:cs="Calibri"/>
        </w:rPr>
        <w:t xml:space="preserve">the CBMS Appropriation Balances Report </w:t>
      </w:r>
      <w:r w:rsidR="009241D1" w:rsidRPr="00DD477A">
        <w:rPr>
          <w:rStyle w:val="BodyTextChar"/>
          <w:rFonts w:cs="Calibri"/>
        </w:rPr>
        <w:t xml:space="preserve">by </w:t>
      </w:r>
      <w:r w:rsidR="000544B8" w:rsidRPr="00DD477A">
        <w:rPr>
          <w:rStyle w:val="BodyTextChar"/>
          <w:rFonts w:cs="Calibri"/>
        </w:rPr>
        <w:t xml:space="preserve">referring to the ‘Available </w:t>
      </w:r>
      <w:r w:rsidR="009241D1" w:rsidRPr="00DD477A">
        <w:rPr>
          <w:rStyle w:val="BodyTextChar"/>
          <w:rFonts w:cs="Calibri"/>
        </w:rPr>
        <w:t xml:space="preserve">Balance </w:t>
      </w:r>
      <w:r w:rsidR="000544B8" w:rsidRPr="00DD477A">
        <w:rPr>
          <w:rStyle w:val="BodyTextChar"/>
          <w:rFonts w:cs="Calibri"/>
        </w:rPr>
        <w:t>– Hard Limit’ lines.</w:t>
      </w:r>
      <w:r w:rsidR="008E29AB" w:rsidRPr="00DD477A">
        <w:rPr>
          <w:rStyle w:val="BodyTextChar"/>
          <w:rFonts w:cs="Calibri"/>
        </w:rPr>
        <w:t xml:space="preserve"> </w:t>
      </w:r>
      <w:r w:rsidR="00EB1E6D" w:rsidRPr="00DD477A">
        <w:rPr>
          <w:rStyle w:val="BodyTextChar"/>
          <w:rFonts w:cs="Calibri"/>
        </w:rPr>
        <w:t>The t</w:t>
      </w:r>
      <w:r w:rsidR="000544B8" w:rsidRPr="00DD477A">
        <w:rPr>
          <w:rStyle w:val="BodyTextChar"/>
          <w:rFonts w:cs="Calibri"/>
        </w:rPr>
        <w:t>otal available appropriation balance can be calculated by adding the</w:t>
      </w:r>
      <w:r w:rsidR="008E29AB" w:rsidRPr="00DD477A">
        <w:rPr>
          <w:rStyle w:val="BodyTextChar"/>
          <w:rFonts w:cs="Calibri"/>
        </w:rPr>
        <w:t>se</w:t>
      </w:r>
      <w:r w:rsidR="000544B8" w:rsidRPr="00DD477A">
        <w:rPr>
          <w:rStyle w:val="BodyTextChar"/>
          <w:rFonts w:cs="Calibri"/>
        </w:rPr>
        <w:t xml:space="preserve"> Hard Limit </w:t>
      </w:r>
      <w:r w:rsidR="00D92C47" w:rsidRPr="00DD477A">
        <w:rPr>
          <w:rStyle w:val="BodyTextChar"/>
          <w:rFonts w:cs="Calibri"/>
        </w:rPr>
        <w:t>figures</w:t>
      </w:r>
      <w:r w:rsidR="000544B8" w:rsidRPr="00DD477A">
        <w:rPr>
          <w:rStyle w:val="BodyTextChar"/>
          <w:rFonts w:cs="Calibri"/>
        </w:rPr>
        <w:t xml:space="preserve"> for the relevant </w:t>
      </w:r>
      <w:r w:rsidR="009241D1" w:rsidRPr="00DD477A">
        <w:rPr>
          <w:rStyle w:val="BodyTextChar"/>
          <w:rFonts w:cs="Calibri"/>
        </w:rPr>
        <w:t xml:space="preserve">Appropriation </w:t>
      </w:r>
      <w:r w:rsidR="000544B8" w:rsidRPr="00DD477A">
        <w:rPr>
          <w:rStyle w:val="BodyTextChar"/>
          <w:rFonts w:cs="Calibri"/>
        </w:rPr>
        <w:t xml:space="preserve">or Outcome for all </w:t>
      </w:r>
      <w:r w:rsidR="00DF6C3D" w:rsidRPr="00DD477A">
        <w:rPr>
          <w:rStyle w:val="BodyTextChar"/>
          <w:rFonts w:cs="Calibri"/>
        </w:rPr>
        <w:t xml:space="preserve">relevant </w:t>
      </w:r>
      <w:r w:rsidR="000544B8" w:rsidRPr="00DD477A">
        <w:rPr>
          <w:rStyle w:val="BodyTextChar"/>
          <w:rFonts w:cs="Calibri"/>
        </w:rPr>
        <w:t>financial years</w:t>
      </w:r>
      <w:r w:rsidR="008E29AB" w:rsidRPr="00DD477A">
        <w:rPr>
          <w:rStyle w:val="BodyTextChar"/>
          <w:rFonts w:cs="Calibri"/>
        </w:rPr>
        <w:t>.</w:t>
      </w:r>
    </w:p>
    <w:p w14:paraId="021C0A64" w14:textId="77777777" w:rsidR="000544B8" w:rsidRPr="00B968DC" w:rsidRDefault="000544B8" w:rsidP="003D6589">
      <w:pPr>
        <w:pStyle w:val="Heading2"/>
      </w:pPr>
      <w:bookmarkStart w:id="861" w:name="_Toc227749025"/>
      <w:r w:rsidRPr="00B968DC">
        <w:t>Departmental / administered capital budget</w:t>
      </w:r>
      <w:bookmarkEnd w:id="861"/>
    </w:p>
    <w:p w14:paraId="08C7449F" w14:textId="36C89936" w:rsidR="000544B8" w:rsidRPr="00DD477A" w:rsidRDefault="000544B8" w:rsidP="000544B8">
      <w:pPr>
        <w:rPr>
          <w:rFonts w:cs="Calibri"/>
        </w:rPr>
      </w:pPr>
      <w:r w:rsidRPr="00DD477A">
        <w:rPr>
          <w:rFonts w:cs="Calibri"/>
        </w:rPr>
        <w:t xml:space="preserve">The </w:t>
      </w:r>
      <w:r w:rsidRPr="00DD477A">
        <w:rPr>
          <w:rFonts w:cs="Calibri"/>
          <w:b/>
          <w:bCs/>
        </w:rPr>
        <w:t>Departmental/administered capital budget</w:t>
      </w:r>
      <w:r w:rsidRPr="00DD477A">
        <w:rPr>
          <w:rFonts w:cs="Calibri"/>
        </w:rPr>
        <w:t xml:space="preserve"> figures should be sourced from the Capital Budget Statement Report. Choose either Departmental or Administered – figures will be recorded against ‘9170000 – </w:t>
      </w:r>
      <w:r w:rsidR="007335EC" w:rsidRPr="007335EC">
        <w:rPr>
          <w:rFonts w:cs="Calibri"/>
        </w:rPr>
        <w:t>Departmental or administered capital budget</w:t>
      </w:r>
      <w:r w:rsidRPr="00DD477A">
        <w:rPr>
          <w:rFonts w:cs="Calibri"/>
        </w:rPr>
        <w:t>’.</w:t>
      </w:r>
    </w:p>
    <w:p w14:paraId="70492362" w14:textId="077F87B4" w:rsidR="00D84440" w:rsidRPr="00DD477A" w:rsidRDefault="00D84440" w:rsidP="000544B8">
      <w:pPr>
        <w:rPr>
          <w:rFonts w:cs="Calibri"/>
        </w:rPr>
      </w:pPr>
      <w:r w:rsidRPr="00DD477A">
        <w:rPr>
          <w:rFonts w:eastAsia="Cambria" w:cs="Calibri"/>
          <w:noProof/>
        </w:rPr>
        <w:drawing>
          <wp:inline distT="0" distB="0" distL="0" distR="0" wp14:anchorId="4285AAE7" wp14:editId="6D31D1C6">
            <wp:extent cx="5835650" cy="524178"/>
            <wp:effectExtent l="0" t="0" r="0" b="0"/>
            <wp:docPr id="559561443" name="Diagram 5595614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inline>
        </w:drawing>
      </w:r>
    </w:p>
    <w:p w14:paraId="200227DB" w14:textId="77777777" w:rsidR="000544B8" w:rsidRPr="00DD477A" w:rsidRDefault="000544B8" w:rsidP="003D6589">
      <w:pPr>
        <w:pStyle w:val="Heading2"/>
        <w:rPr>
          <w:szCs w:val="28"/>
        </w:rPr>
      </w:pPr>
      <w:bookmarkStart w:id="862" w:name="_Toc227749026"/>
      <w:r w:rsidRPr="00DD477A">
        <w:t>Annual Appropriations – other services</w:t>
      </w:r>
      <w:bookmarkEnd w:id="862"/>
    </w:p>
    <w:p w14:paraId="17590279" w14:textId="14DDA962" w:rsidR="00000450" w:rsidRPr="00DD477A" w:rsidRDefault="000544B8" w:rsidP="00000450">
      <w:pPr>
        <w:rPr>
          <w:rFonts w:cs="Calibri"/>
        </w:rPr>
      </w:pPr>
      <w:r w:rsidRPr="00DD477A">
        <w:rPr>
          <w:rFonts w:cs="Calibri"/>
        </w:rPr>
        <w:t xml:space="preserve">The </w:t>
      </w:r>
      <w:r w:rsidRPr="00DD477A">
        <w:rPr>
          <w:rFonts w:cs="Calibri"/>
          <w:b/>
          <w:bCs/>
        </w:rPr>
        <w:t>Annual Appropriations – other services</w:t>
      </w:r>
      <w:r w:rsidRPr="00DD477A">
        <w:rPr>
          <w:rFonts w:cs="Calibri"/>
        </w:rPr>
        <w:t xml:space="preserve"> rows should be sourced from the Appropriation Bill 2 report from CBMS.</w:t>
      </w:r>
      <w:r w:rsidR="00000450" w:rsidRPr="00DD477A">
        <w:rPr>
          <w:rFonts w:cs="Calibri"/>
        </w:rPr>
        <w:t xml:space="preserve"> For portfolio departments, the Appropriation Bill 2 report should be run at the portfolio rather than entity level. </w:t>
      </w:r>
    </w:p>
    <w:p w14:paraId="526BC736" w14:textId="167EEAFD" w:rsidR="005077A4" w:rsidRPr="00DD477A" w:rsidRDefault="005077A4" w:rsidP="000544B8">
      <w:pPr>
        <w:rPr>
          <w:rFonts w:cs="Calibri"/>
        </w:rPr>
      </w:pPr>
      <w:r w:rsidRPr="00DD477A">
        <w:rPr>
          <w:rFonts w:eastAsia="Cambria" w:cs="Calibri"/>
          <w:noProof/>
        </w:rPr>
        <w:drawing>
          <wp:inline distT="0" distB="0" distL="0" distR="0" wp14:anchorId="1E099C2B" wp14:editId="52A1AED1">
            <wp:extent cx="5835650" cy="524178"/>
            <wp:effectExtent l="0" t="0" r="0" b="0"/>
            <wp:docPr id="1977166088" name="Diagram 19771660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inline>
        </w:drawing>
      </w:r>
    </w:p>
    <w:p w14:paraId="2454D777" w14:textId="0B05E6BB" w:rsidR="000544B8" w:rsidRPr="00DD477A" w:rsidRDefault="000544B8" w:rsidP="000544B8">
      <w:pPr>
        <w:rPr>
          <w:rFonts w:cs="Calibri"/>
        </w:rPr>
      </w:pPr>
      <w:r w:rsidRPr="00DD477A">
        <w:rPr>
          <w:rFonts w:cs="Calibri"/>
        </w:rPr>
        <w:t xml:space="preserve">Amounts under the </w:t>
      </w:r>
      <w:r w:rsidRPr="00DD477A">
        <w:rPr>
          <w:rFonts w:cs="Calibri"/>
          <w:b/>
          <w:bCs/>
        </w:rPr>
        <w:t>Estimated Actual</w:t>
      </w:r>
      <w:r w:rsidRPr="00DD477A">
        <w:rPr>
          <w:rFonts w:cs="Calibri"/>
        </w:rPr>
        <w:t xml:space="preserve"> column should be sourced by running the Actual Available Appropriations (AAA) Report (which provides a point-in-time figure).</w:t>
      </w:r>
    </w:p>
    <w:p w14:paraId="496C63C6" w14:textId="77777777" w:rsidR="008E267A" w:rsidRPr="00DD477A" w:rsidRDefault="008E267A" w:rsidP="003D6589">
      <w:pPr>
        <w:pStyle w:val="Heading2"/>
      </w:pPr>
      <w:bookmarkStart w:id="863" w:name="_Toc227749027"/>
      <w:r w:rsidRPr="00DD477A">
        <w:t>s74 External Revenue</w:t>
      </w:r>
      <w:bookmarkEnd w:id="863"/>
    </w:p>
    <w:p w14:paraId="5E3C714E" w14:textId="77777777" w:rsidR="008E267A" w:rsidRPr="00DD477A" w:rsidRDefault="008E267A" w:rsidP="008E267A">
      <w:pPr>
        <w:rPr>
          <w:rFonts w:cs="Calibri"/>
        </w:rPr>
      </w:pPr>
      <w:r w:rsidRPr="00DD477A">
        <w:rPr>
          <w:rFonts w:cs="Calibri"/>
        </w:rPr>
        <w:t xml:space="preserve">The </w:t>
      </w:r>
      <w:r w:rsidRPr="00DD477A">
        <w:rPr>
          <w:rFonts w:cs="Calibri"/>
          <w:b/>
          <w:bCs/>
        </w:rPr>
        <w:t>s74 External Revenue</w:t>
      </w:r>
      <w:r w:rsidRPr="00DD477A">
        <w:rPr>
          <w:rFonts w:cs="Calibri"/>
        </w:rPr>
        <w:t xml:space="preserve"> reflects the entity’s forecast Receipts from Independent Sources. These figures should be sourced from the ‘External Revenue’ column in the Agency Resourcing QA report available from CBMS. </w:t>
      </w:r>
      <w:r w:rsidRPr="00DD477A">
        <w:rPr>
          <w:rFonts w:eastAsia="Cambria" w:cs="Calibri"/>
          <w:noProof/>
        </w:rPr>
        <w:drawing>
          <wp:inline distT="0" distB="0" distL="0" distR="0" wp14:anchorId="4FD39706" wp14:editId="0355AB48">
            <wp:extent cx="5835650" cy="524178"/>
            <wp:effectExtent l="0" t="0" r="0" b="0"/>
            <wp:docPr id="869970419" name="Diagram 8699704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inline>
        </w:drawing>
      </w:r>
    </w:p>
    <w:p w14:paraId="4C61A757" w14:textId="77777777" w:rsidR="002B0D20" w:rsidRPr="00DD477A" w:rsidRDefault="002B0D20" w:rsidP="003D6589">
      <w:pPr>
        <w:pStyle w:val="Heading2"/>
      </w:pPr>
      <w:bookmarkStart w:id="864" w:name="_Toc227749028"/>
      <w:r w:rsidRPr="00DD477A">
        <w:t>Special appropriations</w:t>
      </w:r>
      <w:bookmarkEnd w:id="864"/>
    </w:p>
    <w:p w14:paraId="595D92A4" w14:textId="77777777" w:rsidR="002B0D20" w:rsidRPr="00DD477A" w:rsidRDefault="002B0D20" w:rsidP="002B0D20">
      <w:pPr>
        <w:rPr>
          <w:rFonts w:cs="Calibri"/>
        </w:rPr>
      </w:pPr>
      <w:r w:rsidRPr="00DD477A">
        <w:rPr>
          <w:rFonts w:cs="Calibri"/>
        </w:rPr>
        <w:t xml:space="preserve">The </w:t>
      </w:r>
      <w:r w:rsidRPr="00DD477A">
        <w:rPr>
          <w:rFonts w:cs="Calibri"/>
          <w:b/>
          <w:bCs/>
        </w:rPr>
        <w:t>Special appropriations</w:t>
      </w:r>
      <w:r w:rsidRPr="00DD477A">
        <w:rPr>
          <w:rFonts w:cs="Calibri"/>
        </w:rPr>
        <w:t xml:space="preserve"> reflect the resourcing required in relation to special appropriations. These figures should match the figures published in BP No. 4, which are sourced from the Detail Listing AIEFRS Report from CBMS. These figures are also available in the ‘Special appropriation table’ statutory report.</w:t>
      </w:r>
    </w:p>
    <w:p w14:paraId="35B6A0C2" w14:textId="77777777" w:rsidR="002B0D20" w:rsidRPr="00DD477A" w:rsidRDefault="002B0D20" w:rsidP="002B0D20">
      <w:pPr>
        <w:rPr>
          <w:rFonts w:cs="Calibri"/>
        </w:rPr>
      </w:pPr>
      <w:r w:rsidRPr="00DD477A">
        <w:rPr>
          <w:rFonts w:eastAsia="Cambria" w:cs="Calibri"/>
          <w:noProof/>
        </w:rPr>
        <w:drawing>
          <wp:inline distT="0" distB="0" distL="0" distR="0" wp14:anchorId="117AE123" wp14:editId="321BBB08">
            <wp:extent cx="5835650" cy="524178"/>
            <wp:effectExtent l="0" t="0" r="0" b="0"/>
            <wp:docPr id="960554225" name="Diagram 9605542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0" r:lo="rId111" r:qs="rId112" r:cs="rId113"/>
              </a:graphicData>
            </a:graphic>
          </wp:inline>
        </w:drawing>
      </w:r>
    </w:p>
    <w:p w14:paraId="3A420306" w14:textId="77777777" w:rsidR="002B0D20" w:rsidRPr="00DD477A" w:rsidRDefault="002B0D20" w:rsidP="002B0D20">
      <w:r w:rsidRPr="00DD477A">
        <w:rPr>
          <w:rFonts w:cs="Calibri"/>
        </w:rPr>
        <w:t>Special appropriations should be reported as an aggregate in Table 1.1, with details of the special appropriations reported in Table 2.X.1.</w:t>
      </w:r>
    </w:p>
    <w:p w14:paraId="167DAE3F" w14:textId="77777777" w:rsidR="002B0D20" w:rsidRPr="00DD477A" w:rsidRDefault="002B0D20" w:rsidP="003D6589">
      <w:pPr>
        <w:pStyle w:val="Heading2"/>
      </w:pPr>
      <w:bookmarkStart w:id="865" w:name="_Toc227749029"/>
      <w:r w:rsidRPr="00DD477A">
        <w:t>Special accounts and Exclusion of Trust Moneys</w:t>
      </w:r>
      <w:bookmarkEnd w:id="865"/>
    </w:p>
    <w:p w14:paraId="6E9271F6" w14:textId="77777777" w:rsidR="002B0D20" w:rsidRPr="00DD477A" w:rsidRDefault="002B0D20" w:rsidP="002B0D20">
      <w:pPr>
        <w:rPr>
          <w:rFonts w:cs="Calibri"/>
        </w:rPr>
      </w:pPr>
      <w:r w:rsidRPr="00DD477A">
        <w:rPr>
          <w:rFonts w:cs="Calibri"/>
        </w:rPr>
        <w:t xml:space="preserve">The </w:t>
      </w:r>
      <w:r w:rsidRPr="00DD477A">
        <w:rPr>
          <w:rFonts w:cs="Calibri"/>
          <w:b/>
          <w:bCs/>
        </w:rPr>
        <w:t>Special accounts</w:t>
      </w:r>
      <w:r w:rsidRPr="00DD477A">
        <w:rPr>
          <w:rFonts w:cs="Calibri"/>
        </w:rPr>
        <w:t xml:space="preserve"> reflect the opening balances and receipts for all special accounts managed by the entity. These figures should be drawn from the Special Accounts reports from CBMS.</w:t>
      </w:r>
    </w:p>
    <w:p w14:paraId="032AEAB9" w14:textId="77777777" w:rsidR="002B0D20" w:rsidRPr="00DD477A" w:rsidRDefault="002B0D20" w:rsidP="002B0D20">
      <w:pPr>
        <w:rPr>
          <w:rFonts w:cs="Calibri"/>
        </w:rPr>
      </w:pPr>
      <w:r w:rsidRPr="00DD477A">
        <w:rPr>
          <w:rFonts w:eastAsia="Cambria" w:cs="Calibri"/>
          <w:noProof/>
        </w:rPr>
        <w:drawing>
          <wp:inline distT="0" distB="0" distL="0" distR="0" wp14:anchorId="428881F8" wp14:editId="09EED9AB">
            <wp:extent cx="5835650" cy="524178"/>
            <wp:effectExtent l="0" t="0" r="0" b="0"/>
            <wp:docPr id="399553264" name="Diagram 3995532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5" r:lo="rId116" r:qs="rId117" r:cs="rId118"/>
              </a:graphicData>
            </a:graphic>
          </wp:inline>
        </w:drawing>
      </w:r>
    </w:p>
    <w:p w14:paraId="207B7488" w14:textId="77777777" w:rsidR="002B0D20" w:rsidRPr="00DD477A" w:rsidRDefault="002B0D20" w:rsidP="002B0D20">
      <w:pPr>
        <w:pStyle w:val="Boxed2Text"/>
        <w:rPr>
          <w:rFonts w:cs="Calibri"/>
        </w:rPr>
      </w:pPr>
      <w:r w:rsidRPr="00DD477A">
        <w:rPr>
          <w:rFonts w:cs="Calibri"/>
        </w:rPr>
        <w:t>There may be differences between special accounts figures published in an entity’s PB Statements compared to the entity’s financial statement notes in its annual report.</w:t>
      </w:r>
    </w:p>
    <w:p w14:paraId="3B323729" w14:textId="77777777" w:rsidR="002B0D20" w:rsidRPr="00DD477A" w:rsidRDefault="002B0D20" w:rsidP="002B0D20">
      <w:pPr>
        <w:pStyle w:val="Boxed2Text"/>
        <w:rPr>
          <w:rFonts w:cs="Calibri"/>
        </w:rPr>
      </w:pPr>
      <w:r w:rsidRPr="00DD477A">
        <w:rPr>
          <w:rFonts w:cs="Calibri"/>
        </w:rPr>
        <w:t>For example, for PB Statement estimates purposes, entities may report special account investment flows on a net basis at 30 June. In an entity's annual report, special account flows are presented on a gross basis (including investments).</w:t>
      </w:r>
    </w:p>
    <w:p w14:paraId="107B01C1" w14:textId="77777777" w:rsidR="002B0D20" w:rsidRPr="00DD477A" w:rsidRDefault="002B0D20" w:rsidP="002B0D20">
      <w:pPr>
        <w:pStyle w:val="Boxed2Text"/>
        <w:rPr>
          <w:rStyle w:val="BodyTextChar"/>
          <w:rFonts w:eastAsiaTheme="minorEastAsia" w:cs="Calibri"/>
        </w:rPr>
      </w:pPr>
      <w:r w:rsidRPr="00DD477A">
        <w:rPr>
          <w:rFonts w:cs="Calibri"/>
        </w:rPr>
        <w:t>An example of where differences may arise between estimates and actuals is where an entity undertakes ongoing investment activities through their special account, and reinvests the earnings realised (from investing) within the same financial year.</w:t>
      </w:r>
    </w:p>
    <w:p w14:paraId="59FF0521" w14:textId="77777777" w:rsidR="002B0D20" w:rsidRDefault="002B0D20" w:rsidP="002B0D20">
      <w:pPr>
        <w:rPr>
          <w:rFonts w:cs="Calibri"/>
        </w:rPr>
      </w:pPr>
      <w:r w:rsidRPr="00DD477A">
        <w:rPr>
          <w:rFonts w:cs="Calibri"/>
        </w:rPr>
        <w:t xml:space="preserve">In most cases, trust moneys, especially the </w:t>
      </w:r>
      <w:r w:rsidRPr="00DD477A">
        <w:rPr>
          <w:rFonts w:cs="Calibri"/>
          <w:b/>
          <w:bCs/>
        </w:rPr>
        <w:t>trust component</w:t>
      </w:r>
      <w:r w:rsidRPr="00DD477A">
        <w:rPr>
          <w:rFonts w:cs="Calibri"/>
        </w:rPr>
        <w:t xml:space="preserve"> held in </w:t>
      </w:r>
      <w:r w:rsidRPr="00DD477A">
        <w:rPr>
          <w:rFonts w:cs="Calibri"/>
          <w:b/>
          <w:bCs/>
        </w:rPr>
        <w:t>Services for Other Entities and Trust Moneys</w:t>
      </w:r>
      <w:r w:rsidRPr="00DD477A">
        <w:rPr>
          <w:rFonts w:cs="Calibri"/>
        </w:rPr>
        <w:t xml:space="preserve"> accounts </w:t>
      </w:r>
      <w:r w:rsidRPr="00DD477A">
        <w:rPr>
          <w:rFonts w:cs="Calibri"/>
          <w:b/>
          <w:bCs/>
        </w:rPr>
        <w:t>should be excluded</w:t>
      </w:r>
      <w:r w:rsidRPr="00DD477A">
        <w:rPr>
          <w:rFonts w:cs="Calibri"/>
        </w:rPr>
        <w:t xml:space="preserve"> from this figure as they do not constitute funds available to the entity. Details of special accounts will also be reported in </w:t>
      </w:r>
      <w:r w:rsidRPr="00DD477A">
        <w:rPr>
          <w:rFonts w:cs="Calibri"/>
          <w:i/>
          <w:iCs/>
        </w:rPr>
        <w:t>Table 2.X.1: Budgeted expenses for outcome X</w:t>
      </w:r>
      <w:r w:rsidRPr="00DD477A">
        <w:rPr>
          <w:rFonts w:cs="Calibri"/>
        </w:rPr>
        <w:t>.</w:t>
      </w:r>
    </w:p>
    <w:p w14:paraId="63CECF90" w14:textId="204E0FB9" w:rsidR="00585578" w:rsidRPr="00DD477A" w:rsidRDefault="00585578" w:rsidP="00585578">
      <w:pPr>
        <w:pStyle w:val="Boxed2Text"/>
      </w:pPr>
      <w:bookmarkStart w:id="866" w:name="_Hlk156209042"/>
      <w:r w:rsidRPr="00DD477A">
        <w:t xml:space="preserve">Not all amounts held in SOETM special accounts will be trust moneys received for the performance of services for other entities and jurisdictions. See </w:t>
      </w:r>
      <w:hyperlink r:id="rId120" w:history="1">
        <w:r w:rsidRPr="00DD477A">
          <w:rPr>
            <w:rStyle w:val="Hyperlink"/>
          </w:rPr>
          <w:t>RMG 100 Guide to appropriations</w:t>
        </w:r>
      </w:hyperlink>
      <w:r w:rsidRPr="00DD477A">
        <w:t xml:space="preserve"> and </w:t>
      </w:r>
      <w:hyperlink r:id="rId121" w:history="1">
        <w:r w:rsidRPr="00DD477A">
          <w:rPr>
            <w:rStyle w:val="Hyperlink"/>
          </w:rPr>
          <w:t>RMG 125</w:t>
        </w:r>
        <w:r w:rsidR="002464E4">
          <w:rPr>
            <w:rStyle w:val="Hyperlink"/>
          </w:rPr>
          <w:t> </w:t>
        </w:r>
        <w:r w:rsidRPr="00DD477A">
          <w:rPr>
            <w:rStyle w:val="Hyperlink"/>
          </w:rPr>
          <w:t>Commonwealth Entities Financial Statements Guide</w:t>
        </w:r>
      </w:hyperlink>
      <w:r w:rsidRPr="00DD477A">
        <w:t xml:space="preserve"> for information on reporting of trust moneys.</w:t>
      </w:r>
    </w:p>
    <w:bookmarkEnd w:id="866"/>
    <w:p w14:paraId="1086B6EB" w14:textId="77777777" w:rsidR="00585578" w:rsidRPr="00585578" w:rsidRDefault="00585578" w:rsidP="00585578">
      <w:pPr>
        <w:rPr>
          <w:rFonts w:cs="Calibri"/>
        </w:rPr>
      </w:pPr>
      <w:r w:rsidRPr="00585578">
        <w:rPr>
          <w:rFonts w:cs="Calibri"/>
        </w:rPr>
        <w:t>Further guidance on special accounts and special appropriations is available from:</w:t>
      </w:r>
    </w:p>
    <w:p w14:paraId="1B2415D0" w14:textId="77777777" w:rsidR="00585578" w:rsidRPr="00585578" w:rsidRDefault="00585578" w:rsidP="00363D6D">
      <w:pPr>
        <w:pStyle w:val="Bullet1"/>
      </w:pPr>
      <w:r w:rsidRPr="00585578">
        <w:t>CBMS System Guide – Special Accounts (available from CBMS under System Guides)</w:t>
      </w:r>
    </w:p>
    <w:p w14:paraId="09C7AF7F" w14:textId="6E1485A9" w:rsidR="00585578" w:rsidRPr="00512077" w:rsidRDefault="004545D7" w:rsidP="00512077">
      <w:pPr>
        <w:pStyle w:val="Bullet1"/>
      </w:pPr>
      <w:hyperlink r:id="rId122" w:history="1">
        <w:r>
          <w:rPr>
            <w:rStyle w:val="Hyperlink"/>
            <w:rFonts w:cs="Calibri"/>
          </w:rPr>
          <w:t>RMG 100 Guide to appropriations</w:t>
        </w:r>
      </w:hyperlink>
      <w:r w:rsidR="00585578" w:rsidRPr="00585578">
        <w:t xml:space="preserve"> (available on the Finance website)</w:t>
      </w:r>
    </w:p>
    <w:p w14:paraId="0183A450" w14:textId="423412DD" w:rsidR="000544B8" w:rsidRPr="00DD477A" w:rsidRDefault="000544B8" w:rsidP="003D6589">
      <w:pPr>
        <w:pStyle w:val="Heading2"/>
      </w:pPr>
      <w:bookmarkStart w:id="867" w:name="_Toc227749030"/>
      <w:r w:rsidRPr="00DD477A">
        <w:t>Payments to corporate entities</w:t>
      </w:r>
      <w:bookmarkEnd w:id="867"/>
    </w:p>
    <w:p w14:paraId="3243479D" w14:textId="7C71496E" w:rsidR="000544B8" w:rsidRPr="00DD477A" w:rsidRDefault="000544B8" w:rsidP="000544B8">
      <w:pPr>
        <w:rPr>
          <w:rFonts w:cs="Calibri"/>
        </w:rPr>
      </w:pPr>
      <w:r w:rsidRPr="00DD477A">
        <w:rPr>
          <w:rFonts w:cs="Calibri"/>
        </w:rPr>
        <w:t xml:space="preserve">The </w:t>
      </w:r>
      <w:r w:rsidRPr="00DD477A">
        <w:rPr>
          <w:rFonts w:cs="Calibri"/>
          <w:b/>
          <w:bCs/>
        </w:rPr>
        <w:t>Payments to corporate entities</w:t>
      </w:r>
      <w:r w:rsidRPr="00DD477A">
        <w:rPr>
          <w:rFonts w:cs="Calibri"/>
        </w:rPr>
        <w:t xml:space="preserve"> should be sourced from the Appropriation Bill 1 and Bill </w:t>
      </w:r>
      <w:r w:rsidR="00C92147">
        <w:rPr>
          <w:rFonts w:cs="Calibri"/>
        </w:rPr>
        <w:t>2</w:t>
      </w:r>
      <w:r w:rsidR="00C92147" w:rsidRPr="00DD477A">
        <w:rPr>
          <w:rFonts w:cs="Calibri"/>
        </w:rPr>
        <w:t xml:space="preserve"> </w:t>
      </w:r>
      <w:r w:rsidRPr="00DD477A">
        <w:rPr>
          <w:rFonts w:cs="Calibri"/>
        </w:rPr>
        <w:t>‘Portfolio Summary and Detail’ reports.</w:t>
      </w:r>
    </w:p>
    <w:p w14:paraId="1545186F" w14:textId="1477070F" w:rsidR="005077A4" w:rsidRPr="00DD477A" w:rsidRDefault="005077A4" w:rsidP="000544B8">
      <w:pPr>
        <w:rPr>
          <w:rFonts w:cs="Calibri"/>
        </w:rPr>
      </w:pPr>
      <w:r w:rsidRPr="00DD477A">
        <w:rPr>
          <w:rFonts w:eastAsia="Cambria" w:cs="Calibri"/>
          <w:noProof/>
        </w:rPr>
        <w:drawing>
          <wp:inline distT="0" distB="0" distL="0" distR="0" wp14:anchorId="35568BF0" wp14:editId="3A7D15BC">
            <wp:extent cx="5835650" cy="524178"/>
            <wp:effectExtent l="0" t="0" r="0" b="0"/>
            <wp:docPr id="548592746" name="Diagram 5485927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3" r:lo="rId124" r:qs="rId125" r:cs="rId126"/>
              </a:graphicData>
            </a:graphic>
          </wp:inline>
        </w:drawing>
      </w:r>
    </w:p>
    <w:p w14:paraId="4C945460" w14:textId="242AABB5" w:rsidR="000544B8" w:rsidRPr="00DD477A" w:rsidRDefault="000544B8" w:rsidP="003D6589">
      <w:pPr>
        <w:pStyle w:val="Heading2"/>
        <w:rPr>
          <w:szCs w:val="28"/>
        </w:rPr>
      </w:pPr>
      <w:bookmarkStart w:id="868" w:name="_Toc227749031"/>
      <w:r w:rsidRPr="00DD477A">
        <w:t>Average staffing level</w:t>
      </w:r>
      <w:r w:rsidR="0051070E" w:rsidRPr="00DD477A">
        <w:rPr>
          <w:iCs/>
          <w:szCs w:val="28"/>
        </w:rPr>
        <w:t>s (ASL)</w:t>
      </w:r>
      <w:bookmarkEnd w:id="868"/>
    </w:p>
    <w:p w14:paraId="7175CEB9" w14:textId="1F17C81A" w:rsidR="000544B8" w:rsidRPr="00DD477A" w:rsidRDefault="000544B8" w:rsidP="000544B8">
      <w:r w:rsidRPr="00DD477A">
        <w:t xml:space="preserve">The </w:t>
      </w:r>
      <w:r w:rsidR="003F2AF6">
        <w:t xml:space="preserve">reported </w:t>
      </w:r>
      <w:r w:rsidRPr="00DD477A">
        <w:t xml:space="preserve">ASL </w:t>
      </w:r>
      <w:r w:rsidR="003F2AF6">
        <w:t>estimate</w:t>
      </w:r>
      <w:r w:rsidRPr="00DD477A">
        <w:t xml:space="preserve"> should be discussed with Finance (see</w:t>
      </w:r>
      <w:r w:rsidR="007C6945">
        <w:t xml:space="preserve"> </w:t>
      </w:r>
      <w:r w:rsidR="007C6945" w:rsidRPr="007C6945">
        <w:rPr>
          <w:rStyle w:val="CrossReferenceChar"/>
        </w:rPr>
        <w:fldChar w:fldCharType="begin"/>
      </w:r>
      <w:r w:rsidR="007C6945" w:rsidRPr="007C6945">
        <w:rPr>
          <w:rStyle w:val="CrossReferenceChar"/>
        </w:rPr>
        <w:instrText xml:space="preserve"> REF _Ref189153079 \w \h </w:instrText>
      </w:r>
      <w:r w:rsidR="007C6945">
        <w:rPr>
          <w:rStyle w:val="CrossReferenceChar"/>
        </w:rPr>
        <w:instrText xml:space="preserve"> \* MERGEFORMAT </w:instrText>
      </w:r>
      <w:r w:rsidR="007C6945" w:rsidRPr="007C6945">
        <w:rPr>
          <w:rStyle w:val="CrossReferenceChar"/>
        </w:rPr>
      </w:r>
      <w:r w:rsidR="007C6945" w:rsidRPr="007C6945">
        <w:rPr>
          <w:rStyle w:val="CrossReferenceChar"/>
        </w:rPr>
        <w:fldChar w:fldCharType="separate"/>
      </w:r>
      <w:r w:rsidR="009E5625">
        <w:rPr>
          <w:rStyle w:val="CrossReferenceChar"/>
        </w:rPr>
        <w:t>17</w:t>
      </w:r>
      <w:r w:rsidR="007C6945" w:rsidRPr="007C6945">
        <w:rPr>
          <w:rStyle w:val="CrossReferenceChar"/>
        </w:rPr>
        <w:fldChar w:fldCharType="end"/>
      </w:r>
      <w:r w:rsidR="007C6945" w:rsidRPr="007C6945">
        <w:rPr>
          <w:rStyle w:val="CrossReferenceChar"/>
        </w:rPr>
        <w:t xml:space="preserve"> </w:t>
      </w:r>
      <w:r w:rsidR="007C6945" w:rsidRPr="007C6945">
        <w:rPr>
          <w:rStyle w:val="CrossReferenceChar"/>
        </w:rPr>
        <w:fldChar w:fldCharType="begin"/>
      </w:r>
      <w:r w:rsidR="007C6945" w:rsidRPr="007C6945">
        <w:rPr>
          <w:rStyle w:val="CrossReferenceChar"/>
        </w:rPr>
        <w:instrText xml:space="preserve"> REF _Ref189153086 \h </w:instrText>
      </w:r>
      <w:r w:rsidR="007C6945">
        <w:rPr>
          <w:rStyle w:val="CrossReferenceChar"/>
        </w:rPr>
        <w:instrText xml:space="preserve"> \* MERGEFORMAT </w:instrText>
      </w:r>
      <w:r w:rsidR="007C6945" w:rsidRPr="007C6945">
        <w:rPr>
          <w:rStyle w:val="CrossReferenceChar"/>
        </w:rPr>
      </w:r>
      <w:r w:rsidR="007C6945" w:rsidRPr="007C6945">
        <w:rPr>
          <w:rStyle w:val="CrossReferenceChar"/>
        </w:rPr>
        <w:fldChar w:fldCharType="separate"/>
      </w:r>
      <w:r w:rsidR="009E5625" w:rsidRPr="009E5625">
        <w:rPr>
          <w:rStyle w:val="CrossReferenceChar"/>
        </w:rPr>
        <w:t>Contacts</w:t>
      </w:r>
      <w:r w:rsidR="007C6945" w:rsidRPr="007C6945">
        <w:rPr>
          <w:rStyle w:val="CrossReferenceChar"/>
        </w:rPr>
        <w:fldChar w:fldCharType="end"/>
      </w:r>
      <w:r w:rsidRPr="00DD477A">
        <w:t>)</w:t>
      </w:r>
      <w:r w:rsidR="004D7E46" w:rsidRPr="00DD477A">
        <w:t>. Th</w:t>
      </w:r>
      <w:r w:rsidR="003F2AF6">
        <w:t>ese</w:t>
      </w:r>
      <w:r w:rsidR="004D7E46" w:rsidRPr="00DD477A">
        <w:t xml:space="preserve"> </w:t>
      </w:r>
      <w:r w:rsidR="003F2AF6">
        <w:t>estimates</w:t>
      </w:r>
      <w:r w:rsidR="00C860BA" w:rsidRPr="00DD477A">
        <w:t xml:space="preserve"> must </w:t>
      </w:r>
      <w:r w:rsidRPr="00DD477A">
        <w:t xml:space="preserve">match the </w:t>
      </w:r>
      <w:r w:rsidR="003F2AF6">
        <w:t>estimates</w:t>
      </w:r>
      <w:r w:rsidR="003F2AF6" w:rsidRPr="00DD477A">
        <w:t xml:space="preserve"> </w:t>
      </w:r>
      <w:r w:rsidRPr="00DD477A">
        <w:t xml:space="preserve">to be published in </w:t>
      </w:r>
      <w:r w:rsidR="001A29BF" w:rsidRPr="00DD477A">
        <w:t xml:space="preserve">both </w:t>
      </w:r>
      <w:r w:rsidRPr="00DD477A">
        <w:t>BP No. 4 and the totals shown at the bottom of the outcome expense tables Table 2.X.1. Please refer to the latest Finance guidance on ASL for more information on ASL reporting.</w:t>
      </w:r>
    </w:p>
    <w:p w14:paraId="4F8885F8" w14:textId="77777777" w:rsidR="000544B8" w:rsidRPr="00DD477A" w:rsidRDefault="000544B8" w:rsidP="003D6589">
      <w:pPr>
        <w:pStyle w:val="Heading2"/>
        <w:rPr>
          <w:szCs w:val="28"/>
        </w:rPr>
      </w:pPr>
      <w:bookmarkStart w:id="869" w:name="_Toc227749032"/>
      <w:r w:rsidRPr="00DD477A">
        <w:t>Third party payments</w:t>
      </w:r>
      <w:bookmarkEnd w:id="869"/>
    </w:p>
    <w:p w14:paraId="43885130" w14:textId="61803419" w:rsidR="000544B8" w:rsidRPr="00DD477A" w:rsidRDefault="000544B8" w:rsidP="000544B8">
      <w:pPr>
        <w:rPr>
          <w:rFonts w:cs="Calibri"/>
        </w:rPr>
      </w:pPr>
      <w:r w:rsidRPr="00DD477A">
        <w:rPr>
          <w:rFonts w:cs="Calibri"/>
        </w:rPr>
        <w:t xml:space="preserve">The </w:t>
      </w:r>
      <w:r w:rsidRPr="00DD477A">
        <w:rPr>
          <w:rFonts w:cs="Calibri"/>
          <w:b/>
          <w:bCs/>
        </w:rPr>
        <w:t>Third party payments</w:t>
      </w:r>
      <w:r w:rsidRPr="00DD477A">
        <w:rPr>
          <w:rFonts w:cs="Calibri"/>
        </w:rPr>
        <w:t xml:space="preserve"> information will be drawn from entities’ records and should be agreed with the relevant third party</w:t>
      </w:r>
      <w:r w:rsidR="00136741" w:rsidRPr="00DD477A">
        <w:rPr>
          <w:rFonts w:cs="Calibri"/>
        </w:rPr>
        <w:t xml:space="preserve">, </w:t>
      </w:r>
      <w:r w:rsidR="00A71908" w:rsidRPr="00DD477A">
        <w:rPr>
          <w:rFonts w:cs="Calibri"/>
        </w:rPr>
        <w:t>with figures re</w:t>
      </w:r>
      <w:r w:rsidR="00EB4CB3" w:rsidRPr="00DD477A">
        <w:rPr>
          <w:rFonts w:cs="Calibri"/>
        </w:rPr>
        <w:t>concil</w:t>
      </w:r>
      <w:r w:rsidR="00A71908" w:rsidRPr="00DD477A">
        <w:rPr>
          <w:rFonts w:cs="Calibri"/>
        </w:rPr>
        <w:t>able</w:t>
      </w:r>
      <w:r w:rsidR="00EB4CB3" w:rsidRPr="00DD477A">
        <w:rPr>
          <w:rFonts w:cs="Calibri"/>
        </w:rPr>
        <w:t xml:space="preserve"> between entities</w:t>
      </w:r>
      <w:r w:rsidRPr="00DD477A">
        <w:rPr>
          <w:rFonts w:cs="Calibri"/>
        </w:rPr>
        <w:t>. These figures should be prepared</w:t>
      </w:r>
      <w:r w:rsidR="00FE2509" w:rsidRPr="00DD477A">
        <w:rPr>
          <w:rFonts w:cs="Calibri"/>
        </w:rPr>
        <w:t xml:space="preserve"> </w:t>
      </w:r>
      <w:r w:rsidRPr="00DD477A">
        <w:rPr>
          <w:rFonts w:cs="Calibri"/>
        </w:rPr>
        <w:t>using resourcing/appropriations transferred figures</w:t>
      </w:r>
      <w:r w:rsidR="00893FA4" w:rsidRPr="00DD477A">
        <w:rPr>
          <w:rFonts w:cs="Calibri"/>
        </w:rPr>
        <w:t>,</w:t>
      </w:r>
      <w:r w:rsidR="008A3DD7" w:rsidRPr="00DD477A">
        <w:rPr>
          <w:rFonts w:cs="Calibri"/>
        </w:rPr>
        <w:t xml:space="preserve"> as they are </w:t>
      </w:r>
      <w:r w:rsidR="00D300DD" w:rsidRPr="00DD477A">
        <w:rPr>
          <w:rStyle w:val="BodyTextChar"/>
          <w:rFonts w:cs="Calibri"/>
        </w:rPr>
        <w:t>a sub-set of the total resourcing shown in the top section of Table 1.1</w:t>
      </w:r>
      <w:r w:rsidR="00EB4CB3" w:rsidRPr="00DD477A">
        <w:rPr>
          <w:rFonts w:cs="Calibri"/>
        </w:rPr>
        <w:t>.</w:t>
      </w:r>
      <w:r w:rsidR="002A6080" w:rsidRPr="00DD477A">
        <w:rPr>
          <w:rFonts w:cs="Calibri"/>
        </w:rPr>
        <w:t xml:space="preserve"> that indicates</w:t>
      </w:r>
      <w:r w:rsidR="002278AB" w:rsidRPr="00DD477A">
        <w:rPr>
          <w:rStyle w:val="BodyTextChar"/>
          <w:rFonts w:cs="Calibri"/>
        </w:rPr>
        <w:t xml:space="preserve"> types and materiality of inter-entity transfers of resourcing</w:t>
      </w:r>
      <w:r w:rsidR="007B7D74" w:rsidRPr="00DD477A">
        <w:rPr>
          <w:rStyle w:val="BodyTextChar"/>
          <w:rFonts w:cs="Calibri"/>
        </w:rPr>
        <w:t>.</w:t>
      </w:r>
    </w:p>
    <w:p w14:paraId="5F9F6CF6" w14:textId="77777777" w:rsidR="000544B8" w:rsidRPr="00DD477A" w:rsidRDefault="000544B8" w:rsidP="00B54999">
      <w:pPr>
        <w:pStyle w:val="Bullet1"/>
        <w:numPr>
          <w:ilvl w:val="0"/>
          <w:numId w:val="0"/>
        </w:numPr>
        <w:rPr>
          <w:rStyle w:val="BodyTextChar"/>
          <w:rFonts w:cs="Calibri"/>
        </w:rPr>
      </w:pPr>
      <w:r w:rsidRPr="00DD477A">
        <w:rPr>
          <w:rStyle w:val="BodyTextChar"/>
          <w:rFonts w:cs="Calibri"/>
        </w:rPr>
        <w:t>This sub-table should only be prepared by those entities which:</w:t>
      </w:r>
    </w:p>
    <w:p w14:paraId="022400FF" w14:textId="64C7FDFF" w:rsidR="000544B8" w:rsidRPr="003F196E" w:rsidRDefault="000544B8" w:rsidP="00B54999">
      <w:pPr>
        <w:pStyle w:val="Bullet1"/>
        <w:rPr>
          <w:rStyle w:val="BodyTextChar"/>
          <w:rFonts w:cs="Calibri"/>
        </w:rPr>
      </w:pPr>
      <w:r w:rsidRPr="00DD477A">
        <w:rPr>
          <w:rStyle w:val="BodyTextChar"/>
          <w:rFonts w:cs="Calibri"/>
        </w:rPr>
        <w:t xml:space="preserve">are identified as </w:t>
      </w:r>
      <w:r w:rsidRPr="00DD477A">
        <w:rPr>
          <w:rStyle w:val="BodyTextChar"/>
          <w:rFonts w:cs="Calibri"/>
          <w:i/>
          <w:iCs/>
        </w:rPr>
        <w:t>Material</w:t>
      </w:r>
      <w:r w:rsidRPr="00DD477A">
        <w:rPr>
          <w:rStyle w:val="BodyTextChar"/>
          <w:rFonts w:cs="Calibri"/>
        </w:rPr>
        <w:t xml:space="preserve"> entities under either </w:t>
      </w:r>
      <w:r w:rsidRPr="003F196E">
        <w:rPr>
          <w:rStyle w:val="BodyTextChar"/>
          <w:rFonts w:cs="Calibri"/>
        </w:rPr>
        <w:t xml:space="preserve">the </w:t>
      </w:r>
      <w:hyperlink r:id="rId128" w:history="1">
        <w:r w:rsidR="00B77D6E" w:rsidRPr="003F196E">
          <w:rPr>
            <w:rStyle w:val="Hyperlink"/>
            <w:rFonts w:cs="Calibri"/>
            <w:u w:val="none"/>
          </w:rPr>
          <w:t>PGPA Act Flipchart</w:t>
        </w:r>
      </w:hyperlink>
      <w:r w:rsidR="00B77D6E" w:rsidRPr="003F196E">
        <w:rPr>
          <w:rStyle w:val="Hyperlink"/>
          <w:rFonts w:cs="Calibri"/>
          <w:u w:val="none"/>
        </w:rPr>
        <w:t xml:space="preserve"> or the </w:t>
      </w:r>
      <w:hyperlink r:id="rId129" w:history="1">
        <w:r w:rsidR="00C6591B" w:rsidRPr="003F196E">
          <w:rPr>
            <w:rStyle w:val="Hyperlink"/>
            <w:rFonts w:cs="Calibri"/>
            <w:u w:val="none"/>
          </w:rPr>
          <w:t>Australian Government Organisations Register (AGOR)</w:t>
        </w:r>
      </w:hyperlink>
    </w:p>
    <w:p w14:paraId="3A46F221" w14:textId="324FB9C0" w:rsidR="000544B8" w:rsidRPr="00DD477A" w:rsidRDefault="000544B8" w:rsidP="00B54999">
      <w:pPr>
        <w:pStyle w:val="Bullet1"/>
        <w:rPr>
          <w:rStyle w:val="BodyTextChar"/>
          <w:rFonts w:cs="Calibri"/>
        </w:rPr>
      </w:pPr>
      <w:r w:rsidRPr="00DD477A">
        <w:rPr>
          <w:rStyle w:val="BodyTextChar"/>
          <w:rFonts w:cs="Calibri"/>
        </w:rPr>
        <w:t>have total third party payments of $10 million or more in a year</w:t>
      </w:r>
      <w:r w:rsidR="006E4F60" w:rsidRPr="00DD477A">
        <w:rPr>
          <w:rStyle w:val="BodyTextChar"/>
          <w:rFonts w:cs="Calibri"/>
        </w:rPr>
        <w:t>,</w:t>
      </w:r>
      <w:r w:rsidRPr="00DD477A">
        <w:rPr>
          <w:rStyle w:val="BodyTextChar"/>
          <w:rFonts w:cs="Calibri"/>
        </w:rPr>
        <w:t xml:space="preserve"> or</w:t>
      </w:r>
    </w:p>
    <w:p w14:paraId="4EC3BE5F" w14:textId="77777777" w:rsidR="000544B8" w:rsidRPr="00DD477A" w:rsidRDefault="000544B8" w:rsidP="00B54999">
      <w:pPr>
        <w:pStyle w:val="Bullet1"/>
        <w:rPr>
          <w:rStyle w:val="BodyTextChar"/>
          <w:rFonts w:cs="Calibri"/>
        </w:rPr>
      </w:pPr>
      <w:r w:rsidRPr="00DD477A">
        <w:rPr>
          <w:rStyle w:val="BodyTextChar"/>
          <w:rFonts w:cs="Calibri"/>
        </w:rPr>
        <w:t xml:space="preserve">are considered </w:t>
      </w:r>
      <w:r w:rsidRPr="00DD477A">
        <w:rPr>
          <w:rStyle w:val="BodyTextChar"/>
          <w:rFonts w:cs="Calibri"/>
          <w:i/>
          <w:iCs/>
        </w:rPr>
        <w:t xml:space="preserve">Small </w:t>
      </w:r>
      <w:r w:rsidRPr="00DD477A">
        <w:rPr>
          <w:rStyle w:val="BodyTextChar"/>
          <w:rFonts w:cs="Calibri"/>
        </w:rPr>
        <w:t>entities who have third party payments totalling more than 25 per cent of their total resourcing.</w:t>
      </w:r>
    </w:p>
    <w:p w14:paraId="466B1FF2" w14:textId="3BEC8092" w:rsidR="000544B8" w:rsidRPr="00DD477A" w:rsidRDefault="000544B8" w:rsidP="000544B8">
      <w:pPr>
        <w:pStyle w:val="Boxed2Text"/>
        <w:rPr>
          <w:rStyle w:val="BodyTextChar"/>
          <w:rFonts w:cs="Calibri"/>
        </w:rPr>
      </w:pPr>
      <w:r w:rsidRPr="00DD477A">
        <w:rPr>
          <w:rStyle w:val="BodyTextChar"/>
          <w:rFonts w:cs="Calibri"/>
        </w:rPr>
        <w:t xml:space="preserve">Material and Small entities can be identified by looking at Finance's </w:t>
      </w:r>
      <w:r w:rsidR="00B77D6E" w:rsidRPr="00585578">
        <w:rPr>
          <w:rFonts w:eastAsia="Cambria" w:cs="Calibri"/>
          <w:i/>
          <w:iCs/>
        </w:rPr>
        <w:t>Flipchart of PGPA Act Commonwealth entities and companies</w:t>
      </w:r>
      <w:r w:rsidR="00B77D6E">
        <w:rPr>
          <w:rFonts w:eastAsia="Cambria" w:cs="Calibri"/>
          <w:b/>
          <w:bCs/>
        </w:rPr>
        <w:t xml:space="preserve"> </w:t>
      </w:r>
      <w:r w:rsidR="00B77D6E">
        <w:rPr>
          <w:rStyle w:val="BodyTextChar"/>
          <w:rFonts w:cs="Calibri"/>
        </w:rPr>
        <w:t xml:space="preserve">or at </w:t>
      </w:r>
      <w:r w:rsidR="00B77D6E" w:rsidRPr="00DD477A">
        <w:rPr>
          <w:rStyle w:val="BodyTextChar"/>
          <w:rFonts w:cs="Calibri"/>
        </w:rPr>
        <w:t xml:space="preserve">the </w:t>
      </w:r>
      <w:r w:rsidR="00B77D6E" w:rsidRPr="00DD477A">
        <w:rPr>
          <w:rStyle w:val="BodyTextChar"/>
          <w:rFonts w:cs="Calibri"/>
          <w:i/>
          <w:iCs/>
        </w:rPr>
        <w:t>AGOR Register</w:t>
      </w:r>
      <w:r w:rsidR="00B77D6E">
        <w:rPr>
          <w:rStyle w:val="BodyTextChar"/>
          <w:rFonts w:cs="Calibri"/>
        </w:rPr>
        <w:t xml:space="preserve"> </w:t>
      </w:r>
      <w:r w:rsidRPr="00DD477A">
        <w:rPr>
          <w:rStyle w:val="BodyTextChar"/>
          <w:rFonts w:cs="Calibri"/>
        </w:rPr>
        <w:t xml:space="preserve">(please refer to the Glossary for info on </w:t>
      </w:r>
      <w:r w:rsidR="00B77D6E" w:rsidRPr="00DD477A">
        <w:rPr>
          <w:rStyle w:val="BodyTextChar"/>
          <w:rFonts w:cs="Calibri"/>
        </w:rPr>
        <w:t>the flipchart</w:t>
      </w:r>
      <w:r w:rsidR="00B77D6E">
        <w:rPr>
          <w:rStyle w:val="BodyTextChar"/>
          <w:rFonts w:cs="Calibri"/>
        </w:rPr>
        <w:t xml:space="preserve"> and </w:t>
      </w:r>
      <w:r w:rsidRPr="00DD477A">
        <w:rPr>
          <w:rStyle w:val="BodyTextChar"/>
          <w:rFonts w:cs="Calibri"/>
        </w:rPr>
        <w:t>AGOR).</w:t>
      </w:r>
    </w:p>
    <w:p w14:paraId="16B5742A" w14:textId="01E41253" w:rsidR="000544B8" w:rsidRPr="00DD477A" w:rsidRDefault="00C87EDC" w:rsidP="0014243A">
      <w:pPr>
        <w:pStyle w:val="Bullet1"/>
        <w:keepNext/>
        <w:keepLines/>
        <w:numPr>
          <w:ilvl w:val="0"/>
          <w:numId w:val="0"/>
        </w:numPr>
        <w:rPr>
          <w:rStyle w:val="BodyTextChar"/>
          <w:rFonts w:cs="Calibri"/>
          <w:szCs w:val="22"/>
        </w:rPr>
      </w:pPr>
      <w:r w:rsidRPr="00DD477A">
        <w:rPr>
          <w:rStyle w:val="BodyTextChar"/>
          <w:rFonts w:cs="Calibri"/>
        </w:rPr>
        <w:t>Third party payments include</w:t>
      </w:r>
      <w:r w:rsidR="000544B8" w:rsidRPr="00DD477A">
        <w:rPr>
          <w:rStyle w:val="BodyTextChar"/>
          <w:rFonts w:cs="Calibri"/>
        </w:rPr>
        <w:t>:</w:t>
      </w:r>
    </w:p>
    <w:p w14:paraId="4A361C4A" w14:textId="77777777" w:rsidR="000544B8" w:rsidRPr="00DD477A" w:rsidRDefault="000544B8" w:rsidP="00B54999">
      <w:pPr>
        <w:pStyle w:val="Bullet1"/>
        <w:rPr>
          <w:rStyle w:val="BodyTextChar"/>
          <w:rFonts w:cs="Calibri"/>
        </w:rPr>
      </w:pPr>
      <w:r w:rsidRPr="00DD477A">
        <w:rPr>
          <w:rStyle w:val="BodyTextChar"/>
          <w:rFonts w:cs="Calibri"/>
          <w:b/>
          <w:bCs/>
        </w:rPr>
        <w:t>Payments made on behalf of another entity</w:t>
      </w:r>
      <w:r w:rsidRPr="00DD477A">
        <w:rPr>
          <w:rStyle w:val="BodyTextChar"/>
          <w:rFonts w:cs="Calibri"/>
        </w:rPr>
        <w:t xml:space="preserve"> occur where an entity accesses another entity’s appropriations to pay recipients or external parties on behalf of the other entity, for example, Services Australia (SA) would show the value of appropriations it draws upon to pay income support recipients on behalf of the Department of Social Services (DSS).</w:t>
      </w:r>
    </w:p>
    <w:p w14:paraId="18E82318" w14:textId="77777777" w:rsidR="000544B8" w:rsidRPr="00DD477A" w:rsidRDefault="000544B8" w:rsidP="00B54999">
      <w:pPr>
        <w:pStyle w:val="Bullet1"/>
        <w:rPr>
          <w:rStyle w:val="BodyTextChar"/>
          <w:rFonts w:cs="Calibri"/>
        </w:rPr>
      </w:pPr>
      <w:r w:rsidRPr="00DD477A">
        <w:rPr>
          <w:rStyle w:val="BodyTextChar"/>
          <w:rFonts w:cs="Calibri"/>
          <w:b/>
          <w:bCs/>
        </w:rPr>
        <w:t>Payments made by other entities on behalf of the entity</w:t>
      </w:r>
      <w:r w:rsidRPr="00DD477A">
        <w:rPr>
          <w:rStyle w:val="BodyTextChar"/>
          <w:rFonts w:cs="Calibri"/>
        </w:rPr>
        <w:t xml:space="preserve"> are those payments which have been outsourced to another entity to administer, for example, DSS would disclose the appropriations being drawn upon by SA to pay income support recipients.</w:t>
      </w:r>
    </w:p>
    <w:p w14:paraId="58B7F1BA" w14:textId="585E99F4" w:rsidR="00A71F37" w:rsidRPr="00892E30" w:rsidRDefault="000544B8" w:rsidP="00B54999">
      <w:pPr>
        <w:pStyle w:val="Bullet1"/>
        <w:rPr>
          <w:rStyle w:val="BodyTextChar"/>
          <w:rFonts w:cs="Calibri"/>
        </w:rPr>
      </w:pPr>
      <w:r w:rsidRPr="00DD477A">
        <w:rPr>
          <w:rStyle w:val="BodyTextChar"/>
          <w:rFonts w:cs="Calibri"/>
          <w:b/>
          <w:bCs/>
        </w:rPr>
        <w:t>Payments made to other entities for the provision of services</w:t>
      </w:r>
      <w:r w:rsidRPr="00DD477A">
        <w:rPr>
          <w:rStyle w:val="BodyTextChar"/>
          <w:rFonts w:cs="Calibri"/>
        </w:rPr>
        <w:t xml:space="preserve"> are amounts paid to other entities for contracted services, for example, for shared/corporate services.</w:t>
      </w:r>
    </w:p>
    <w:p w14:paraId="4092327F" w14:textId="595BC27E" w:rsidR="00C84C8F" w:rsidRPr="00892E30" w:rsidRDefault="000544B8" w:rsidP="00B54999">
      <w:pPr>
        <w:pStyle w:val="Bullet1"/>
        <w:rPr>
          <w:rStyle w:val="BodyTextChar"/>
          <w:rFonts w:eastAsiaTheme="minorHAnsi" w:cs="Calibri"/>
          <w:szCs w:val="22"/>
        </w:rPr>
      </w:pPr>
      <w:r w:rsidRPr="00DD477A">
        <w:rPr>
          <w:rStyle w:val="BodyTextChar"/>
          <w:rFonts w:cs="Calibri"/>
          <w:b/>
          <w:bCs/>
        </w:rPr>
        <w:t>Receipts received from other entities for the provision of services</w:t>
      </w:r>
      <w:r w:rsidRPr="00DD477A">
        <w:rPr>
          <w:rStyle w:val="BodyTextChar"/>
          <w:rFonts w:cs="Calibri"/>
        </w:rPr>
        <w:t xml:space="preserve"> are amounts received where the entity provides services to another entity, for example, for the provision of shared/corporate services.</w:t>
      </w:r>
    </w:p>
    <w:p w14:paraId="5BEE848E" w14:textId="1AE43A03" w:rsidR="000544B8" w:rsidRPr="00DD477A" w:rsidRDefault="000544B8" w:rsidP="00892E30">
      <w:pPr>
        <w:pStyle w:val="Bullet1"/>
        <w:rPr>
          <w:rStyle w:val="BodyTextChar"/>
          <w:rFonts w:eastAsiaTheme="minorHAnsi" w:cs="Calibri"/>
          <w:szCs w:val="22"/>
        </w:rPr>
      </w:pPr>
      <w:r w:rsidRPr="00DD477A">
        <w:rPr>
          <w:rStyle w:val="BodyTextChar"/>
          <w:rFonts w:cs="Calibri"/>
          <w:b/>
          <w:bCs/>
        </w:rPr>
        <w:t>Payments made to corporate entities within the portfolio</w:t>
      </w:r>
      <w:r w:rsidRPr="00DD477A">
        <w:rPr>
          <w:rStyle w:val="BodyTextChar"/>
          <w:rFonts w:cs="Calibri"/>
        </w:rPr>
        <w:t xml:space="preserve"> provides a breakdown of payments (from all appropriation sources) made by portfolio departments to each corporate entity in the portfolio – figures shown here should include amounts disclosed as </w:t>
      </w:r>
      <w:r w:rsidRPr="00DD477A">
        <w:rPr>
          <w:rStyle w:val="BodyTextChar"/>
          <w:rFonts w:cs="Calibri"/>
          <w:i/>
          <w:iCs/>
        </w:rPr>
        <w:t>‘payments to corporate entities’</w:t>
      </w:r>
      <w:r w:rsidRPr="00DD477A">
        <w:rPr>
          <w:rStyle w:val="BodyTextChar"/>
          <w:rFonts w:cs="Calibri"/>
        </w:rPr>
        <w:t xml:space="preserve"> in the Appropriation Bills. These amounts should be consistent with any figures reported in Table 2.X.1.</w:t>
      </w:r>
    </w:p>
    <w:p w14:paraId="68602ADA" w14:textId="0C2115D0" w:rsidR="000544B8" w:rsidRPr="00DD477A" w:rsidRDefault="000544B8" w:rsidP="000544B8">
      <w:pPr>
        <w:pStyle w:val="Boxed2Text"/>
        <w:rPr>
          <w:rFonts w:cs="Calibri"/>
        </w:rPr>
      </w:pPr>
      <w:r w:rsidRPr="00DD477A">
        <w:rPr>
          <w:rStyle w:val="BodyTextChar"/>
          <w:rFonts w:eastAsiaTheme="minorHAnsi" w:cs="Calibri"/>
        </w:rPr>
        <w:t>Select the current financial year to get the ‘Actual available appropriation’ figure available. This amount reflects what is</w:t>
      </w:r>
      <w:r w:rsidR="001D1678" w:rsidRPr="00DD477A">
        <w:rPr>
          <w:rStyle w:val="BodyTextChar"/>
          <w:rFonts w:eastAsiaTheme="minorHAnsi" w:cs="Calibri"/>
        </w:rPr>
        <w:t xml:space="preserve"> </w:t>
      </w:r>
      <w:r w:rsidRPr="00DD477A">
        <w:rPr>
          <w:rStyle w:val="BodyTextChar"/>
          <w:rFonts w:eastAsiaTheme="minorHAnsi" w:cs="Calibri"/>
        </w:rPr>
        <w:t xml:space="preserve">available in </w:t>
      </w:r>
      <w:r w:rsidR="00D15DC6" w:rsidRPr="00DD477A">
        <w:rPr>
          <w:rStyle w:val="BodyTextChar"/>
          <w:rFonts w:eastAsiaTheme="minorHAnsi" w:cs="Calibri"/>
        </w:rPr>
        <w:t xml:space="preserve">the </w:t>
      </w:r>
      <w:r w:rsidRPr="00DD477A">
        <w:rPr>
          <w:rStyle w:val="BodyTextChar"/>
          <w:rFonts w:eastAsiaTheme="minorHAnsi" w:cs="Calibri"/>
        </w:rPr>
        <w:t xml:space="preserve">Cash Management </w:t>
      </w:r>
      <w:r w:rsidR="00D15DC6" w:rsidRPr="00DD477A">
        <w:rPr>
          <w:rStyle w:val="BodyTextChar"/>
          <w:rFonts w:eastAsiaTheme="minorHAnsi" w:cs="Calibri"/>
        </w:rPr>
        <w:t xml:space="preserve">module for </w:t>
      </w:r>
      <w:r w:rsidR="0095585E">
        <w:rPr>
          <w:rStyle w:val="BodyTextChar"/>
          <w:rFonts w:eastAsiaTheme="minorHAnsi" w:cs="Calibri"/>
        </w:rPr>
        <w:t>2025</w:t>
      </w:r>
      <w:r w:rsidR="00C917CE">
        <w:rPr>
          <w:rStyle w:val="BodyTextChar"/>
          <w:rFonts w:eastAsiaTheme="minorHAnsi" w:cs="Calibri"/>
        </w:rPr>
        <w:t>–</w:t>
      </w:r>
      <w:r w:rsidR="0095585E">
        <w:rPr>
          <w:rStyle w:val="BodyTextChar"/>
          <w:rFonts w:eastAsiaTheme="minorHAnsi" w:cs="Calibri"/>
        </w:rPr>
        <w:t>26</w:t>
      </w:r>
      <w:r w:rsidR="00D15DC6" w:rsidRPr="00DD477A">
        <w:rPr>
          <w:rStyle w:val="BodyTextChar"/>
          <w:rFonts w:eastAsiaTheme="minorHAnsi" w:cs="Calibri"/>
        </w:rPr>
        <w:t xml:space="preserve"> </w:t>
      </w:r>
      <w:r w:rsidRPr="00DD477A">
        <w:rPr>
          <w:rStyle w:val="BodyTextChar"/>
          <w:rFonts w:eastAsiaTheme="minorHAnsi" w:cs="Calibri"/>
        </w:rPr>
        <w:t>and should be adjusted for any amounts expected to be paid out by 30 June 202</w:t>
      </w:r>
      <w:r w:rsidR="002970A6">
        <w:rPr>
          <w:rStyle w:val="BodyTextChar"/>
          <w:rFonts w:eastAsiaTheme="minorHAnsi" w:cs="Calibri"/>
        </w:rPr>
        <w:t>5</w:t>
      </w:r>
      <w:r w:rsidRPr="00DD477A">
        <w:rPr>
          <w:rStyle w:val="BodyTextChar"/>
          <w:rFonts w:eastAsiaTheme="minorHAnsi" w:cs="Calibri"/>
        </w:rPr>
        <w:t>. The amount shown in the AAA Report will be net of any s51 withholdings and administrative quarantines.</w:t>
      </w:r>
    </w:p>
    <w:p w14:paraId="409D31F1" w14:textId="2D2BD6FA" w:rsidR="00FA0945" w:rsidRPr="009E2937" w:rsidRDefault="53BF0693" w:rsidP="003D6589">
      <w:pPr>
        <w:pStyle w:val="Heading2"/>
      </w:pPr>
      <w:bookmarkStart w:id="870" w:name="_Toc87979875"/>
      <w:bookmarkStart w:id="871" w:name="_Toc47369880"/>
      <w:bookmarkStart w:id="872" w:name="_Toc29980680"/>
      <w:bookmarkStart w:id="873" w:name="_Toc30405568"/>
      <w:bookmarkStart w:id="874" w:name="_Toc30581309"/>
      <w:bookmarkStart w:id="875" w:name="_Toc32829971"/>
      <w:bookmarkStart w:id="876" w:name="_Toc32917478"/>
      <w:bookmarkStart w:id="877" w:name="_Toc32918284"/>
      <w:bookmarkStart w:id="878" w:name="_Toc32999667"/>
      <w:bookmarkStart w:id="879" w:name="_Toc33099386"/>
      <w:bookmarkStart w:id="880" w:name="_Toc33196011"/>
      <w:bookmarkStart w:id="881" w:name="_Toc33196313"/>
      <w:bookmarkStart w:id="882" w:name="_Toc157088602"/>
      <w:bookmarkStart w:id="883" w:name="_Toc411852678"/>
      <w:bookmarkStart w:id="884" w:name="_Toc534382558"/>
      <w:bookmarkStart w:id="885" w:name="_Ref47004664"/>
      <w:bookmarkStart w:id="886" w:name="_Ref47004670"/>
      <w:bookmarkStart w:id="887" w:name="_Toc63347705"/>
      <w:bookmarkStart w:id="888" w:name="_Toc227749033"/>
      <w:bookmarkEnd w:id="854"/>
      <w:bookmarkEnd w:id="855"/>
      <w:bookmarkEnd w:id="856"/>
      <w:bookmarkEnd w:id="870"/>
      <w:bookmarkEnd w:id="871"/>
      <w:bookmarkEnd w:id="872"/>
      <w:bookmarkEnd w:id="873"/>
      <w:bookmarkEnd w:id="874"/>
      <w:bookmarkEnd w:id="875"/>
      <w:bookmarkEnd w:id="876"/>
      <w:bookmarkEnd w:id="877"/>
      <w:bookmarkEnd w:id="878"/>
      <w:bookmarkEnd w:id="879"/>
      <w:bookmarkEnd w:id="880"/>
      <w:bookmarkEnd w:id="881"/>
      <w:bookmarkEnd w:id="882"/>
      <w:r w:rsidRPr="009E2937">
        <w:t>Budget measures</w:t>
      </w:r>
      <w:bookmarkEnd w:id="883"/>
      <w:bookmarkEnd w:id="884"/>
      <w:bookmarkEnd w:id="885"/>
      <w:bookmarkEnd w:id="886"/>
      <w:bookmarkEnd w:id="887"/>
      <w:r w:rsidR="00A93F1E" w:rsidRPr="009E2937">
        <w:t xml:space="preserve"> - Table 1.2</w:t>
      </w:r>
      <w:bookmarkEnd w:id="888"/>
    </w:p>
    <w:p w14:paraId="3C1795B3" w14:textId="6A62B18B" w:rsidR="00C90453" w:rsidRPr="00DD477A" w:rsidRDefault="00C90453" w:rsidP="53BF0693">
      <w:pPr>
        <w:rPr>
          <w:rStyle w:val="BodyTextChar"/>
          <w:rFonts w:cs="Calibri"/>
        </w:rPr>
      </w:pPr>
      <w:r w:rsidRPr="00DD477A">
        <w:rPr>
          <w:rFonts w:eastAsia="Cambria" w:cs="Calibri"/>
          <w:noProof/>
        </w:rPr>
        <w:drawing>
          <wp:inline distT="0" distB="0" distL="0" distR="0" wp14:anchorId="13385AE6" wp14:editId="4A7342C6">
            <wp:extent cx="5835650" cy="1700667"/>
            <wp:effectExtent l="0" t="0" r="0" b="0"/>
            <wp:docPr id="1224276615" name="Diagram 12242766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0" r:lo="rId131" r:qs="rId132" r:cs="rId133"/>
              </a:graphicData>
            </a:graphic>
          </wp:inline>
        </w:drawing>
      </w:r>
    </w:p>
    <w:p w14:paraId="18DA39FC" w14:textId="1A6281B5" w:rsidR="002D7CF6" w:rsidRPr="00DD477A" w:rsidRDefault="53BF0693" w:rsidP="53BF0693">
      <w:pPr>
        <w:rPr>
          <w:rStyle w:val="BodyTextChar"/>
          <w:rFonts w:cs="Calibri"/>
        </w:rPr>
      </w:pPr>
      <w:r w:rsidRPr="00DD477A">
        <w:rPr>
          <w:rStyle w:val="BodyTextChar"/>
          <w:rFonts w:cs="Calibri"/>
        </w:rPr>
        <w:t xml:space="preserve">The </w:t>
      </w:r>
      <w:r w:rsidRPr="00DD477A">
        <w:rPr>
          <w:rStyle w:val="BodyTextChar"/>
          <w:rFonts w:cs="Calibri"/>
          <w:i/>
          <w:iCs/>
        </w:rPr>
        <w:t>Budget measures</w:t>
      </w:r>
      <w:r w:rsidRPr="00DD477A">
        <w:rPr>
          <w:rStyle w:val="BodyTextChar"/>
          <w:rFonts w:cs="Calibri"/>
        </w:rPr>
        <w:t xml:space="preserve"> section primarily highlights new government decisions support</w:t>
      </w:r>
      <w:r w:rsidR="00D0729E" w:rsidRPr="00DD477A">
        <w:rPr>
          <w:rStyle w:val="BodyTextChar"/>
          <w:rFonts w:cs="Calibri"/>
        </w:rPr>
        <w:t>ed</w:t>
      </w:r>
      <w:r w:rsidR="00D47314" w:rsidRPr="00DD477A">
        <w:rPr>
          <w:rStyle w:val="BodyTextChar"/>
          <w:rFonts w:cs="Calibri"/>
        </w:rPr>
        <w:t xml:space="preserve"> by</w:t>
      </w:r>
      <w:r w:rsidRPr="00DD477A">
        <w:rPr>
          <w:rStyle w:val="BodyTextChar"/>
          <w:rFonts w:cs="Calibri"/>
        </w:rPr>
        <w:t xml:space="preserve"> the </w:t>
      </w:r>
      <w:r w:rsidRPr="00DD477A">
        <w:rPr>
          <w:rStyle w:val="BodyTextChar"/>
          <w:rFonts w:cs="Calibri"/>
          <w:iCs/>
        </w:rPr>
        <w:t>Appropriation Bills</w:t>
      </w:r>
      <w:r w:rsidR="00CB6496" w:rsidRPr="00DD477A">
        <w:rPr>
          <w:rStyle w:val="BodyTextChar"/>
          <w:rFonts w:cs="Calibri"/>
          <w:iCs/>
        </w:rPr>
        <w:t xml:space="preserve"> (</w:t>
      </w:r>
      <w:r w:rsidR="001675A8" w:rsidRPr="00DD477A">
        <w:rPr>
          <w:rStyle w:val="BodyTextChar"/>
          <w:rFonts w:cs="Calibri"/>
          <w:iCs/>
        </w:rPr>
        <w:t>No.</w:t>
      </w:r>
      <w:r w:rsidR="00E73976" w:rsidRPr="00DD477A">
        <w:rPr>
          <w:rStyle w:val="BodyTextChar"/>
          <w:rFonts w:cs="Calibri"/>
          <w:iCs/>
        </w:rPr>
        <w:t xml:space="preserve"> </w:t>
      </w:r>
      <w:r w:rsidR="00CB6496" w:rsidRPr="00DD477A">
        <w:rPr>
          <w:rStyle w:val="BodyTextChar"/>
          <w:rFonts w:cs="Calibri"/>
          <w:iCs/>
        </w:rPr>
        <w:t>1</w:t>
      </w:r>
      <w:r w:rsidR="00E73976" w:rsidRPr="00DD477A">
        <w:rPr>
          <w:rStyle w:val="BodyTextChar"/>
          <w:rFonts w:cs="Calibri"/>
          <w:iCs/>
        </w:rPr>
        <w:t xml:space="preserve"> and 2</w:t>
      </w:r>
      <w:r w:rsidR="00CB6496" w:rsidRPr="00DD477A">
        <w:rPr>
          <w:rStyle w:val="BodyTextChar"/>
          <w:rFonts w:cs="Calibri"/>
          <w:iCs/>
        </w:rPr>
        <w:t xml:space="preserve">) </w:t>
      </w:r>
      <w:r w:rsidR="0005119C">
        <w:rPr>
          <w:rStyle w:val="BodyTextChar"/>
          <w:rFonts w:cs="Calibri"/>
          <w:iCs/>
        </w:rPr>
        <w:t>2026</w:t>
      </w:r>
      <w:r w:rsidR="00C917CE">
        <w:rPr>
          <w:rStyle w:val="BodyTextChar"/>
          <w:rFonts w:cs="Calibri"/>
          <w:iCs/>
        </w:rPr>
        <w:t>–</w:t>
      </w:r>
      <w:r w:rsidR="0005119C">
        <w:rPr>
          <w:rStyle w:val="BodyTextChar"/>
          <w:rFonts w:cs="Calibri"/>
          <w:iCs/>
        </w:rPr>
        <w:t>2027</w:t>
      </w:r>
      <w:r w:rsidRPr="00DD477A">
        <w:rPr>
          <w:rStyle w:val="BodyTextChar"/>
          <w:rFonts w:cs="Calibri"/>
        </w:rPr>
        <w:t>.</w:t>
      </w:r>
    </w:p>
    <w:p w14:paraId="4A5CA04F" w14:textId="1419FA96" w:rsidR="00111548" w:rsidRDefault="53BF0693" w:rsidP="53BF0693">
      <w:pPr>
        <w:rPr>
          <w:rStyle w:val="BodyTextChar"/>
          <w:rFonts w:cs="Calibri"/>
        </w:rPr>
      </w:pPr>
      <w:r w:rsidRPr="00DD477A">
        <w:rPr>
          <w:rStyle w:val="BodyTextChar"/>
          <w:rFonts w:cs="Calibri"/>
        </w:rPr>
        <w:t xml:space="preserve">For the </w:t>
      </w:r>
      <w:r w:rsidR="00DC026B">
        <w:rPr>
          <w:rStyle w:val="BodyTextChar"/>
          <w:rFonts w:cs="Calibri"/>
        </w:rPr>
        <w:t>2026</w:t>
      </w:r>
      <w:r w:rsidR="00C917CE">
        <w:rPr>
          <w:rStyle w:val="BodyTextChar"/>
          <w:rFonts w:cs="Calibri"/>
        </w:rPr>
        <w:t>–</w:t>
      </w:r>
      <w:r w:rsidR="00DC026B">
        <w:rPr>
          <w:rStyle w:val="BodyTextChar"/>
          <w:rFonts w:cs="Calibri"/>
        </w:rPr>
        <w:t>27</w:t>
      </w:r>
      <w:r w:rsidR="0007613A" w:rsidRPr="00DD477A">
        <w:rPr>
          <w:rStyle w:val="BodyTextChar"/>
          <w:rFonts w:cs="Calibri"/>
        </w:rPr>
        <w:t xml:space="preserve"> </w:t>
      </w:r>
      <w:r w:rsidRPr="00DD477A">
        <w:rPr>
          <w:rStyle w:val="BodyTextChar"/>
          <w:rFonts w:cs="Calibri"/>
        </w:rPr>
        <w:t xml:space="preserve">Budget, entities </w:t>
      </w:r>
      <w:r w:rsidRPr="00DD477A">
        <w:rPr>
          <w:rStyle w:val="BodyTextChar"/>
          <w:rFonts w:cs="Calibri"/>
          <w:b/>
          <w:bCs/>
        </w:rPr>
        <w:t xml:space="preserve">are </w:t>
      </w:r>
      <w:r w:rsidR="00A56065">
        <w:rPr>
          <w:rStyle w:val="BodyTextChar"/>
          <w:rFonts w:cs="Calibri"/>
          <w:b/>
          <w:bCs/>
        </w:rPr>
        <w:t xml:space="preserve">generally </w:t>
      </w:r>
      <w:r w:rsidRPr="00DD477A">
        <w:rPr>
          <w:rStyle w:val="BodyTextChar"/>
          <w:rFonts w:cs="Calibri"/>
          <w:b/>
          <w:bCs/>
        </w:rPr>
        <w:t>only required</w:t>
      </w:r>
      <w:r w:rsidRPr="00DD477A">
        <w:rPr>
          <w:rStyle w:val="BodyTextChar"/>
          <w:rFonts w:cs="Calibri"/>
        </w:rPr>
        <w:t xml:space="preserve"> to report measures taken </w:t>
      </w:r>
      <w:r w:rsidR="000D2200" w:rsidRPr="00DD477A">
        <w:rPr>
          <w:rStyle w:val="BodyTextChar"/>
          <w:rFonts w:cs="Calibri"/>
        </w:rPr>
        <w:t>since the</w:t>
      </w:r>
      <w:r w:rsidR="00A55C16" w:rsidRPr="00DD477A">
        <w:rPr>
          <w:rStyle w:val="BodyTextChar"/>
          <w:rFonts w:cs="Calibri"/>
        </w:rPr>
        <w:t xml:space="preserve"> </w:t>
      </w:r>
      <w:r w:rsidR="0095585E">
        <w:rPr>
          <w:rStyle w:val="BodyTextChar"/>
          <w:rFonts w:cs="Calibri"/>
        </w:rPr>
        <w:t>2025</w:t>
      </w:r>
      <w:r w:rsidR="00C917CE">
        <w:rPr>
          <w:rStyle w:val="BodyTextChar"/>
          <w:rFonts w:cs="Calibri"/>
        </w:rPr>
        <w:t>–</w:t>
      </w:r>
      <w:r w:rsidR="0095585E">
        <w:rPr>
          <w:rStyle w:val="BodyTextChar"/>
          <w:rFonts w:cs="Calibri"/>
        </w:rPr>
        <w:t>26</w:t>
      </w:r>
      <w:r w:rsidR="001C4517" w:rsidRPr="00DD477A">
        <w:rPr>
          <w:rStyle w:val="BodyTextChar"/>
          <w:rFonts w:cs="Calibri"/>
        </w:rPr>
        <w:t xml:space="preserve"> P</w:t>
      </w:r>
      <w:r w:rsidR="009E7064" w:rsidRPr="00DD477A">
        <w:rPr>
          <w:rStyle w:val="BodyTextChar"/>
          <w:rFonts w:cs="Calibri"/>
        </w:rPr>
        <w:t>AES</w:t>
      </w:r>
      <w:r w:rsidR="000C160B">
        <w:rPr>
          <w:rStyle w:val="BodyTextChar"/>
          <w:rFonts w:cs="Calibri"/>
        </w:rPr>
        <w:t>.</w:t>
      </w:r>
      <w:r w:rsidR="00A56065">
        <w:rPr>
          <w:rStyle w:val="BodyTextChar"/>
          <w:rFonts w:cs="Calibri"/>
        </w:rPr>
        <w:t xml:space="preserve"> Exceptions to this rule </w:t>
      </w:r>
      <w:r w:rsidR="00A27BF7">
        <w:rPr>
          <w:rStyle w:val="BodyTextChar"/>
          <w:rFonts w:cs="Calibri"/>
        </w:rPr>
        <w:t xml:space="preserve">will be </w:t>
      </w:r>
      <w:r w:rsidR="00A56065">
        <w:rPr>
          <w:rStyle w:val="BodyTextChar"/>
          <w:rFonts w:cs="Calibri"/>
        </w:rPr>
        <w:t>instances where:</w:t>
      </w:r>
    </w:p>
    <w:p w14:paraId="102383C7" w14:textId="1404F55F" w:rsidR="00A56065" w:rsidRDefault="00DB7DBE" w:rsidP="73D99221">
      <w:pPr>
        <w:pStyle w:val="Numbered"/>
        <w:rPr>
          <w:rStyle w:val="BodyTextChar"/>
          <w:rFonts w:cs="Calibri"/>
        </w:rPr>
      </w:pPr>
      <w:r>
        <w:rPr>
          <w:rStyle w:val="BodyTextChar"/>
          <w:rFonts w:cs="Calibri"/>
        </w:rPr>
        <w:t>A m</w:t>
      </w:r>
      <w:r w:rsidR="002C579E" w:rsidRPr="73D99221">
        <w:rPr>
          <w:rStyle w:val="BodyTextChar"/>
          <w:rFonts w:cs="Calibri"/>
        </w:rPr>
        <w:t>eas</w:t>
      </w:r>
      <w:r w:rsidR="003A20C7" w:rsidRPr="73D99221">
        <w:rPr>
          <w:rStyle w:val="BodyTextChar"/>
          <w:rFonts w:cs="Calibri"/>
        </w:rPr>
        <w:t>ure was announced since the 2025</w:t>
      </w:r>
      <w:r w:rsidR="00C917CE">
        <w:rPr>
          <w:rStyle w:val="BodyTextChar"/>
          <w:rFonts w:cs="Calibri"/>
        </w:rPr>
        <w:t>–</w:t>
      </w:r>
      <w:r w:rsidR="003A20C7" w:rsidRPr="73D99221">
        <w:rPr>
          <w:rStyle w:val="BodyTextChar"/>
          <w:rFonts w:cs="Calibri"/>
        </w:rPr>
        <w:t>26 M</w:t>
      </w:r>
      <w:r w:rsidR="005878DC" w:rsidRPr="73D99221">
        <w:rPr>
          <w:rStyle w:val="BodyTextChar"/>
          <w:rFonts w:cs="Calibri"/>
        </w:rPr>
        <w:t>id-</w:t>
      </w:r>
      <w:r w:rsidR="003A20C7" w:rsidRPr="73D99221">
        <w:rPr>
          <w:rStyle w:val="BodyTextChar"/>
          <w:rFonts w:cs="Calibri"/>
        </w:rPr>
        <w:t>Y</w:t>
      </w:r>
      <w:r w:rsidR="005878DC" w:rsidRPr="73D99221">
        <w:rPr>
          <w:rStyle w:val="BodyTextChar"/>
          <w:rFonts w:cs="Calibri"/>
        </w:rPr>
        <w:t xml:space="preserve">ear </w:t>
      </w:r>
      <w:r w:rsidR="003A20C7" w:rsidRPr="73D99221">
        <w:rPr>
          <w:rStyle w:val="BodyTextChar"/>
          <w:rFonts w:cs="Calibri"/>
        </w:rPr>
        <w:t>E</w:t>
      </w:r>
      <w:r w:rsidR="005878DC" w:rsidRPr="73D99221">
        <w:rPr>
          <w:rStyle w:val="BodyTextChar"/>
          <w:rFonts w:cs="Calibri"/>
        </w:rPr>
        <w:t xml:space="preserve">conomic </w:t>
      </w:r>
      <w:r w:rsidR="003A20C7" w:rsidRPr="73D99221">
        <w:rPr>
          <w:rStyle w:val="BodyTextChar"/>
          <w:rFonts w:cs="Calibri"/>
        </w:rPr>
        <w:t>F</w:t>
      </w:r>
      <w:r w:rsidR="005878DC" w:rsidRPr="73D99221">
        <w:rPr>
          <w:rStyle w:val="BodyTextChar"/>
          <w:rFonts w:cs="Calibri"/>
        </w:rPr>
        <w:t xml:space="preserve">iscal </w:t>
      </w:r>
      <w:r w:rsidR="003A20C7" w:rsidRPr="73D99221">
        <w:rPr>
          <w:rStyle w:val="BodyTextChar"/>
          <w:rFonts w:cs="Calibri"/>
        </w:rPr>
        <w:t>O</w:t>
      </w:r>
      <w:r w:rsidR="005878DC" w:rsidRPr="73D99221">
        <w:rPr>
          <w:rStyle w:val="BodyTextChar"/>
          <w:rFonts w:cs="Calibri"/>
        </w:rPr>
        <w:t>utlook (MYEFO)</w:t>
      </w:r>
      <w:r w:rsidR="001940FB" w:rsidRPr="73D99221">
        <w:rPr>
          <w:rStyle w:val="BodyTextChar"/>
          <w:rFonts w:cs="Calibri"/>
        </w:rPr>
        <w:t xml:space="preserve"> but </w:t>
      </w:r>
      <w:r w:rsidR="00972ED4" w:rsidRPr="73D99221">
        <w:rPr>
          <w:rStyle w:val="BodyTextChar"/>
          <w:rFonts w:cs="Calibri"/>
        </w:rPr>
        <w:t>w</w:t>
      </w:r>
      <w:r w:rsidR="001118D4">
        <w:rPr>
          <w:rStyle w:val="BodyTextChar"/>
          <w:rFonts w:cs="Calibri"/>
        </w:rPr>
        <w:t>as</w:t>
      </w:r>
      <w:r w:rsidR="00972ED4" w:rsidRPr="73D99221">
        <w:rPr>
          <w:rStyle w:val="BodyTextChar"/>
          <w:rFonts w:cs="Calibri"/>
        </w:rPr>
        <w:t xml:space="preserve"> unreported in their 2025</w:t>
      </w:r>
      <w:r w:rsidR="00C917CE">
        <w:rPr>
          <w:rStyle w:val="BodyTextChar"/>
          <w:rFonts w:cs="Calibri"/>
        </w:rPr>
        <w:t>–</w:t>
      </w:r>
      <w:r w:rsidR="00972ED4" w:rsidRPr="73D99221">
        <w:rPr>
          <w:rStyle w:val="BodyTextChar"/>
          <w:rFonts w:cs="Calibri"/>
        </w:rPr>
        <w:t>26 PAES statements possibly due to no 2025</w:t>
      </w:r>
      <w:r w:rsidR="00C917CE">
        <w:rPr>
          <w:rStyle w:val="BodyTextChar"/>
          <w:rFonts w:cs="Calibri"/>
        </w:rPr>
        <w:t>–</w:t>
      </w:r>
      <w:r w:rsidR="00972ED4" w:rsidRPr="73D99221">
        <w:rPr>
          <w:rStyle w:val="BodyTextChar"/>
          <w:rFonts w:cs="Calibri"/>
        </w:rPr>
        <w:t>26 financial year</w:t>
      </w:r>
      <w:r w:rsidR="00D26AE2" w:rsidRPr="73D99221">
        <w:rPr>
          <w:rStyle w:val="BodyTextChar"/>
          <w:rFonts w:cs="Calibri"/>
        </w:rPr>
        <w:t xml:space="preserve"> </w:t>
      </w:r>
      <w:r w:rsidR="00972ED4" w:rsidRPr="73D99221">
        <w:rPr>
          <w:rStyle w:val="BodyTextChar"/>
          <w:rFonts w:cs="Calibri"/>
        </w:rPr>
        <w:t>impact</w:t>
      </w:r>
      <w:r w:rsidR="00D94F07" w:rsidRPr="73D99221">
        <w:rPr>
          <w:rStyle w:val="BodyTextChar"/>
          <w:rFonts w:cs="Calibri"/>
        </w:rPr>
        <w:t xml:space="preserve"> </w:t>
      </w:r>
      <w:r w:rsidR="00D26AE2" w:rsidRPr="73D99221">
        <w:rPr>
          <w:rStyle w:val="BodyTextChar"/>
          <w:rFonts w:cs="Calibri"/>
        </w:rPr>
        <w:t xml:space="preserve">in the Appropriation Bills (No. 3) and (No.4) prepared </w:t>
      </w:r>
      <w:r w:rsidR="00B74B4F" w:rsidRPr="73D99221">
        <w:rPr>
          <w:rStyle w:val="BodyTextChar"/>
          <w:rFonts w:cs="Calibri"/>
        </w:rPr>
        <w:t xml:space="preserve">during the </w:t>
      </w:r>
      <w:r w:rsidR="00D26AE2" w:rsidRPr="73D99221">
        <w:rPr>
          <w:rStyle w:val="BodyTextChar"/>
          <w:rFonts w:cs="Calibri"/>
        </w:rPr>
        <w:t xml:space="preserve">Additional Estimates </w:t>
      </w:r>
      <w:r w:rsidR="00B74B4F" w:rsidRPr="73D99221">
        <w:rPr>
          <w:rStyle w:val="BodyTextChar"/>
          <w:rFonts w:cs="Calibri"/>
        </w:rPr>
        <w:t>update</w:t>
      </w:r>
      <w:r w:rsidR="00972ED4" w:rsidRPr="73D99221">
        <w:rPr>
          <w:rStyle w:val="BodyTextChar"/>
          <w:rFonts w:cs="Calibri"/>
        </w:rPr>
        <w:t>.</w:t>
      </w:r>
      <w:r w:rsidR="002C579E">
        <w:br/>
      </w:r>
      <w:r w:rsidR="002C579E">
        <w:br/>
      </w:r>
      <w:r w:rsidR="003936C3" w:rsidRPr="73D99221">
        <w:rPr>
          <w:rStyle w:val="BodyTextChar"/>
          <w:rFonts w:cs="Calibri"/>
        </w:rPr>
        <w:t xml:space="preserve">In these instances, the measures should be reported in </w:t>
      </w:r>
      <w:r w:rsidR="003936C3" w:rsidRPr="0014243A">
        <w:rPr>
          <w:rStyle w:val="BodyTextChar"/>
          <w:rFonts w:cs="Calibri"/>
          <w:i/>
        </w:rPr>
        <w:t xml:space="preserve">‘Part 1: Measures announced since the </w:t>
      </w:r>
      <w:r w:rsidR="003936C3" w:rsidRPr="0014243A">
        <w:rPr>
          <w:rStyle w:val="BodyTextChar"/>
          <w:rFonts w:cs="Calibri"/>
          <w:i/>
          <w:iCs/>
        </w:rPr>
        <w:t>2025</w:t>
      </w:r>
      <w:r w:rsidR="00C917CE">
        <w:rPr>
          <w:rStyle w:val="BodyTextChar"/>
          <w:rFonts w:cs="Calibri"/>
          <w:i/>
          <w:iCs/>
        </w:rPr>
        <w:t>–</w:t>
      </w:r>
      <w:r w:rsidR="003936C3" w:rsidRPr="0014243A">
        <w:rPr>
          <w:rStyle w:val="BodyTextChar"/>
          <w:rFonts w:cs="Calibri"/>
          <w:i/>
          <w:iCs/>
        </w:rPr>
        <w:t>26</w:t>
      </w:r>
      <w:r w:rsidR="003936C3" w:rsidRPr="0014243A">
        <w:rPr>
          <w:rStyle w:val="BodyTextChar"/>
          <w:rFonts w:cs="Calibri"/>
          <w:i/>
        </w:rPr>
        <w:t xml:space="preserve"> Mid-Year Economic and Fiscal Outlook (MYEFO)’</w:t>
      </w:r>
      <w:r w:rsidR="00F9069E">
        <w:rPr>
          <w:rStyle w:val="BodyTextChar"/>
          <w:rFonts w:cs="Calibri"/>
        </w:rPr>
        <w:t xml:space="preserve"> of the measures table</w:t>
      </w:r>
      <w:r w:rsidR="003936C3" w:rsidRPr="73D99221">
        <w:rPr>
          <w:rStyle w:val="BodyTextChar"/>
          <w:rFonts w:cs="Calibri"/>
        </w:rPr>
        <w:t>.</w:t>
      </w:r>
    </w:p>
    <w:p w14:paraId="67E98342" w14:textId="36142DD4" w:rsidR="00972ED4" w:rsidRPr="00A27BF7" w:rsidRDefault="00834AFA" w:rsidP="0014243A">
      <w:pPr>
        <w:pStyle w:val="Numbered"/>
        <w:numPr>
          <w:ilvl w:val="0"/>
          <w:numId w:val="69"/>
        </w:numPr>
        <w:rPr>
          <w:rStyle w:val="BodyTextChar"/>
          <w:rFonts w:cs="Calibri"/>
        </w:rPr>
      </w:pPr>
      <w:r>
        <w:rPr>
          <w:rStyle w:val="BodyTextChar"/>
          <w:rFonts w:cs="Calibri"/>
        </w:rPr>
        <w:t xml:space="preserve">A measure was simply </w:t>
      </w:r>
      <w:r w:rsidR="00017E60">
        <w:rPr>
          <w:rStyle w:val="BodyTextChar"/>
          <w:rFonts w:cs="Calibri"/>
        </w:rPr>
        <w:t>announced prior to the 2025</w:t>
      </w:r>
      <w:r w:rsidR="00C917CE">
        <w:rPr>
          <w:rStyle w:val="BodyTextChar"/>
          <w:rFonts w:cs="Calibri"/>
        </w:rPr>
        <w:t>–</w:t>
      </w:r>
      <w:r w:rsidR="00017E60">
        <w:rPr>
          <w:rStyle w:val="BodyTextChar"/>
          <w:rFonts w:cs="Calibri"/>
        </w:rPr>
        <w:t xml:space="preserve">26 MYEFO update and simply </w:t>
      </w:r>
      <w:r>
        <w:rPr>
          <w:rStyle w:val="BodyTextChar"/>
          <w:rFonts w:cs="Calibri"/>
        </w:rPr>
        <w:t>unreported in a prior PB statement.</w:t>
      </w:r>
      <w:r w:rsidR="003936C3">
        <w:rPr>
          <w:rStyle w:val="BodyTextChar"/>
          <w:rFonts w:cs="Calibri"/>
        </w:rPr>
        <w:br/>
      </w:r>
      <w:r w:rsidR="003936C3">
        <w:rPr>
          <w:rStyle w:val="BodyTextChar"/>
          <w:rFonts w:cs="Calibri"/>
        </w:rPr>
        <w:br/>
      </w:r>
      <w:r>
        <w:rPr>
          <w:rStyle w:val="BodyTextChar"/>
          <w:rFonts w:cs="Calibri"/>
        </w:rPr>
        <w:t>I</w:t>
      </w:r>
      <w:r w:rsidR="00F241C0">
        <w:rPr>
          <w:rStyle w:val="BodyTextChar"/>
          <w:rFonts w:cs="Calibri"/>
        </w:rPr>
        <w:t>n</w:t>
      </w:r>
      <w:r w:rsidR="00017E60">
        <w:rPr>
          <w:rStyle w:val="BodyTextChar"/>
          <w:rFonts w:cs="Calibri"/>
        </w:rPr>
        <w:t xml:space="preserve"> these </w:t>
      </w:r>
      <w:r w:rsidR="00D94F07">
        <w:rPr>
          <w:rStyle w:val="BodyTextChar"/>
          <w:rFonts w:cs="Calibri"/>
        </w:rPr>
        <w:t>instances,</w:t>
      </w:r>
      <w:r w:rsidR="00017E60">
        <w:rPr>
          <w:rStyle w:val="BodyTextChar"/>
          <w:rFonts w:cs="Calibri"/>
        </w:rPr>
        <w:t xml:space="preserve"> </w:t>
      </w:r>
      <w:r w:rsidR="00405346">
        <w:rPr>
          <w:rStyle w:val="BodyTextChar"/>
          <w:rFonts w:cs="Calibri"/>
        </w:rPr>
        <w:t>the measure</w:t>
      </w:r>
      <w:r w:rsidR="00D11B8F">
        <w:rPr>
          <w:rStyle w:val="BodyTextChar"/>
          <w:rFonts w:cs="Calibri"/>
        </w:rPr>
        <w:t>s</w:t>
      </w:r>
      <w:r w:rsidR="00405346">
        <w:rPr>
          <w:rStyle w:val="BodyTextChar"/>
          <w:rFonts w:cs="Calibri"/>
        </w:rPr>
        <w:t xml:space="preserve"> should be reported in </w:t>
      </w:r>
      <w:r w:rsidR="00405346" w:rsidRPr="0014243A">
        <w:rPr>
          <w:rStyle w:val="BodyTextChar"/>
          <w:rFonts w:cs="Calibri"/>
          <w:i/>
        </w:rPr>
        <w:t>‘Part 2: Other Measures not previously reported in a portfolio statement’</w:t>
      </w:r>
      <w:r w:rsidR="00405346">
        <w:rPr>
          <w:rStyle w:val="BodyTextChar"/>
          <w:rFonts w:cs="Calibri"/>
        </w:rPr>
        <w:t xml:space="preserve"> </w:t>
      </w:r>
      <w:r w:rsidR="001C2897">
        <w:rPr>
          <w:rStyle w:val="BodyTextChar"/>
          <w:rFonts w:cs="Calibri"/>
        </w:rPr>
        <w:t>of the m</w:t>
      </w:r>
      <w:r w:rsidR="002B5930">
        <w:rPr>
          <w:rStyle w:val="BodyTextChar"/>
          <w:rFonts w:cs="Calibri"/>
        </w:rPr>
        <w:t>easures</w:t>
      </w:r>
      <w:r w:rsidR="001C2897">
        <w:rPr>
          <w:rStyle w:val="BodyTextChar"/>
          <w:rFonts w:cs="Calibri"/>
        </w:rPr>
        <w:t xml:space="preserve"> table</w:t>
      </w:r>
      <w:r w:rsidR="00D94F07">
        <w:rPr>
          <w:rStyle w:val="BodyTextChar"/>
          <w:rFonts w:cs="Calibri"/>
        </w:rPr>
        <w:t>.</w:t>
      </w:r>
    </w:p>
    <w:p w14:paraId="2FCE0938" w14:textId="693F2C57" w:rsidR="00FA0945" w:rsidRPr="00DD477A" w:rsidRDefault="53BF0693" w:rsidP="53BF0693">
      <w:pPr>
        <w:rPr>
          <w:rStyle w:val="BodyTextChar"/>
          <w:rFonts w:cs="Calibri"/>
        </w:rPr>
      </w:pPr>
      <w:r w:rsidRPr="00DD477A">
        <w:rPr>
          <w:rStyle w:val="BodyTextChar"/>
          <w:rFonts w:cs="Calibri"/>
        </w:rPr>
        <w:t xml:space="preserve">For completeness, </w:t>
      </w:r>
      <w:r w:rsidRPr="00DD477A">
        <w:rPr>
          <w:rStyle w:val="BodyTextChar"/>
          <w:rFonts w:cs="Calibri"/>
          <w:b/>
          <w:bCs/>
        </w:rPr>
        <w:t>all measures</w:t>
      </w:r>
      <w:r w:rsidRPr="00DD477A">
        <w:rPr>
          <w:rStyle w:val="BodyTextChar"/>
          <w:rFonts w:cs="Calibri"/>
        </w:rPr>
        <w:t xml:space="preserve"> should be reported at the entity level in PB Statements, including measures with zero financial impact.</w:t>
      </w:r>
      <w:r w:rsidR="008C5FFB" w:rsidRPr="00DD477A">
        <w:rPr>
          <w:rStyle w:val="BodyTextChar"/>
          <w:rFonts w:cs="Calibri"/>
        </w:rPr>
        <w:t xml:space="preserve"> </w:t>
      </w:r>
      <w:r w:rsidRPr="00DD477A">
        <w:rPr>
          <w:rStyle w:val="BodyTextChar"/>
          <w:rFonts w:cs="Calibri"/>
        </w:rPr>
        <w:t>This complements the whole-of-government public reporting of all measures in BP No. 2 and ensures a clear</w:t>
      </w:r>
      <w:r w:rsidR="00913C21" w:rsidRPr="00DD477A">
        <w:rPr>
          <w:rStyle w:val="BodyTextChar"/>
          <w:rFonts w:cs="Calibri"/>
        </w:rPr>
        <w:t xml:space="preserve"> </w:t>
      </w:r>
      <w:r w:rsidRPr="00DD477A">
        <w:rPr>
          <w:rStyle w:val="BodyTextChar"/>
          <w:rFonts w:cs="Calibri"/>
        </w:rPr>
        <w:t xml:space="preserve">read of </w:t>
      </w:r>
      <w:r w:rsidR="006418EA" w:rsidRPr="00DD477A">
        <w:rPr>
          <w:rStyle w:val="BodyTextChar"/>
          <w:rFonts w:cs="Calibri"/>
        </w:rPr>
        <w:t>government</w:t>
      </w:r>
      <w:r w:rsidRPr="00DD477A">
        <w:rPr>
          <w:rStyle w:val="BodyTextChar"/>
          <w:rFonts w:cs="Calibri"/>
        </w:rPr>
        <w:t xml:space="preserve"> decisions to entity level across key budget publications.</w:t>
      </w:r>
    </w:p>
    <w:p w14:paraId="0E4469C9" w14:textId="2D281D8C" w:rsidR="00AE63CA" w:rsidRPr="00DD477A" w:rsidRDefault="53BF0693" w:rsidP="53BF0693">
      <w:pPr>
        <w:rPr>
          <w:rStyle w:val="BodyTextChar"/>
          <w:rFonts w:cs="Calibri"/>
        </w:rPr>
      </w:pPr>
      <w:r w:rsidRPr="00DD477A">
        <w:rPr>
          <w:rStyle w:val="BodyTextChar"/>
          <w:rFonts w:cs="Calibri"/>
        </w:rPr>
        <w:t xml:space="preserve">All details of </w:t>
      </w:r>
      <w:r w:rsidR="00DC026B">
        <w:rPr>
          <w:rStyle w:val="BodyTextChar"/>
          <w:rFonts w:cs="Calibri"/>
        </w:rPr>
        <w:t>2026</w:t>
      </w:r>
      <w:r w:rsidR="00C917CE">
        <w:rPr>
          <w:rStyle w:val="BodyTextChar"/>
          <w:rFonts w:cs="Calibri"/>
        </w:rPr>
        <w:t>–</w:t>
      </w:r>
      <w:r w:rsidR="00DC026B">
        <w:rPr>
          <w:rStyle w:val="BodyTextChar"/>
          <w:rFonts w:cs="Calibri"/>
        </w:rPr>
        <w:t>27</w:t>
      </w:r>
      <w:r w:rsidR="0007613A" w:rsidRPr="00DD477A">
        <w:rPr>
          <w:rStyle w:val="BodyTextChar"/>
          <w:rFonts w:cs="Calibri"/>
        </w:rPr>
        <w:t xml:space="preserve"> </w:t>
      </w:r>
      <w:r w:rsidRPr="00DD477A">
        <w:rPr>
          <w:rStyle w:val="BodyTextChar"/>
          <w:rFonts w:cs="Calibri"/>
        </w:rPr>
        <w:t xml:space="preserve">Budget measures </w:t>
      </w:r>
      <w:r w:rsidR="00113504" w:rsidRPr="00DD477A">
        <w:rPr>
          <w:rStyle w:val="BodyTextChar"/>
          <w:rFonts w:cs="Calibri"/>
        </w:rPr>
        <w:t xml:space="preserve">reported in Table 1.2 </w:t>
      </w:r>
      <w:r w:rsidRPr="00DD477A">
        <w:rPr>
          <w:rStyle w:val="BodyTextChar"/>
          <w:rFonts w:cs="Calibri"/>
          <w:b/>
          <w:bCs/>
        </w:rPr>
        <w:t>must match</w:t>
      </w:r>
      <w:r w:rsidRPr="00DD477A">
        <w:rPr>
          <w:rStyle w:val="BodyTextChar"/>
          <w:rFonts w:cs="Calibri"/>
        </w:rPr>
        <w:t xml:space="preserve"> the final measures list provided by Finance. Measure figures are to be reported on the same basis on which BP No. 2 is prepared.</w:t>
      </w:r>
    </w:p>
    <w:p w14:paraId="751659B9" w14:textId="7FF2A7CF" w:rsidR="00793B3D" w:rsidRPr="00DD477A" w:rsidRDefault="53BF0693" w:rsidP="0A3115C5">
      <w:pPr>
        <w:pStyle w:val="Boxed2Text"/>
        <w:rPr>
          <w:rFonts w:cs="Calibri"/>
        </w:rPr>
      </w:pPr>
      <w:r w:rsidRPr="00DD477A">
        <w:rPr>
          <w:rStyle w:val="BodyTextChar"/>
          <w:rFonts w:cs="Calibri"/>
        </w:rPr>
        <w:t xml:space="preserve">Measures are reported in BP No. 2 and PB Statements in </w:t>
      </w:r>
      <w:r w:rsidR="0031790E" w:rsidRPr="00DD477A">
        <w:rPr>
          <w:rStyle w:val="BodyTextChar"/>
          <w:rFonts w:cs="Calibri"/>
        </w:rPr>
        <w:t>Underlying Cash Balance (</w:t>
      </w:r>
      <w:r w:rsidRPr="00DD477A">
        <w:rPr>
          <w:rStyle w:val="BodyTextChar"/>
          <w:rFonts w:cs="Calibri"/>
        </w:rPr>
        <w:t>UCB</w:t>
      </w:r>
      <w:r w:rsidR="0031790E" w:rsidRPr="00DD477A">
        <w:rPr>
          <w:rStyle w:val="BodyTextChar"/>
          <w:rFonts w:cs="Calibri"/>
        </w:rPr>
        <w:t>)</w:t>
      </w:r>
      <w:r w:rsidRPr="00DD477A">
        <w:rPr>
          <w:rStyle w:val="BodyTextChar"/>
          <w:rFonts w:cs="Calibri"/>
        </w:rPr>
        <w:t xml:space="preserve"> terms. </w:t>
      </w:r>
      <w:r w:rsidR="27A9DE08" w:rsidRPr="00DD477A">
        <w:rPr>
          <w:rStyle w:val="BodyTextChar"/>
          <w:rFonts w:cs="Calibri"/>
        </w:rPr>
        <w:t>T</w:t>
      </w:r>
      <w:r w:rsidR="27A9DE08" w:rsidRPr="00DD477A">
        <w:rPr>
          <w:rFonts w:cs="Calibri"/>
        </w:rPr>
        <w:t>he financial implications table (Table 1.2)</w:t>
      </w:r>
      <w:r w:rsidR="30B870EF" w:rsidRPr="00DD477A">
        <w:rPr>
          <w:rFonts w:cs="Calibri"/>
        </w:rPr>
        <w:t xml:space="preserve"> </w:t>
      </w:r>
      <w:r w:rsidR="27A9DE08" w:rsidRPr="00DD477A">
        <w:rPr>
          <w:rFonts w:cs="Calibri"/>
        </w:rPr>
        <w:t>will reflect receipt and payment impacts only.</w:t>
      </w:r>
    </w:p>
    <w:p w14:paraId="719AFF96" w14:textId="0DBBB4DE" w:rsidR="00B066EC" w:rsidRPr="00DD477A" w:rsidRDefault="27A9DE08" w:rsidP="0A3115C5">
      <w:pPr>
        <w:pStyle w:val="Boxed2Text"/>
        <w:rPr>
          <w:rFonts w:cs="Calibri"/>
        </w:rPr>
      </w:pPr>
      <w:r w:rsidRPr="00DD477A">
        <w:rPr>
          <w:rFonts w:cs="Calibri"/>
        </w:rPr>
        <w:t>Capital spending components will be included in the payment impacts.</w:t>
      </w:r>
    </w:p>
    <w:p w14:paraId="624C06D7" w14:textId="68EA03E7" w:rsidR="00FA0945" w:rsidRPr="00DD477A" w:rsidRDefault="53BF0693" w:rsidP="0014243A">
      <w:pPr>
        <w:suppressAutoHyphens w:val="0"/>
        <w:spacing w:before="0" w:after="120" w:line="440" w:lineRule="atLeast"/>
        <w:rPr>
          <w:rStyle w:val="BodyTextChar"/>
          <w:rFonts w:cs="Calibri"/>
        </w:rPr>
      </w:pPr>
      <w:r w:rsidRPr="00DD477A">
        <w:rPr>
          <w:rStyle w:val="BodyTextChar"/>
          <w:rFonts w:cs="Calibri"/>
        </w:rPr>
        <w:t xml:space="preserve">The measure title for </w:t>
      </w:r>
      <w:r w:rsidRPr="00DD477A">
        <w:rPr>
          <w:rStyle w:val="BodyTextChar"/>
          <w:rFonts w:cs="Calibri"/>
          <w:b/>
          <w:bCs/>
        </w:rPr>
        <w:t xml:space="preserve">cross </w:t>
      </w:r>
      <w:r w:rsidR="00396887" w:rsidRPr="00DD477A">
        <w:rPr>
          <w:rStyle w:val="BodyTextChar"/>
          <w:rFonts w:cs="Calibri"/>
          <w:b/>
          <w:bCs/>
        </w:rPr>
        <w:t>portfolio</w:t>
      </w:r>
      <w:r w:rsidRPr="00DD477A">
        <w:rPr>
          <w:rStyle w:val="BodyTextChar"/>
          <w:rFonts w:cs="Calibri"/>
          <w:b/>
          <w:bCs/>
        </w:rPr>
        <w:t xml:space="preserve"> measures</w:t>
      </w:r>
      <w:r w:rsidRPr="00DD477A">
        <w:rPr>
          <w:rStyle w:val="BodyTextChar"/>
          <w:rFonts w:cs="Calibri"/>
        </w:rPr>
        <w:t xml:space="preserve"> should be the same in all PB Statements affected by the measure. </w:t>
      </w:r>
      <w:r w:rsidR="0031790E" w:rsidRPr="00DD477A">
        <w:rPr>
          <w:rStyle w:val="BodyTextChar"/>
          <w:rFonts w:cs="Calibri"/>
        </w:rPr>
        <w:t>W</w:t>
      </w:r>
      <w:r w:rsidRPr="00DD477A">
        <w:rPr>
          <w:rStyle w:val="BodyTextChar"/>
          <w:rFonts w:cs="Calibri"/>
        </w:rPr>
        <w:t>here an entity is not the lead entity in a measure package, they are required to name the lead entity in a footnote to the measure to allow easy cross reference to the measure description in BP No. 2 and across PB Statements. This should be done with the following text:</w:t>
      </w:r>
    </w:p>
    <w:p w14:paraId="19AF4EEF" w14:textId="77777777" w:rsidR="00FA0945" w:rsidRPr="00DD477A" w:rsidRDefault="6B6EE5C4" w:rsidP="0003645A">
      <w:pPr>
        <w:pStyle w:val="IndentBlueText"/>
        <w:rPr>
          <w:rStyle w:val="BodyTextChar"/>
          <w:rFonts w:cs="Calibri"/>
        </w:rPr>
      </w:pPr>
      <w:r w:rsidRPr="00DD477A">
        <w:rPr>
          <w:rStyle w:val="BodyTextChar"/>
          <w:rFonts w:cs="Calibri"/>
        </w:rPr>
        <w:t xml:space="preserve">The lead entity for measure titled xxxxxxx is </w:t>
      </w:r>
      <w:r w:rsidR="00A12716" w:rsidRPr="00DD477A">
        <w:rPr>
          <w:rStyle w:val="BodyTextChar"/>
          <w:rFonts w:cs="Calibri"/>
        </w:rPr>
        <w:t>yyyyyyy</w:t>
      </w:r>
      <w:r w:rsidRPr="00DD477A">
        <w:rPr>
          <w:rStyle w:val="BodyTextChar"/>
          <w:rFonts w:cs="Calibri"/>
        </w:rPr>
        <w:t xml:space="preserve">. The full measure description and package details appear in BP No. 2 under the </w:t>
      </w:r>
      <w:r w:rsidR="00A12716" w:rsidRPr="00DD477A">
        <w:rPr>
          <w:rStyle w:val="BodyTextChar"/>
          <w:rFonts w:cs="Calibri"/>
        </w:rPr>
        <w:t xml:space="preserve">yyyyyyy </w:t>
      </w:r>
      <w:r w:rsidRPr="00DD477A">
        <w:rPr>
          <w:rStyle w:val="BodyTextChar"/>
          <w:rFonts w:cs="Calibri"/>
        </w:rPr>
        <w:t>portfolio.</w:t>
      </w:r>
    </w:p>
    <w:p w14:paraId="79342603" w14:textId="55E38347" w:rsidR="005379D4" w:rsidRPr="00DD477A" w:rsidRDefault="53BF0693" w:rsidP="53BF0693">
      <w:pPr>
        <w:rPr>
          <w:rStyle w:val="BodyTextChar"/>
          <w:rFonts w:cs="Calibri"/>
        </w:rPr>
      </w:pPr>
      <w:r w:rsidRPr="00DD477A">
        <w:rPr>
          <w:rStyle w:val="BodyTextChar"/>
          <w:rFonts w:cs="Calibri"/>
        </w:rPr>
        <w:t>Entities should discuss with their AAU if there are any Decision</w:t>
      </w:r>
      <w:r w:rsidR="006C1558" w:rsidRPr="00DD477A">
        <w:rPr>
          <w:rStyle w:val="BodyTextChar"/>
          <w:rFonts w:cs="Calibri"/>
        </w:rPr>
        <w:t>s</w:t>
      </w:r>
      <w:r w:rsidRPr="00DD477A">
        <w:rPr>
          <w:rStyle w:val="BodyTextChar"/>
          <w:rFonts w:cs="Calibri"/>
        </w:rPr>
        <w:t xml:space="preserve"> </w:t>
      </w:r>
      <w:r w:rsidR="00C17A41" w:rsidRPr="00DD477A">
        <w:rPr>
          <w:rStyle w:val="BodyTextChar"/>
          <w:rFonts w:cs="Calibri"/>
        </w:rPr>
        <w:t>T</w:t>
      </w:r>
      <w:r w:rsidRPr="00DD477A">
        <w:rPr>
          <w:rStyle w:val="BodyTextChar"/>
          <w:rFonts w:cs="Calibri"/>
        </w:rPr>
        <w:t xml:space="preserve">aken </w:t>
      </w:r>
      <w:r w:rsidR="00C17A41" w:rsidRPr="00DD477A">
        <w:rPr>
          <w:rStyle w:val="BodyTextChar"/>
          <w:rFonts w:cs="Calibri"/>
        </w:rPr>
        <w:t>B</w:t>
      </w:r>
      <w:r w:rsidRPr="00DD477A">
        <w:rPr>
          <w:rStyle w:val="BodyTextChar"/>
          <w:rFonts w:cs="Calibri"/>
        </w:rPr>
        <w:t xml:space="preserve">ut </w:t>
      </w:r>
      <w:r w:rsidR="00C17A41" w:rsidRPr="00DD477A">
        <w:rPr>
          <w:rStyle w:val="BodyTextChar"/>
          <w:rFonts w:cs="Calibri"/>
        </w:rPr>
        <w:t>N</w:t>
      </w:r>
      <w:r w:rsidRPr="00DD477A">
        <w:rPr>
          <w:rStyle w:val="BodyTextChar"/>
          <w:rFonts w:cs="Calibri"/>
        </w:rPr>
        <w:t xml:space="preserve">ot </w:t>
      </w:r>
      <w:r w:rsidR="00C17A41" w:rsidRPr="00DD477A">
        <w:rPr>
          <w:rStyle w:val="BodyTextChar"/>
          <w:rFonts w:cs="Calibri"/>
        </w:rPr>
        <w:t>Y</w:t>
      </w:r>
      <w:r w:rsidRPr="00DD477A">
        <w:rPr>
          <w:rStyle w:val="BodyTextChar"/>
          <w:rFonts w:cs="Calibri"/>
        </w:rPr>
        <w:t xml:space="preserve">et </w:t>
      </w:r>
      <w:r w:rsidR="00C17A41" w:rsidRPr="00DD477A">
        <w:rPr>
          <w:rStyle w:val="BodyTextChar"/>
          <w:rFonts w:cs="Calibri"/>
        </w:rPr>
        <w:t>A</w:t>
      </w:r>
      <w:r w:rsidRPr="00DD477A">
        <w:rPr>
          <w:rStyle w:val="BodyTextChar"/>
          <w:rFonts w:cs="Calibri"/>
        </w:rPr>
        <w:t xml:space="preserve">nnounced (DTBNYA) or indicative cost measures from a previous economic update </w:t>
      </w:r>
      <w:r w:rsidR="006C1558" w:rsidRPr="00DD477A">
        <w:rPr>
          <w:rStyle w:val="BodyTextChar"/>
          <w:rFonts w:cs="Calibri"/>
        </w:rPr>
        <w:t xml:space="preserve">to determine whether </w:t>
      </w:r>
      <w:r w:rsidRPr="00DD477A">
        <w:rPr>
          <w:rStyle w:val="BodyTextChar"/>
          <w:rFonts w:cs="Calibri"/>
        </w:rPr>
        <w:t>they should be reported as some of the guidance below may not apply.</w:t>
      </w:r>
    </w:p>
    <w:p w14:paraId="450F048D" w14:textId="5373F285" w:rsidR="00DB7808" w:rsidRPr="00DD477A" w:rsidRDefault="00DB7808" w:rsidP="003D6589">
      <w:pPr>
        <w:pStyle w:val="Heading3"/>
      </w:pPr>
      <w:bookmarkStart w:id="889" w:name="_Toc61875011"/>
      <w:bookmarkStart w:id="890" w:name="_Toc62648863"/>
      <w:bookmarkStart w:id="891" w:name="_Toc46327349"/>
      <w:bookmarkStart w:id="892" w:name="_Toc46327350"/>
      <w:bookmarkStart w:id="893" w:name="_Toc46327351"/>
      <w:bookmarkStart w:id="894" w:name="_Toc46327355"/>
      <w:bookmarkStart w:id="895" w:name="_Toc46327356"/>
      <w:bookmarkStart w:id="896" w:name="_Toc46327358"/>
      <w:bookmarkStart w:id="897" w:name="_Toc46327360"/>
      <w:bookmarkStart w:id="898" w:name="_Toc46327363"/>
      <w:bookmarkStart w:id="899" w:name="_Toc46327366"/>
      <w:bookmarkStart w:id="900" w:name="_Toc45026853"/>
      <w:bookmarkStart w:id="901" w:name="_Toc45026954"/>
      <w:bookmarkStart w:id="902" w:name="_Toc46327367"/>
      <w:bookmarkStart w:id="903" w:name="_Toc45026855"/>
      <w:bookmarkStart w:id="904" w:name="_Toc45026956"/>
      <w:bookmarkStart w:id="905" w:name="_Toc46327369"/>
      <w:bookmarkStart w:id="906" w:name="_Toc45026856"/>
      <w:bookmarkStart w:id="907" w:name="_Toc45026957"/>
      <w:bookmarkStart w:id="908" w:name="_Toc46327370"/>
      <w:bookmarkStart w:id="909" w:name="_Toc227749034"/>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sidRPr="00DD477A">
        <w:t>Footnote for a measure’s capital component</w:t>
      </w:r>
      <w:bookmarkEnd w:id="909"/>
    </w:p>
    <w:p w14:paraId="62014867" w14:textId="23642E5B" w:rsidR="007755A8" w:rsidRPr="00DD477A" w:rsidRDefault="007755A8" w:rsidP="007755A8">
      <w:pPr>
        <w:rPr>
          <w:rStyle w:val="BodyTextChar"/>
          <w:rFonts w:cs="Calibri"/>
        </w:rPr>
      </w:pPr>
      <w:bookmarkStart w:id="910" w:name="_Toc63347706"/>
      <w:r w:rsidRPr="00DD477A">
        <w:rPr>
          <w:rStyle w:val="BodyTextChar"/>
          <w:rFonts w:cs="Calibri"/>
        </w:rPr>
        <w:t xml:space="preserve">Where the capital component forms 30 per cent or more of total payments of a measure, the </w:t>
      </w:r>
      <w:r w:rsidRPr="00DD477A">
        <w:rPr>
          <w:rFonts w:cs="Calibri"/>
        </w:rPr>
        <w:t>entity should include a footnote for th</w:t>
      </w:r>
      <w:r w:rsidR="00225A13" w:rsidRPr="00DD477A">
        <w:rPr>
          <w:rFonts w:cs="Calibri"/>
        </w:rPr>
        <w:t>e capital</w:t>
      </w:r>
      <w:r w:rsidRPr="00DD477A">
        <w:rPr>
          <w:rFonts w:cs="Calibri"/>
        </w:rPr>
        <w:t xml:space="preserve"> amount</w:t>
      </w:r>
      <w:r w:rsidRPr="00DD477A">
        <w:rPr>
          <w:rStyle w:val="BodyTextChar"/>
          <w:rFonts w:cs="Calibri"/>
        </w:rPr>
        <w:t>. This approach aligns with how the capital funding component will be reported within the measure’s description in BP No. 2.</w:t>
      </w:r>
    </w:p>
    <w:p w14:paraId="08B459F6" w14:textId="38DD49D4" w:rsidR="007755A8" w:rsidRDefault="007755A8" w:rsidP="007755A8">
      <w:pPr>
        <w:rPr>
          <w:rStyle w:val="BodyTextChar"/>
          <w:rFonts w:cs="Calibri"/>
        </w:rPr>
      </w:pPr>
      <w:r w:rsidRPr="00DD477A">
        <w:rPr>
          <w:rStyle w:val="BodyTextChar"/>
          <w:rFonts w:cs="Calibri"/>
        </w:rPr>
        <w:t xml:space="preserve">A footnote has been included in the </w:t>
      </w:r>
      <w:r w:rsidR="000D47CA">
        <w:rPr>
          <w:rStyle w:val="BodyTextChar"/>
          <w:rFonts w:cs="Calibri"/>
        </w:rPr>
        <w:t>PB Statement</w:t>
      </w:r>
      <w:r w:rsidRPr="00DD477A">
        <w:rPr>
          <w:rStyle w:val="BodyTextChar"/>
          <w:rFonts w:cs="Calibri"/>
        </w:rPr>
        <w:t xml:space="preserve"> measure table templates.</w:t>
      </w:r>
    </w:p>
    <w:p w14:paraId="7880AC3B" w14:textId="0F779179" w:rsidR="006B27AA" w:rsidRPr="009E2937" w:rsidRDefault="006B27AA" w:rsidP="003D6589">
      <w:pPr>
        <w:pStyle w:val="Heading3"/>
      </w:pPr>
      <w:bookmarkStart w:id="911" w:name="_Toc219449470"/>
      <w:bookmarkStart w:id="912" w:name="_Toc222147999"/>
      <w:bookmarkStart w:id="913" w:name="_Toc222148261"/>
      <w:bookmarkStart w:id="914" w:name="_Toc222148487"/>
      <w:bookmarkStart w:id="915" w:name="_Toc222148715"/>
      <w:bookmarkStart w:id="916" w:name="_Toc222148943"/>
      <w:bookmarkStart w:id="917" w:name="_Toc222149171"/>
      <w:bookmarkStart w:id="918" w:name="_Toc222149399"/>
      <w:bookmarkStart w:id="919" w:name="_Toc222149628"/>
      <w:bookmarkStart w:id="920" w:name="_Toc222150093"/>
      <w:bookmarkStart w:id="921" w:name="_Toc222150319"/>
      <w:bookmarkStart w:id="922" w:name="_Toc227749035"/>
      <w:bookmarkEnd w:id="911"/>
      <w:bookmarkEnd w:id="912"/>
      <w:bookmarkEnd w:id="913"/>
      <w:bookmarkEnd w:id="914"/>
      <w:bookmarkEnd w:id="915"/>
      <w:bookmarkEnd w:id="916"/>
      <w:bookmarkEnd w:id="917"/>
      <w:bookmarkEnd w:id="918"/>
      <w:bookmarkEnd w:id="919"/>
      <w:bookmarkEnd w:id="920"/>
      <w:bookmarkEnd w:id="921"/>
      <w:r w:rsidRPr="009E2937">
        <w:t>Measure reversals</w:t>
      </w:r>
      <w:bookmarkEnd w:id="922"/>
    </w:p>
    <w:p w14:paraId="73385A72" w14:textId="091308CD" w:rsidR="006F1726" w:rsidRPr="00DD477A" w:rsidRDefault="53BF0693" w:rsidP="53BF0693">
      <w:pPr>
        <w:rPr>
          <w:rStyle w:val="BodyTextChar"/>
          <w:rFonts w:cs="Calibri"/>
        </w:rPr>
      </w:pPr>
      <w:bookmarkStart w:id="923" w:name="_Toc128665486"/>
      <w:bookmarkStart w:id="924" w:name="_Toc129015722"/>
      <w:bookmarkStart w:id="925" w:name="_Toc129017877"/>
      <w:bookmarkStart w:id="926" w:name="_Toc129163686"/>
      <w:bookmarkStart w:id="927" w:name="_Toc129166929"/>
      <w:bookmarkEnd w:id="910"/>
      <w:bookmarkEnd w:id="923"/>
      <w:bookmarkEnd w:id="924"/>
      <w:bookmarkEnd w:id="925"/>
      <w:bookmarkEnd w:id="926"/>
      <w:bookmarkEnd w:id="927"/>
      <w:r w:rsidRPr="00DD477A">
        <w:rPr>
          <w:rStyle w:val="BodyTextChar"/>
          <w:rFonts w:cs="Calibri"/>
        </w:rPr>
        <w:t xml:space="preserve">Where a measure reversal will be reported in </w:t>
      </w:r>
      <w:r w:rsidR="00584B66" w:rsidRPr="00DD477A">
        <w:rPr>
          <w:rStyle w:val="BodyTextChar"/>
          <w:rFonts w:cs="Calibri"/>
        </w:rPr>
        <w:t xml:space="preserve">the </w:t>
      </w:r>
      <w:r w:rsidRPr="00DD477A">
        <w:rPr>
          <w:rStyle w:val="BodyTextChar"/>
          <w:rFonts w:cs="Calibri"/>
        </w:rPr>
        <w:t>BP No. 2</w:t>
      </w:r>
      <w:r w:rsidR="00A2506F">
        <w:rPr>
          <w:rStyle w:val="BodyTextChar"/>
          <w:rFonts w:cs="Calibri"/>
        </w:rPr>
        <w:t xml:space="preserve"> (the new budget paper</w:t>
      </w:r>
      <w:r w:rsidR="00140DBB">
        <w:rPr>
          <w:rStyle w:val="BodyTextChar"/>
          <w:rFonts w:cs="Calibri"/>
        </w:rPr>
        <w:t xml:space="preserve"> to be published</w:t>
      </w:r>
      <w:r w:rsidR="00A2506F">
        <w:rPr>
          <w:rStyle w:val="BodyTextChar"/>
          <w:rFonts w:cs="Calibri"/>
        </w:rPr>
        <w:t>)</w:t>
      </w:r>
      <w:r w:rsidRPr="00DD477A">
        <w:rPr>
          <w:rStyle w:val="BodyTextChar"/>
          <w:rFonts w:cs="Calibri"/>
        </w:rPr>
        <w:t xml:space="preserve">, </w:t>
      </w:r>
      <w:r w:rsidR="001700F9" w:rsidRPr="00DD477A">
        <w:rPr>
          <w:rStyle w:val="BodyTextChar"/>
          <w:rFonts w:cs="Calibri"/>
        </w:rPr>
        <w:t xml:space="preserve">details </w:t>
      </w:r>
      <w:r w:rsidR="00B46230" w:rsidRPr="00DD477A">
        <w:rPr>
          <w:rStyle w:val="BodyTextChar"/>
          <w:rFonts w:cs="Calibri"/>
        </w:rPr>
        <w:t xml:space="preserve">must </w:t>
      </w:r>
      <w:r w:rsidRPr="00DD477A">
        <w:rPr>
          <w:rStyle w:val="BodyTextChar"/>
          <w:rFonts w:cs="Calibri"/>
        </w:rPr>
        <w:t>be reported in Part 1 of the measures table.</w:t>
      </w:r>
    </w:p>
    <w:p w14:paraId="53F2CD76" w14:textId="3B74FD60" w:rsidR="00FA0945" w:rsidRPr="00DD477A" w:rsidRDefault="53BF0693" w:rsidP="53BF0693">
      <w:pPr>
        <w:rPr>
          <w:rStyle w:val="BodyTextChar"/>
          <w:rFonts w:cs="Calibri"/>
        </w:rPr>
      </w:pPr>
      <w:r w:rsidRPr="00DD477A">
        <w:rPr>
          <w:rStyle w:val="BodyTextChar"/>
          <w:rFonts w:cs="Calibri"/>
        </w:rPr>
        <w:t xml:space="preserve">Where a measure reversal has been reported in </w:t>
      </w:r>
      <w:r w:rsidR="00584B66" w:rsidRPr="00DD477A">
        <w:rPr>
          <w:rStyle w:val="BodyTextChar"/>
          <w:rFonts w:cs="Calibri"/>
        </w:rPr>
        <w:t>the</w:t>
      </w:r>
      <w:r w:rsidR="005C68B8" w:rsidRPr="00DD477A">
        <w:rPr>
          <w:rStyle w:val="BodyTextChar"/>
          <w:rFonts w:cs="Calibri"/>
        </w:rPr>
        <w:t xml:space="preserve"> </w:t>
      </w:r>
      <w:r w:rsidR="00584B66" w:rsidRPr="00DD477A">
        <w:rPr>
          <w:rStyle w:val="BodyTextChar"/>
          <w:rFonts w:cs="Calibri"/>
        </w:rPr>
        <w:t>BP No.</w:t>
      </w:r>
      <w:r w:rsidR="00C25DD3" w:rsidRPr="00DD477A">
        <w:rPr>
          <w:rStyle w:val="BodyTextChar"/>
          <w:rFonts w:cs="Calibri"/>
        </w:rPr>
        <w:t xml:space="preserve"> </w:t>
      </w:r>
      <w:r w:rsidR="00584B66" w:rsidRPr="00DD477A">
        <w:rPr>
          <w:rStyle w:val="BodyTextChar"/>
          <w:rFonts w:cs="Calibri"/>
        </w:rPr>
        <w:t>2</w:t>
      </w:r>
      <w:r w:rsidR="30B59CBF" w:rsidRPr="00DD477A">
        <w:rPr>
          <w:rStyle w:val="BodyTextChar"/>
          <w:rFonts w:cs="Calibri"/>
        </w:rPr>
        <w:t xml:space="preserve"> </w:t>
      </w:r>
      <w:r w:rsidR="0031182B">
        <w:rPr>
          <w:rStyle w:val="BodyTextChar"/>
          <w:rFonts w:cs="Calibri"/>
        </w:rPr>
        <w:t>(</w:t>
      </w:r>
      <w:r w:rsidR="00A2506F">
        <w:rPr>
          <w:rStyle w:val="BodyTextChar"/>
          <w:rFonts w:cs="Calibri"/>
        </w:rPr>
        <w:t xml:space="preserve">the </w:t>
      </w:r>
      <w:r w:rsidR="00EC4E4A">
        <w:rPr>
          <w:rStyle w:val="BodyTextChar"/>
          <w:rFonts w:cs="Calibri"/>
        </w:rPr>
        <w:t>former</w:t>
      </w:r>
      <w:r w:rsidR="00A2506F">
        <w:rPr>
          <w:rStyle w:val="BodyTextChar"/>
          <w:rFonts w:cs="Calibri"/>
        </w:rPr>
        <w:t xml:space="preserve"> budget paper)</w:t>
      </w:r>
      <w:r w:rsidR="30B59CBF" w:rsidRPr="00DD477A">
        <w:rPr>
          <w:rStyle w:val="BodyTextChar"/>
          <w:rFonts w:cs="Calibri"/>
        </w:rPr>
        <w:t xml:space="preserve"> but has not been reported in </w:t>
      </w:r>
      <w:r w:rsidR="00584B66" w:rsidRPr="00DD477A">
        <w:rPr>
          <w:rStyle w:val="BodyTextChar"/>
          <w:rFonts w:cs="Calibri"/>
        </w:rPr>
        <w:t xml:space="preserve">the </w:t>
      </w:r>
      <w:r w:rsidR="00DC026B">
        <w:rPr>
          <w:rStyle w:val="BodyTextChar"/>
          <w:rFonts w:cs="Calibri"/>
        </w:rPr>
        <w:t>2026</w:t>
      </w:r>
      <w:r w:rsidR="00C917CE">
        <w:rPr>
          <w:rStyle w:val="BodyTextChar"/>
          <w:rFonts w:cs="Calibri"/>
        </w:rPr>
        <w:t>–</w:t>
      </w:r>
      <w:r w:rsidR="00DC026B">
        <w:rPr>
          <w:rStyle w:val="BodyTextChar"/>
          <w:rFonts w:cs="Calibri"/>
        </w:rPr>
        <w:t>27</w:t>
      </w:r>
      <w:r w:rsidR="00584B66" w:rsidRPr="00DD477A">
        <w:rPr>
          <w:rStyle w:val="BodyTextChar"/>
          <w:rFonts w:cs="Calibri"/>
        </w:rPr>
        <w:t xml:space="preserve"> PB</w:t>
      </w:r>
      <w:r w:rsidR="00AC775B" w:rsidRPr="00DD477A">
        <w:rPr>
          <w:rStyle w:val="BodyTextChar"/>
          <w:rFonts w:cs="Calibri"/>
        </w:rPr>
        <w:t> </w:t>
      </w:r>
      <w:r w:rsidR="00584B66" w:rsidRPr="00DD477A">
        <w:rPr>
          <w:rStyle w:val="BodyTextChar"/>
          <w:rFonts w:cs="Calibri"/>
        </w:rPr>
        <w:t>Statement</w:t>
      </w:r>
      <w:r w:rsidR="00AC775B" w:rsidRPr="00DD477A">
        <w:rPr>
          <w:rStyle w:val="BodyTextChar"/>
          <w:rFonts w:cs="Calibri"/>
        </w:rPr>
        <w:t>s</w:t>
      </w:r>
      <w:r w:rsidRPr="00DD477A">
        <w:rPr>
          <w:rStyle w:val="BodyTextChar"/>
          <w:rFonts w:cs="Calibri"/>
        </w:rPr>
        <w:t>, the reversal needs to be reported in Part 2 of the measures table.</w:t>
      </w:r>
    </w:p>
    <w:p w14:paraId="24C1000F" w14:textId="6BEC0AFC" w:rsidR="00FA0945" w:rsidRPr="00DD477A" w:rsidRDefault="53BF0693" w:rsidP="53BF0693">
      <w:pPr>
        <w:rPr>
          <w:rStyle w:val="BodyTextChar"/>
          <w:rFonts w:cs="Calibri"/>
        </w:rPr>
      </w:pPr>
      <w:r w:rsidRPr="00DD477A">
        <w:rPr>
          <w:rStyle w:val="BodyTextChar"/>
          <w:rFonts w:cs="Calibri"/>
        </w:rPr>
        <w:t xml:space="preserve">Measure reversals reported in either Part 1 </w:t>
      </w:r>
      <w:r w:rsidR="0088079B" w:rsidRPr="00DD477A">
        <w:rPr>
          <w:rStyle w:val="BodyTextChar"/>
          <w:rFonts w:cs="Calibri"/>
        </w:rPr>
        <w:t xml:space="preserve">or </w:t>
      </w:r>
      <w:r w:rsidRPr="00DD477A">
        <w:rPr>
          <w:rStyle w:val="BodyTextChar"/>
          <w:rFonts w:cs="Calibri"/>
        </w:rPr>
        <w:t xml:space="preserve">2 of the measures table </w:t>
      </w:r>
      <w:r w:rsidR="000C55B3" w:rsidRPr="00DD477A">
        <w:rPr>
          <w:rStyle w:val="BodyTextChar"/>
          <w:rFonts w:cs="Calibri"/>
        </w:rPr>
        <w:t xml:space="preserve">must </w:t>
      </w:r>
      <w:r w:rsidRPr="00DD477A">
        <w:rPr>
          <w:rStyle w:val="BodyTextChar"/>
          <w:rFonts w:cs="Calibri"/>
        </w:rPr>
        <w:t>be reported on the following basis:</w:t>
      </w:r>
    </w:p>
    <w:p w14:paraId="1B2C1146" w14:textId="06B19FF4" w:rsidR="00FA0945" w:rsidRPr="00DD477A" w:rsidRDefault="53BF0693" w:rsidP="00B54999">
      <w:pPr>
        <w:pStyle w:val="Bullet1"/>
        <w:rPr>
          <w:rStyle w:val="BodyTextChar"/>
          <w:rFonts w:cs="Calibri"/>
        </w:rPr>
      </w:pPr>
      <w:r w:rsidRPr="00DD477A">
        <w:rPr>
          <w:rStyle w:val="BodyTextChar"/>
          <w:rFonts w:cs="Calibri"/>
        </w:rPr>
        <w:t xml:space="preserve">where it is a full reversal, the measure should </w:t>
      </w:r>
      <w:r w:rsidR="000169B9">
        <w:rPr>
          <w:rStyle w:val="BodyTextChar"/>
          <w:rFonts w:cs="Calibri"/>
        </w:rPr>
        <w:t xml:space="preserve">reflect </w:t>
      </w:r>
      <w:r w:rsidRPr="00DD477A">
        <w:rPr>
          <w:rStyle w:val="BodyTextChar"/>
          <w:rFonts w:cs="Calibri"/>
        </w:rPr>
        <w:t xml:space="preserve">the underlying cash impact </w:t>
      </w:r>
      <w:r w:rsidR="003D31CB">
        <w:rPr>
          <w:rStyle w:val="BodyTextChar"/>
          <w:rFonts w:cs="Calibri"/>
        </w:rPr>
        <w:t xml:space="preserve">of the reversal as per what will be </w:t>
      </w:r>
      <w:r w:rsidR="00C95206">
        <w:rPr>
          <w:rStyle w:val="BodyTextChar"/>
          <w:rFonts w:cs="Calibri"/>
        </w:rPr>
        <w:t xml:space="preserve">published </w:t>
      </w:r>
      <w:r w:rsidR="003D31CB">
        <w:rPr>
          <w:rStyle w:val="BodyTextChar"/>
          <w:rFonts w:cs="Calibri"/>
        </w:rPr>
        <w:t xml:space="preserve">in Budget Paper </w:t>
      </w:r>
      <w:r w:rsidR="009A03CD">
        <w:rPr>
          <w:rStyle w:val="BodyTextChar"/>
          <w:rFonts w:cs="Calibri"/>
        </w:rPr>
        <w:t>No.2</w:t>
      </w:r>
      <w:r w:rsidR="00EC4E4A">
        <w:rPr>
          <w:rStyle w:val="BodyTextChar"/>
          <w:rFonts w:cs="Calibri"/>
        </w:rPr>
        <w:t>.</w:t>
      </w:r>
    </w:p>
    <w:p w14:paraId="3160907E" w14:textId="43666800" w:rsidR="005D2B87" w:rsidRPr="009C7469" w:rsidRDefault="53BF0693" w:rsidP="0014243A">
      <w:pPr>
        <w:pStyle w:val="Bullet1"/>
        <w:spacing w:before="0" w:after="120" w:line="240" w:lineRule="auto"/>
        <w:ind w:left="425" w:hanging="357"/>
        <w:contextualSpacing/>
        <w:rPr>
          <w:rStyle w:val="BodyTextChar"/>
          <w:rFonts w:cs="Calibri"/>
        </w:rPr>
      </w:pPr>
      <w:r w:rsidRPr="009C7469">
        <w:rPr>
          <w:rStyle w:val="BodyTextChar"/>
          <w:rFonts w:cs="Calibri"/>
        </w:rPr>
        <w:t xml:space="preserve">where it is a partial reversal, the measure should reflect the amount to be appropriated </w:t>
      </w:r>
      <w:r w:rsidR="002F4EE4" w:rsidRPr="009C7469">
        <w:rPr>
          <w:rStyle w:val="BodyTextChar"/>
          <w:rFonts w:cs="Calibri"/>
        </w:rPr>
        <w:t xml:space="preserve">in each </w:t>
      </w:r>
      <w:r w:rsidR="007040AA" w:rsidRPr="009C7469">
        <w:rPr>
          <w:rStyle w:val="BodyTextChar"/>
          <w:rFonts w:cs="Calibri"/>
        </w:rPr>
        <w:t>year</w:t>
      </w:r>
      <w:r w:rsidR="00CF3333">
        <w:rPr>
          <w:rStyle w:val="BodyTextChar"/>
          <w:rFonts w:cs="Calibri"/>
        </w:rPr>
        <w:br/>
      </w:r>
      <w:r w:rsidRPr="009C7469">
        <w:rPr>
          <w:rStyle w:val="BodyTextChar"/>
          <w:rFonts w:cs="Calibri"/>
        </w:rPr>
        <w:t>(i.e. the difference between the initial measure and the partial reversal).</w:t>
      </w:r>
    </w:p>
    <w:p w14:paraId="241C03F2" w14:textId="4AE83BCB" w:rsidR="000600D1" w:rsidRDefault="000600D1" w:rsidP="0014243A">
      <w:pPr>
        <w:keepNext/>
        <w:suppressAutoHyphens w:val="0"/>
        <w:spacing w:before="0" w:after="120" w:line="240" w:lineRule="auto"/>
        <w:rPr>
          <w:rStyle w:val="BodyTextChar"/>
          <w:rFonts w:cs="Calibri"/>
        </w:rPr>
      </w:pPr>
      <w:r>
        <w:rPr>
          <w:rStyle w:val="BodyTextChar"/>
          <w:rFonts w:cs="Calibri"/>
        </w:rPr>
        <w:t>Illustrative example provided below</w:t>
      </w:r>
      <w:r w:rsidR="00723A0C">
        <w:rPr>
          <w:rStyle w:val="BodyTextChar"/>
          <w:rFonts w:cs="Calibri"/>
        </w:rPr>
        <w:t>.</w:t>
      </w:r>
      <w:r w:rsidR="005956E0">
        <w:rPr>
          <w:rStyle w:val="BodyTextChar"/>
          <w:rFonts w:cs="Calibri"/>
        </w:rPr>
        <w:br/>
      </w:r>
    </w:p>
    <w:tbl>
      <w:tblPr>
        <w:tblW w:w="9058" w:type="dxa"/>
        <w:tblInd w:w="-3" w:type="dxa"/>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9058"/>
      </w:tblGrid>
      <w:tr w:rsidR="004D479A" w:rsidRPr="00DD477A" w14:paraId="40E4045A" w14:textId="77777777" w:rsidTr="00AB260E">
        <w:trPr>
          <w:cantSplit/>
        </w:trPr>
        <w:tc>
          <w:tcPr>
            <w:tcW w:w="9058" w:type="dxa"/>
            <w:shd w:val="clear" w:color="auto" w:fill="DDF3FA"/>
          </w:tcPr>
          <w:p w14:paraId="72E7C7AC" w14:textId="4AB0AC8E" w:rsidR="004D479A" w:rsidRPr="0014243A" w:rsidRDefault="00D950E6" w:rsidP="00C50EB6">
            <w:pPr>
              <w:pStyle w:val="TableText-Medium"/>
              <w:rPr>
                <w:rStyle w:val="BodyTextChar"/>
                <w:rFonts w:cs="Calibri"/>
                <w:b/>
                <w:bCs/>
              </w:rPr>
            </w:pPr>
            <w:r>
              <w:rPr>
                <w:rStyle w:val="BodyTextChar"/>
                <w:rFonts w:cs="Calibri"/>
              </w:rPr>
              <w:br w:type="column"/>
            </w:r>
            <w:r w:rsidR="004D479A" w:rsidRPr="00DD477A">
              <w:rPr>
                <w:rStyle w:val="BodyTextChar"/>
                <w:rFonts w:cs="Calibri"/>
              </w:rPr>
              <w:br w:type="page"/>
            </w:r>
            <w:r w:rsidR="004D479A" w:rsidRPr="00DD477A">
              <w:rPr>
                <w:rFonts w:cs="Calibri"/>
              </w:rPr>
              <w:br w:type="page"/>
            </w:r>
            <w:r w:rsidR="004D479A" w:rsidRPr="00DD477A">
              <w:rPr>
                <w:rStyle w:val="BodyTextChar"/>
                <w:rFonts w:cs="Calibri"/>
              </w:rPr>
              <w:br w:type="page"/>
            </w:r>
            <w:r w:rsidR="53BF0693" w:rsidRPr="0014243A">
              <w:rPr>
                <w:rStyle w:val="BodyTextChar"/>
                <w:rFonts w:cs="Calibri"/>
                <w:b/>
                <w:bCs/>
                <w:u w:val="single"/>
              </w:rPr>
              <w:t>Example</w:t>
            </w:r>
            <w:r w:rsidR="53BF0693" w:rsidRPr="0014243A">
              <w:rPr>
                <w:rStyle w:val="BodyTextChar"/>
                <w:rFonts w:cs="Calibri"/>
                <w:b/>
                <w:bCs/>
              </w:rPr>
              <w:t xml:space="preserve"> – Reporting </w:t>
            </w:r>
            <w:r w:rsidR="00AC775B" w:rsidRPr="0014243A">
              <w:rPr>
                <w:rStyle w:val="BodyTextChar"/>
                <w:rFonts w:cs="Calibri"/>
                <w:b/>
                <w:bCs/>
              </w:rPr>
              <w:t xml:space="preserve">measure reversals </w:t>
            </w:r>
            <w:r w:rsidR="00B34CC3" w:rsidRPr="0014243A">
              <w:rPr>
                <w:rStyle w:val="BodyTextChar"/>
                <w:rFonts w:cs="Calibri"/>
                <w:b/>
                <w:bCs/>
              </w:rPr>
              <w:t xml:space="preserve">at Budget in a </w:t>
            </w:r>
            <w:r w:rsidR="000D47CA" w:rsidRPr="0014243A">
              <w:rPr>
                <w:rStyle w:val="BodyTextChar"/>
                <w:rFonts w:cs="Calibri"/>
                <w:b/>
                <w:bCs/>
              </w:rPr>
              <w:t>PB Statement</w:t>
            </w:r>
            <w:r w:rsidR="00B34CC3" w:rsidRPr="0014243A">
              <w:rPr>
                <w:rStyle w:val="BodyTextChar"/>
                <w:rFonts w:cs="Calibri"/>
                <w:b/>
                <w:bCs/>
              </w:rPr>
              <w:t>:</w:t>
            </w:r>
          </w:p>
        </w:tc>
      </w:tr>
      <w:tr w:rsidR="004D479A" w:rsidRPr="00DD477A" w14:paraId="73C61A84" w14:textId="77777777" w:rsidTr="00AB260E">
        <w:trPr>
          <w:cantSplit/>
          <w:trHeight w:val="57"/>
        </w:trPr>
        <w:tc>
          <w:tcPr>
            <w:tcW w:w="9058" w:type="dxa"/>
          </w:tcPr>
          <w:p w14:paraId="0687B5B5" w14:textId="22F964B3" w:rsidR="004D479A" w:rsidRPr="00DD477A" w:rsidRDefault="00BB7DFA" w:rsidP="001D30A2">
            <w:pPr>
              <w:pStyle w:val="TableText-Medium"/>
              <w:rPr>
                <w:rFonts w:cs="Calibri"/>
              </w:rPr>
            </w:pPr>
            <w:r w:rsidRPr="00DD477A">
              <w:rPr>
                <w:rFonts w:cs="Calibri"/>
              </w:rPr>
              <w:t>T</w:t>
            </w:r>
            <w:r w:rsidR="53BF0693" w:rsidRPr="00DD477A">
              <w:rPr>
                <w:rFonts w:cs="Calibri"/>
              </w:rPr>
              <w:t xml:space="preserve">wo measures were announced in </w:t>
            </w:r>
            <w:r w:rsidR="00D33B8E" w:rsidRPr="00DD477A">
              <w:rPr>
                <w:rFonts w:cs="Calibri"/>
              </w:rPr>
              <w:t>a previous Budget</w:t>
            </w:r>
            <w:r w:rsidR="007040AA" w:rsidRPr="00DD477A">
              <w:rPr>
                <w:rFonts w:cs="Calibri"/>
              </w:rPr>
              <w:t xml:space="preserve"> </w:t>
            </w:r>
            <w:r w:rsidR="007040AA" w:rsidRPr="00DD477A">
              <w:t>process</w:t>
            </w:r>
            <w:r w:rsidR="53BF0693" w:rsidRPr="00DD477A">
              <w:rPr>
                <w:rFonts w:cs="Calibri"/>
              </w:rPr>
              <w:t>:</w:t>
            </w:r>
          </w:p>
          <w:tbl>
            <w:tblPr>
              <w:tblW w:w="7702" w:type="dxa"/>
              <w:jc w:val="center"/>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1820"/>
              <w:gridCol w:w="1076"/>
              <w:gridCol w:w="1076"/>
              <w:gridCol w:w="1236"/>
              <w:gridCol w:w="1245"/>
              <w:gridCol w:w="1249"/>
            </w:tblGrid>
            <w:tr w:rsidR="00EC048F" w:rsidRPr="00DD477A" w14:paraId="117CD045" w14:textId="77777777" w:rsidTr="00F611EB">
              <w:trPr>
                <w:trHeight w:val="446"/>
                <w:tblHeader/>
                <w:jc w:val="center"/>
              </w:trPr>
              <w:tc>
                <w:tcPr>
                  <w:tcW w:w="1820" w:type="dxa"/>
                </w:tcPr>
                <w:p w14:paraId="1F529F65" w14:textId="77777777" w:rsidR="00EC048F" w:rsidRPr="00DD477A" w:rsidRDefault="00EC048F" w:rsidP="00EC048F">
                  <w:pPr>
                    <w:pStyle w:val="TableText-Medium"/>
                    <w:rPr>
                      <w:rStyle w:val="BodyTextChar"/>
                      <w:rFonts w:cs="Calibri"/>
                      <w:sz w:val="16"/>
                      <w:szCs w:val="16"/>
                    </w:rPr>
                  </w:pPr>
                  <w:r w:rsidRPr="00DD477A">
                    <w:rPr>
                      <w:rStyle w:val="BodyTextChar"/>
                      <w:rFonts w:cs="Calibri"/>
                      <w:sz w:val="16"/>
                      <w:szCs w:val="16"/>
                    </w:rPr>
                    <w:t>Measure Title</w:t>
                  </w:r>
                </w:p>
              </w:tc>
              <w:tc>
                <w:tcPr>
                  <w:tcW w:w="1076" w:type="dxa"/>
                </w:tcPr>
                <w:p w14:paraId="2F0467B6" w14:textId="76D89448" w:rsidR="00EC048F" w:rsidRPr="00DD477A" w:rsidRDefault="0095585E" w:rsidP="00EC048F">
                  <w:pPr>
                    <w:pStyle w:val="TableText-Medium"/>
                    <w:jc w:val="center"/>
                    <w:rPr>
                      <w:rFonts w:cs="Calibri"/>
                      <w:sz w:val="16"/>
                      <w:szCs w:val="16"/>
                    </w:rPr>
                  </w:pPr>
                  <w:r>
                    <w:rPr>
                      <w:rFonts w:cs="Calibri"/>
                      <w:sz w:val="16"/>
                      <w:szCs w:val="16"/>
                    </w:rPr>
                    <w:t>2025</w:t>
                  </w:r>
                  <w:r w:rsidR="00C917CE">
                    <w:rPr>
                      <w:rFonts w:cs="Calibri"/>
                      <w:sz w:val="16"/>
                      <w:szCs w:val="16"/>
                    </w:rPr>
                    <w:t>–</w:t>
                  </w:r>
                  <w:r>
                    <w:rPr>
                      <w:rFonts w:cs="Calibri"/>
                      <w:sz w:val="16"/>
                      <w:szCs w:val="16"/>
                    </w:rPr>
                    <w:t>26</w:t>
                  </w:r>
                </w:p>
                <w:p w14:paraId="4747ED6F" w14:textId="53D619D1" w:rsidR="00EC048F" w:rsidRPr="00DD477A" w:rsidRDefault="00EC048F" w:rsidP="00EC048F">
                  <w:pPr>
                    <w:pStyle w:val="TableText-Medium"/>
                    <w:jc w:val="center"/>
                    <w:rPr>
                      <w:rFonts w:cs="Calibri"/>
                      <w:sz w:val="16"/>
                      <w:szCs w:val="16"/>
                    </w:rPr>
                  </w:pPr>
                  <w:r w:rsidRPr="00DD477A">
                    <w:rPr>
                      <w:rFonts w:cs="Calibri"/>
                      <w:sz w:val="16"/>
                      <w:szCs w:val="16"/>
                    </w:rPr>
                    <w:t>$m</w:t>
                  </w:r>
                </w:p>
              </w:tc>
              <w:tc>
                <w:tcPr>
                  <w:tcW w:w="1076" w:type="dxa"/>
                </w:tcPr>
                <w:p w14:paraId="2D6B9B65" w14:textId="6DBD800B" w:rsidR="00EC048F" w:rsidRPr="00DD477A" w:rsidRDefault="00DC026B" w:rsidP="00EC048F">
                  <w:pPr>
                    <w:pStyle w:val="TableText-Medium"/>
                    <w:jc w:val="center"/>
                    <w:rPr>
                      <w:rFonts w:cs="Calibri"/>
                      <w:sz w:val="16"/>
                      <w:szCs w:val="16"/>
                    </w:rPr>
                  </w:pPr>
                  <w:r>
                    <w:rPr>
                      <w:rFonts w:cs="Calibri"/>
                      <w:sz w:val="16"/>
                      <w:szCs w:val="16"/>
                    </w:rPr>
                    <w:t>2026</w:t>
                  </w:r>
                  <w:r w:rsidR="00C917CE">
                    <w:rPr>
                      <w:rFonts w:cs="Calibri"/>
                      <w:sz w:val="16"/>
                      <w:szCs w:val="16"/>
                    </w:rPr>
                    <w:t>–</w:t>
                  </w:r>
                  <w:r>
                    <w:rPr>
                      <w:rFonts w:cs="Calibri"/>
                      <w:sz w:val="16"/>
                      <w:szCs w:val="16"/>
                    </w:rPr>
                    <w:t>27</w:t>
                  </w:r>
                </w:p>
                <w:p w14:paraId="531B1FE8" w14:textId="7F5C028F" w:rsidR="00EC048F" w:rsidRPr="00DD477A" w:rsidRDefault="00EC048F" w:rsidP="00EC048F">
                  <w:pPr>
                    <w:pStyle w:val="TableText-Medium"/>
                    <w:jc w:val="center"/>
                    <w:rPr>
                      <w:rFonts w:cs="Calibri"/>
                      <w:sz w:val="16"/>
                      <w:szCs w:val="16"/>
                    </w:rPr>
                  </w:pPr>
                  <w:r w:rsidRPr="00DD477A">
                    <w:rPr>
                      <w:rFonts w:cs="Calibri"/>
                      <w:sz w:val="16"/>
                      <w:szCs w:val="16"/>
                    </w:rPr>
                    <w:t>$m</w:t>
                  </w:r>
                </w:p>
              </w:tc>
              <w:tc>
                <w:tcPr>
                  <w:tcW w:w="1236" w:type="dxa"/>
                </w:tcPr>
                <w:p w14:paraId="310484B0" w14:textId="19E629CC" w:rsidR="00EC048F" w:rsidRPr="00DD477A" w:rsidRDefault="00B5347E" w:rsidP="00EC048F">
                  <w:pPr>
                    <w:pStyle w:val="TableText-Medium"/>
                    <w:jc w:val="center"/>
                    <w:rPr>
                      <w:rFonts w:cs="Calibri"/>
                      <w:sz w:val="16"/>
                      <w:szCs w:val="16"/>
                    </w:rPr>
                  </w:pPr>
                  <w:r>
                    <w:rPr>
                      <w:rFonts w:cs="Calibri"/>
                      <w:sz w:val="16"/>
                      <w:szCs w:val="16"/>
                    </w:rPr>
                    <w:t>2027</w:t>
                  </w:r>
                  <w:r w:rsidR="00C917CE">
                    <w:rPr>
                      <w:rFonts w:cs="Calibri"/>
                      <w:sz w:val="16"/>
                      <w:szCs w:val="16"/>
                    </w:rPr>
                    <w:t>–</w:t>
                  </w:r>
                  <w:r>
                    <w:rPr>
                      <w:rFonts w:cs="Calibri"/>
                      <w:sz w:val="16"/>
                      <w:szCs w:val="16"/>
                    </w:rPr>
                    <w:t>28</w:t>
                  </w:r>
                </w:p>
                <w:p w14:paraId="74E069D8" w14:textId="4830FF8C" w:rsidR="00EC048F" w:rsidRPr="00DD477A" w:rsidRDefault="00EC048F" w:rsidP="00EC048F">
                  <w:pPr>
                    <w:pStyle w:val="TableText-Medium"/>
                    <w:jc w:val="center"/>
                    <w:rPr>
                      <w:rFonts w:cs="Calibri"/>
                      <w:sz w:val="16"/>
                      <w:szCs w:val="16"/>
                    </w:rPr>
                  </w:pPr>
                  <w:r w:rsidRPr="00DD477A">
                    <w:rPr>
                      <w:rFonts w:cs="Calibri"/>
                      <w:sz w:val="16"/>
                      <w:szCs w:val="16"/>
                    </w:rPr>
                    <w:t>$m</w:t>
                  </w:r>
                </w:p>
              </w:tc>
              <w:tc>
                <w:tcPr>
                  <w:tcW w:w="1245" w:type="dxa"/>
                </w:tcPr>
                <w:p w14:paraId="08B28DE1" w14:textId="2DDE3E11" w:rsidR="00EC048F" w:rsidRPr="00DD477A" w:rsidRDefault="00B5347E" w:rsidP="00EC048F">
                  <w:pPr>
                    <w:pStyle w:val="TableText-Medium"/>
                    <w:jc w:val="center"/>
                    <w:rPr>
                      <w:rFonts w:cs="Calibri"/>
                      <w:sz w:val="16"/>
                      <w:szCs w:val="16"/>
                    </w:rPr>
                  </w:pPr>
                  <w:r>
                    <w:rPr>
                      <w:rFonts w:cs="Calibri"/>
                      <w:sz w:val="16"/>
                      <w:szCs w:val="16"/>
                    </w:rPr>
                    <w:t>2028</w:t>
                  </w:r>
                  <w:r w:rsidR="00C917CE">
                    <w:rPr>
                      <w:rFonts w:cs="Calibri"/>
                      <w:sz w:val="16"/>
                      <w:szCs w:val="16"/>
                    </w:rPr>
                    <w:t>–</w:t>
                  </w:r>
                  <w:r>
                    <w:rPr>
                      <w:rFonts w:cs="Calibri"/>
                      <w:sz w:val="16"/>
                      <w:szCs w:val="16"/>
                    </w:rPr>
                    <w:t>29</w:t>
                  </w:r>
                </w:p>
                <w:p w14:paraId="7D0E4918" w14:textId="1AD2D401" w:rsidR="00EC048F" w:rsidRPr="00DD477A" w:rsidRDefault="00EC048F" w:rsidP="00EC048F">
                  <w:pPr>
                    <w:pStyle w:val="TableText-Medium"/>
                    <w:jc w:val="center"/>
                    <w:rPr>
                      <w:rFonts w:cs="Calibri"/>
                      <w:sz w:val="16"/>
                      <w:szCs w:val="16"/>
                    </w:rPr>
                  </w:pPr>
                  <w:r w:rsidRPr="00DD477A">
                    <w:rPr>
                      <w:rFonts w:cs="Calibri"/>
                      <w:sz w:val="16"/>
                      <w:szCs w:val="16"/>
                    </w:rPr>
                    <w:t>$m</w:t>
                  </w:r>
                </w:p>
              </w:tc>
              <w:tc>
                <w:tcPr>
                  <w:tcW w:w="1249" w:type="dxa"/>
                </w:tcPr>
                <w:p w14:paraId="281710A9" w14:textId="12224639" w:rsidR="00EC048F" w:rsidRPr="00DD477A" w:rsidRDefault="00B5347E" w:rsidP="00EC048F">
                  <w:pPr>
                    <w:pStyle w:val="TableText-Medium"/>
                    <w:jc w:val="center"/>
                    <w:rPr>
                      <w:rFonts w:cs="Calibri"/>
                      <w:sz w:val="16"/>
                      <w:szCs w:val="16"/>
                    </w:rPr>
                  </w:pPr>
                  <w:r>
                    <w:rPr>
                      <w:rFonts w:cs="Calibri"/>
                      <w:sz w:val="16"/>
                      <w:szCs w:val="16"/>
                    </w:rPr>
                    <w:t>2029</w:t>
                  </w:r>
                  <w:r w:rsidR="00C917CE">
                    <w:rPr>
                      <w:rFonts w:cs="Calibri"/>
                      <w:sz w:val="16"/>
                      <w:szCs w:val="16"/>
                    </w:rPr>
                    <w:t>–</w:t>
                  </w:r>
                  <w:r>
                    <w:rPr>
                      <w:rFonts w:cs="Calibri"/>
                      <w:sz w:val="16"/>
                      <w:szCs w:val="16"/>
                    </w:rPr>
                    <w:t>30</w:t>
                  </w:r>
                </w:p>
                <w:p w14:paraId="17E6EF73" w14:textId="77777777" w:rsidR="00EC048F" w:rsidRPr="00DD477A" w:rsidRDefault="00EC048F" w:rsidP="00EC048F">
                  <w:pPr>
                    <w:pStyle w:val="TableText-Medium"/>
                    <w:jc w:val="center"/>
                    <w:rPr>
                      <w:rFonts w:cs="Calibri"/>
                      <w:sz w:val="16"/>
                      <w:szCs w:val="16"/>
                    </w:rPr>
                  </w:pPr>
                  <w:r w:rsidRPr="00DD477A">
                    <w:rPr>
                      <w:rFonts w:cs="Calibri"/>
                      <w:sz w:val="16"/>
                      <w:szCs w:val="16"/>
                    </w:rPr>
                    <w:t>$m</w:t>
                  </w:r>
                </w:p>
              </w:tc>
            </w:tr>
            <w:tr w:rsidR="00C62416" w:rsidRPr="00DD477A" w14:paraId="4D0A9784" w14:textId="77777777" w:rsidTr="00F611EB">
              <w:trPr>
                <w:trHeight w:val="211"/>
                <w:jc w:val="center"/>
              </w:trPr>
              <w:tc>
                <w:tcPr>
                  <w:tcW w:w="1820" w:type="dxa"/>
                </w:tcPr>
                <w:p w14:paraId="7C4E9119" w14:textId="77777777" w:rsidR="00C62416" w:rsidRPr="00DD477A" w:rsidRDefault="00C62416" w:rsidP="53BF0693">
                  <w:pPr>
                    <w:pStyle w:val="TableText-Medium"/>
                    <w:rPr>
                      <w:rStyle w:val="BodyTextChar"/>
                      <w:rFonts w:cs="Calibri"/>
                      <w:sz w:val="16"/>
                      <w:szCs w:val="16"/>
                    </w:rPr>
                  </w:pPr>
                  <w:r w:rsidRPr="00DD477A">
                    <w:rPr>
                      <w:rStyle w:val="BodyTextChar"/>
                      <w:rFonts w:cs="Calibri"/>
                      <w:sz w:val="16"/>
                      <w:szCs w:val="16"/>
                    </w:rPr>
                    <w:t>X Measure</w:t>
                  </w:r>
                </w:p>
              </w:tc>
              <w:tc>
                <w:tcPr>
                  <w:tcW w:w="1076" w:type="dxa"/>
                </w:tcPr>
                <w:p w14:paraId="39F1943B" w14:textId="3D439C1E"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w:t>
                  </w:r>
                  <w:r w:rsidR="000853D0" w:rsidRPr="00DD477A">
                    <w:rPr>
                      <w:rStyle w:val="BodyTextChar"/>
                      <w:rFonts w:cs="Calibri"/>
                      <w:sz w:val="16"/>
                      <w:szCs w:val="16"/>
                    </w:rPr>
                    <w:t>3</w:t>
                  </w:r>
                </w:p>
              </w:tc>
              <w:tc>
                <w:tcPr>
                  <w:tcW w:w="1076" w:type="dxa"/>
                </w:tcPr>
                <w:p w14:paraId="6D216876" w14:textId="36F396EB"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$4</w:t>
                  </w:r>
                </w:p>
              </w:tc>
              <w:tc>
                <w:tcPr>
                  <w:tcW w:w="1236" w:type="dxa"/>
                </w:tcPr>
                <w:p w14:paraId="35B164CA"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$6</w:t>
                  </w:r>
                </w:p>
              </w:tc>
              <w:tc>
                <w:tcPr>
                  <w:tcW w:w="1245" w:type="dxa"/>
                </w:tcPr>
                <w:p w14:paraId="71745ED7"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$8</w:t>
                  </w:r>
                </w:p>
              </w:tc>
              <w:tc>
                <w:tcPr>
                  <w:tcW w:w="1249" w:type="dxa"/>
                </w:tcPr>
                <w:p w14:paraId="1867468F"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$10</w:t>
                  </w:r>
                </w:p>
              </w:tc>
            </w:tr>
            <w:tr w:rsidR="00C62416" w:rsidRPr="00DD477A" w14:paraId="12C5AAB9" w14:textId="77777777" w:rsidTr="00F611EB">
              <w:trPr>
                <w:trHeight w:val="100"/>
                <w:jc w:val="center"/>
              </w:trPr>
              <w:tc>
                <w:tcPr>
                  <w:tcW w:w="1820" w:type="dxa"/>
                </w:tcPr>
                <w:p w14:paraId="2A638C4E" w14:textId="77777777" w:rsidR="00C62416" w:rsidRPr="00DD477A" w:rsidRDefault="00C62416" w:rsidP="53BF0693">
                  <w:pPr>
                    <w:pStyle w:val="TableText-Medium"/>
                    <w:rPr>
                      <w:rStyle w:val="BodyTextChar"/>
                      <w:rFonts w:cs="Calibri"/>
                      <w:sz w:val="16"/>
                      <w:szCs w:val="16"/>
                    </w:rPr>
                  </w:pPr>
                  <w:r w:rsidRPr="00DD477A">
                    <w:rPr>
                      <w:rStyle w:val="BodyTextChar"/>
                      <w:rFonts w:cs="Calibri"/>
                      <w:sz w:val="16"/>
                      <w:szCs w:val="16"/>
                    </w:rPr>
                    <w:t>Y Measure</w:t>
                  </w:r>
                </w:p>
              </w:tc>
              <w:tc>
                <w:tcPr>
                  <w:tcW w:w="1076" w:type="dxa"/>
                </w:tcPr>
                <w:p w14:paraId="6D015194" w14:textId="4F1562FB"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$2</w:t>
                  </w:r>
                </w:p>
              </w:tc>
              <w:tc>
                <w:tcPr>
                  <w:tcW w:w="1076" w:type="dxa"/>
                </w:tcPr>
                <w:p w14:paraId="480A4EA6" w14:textId="1E42353E"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$2</w:t>
                  </w:r>
                </w:p>
              </w:tc>
              <w:tc>
                <w:tcPr>
                  <w:tcW w:w="1236" w:type="dxa"/>
                </w:tcPr>
                <w:p w14:paraId="4E7806A1"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$3</w:t>
                  </w:r>
                </w:p>
              </w:tc>
              <w:tc>
                <w:tcPr>
                  <w:tcW w:w="1245" w:type="dxa"/>
                </w:tcPr>
                <w:p w14:paraId="6DA31D89"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$4</w:t>
                  </w:r>
                </w:p>
              </w:tc>
              <w:tc>
                <w:tcPr>
                  <w:tcW w:w="1249" w:type="dxa"/>
                </w:tcPr>
                <w:p w14:paraId="25B102D0"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$5</w:t>
                  </w:r>
                </w:p>
              </w:tc>
            </w:tr>
          </w:tbl>
          <w:p w14:paraId="443347C9" w14:textId="09E3376E" w:rsidR="004D479A" w:rsidRPr="00DD477A" w:rsidRDefault="006B0AE2" w:rsidP="53BF0693">
            <w:pPr>
              <w:pStyle w:val="TableText-Medium"/>
            </w:pPr>
            <w:r w:rsidRPr="00DD477A">
              <w:t>It was announced t</w:t>
            </w:r>
            <w:r w:rsidR="53BF0693" w:rsidRPr="00DD477A">
              <w:t>hese measures were subsequently reversed at Budget (fully or partially):</w:t>
            </w:r>
          </w:p>
          <w:tbl>
            <w:tblPr>
              <w:tblW w:w="0" w:type="auto"/>
              <w:jc w:val="center"/>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1820"/>
              <w:gridCol w:w="1012"/>
              <w:gridCol w:w="1012"/>
              <w:gridCol w:w="1300"/>
              <w:gridCol w:w="1188"/>
              <w:gridCol w:w="1188"/>
            </w:tblGrid>
            <w:tr w:rsidR="00EC048F" w:rsidRPr="00DD477A" w14:paraId="2FD33B14" w14:textId="77777777" w:rsidTr="00883DD7">
              <w:trPr>
                <w:trHeight w:val="446"/>
                <w:jc w:val="center"/>
              </w:trPr>
              <w:tc>
                <w:tcPr>
                  <w:tcW w:w="1820" w:type="dxa"/>
                </w:tcPr>
                <w:p w14:paraId="7E55B5EB" w14:textId="77777777" w:rsidR="00EC048F" w:rsidRPr="00DD477A" w:rsidRDefault="00EC048F" w:rsidP="00EC048F">
                  <w:pPr>
                    <w:pStyle w:val="TableText-Medium"/>
                    <w:rPr>
                      <w:rStyle w:val="BodyTextChar"/>
                      <w:rFonts w:cs="Calibri"/>
                      <w:sz w:val="16"/>
                      <w:szCs w:val="16"/>
                    </w:rPr>
                  </w:pPr>
                  <w:r w:rsidRPr="00DD477A">
                    <w:rPr>
                      <w:rStyle w:val="BodyTextChar"/>
                      <w:rFonts w:cs="Calibri"/>
                      <w:sz w:val="16"/>
                      <w:szCs w:val="16"/>
                    </w:rPr>
                    <w:t>Measure Title</w:t>
                  </w:r>
                </w:p>
              </w:tc>
              <w:tc>
                <w:tcPr>
                  <w:tcW w:w="1012" w:type="dxa"/>
                </w:tcPr>
                <w:p w14:paraId="45733776" w14:textId="5220390D" w:rsidR="00EC048F" w:rsidRPr="00DD477A" w:rsidRDefault="0095585E" w:rsidP="00EC048F">
                  <w:pPr>
                    <w:pStyle w:val="TableText-Medium"/>
                    <w:jc w:val="center"/>
                    <w:rPr>
                      <w:rFonts w:cs="Calibri"/>
                      <w:sz w:val="16"/>
                      <w:szCs w:val="16"/>
                    </w:rPr>
                  </w:pPr>
                  <w:r>
                    <w:rPr>
                      <w:rFonts w:cs="Calibri"/>
                      <w:sz w:val="16"/>
                      <w:szCs w:val="16"/>
                    </w:rPr>
                    <w:t>2025</w:t>
                  </w:r>
                  <w:r w:rsidR="00C917CE">
                    <w:rPr>
                      <w:rFonts w:cs="Calibri"/>
                      <w:sz w:val="16"/>
                      <w:szCs w:val="16"/>
                    </w:rPr>
                    <w:t>–</w:t>
                  </w:r>
                  <w:r>
                    <w:rPr>
                      <w:rFonts w:cs="Calibri"/>
                      <w:sz w:val="16"/>
                      <w:szCs w:val="16"/>
                    </w:rPr>
                    <w:t>26</w:t>
                  </w:r>
                  <w:r w:rsidR="00EC048F" w:rsidRPr="00DD477A">
                    <w:rPr>
                      <w:rFonts w:cs="Calibri"/>
                      <w:sz w:val="16"/>
                      <w:szCs w:val="16"/>
                    </w:rPr>
                    <w:br/>
                    <w:t>$m</w:t>
                  </w:r>
                  <w:r w:rsidR="00EC048F" w:rsidRPr="00DD477A" w:rsidDel="0018262D">
                    <w:rPr>
                      <w:rFonts w:cs="Calibri"/>
                      <w:sz w:val="16"/>
                      <w:szCs w:val="16"/>
                    </w:rPr>
                    <w:t xml:space="preserve"> </w:t>
                  </w:r>
                </w:p>
              </w:tc>
              <w:tc>
                <w:tcPr>
                  <w:tcW w:w="1012" w:type="dxa"/>
                </w:tcPr>
                <w:p w14:paraId="3930F8A6" w14:textId="393995B8" w:rsidR="00EC048F" w:rsidRPr="00DD477A" w:rsidRDefault="00DC026B" w:rsidP="00EC048F">
                  <w:pPr>
                    <w:pStyle w:val="TableText-Medium"/>
                    <w:jc w:val="center"/>
                    <w:rPr>
                      <w:rFonts w:cs="Calibri"/>
                      <w:sz w:val="16"/>
                      <w:szCs w:val="16"/>
                    </w:rPr>
                  </w:pPr>
                  <w:r>
                    <w:rPr>
                      <w:rFonts w:cs="Calibri"/>
                      <w:sz w:val="16"/>
                      <w:szCs w:val="16"/>
                    </w:rPr>
                    <w:t>2026</w:t>
                  </w:r>
                  <w:r w:rsidR="00C917CE">
                    <w:rPr>
                      <w:rFonts w:cs="Calibri"/>
                      <w:sz w:val="16"/>
                      <w:szCs w:val="16"/>
                    </w:rPr>
                    <w:t>–</w:t>
                  </w:r>
                  <w:r>
                    <w:rPr>
                      <w:rFonts w:cs="Calibri"/>
                      <w:sz w:val="16"/>
                      <w:szCs w:val="16"/>
                    </w:rPr>
                    <w:t>27</w:t>
                  </w:r>
                  <w:r w:rsidR="00EC048F" w:rsidRPr="00DD477A">
                    <w:rPr>
                      <w:rFonts w:cs="Calibri"/>
                      <w:sz w:val="16"/>
                      <w:szCs w:val="16"/>
                    </w:rPr>
                    <w:br/>
                    <w:t>$m</w:t>
                  </w:r>
                </w:p>
              </w:tc>
              <w:tc>
                <w:tcPr>
                  <w:tcW w:w="1300" w:type="dxa"/>
                </w:tcPr>
                <w:p w14:paraId="26BFD0F2" w14:textId="71318031" w:rsidR="00EC048F" w:rsidRPr="00DD477A" w:rsidRDefault="00B5347E" w:rsidP="00EC048F">
                  <w:pPr>
                    <w:pStyle w:val="TableText-Medium"/>
                    <w:jc w:val="center"/>
                    <w:rPr>
                      <w:rFonts w:cs="Calibri"/>
                      <w:sz w:val="16"/>
                      <w:szCs w:val="16"/>
                    </w:rPr>
                  </w:pPr>
                  <w:r>
                    <w:rPr>
                      <w:rFonts w:cs="Calibri"/>
                      <w:sz w:val="16"/>
                      <w:szCs w:val="16"/>
                    </w:rPr>
                    <w:t>2027</w:t>
                  </w:r>
                  <w:r w:rsidR="00C917CE">
                    <w:rPr>
                      <w:rFonts w:cs="Calibri"/>
                      <w:sz w:val="16"/>
                      <w:szCs w:val="16"/>
                    </w:rPr>
                    <w:t>–</w:t>
                  </w:r>
                  <w:r>
                    <w:rPr>
                      <w:rFonts w:cs="Calibri"/>
                      <w:sz w:val="16"/>
                      <w:szCs w:val="16"/>
                    </w:rPr>
                    <w:t>28</w:t>
                  </w:r>
                  <w:r w:rsidR="00EC048F" w:rsidRPr="00DD477A">
                    <w:rPr>
                      <w:rFonts w:cs="Calibri"/>
                      <w:sz w:val="16"/>
                      <w:szCs w:val="16"/>
                    </w:rPr>
                    <w:t xml:space="preserve"> </w:t>
                  </w:r>
                  <w:r w:rsidR="00EC048F" w:rsidRPr="00DD477A">
                    <w:rPr>
                      <w:rFonts w:cs="Calibri"/>
                      <w:sz w:val="16"/>
                      <w:szCs w:val="16"/>
                    </w:rPr>
                    <w:br/>
                    <w:t>$m</w:t>
                  </w:r>
                </w:p>
              </w:tc>
              <w:tc>
                <w:tcPr>
                  <w:tcW w:w="1188" w:type="dxa"/>
                </w:tcPr>
                <w:p w14:paraId="27BFA92F" w14:textId="130FDB87" w:rsidR="00EC048F" w:rsidRPr="00DD477A" w:rsidRDefault="00B5347E" w:rsidP="00EC048F">
                  <w:pPr>
                    <w:pStyle w:val="TableText-Medium"/>
                    <w:jc w:val="center"/>
                    <w:rPr>
                      <w:rFonts w:cs="Calibri"/>
                      <w:sz w:val="16"/>
                      <w:szCs w:val="16"/>
                    </w:rPr>
                  </w:pPr>
                  <w:r>
                    <w:rPr>
                      <w:rFonts w:cs="Calibri"/>
                      <w:sz w:val="16"/>
                      <w:szCs w:val="16"/>
                    </w:rPr>
                    <w:t>2028</w:t>
                  </w:r>
                  <w:r w:rsidR="00C917CE">
                    <w:rPr>
                      <w:rFonts w:cs="Calibri"/>
                      <w:sz w:val="16"/>
                      <w:szCs w:val="16"/>
                    </w:rPr>
                    <w:t>–</w:t>
                  </w:r>
                  <w:r>
                    <w:rPr>
                      <w:rFonts w:cs="Calibri"/>
                      <w:sz w:val="16"/>
                      <w:szCs w:val="16"/>
                    </w:rPr>
                    <w:t>29</w:t>
                  </w:r>
                  <w:r w:rsidR="00EC048F" w:rsidRPr="00DD477A">
                    <w:rPr>
                      <w:rFonts w:cs="Calibri"/>
                      <w:sz w:val="16"/>
                      <w:szCs w:val="16"/>
                    </w:rPr>
                    <w:t xml:space="preserve"> </w:t>
                  </w:r>
                  <w:r w:rsidR="00EC048F" w:rsidRPr="00DD477A">
                    <w:rPr>
                      <w:rFonts w:cs="Calibri"/>
                      <w:sz w:val="16"/>
                      <w:szCs w:val="16"/>
                    </w:rPr>
                    <w:br/>
                    <w:t>$m</w:t>
                  </w:r>
                </w:p>
              </w:tc>
              <w:tc>
                <w:tcPr>
                  <w:tcW w:w="1188" w:type="dxa"/>
                </w:tcPr>
                <w:p w14:paraId="7ECA3EAC" w14:textId="66EC3956" w:rsidR="00EC048F" w:rsidRPr="00DD477A" w:rsidRDefault="00B5347E" w:rsidP="00EC048F">
                  <w:pPr>
                    <w:pStyle w:val="TableText-Medium"/>
                    <w:jc w:val="center"/>
                    <w:rPr>
                      <w:rFonts w:cs="Calibri"/>
                      <w:sz w:val="16"/>
                      <w:szCs w:val="16"/>
                    </w:rPr>
                  </w:pPr>
                  <w:r>
                    <w:rPr>
                      <w:rFonts w:cs="Calibri"/>
                      <w:sz w:val="16"/>
                      <w:szCs w:val="16"/>
                    </w:rPr>
                    <w:t>2029</w:t>
                  </w:r>
                  <w:r w:rsidR="00C917CE">
                    <w:rPr>
                      <w:rFonts w:cs="Calibri"/>
                      <w:sz w:val="16"/>
                      <w:szCs w:val="16"/>
                    </w:rPr>
                    <w:t>–</w:t>
                  </w:r>
                  <w:r>
                    <w:rPr>
                      <w:rFonts w:cs="Calibri"/>
                      <w:sz w:val="16"/>
                      <w:szCs w:val="16"/>
                    </w:rPr>
                    <w:t>30</w:t>
                  </w:r>
                  <w:r w:rsidR="00EC048F" w:rsidRPr="00DD477A">
                    <w:rPr>
                      <w:rFonts w:cs="Calibri"/>
                      <w:sz w:val="16"/>
                      <w:szCs w:val="16"/>
                    </w:rPr>
                    <w:t xml:space="preserve"> </w:t>
                  </w:r>
                  <w:r w:rsidR="00EC048F" w:rsidRPr="00DD477A">
                    <w:rPr>
                      <w:rFonts w:cs="Calibri"/>
                      <w:sz w:val="16"/>
                      <w:szCs w:val="16"/>
                    </w:rPr>
                    <w:br/>
                    <w:t>$m</w:t>
                  </w:r>
                </w:p>
              </w:tc>
            </w:tr>
            <w:tr w:rsidR="00C62416" w:rsidRPr="00DD477A" w14:paraId="21282123" w14:textId="77777777" w:rsidTr="00883DD7">
              <w:trPr>
                <w:trHeight w:val="446"/>
                <w:jc w:val="center"/>
              </w:trPr>
              <w:tc>
                <w:tcPr>
                  <w:tcW w:w="1820" w:type="dxa"/>
                </w:tcPr>
                <w:p w14:paraId="558E4C00" w14:textId="77777777" w:rsidR="00C62416" w:rsidRPr="00DD477A" w:rsidRDefault="00C62416" w:rsidP="53BF0693">
                  <w:pPr>
                    <w:pStyle w:val="TableText-Medium"/>
                    <w:rPr>
                      <w:rStyle w:val="BodyTextChar"/>
                      <w:rFonts w:cs="Calibri"/>
                      <w:sz w:val="16"/>
                      <w:szCs w:val="16"/>
                    </w:rPr>
                  </w:pPr>
                  <w:r w:rsidRPr="00DD477A">
                    <w:rPr>
                      <w:rStyle w:val="BodyTextChar"/>
                      <w:rFonts w:cs="Calibri"/>
                      <w:sz w:val="16"/>
                      <w:szCs w:val="16"/>
                    </w:rPr>
                    <w:t>X Measure – reduction</w:t>
                  </w:r>
                </w:p>
              </w:tc>
              <w:tc>
                <w:tcPr>
                  <w:tcW w:w="1012" w:type="dxa"/>
                </w:tcPr>
                <w:p w14:paraId="29D0DBED" w14:textId="615D52F8"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w:t>
                  </w:r>
                  <w:r w:rsidR="000853D0" w:rsidRPr="00DD477A">
                    <w:rPr>
                      <w:rStyle w:val="BodyTextChar"/>
                      <w:rFonts w:cs="Calibri"/>
                      <w:sz w:val="16"/>
                      <w:szCs w:val="16"/>
                    </w:rPr>
                    <w:t>1</w:t>
                  </w:r>
                  <w:r w:rsidRPr="00DD477A">
                    <w:rPr>
                      <w:rStyle w:val="BodyTextChar"/>
                      <w:rFonts w:cs="Calibri"/>
                      <w:sz w:val="16"/>
                      <w:szCs w:val="16"/>
                    </w:rPr>
                    <w:t>)</w:t>
                  </w:r>
                </w:p>
              </w:tc>
              <w:tc>
                <w:tcPr>
                  <w:tcW w:w="1012" w:type="dxa"/>
                </w:tcPr>
                <w:p w14:paraId="4F067EC1" w14:textId="43C9A522"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($2)</w:t>
                  </w:r>
                </w:p>
              </w:tc>
              <w:tc>
                <w:tcPr>
                  <w:tcW w:w="1300" w:type="dxa"/>
                </w:tcPr>
                <w:p w14:paraId="47399B63"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($3)</w:t>
                  </w:r>
                </w:p>
              </w:tc>
              <w:tc>
                <w:tcPr>
                  <w:tcW w:w="1188" w:type="dxa"/>
                </w:tcPr>
                <w:p w14:paraId="080B06AD"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($4)</w:t>
                  </w:r>
                </w:p>
              </w:tc>
              <w:tc>
                <w:tcPr>
                  <w:tcW w:w="1188" w:type="dxa"/>
                </w:tcPr>
                <w:p w14:paraId="2A0BC8EE"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($5)</w:t>
                  </w:r>
                </w:p>
              </w:tc>
            </w:tr>
            <w:tr w:rsidR="00C62416" w:rsidRPr="00DD477A" w14:paraId="49AB14C0" w14:textId="77777777" w:rsidTr="00883DD7">
              <w:trPr>
                <w:trHeight w:val="446"/>
                <w:jc w:val="center"/>
              </w:trPr>
              <w:tc>
                <w:tcPr>
                  <w:tcW w:w="1820" w:type="dxa"/>
                </w:tcPr>
                <w:p w14:paraId="1B8C0AEB" w14:textId="77777777" w:rsidR="00C62416" w:rsidRPr="00DD477A" w:rsidRDefault="00C62416" w:rsidP="53BF0693">
                  <w:pPr>
                    <w:pStyle w:val="TableText-Medium"/>
                    <w:rPr>
                      <w:rStyle w:val="BodyTextChar"/>
                      <w:rFonts w:cs="Calibri"/>
                      <w:sz w:val="16"/>
                      <w:szCs w:val="16"/>
                    </w:rPr>
                  </w:pPr>
                  <w:r w:rsidRPr="00DD477A">
                    <w:rPr>
                      <w:rStyle w:val="BodyTextChar"/>
                      <w:rFonts w:cs="Calibri"/>
                      <w:sz w:val="16"/>
                      <w:szCs w:val="16"/>
                    </w:rPr>
                    <w:t xml:space="preserve">Y Measure </w:t>
                  </w:r>
                  <w:r w:rsidRPr="00DD477A">
                    <w:rPr>
                      <w:rFonts w:cs="Calibri"/>
                      <w:sz w:val="16"/>
                      <w:szCs w:val="16"/>
                    </w:rPr>
                    <w:t>–</w:t>
                  </w:r>
                  <w:r w:rsidRPr="00DD477A">
                    <w:rPr>
                      <w:rStyle w:val="BodyTextChar"/>
                      <w:rFonts w:cs="Calibri"/>
                      <w:sz w:val="16"/>
                      <w:szCs w:val="16"/>
                    </w:rPr>
                    <w:t>cessation</w:t>
                  </w:r>
                </w:p>
              </w:tc>
              <w:tc>
                <w:tcPr>
                  <w:tcW w:w="1012" w:type="dxa"/>
                </w:tcPr>
                <w:p w14:paraId="62F4E5E8" w14:textId="718C1F0A" w:rsidR="00C62416" w:rsidRPr="00DD477A" w:rsidRDefault="000853D0" w:rsidP="00B31ED0">
                  <w:pPr>
                    <w:pStyle w:val="TableText-Medium"/>
                    <w:jc w:val="center"/>
                    <w:rPr>
                      <w:rStyle w:val="BodyTextChar"/>
                      <w:rFonts w:cs="Calibri"/>
                      <w:sz w:val="16"/>
                      <w:szCs w:val="16"/>
                    </w:rPr>
                  </w:pPr>
                  <w:r w:rsidRPr="00DD477A">
                    <w:rPr>
                      <w:rStyle w:val="BodyTextChar"/>
                      <w:rFonts w:cs="Calibri"/>
                      <w:sz w:val="16"/>
                      <w:szCs w:val="16"/>
                    </w:rPr>
                    <w:t>$(1)</w:t>
                  </w:r>
                </w:p>
              </w:tc>
              <w:tc>
                <w:tcPr>
                  <w:tcW w:w="1012" w:type="dxa"/>
                </w:tcPr>
                <w:p w14:paraId="668B8C9F" w14:textId="26388FE4"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($2)</w:t>
                  </w:r>
                </w:p>
              </w:tc>
              <w:tc>
                <w:tcPr>
                  <w:tcW w:w="1300" w:type="dxa"/>
                </w:tcPr>
                <w:p w14:paraId="129E92E5"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($3)</w:t>
                  </w:r>
                </w:p>
              </w:tc>
              <w:tc>
                <w:tcPr>
                  <w:tcW w:w="1188" w:type="dxa"/>
                </w:tcPr>
                <w:p w14:paraId="68761A94"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($4)</w:t>
                  </w:r>
                </w:p>
              </w:tc>
              <w:tc>
                <w:tcPr>
                  <w:tcW w:w="1188" w:type="dxa"/>
                </w:tcPr>
                <w:p w14:paraId="15E6933C"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($5)</w:t>
                  </w:r>
                </w:p>
              </w:tc>
            </w:tr>
          </w:tbl>
          <w:p w14:paraId="4347ED2E" w14:textId="69D4A794" w:rsidR="004D479A" w:rsidRPr="00DD477A" w:rsidRDefault="00BB22D2" w:rsidP="53BF0693">
            <w:pPr>
              <w:pStyle w:val="TableText-Medium"/>
              <w:rPr>
                <w:rStyle w:val="BodyTextChar"/>
                <w:rFonts w:cs="Calibri"/>
              </w:rPr>
            </w:pPr>
            <w:r w:rsidRPr="00DD477A">
              <w:rPr>
                <w:rStyle w:val="BodyTextChar"/>
                <w:rFonts w:cs="Calibri"/>
              </w:rPr>
              <w:t>T</w:t>
            </w:r>
            <w:r w:rsidR="53BF0693" w:rsidRPr="00DD477A">
              <w:rPr>
                <w:rStyle w:val="BodyTextChar"/>
                <w:rFonts w:cs="Calibri"/>
              </w:rPr>
              <w:t xml:space="preserve">he following </w:t>
            </w:r>
            <w:r w:rsidR="006B0AE2" w:rsidRPr="00DD477A">
              <w:rPr>
                <w:rStyle w:val="BodyTextChar"/>
                <w:rFonts w:cs="Calibri"/>
              </w:rPr>
              <w:t xml:space="preserve">is required </w:t>
            </w:r>
            <w:r w:rsidR="53BF0693" w:rsidRPr="00DD477A">
              <w:rPr>
                <w:rStyle w:val="BodyTextChar"/>
                <w:rFonts w:cs="Calibri"/>
              </w:rPr>
              <w:t xml:space="preserve">in the </w:t>
            </w:r>
            <w:r w:rsidR="53BF0693" w:rsidRPr="00DD477A">
              <w:rPr>
                <w:rStyle w:val="BodyTextChar"/>
                <w:rFonts w:cs="Calibri"/>
                <w:b/>
                <w:bCs/>
              </w:rPr>
              <w:t xml:space="preserve">PB Statements </w:t>
            </w:r>
            <w:r w:rsidR="004E165E" w:rsidRPr="00DD477A">
              <w:rPr>
                <w:rStyle w:val="BodyTextChar"/>
                <w:rFonts w:cs="Calibri"/>
                <w:b/>
                <w:bCs/>
              </w:rPr>
              <w:t>to</w:t>
            </w:r>
            <w:r w:rsidR="53BF0693" w:rsidRPr="00DD477A">
              <w:rPr>
                <w:rStyle w:val="BodyTextChar"/>
                <w:rFonts w:cs="Calibri"/>
                <w:b/>
                <w:bCs/>
              </w:rPr>
              <w:t xml:space="preserve"> show the net effect of the full/partial reversals, with an explanatory footnote</w:t>
            </w:r>
            <w:r w:rsidR="53BF0693" w:rsidRPr="00DD477A">
              <w:rPr>
                <w:rStyle w:val="BodyTextChar"/>
                <w:rFonts w:cs="Calibri"/>
              </w:rPr>
              <w:t>:</w:t>
            </w:r>
          </w:p>
          <w:tbl>
            <w:tblPr>
              <w:tblW w:w="9053" w:type="dxa"/>
              <w:jc w:val="center"/>
              <w:tblLook w:val="04A0" w:firstRow="1" w:lastRow="0" w:firstColumn="1" w:lastColumn="0" w:noHBand="0" w:noVBand="1"/>
            </w:tblPr>
            <w:tblGrid>
              <w:gridCol w:w="2407"/>
              <w:gridCol w:w="1089"/>
              <w:gridCol w:w="1065"/>
              <w:gridCol w:w="117"/>
              <w:gridCol w:w="948"/>
              <w:gridCol w:w="1122"/>
              <w:gridCol w:w="1122"/>
              <w:gridCol w:w="1183"/>
            </w:tblGrid>
            <w:tr w:rsidR="001B36F7" w:rsidRPr="00DD477A" w14:paraId="202AAB71" w14:textId="77777777" w:rsidTr="00F611EB">
              <w:trPr>
                <w:trHeight w:val="225"/>
                <w:jc w:val="center"/>
              </w:trPr>
              <w:tc>
                <w:tcPr>
                  <w:tcW w:w="4678" w:type="dxa"/>
                  <w:gridSpan w:val="4"/>
                  <w:tcBorders>
                    <w:top w:val="nil"/>
                    <w:left w:val="nil"/>
                    <w:bottom w:val="nil"/>
                    <w:right w:val="nil"/>
                  </w:tcBorders>
                  <w:vAlign w:val="bottom"/>
                </w:tcPr>
                <w:p w14:paraId="5CDF3FC5" w14:textId="0F608125" w:rsidR="001B36F7" w:rsidRPr="00DD477A" w:rsidRDefault="001B36F7" w:rsidP="001B36F7">
                  <w:pPr>
                    <w:pStyle w:val="TableText-SuperSmallBold"/>
                    <w:rPr>
                      <w:rFonts w:cs="Calibri"/>
                    </w:rPr>
                  </w:pPr>
                  <w:r w:rsidRPr="00DD477A">
                    <w:rPr>
                      <w:rFonts w:cs="Calibri"/>
                    </w:rPr>
                    <w:t xml:space="preserve">Table 1.2: Entity </w:t>
                  </w:r>
                  <w:r w:rsidR="00DC026B">
                    <w:rPr>
                      <w:rFonts w:cs="Calibri"/>
                    </w:rPr>
                    <w:t>2026</w:t>
                  </w:r>
                  <w:r w:rsidR="00C917CE">
                    <w:rPr>
                      <w:rFonts w:cs="Calibri"/>
                    </w:rPr>
                    <w:t>–</w:t>
                  </w:r>
                  <w:r w:rsidR="00DC026B">
                    <w:rPr>
                      <w:rFonts w:cs="Calibri"/>
                    </w:rPr>
                    <w:t>27</w:t>
                  </w:r>
                  <w:r w:rsidRPr="00DD477A">
                    <w:rPr>
                      <w:rFonts w:cs="Calibri"/>
                    </w:rPr>
                    <w:t xml:space="preserve"> Budget </w:t>
                  </w:r>
                  <w:r w:rsidR="005A0B7D" w:rsidRPr="00DD477A">
                    <w:rPr>
                      <w:rFonts w:cs="Calibri"/>
                    </w:rPr>
                    <w:t>m</w:t>
                  </w:r>
                  <w:r w:rsidRPr="00DD477A">
                    <w:rPr>
                      <w:rFonts w:cs="Calibri"/>
                    </w:rPr>
                    <w:t>easures</w:t>
                  </w:r>
                </w:p>
              </w:tc>
              <w:tc>
                <w:tcPr>
                  <w:tcW w:w="4375" w:type="dxa"/>
                  <w:gridSpan w:val="4"/>
                  <w:tcBorders>
                    <w:top w:val="nil"/>
                    <w:left w:val="nil"/>
                    <w:bottom w:val="nil"/>
                    <w:right w:val="nil"/>
                  </w:tcBorders>
                  <w:noWrap/>
                  <w:vAlign w:val="bottom"/>
                </w:tcPr>
                <w:p w14:paraId="3962D8F9" w14:textId="74021A79" w:rsidR="001B36F7" w:rsidRPr="00DD477A" w:rsidRDefault="001B36F7" w:rsidP="001B36F7">
                  <w:pPr>
                    <w:pStyle w:val="TableText-SuperSmallBold"/>
                    <w:rPr>
                      <w:rFonts w:cs="Calibri"/>
                    </w:rPr>
                  </w:pPr>
                </w:p>
              </w:tc>
            </w:tr>
            <w:tr w:rsidR="001B36F7" w:rsidRPr="00DD477A" w14:paraId="31628D35" w14:textId="77777777" w:rsidTr="00F611EB">
              <w:trPr>
                <w:trHeight w:val="225"/>
                <w:jc w:val="center"/>
              </w:trPr>
              <w:tc>
                <w:tcPr>
                  <w:tcW w:w="4678" w:type="dxa"/>
                  <w:gridSpan w:val="4"/>
                  <w:tcBorders>
                    <w:top w:val="nil"/>
                    <w:left w:val="nil"/>
                    <w:bottom w:val="nil"/>
                    <w:right w:val="nil"/>
                  </w:tcBorders>
                  <w:vAlign w:val="bottom"/>
                </w:tcPr>
                <w:p w14:paraId="155FF7C8" w14:textId="0447274F" w:rsidR="001B36F7" w:rsidRPr="00DD477A" w:rsidRDefault="00EC7473" w:rsidP="001B36F7">
                  <w:pPr>
                    <w:pStyle w:val="TableText-SuperSmallBold"/>
                    <w:rPr>
                      <w:rFonts w:cs="Calibri"/>
                    </w:rPr>
                  </w:pPr>
                  <w:r w:rsidRPr="00DD477A">
                    <w:rPr>
                      <w:rFonts w:cs="Calibri"/>
                    </w:rPr>
                    <w:t xml:space="preserve">Part 1: </w:t>
                  </w:r>
                  <w:r w:rsidR="001B36F7" w:rsidRPr="00DD477A">
                    <w:rPr>
                      <w:rFonts w:cs="Calibri"/>
                    </w:rPr>
                    <w:t xml:space="preserve">Measures announced since the </w:t>
                  </w:r>
                  <w:r w:rsidR="0095585E">
                    <w:rPr>
                      <w:rFonts w:cs="Calibri"/>
                    </w:rPr>
                    <w:t>2025</w:t>
                  </w:r>
                  <w:r w:rsidR="00C917CE">
                    <w:rPr>
                      <w:rFonts w:cs="Calibri"/>
                    </w:rPr>
                    <w:t>–</w:t>
                  </w:r>
                  <w:r w:rsidR="0095585E">
                    <w:rPr>
                      <w:rFonts w:cs="Calibri"/>
                    </w:rPr>
                    <w:t>26</w:t>
                  </w:r>
                  <w:r w:rsidR="001B36F7" w:rsidRPr="00DD477A">
                    <w:rPr>
                      <w:rFonts w:cs="Calibri"/>
                    </w:rPr>
                    <w:t xml:space="preserve"> Budget </w:t>
                  </w:r>
                </w:p>
              </w:tc>
              <w:tc>
                <w:tcPr>
                  <w:tcW w:w="4375" w:type="dxa"/>
                  <w:gridSpan w:val="4"/>
                  <w:tcBorders>
                    <w:top w:val="nil"/>
                    <w:left w:val="nil"/>
                    <w:bottom w:val="nil"/>
                    <w:right w:val="nil"/>
                  </w:tcBorders>
                  <w:noWrap/>
                  <w:vAlign w:val="bottom"/>
                </w:tcPr>
                <w:p w14:paraId="1FFFBF81" w14:textId="663EB8EE" w:rsidR="001B36F7" w:rsidRPr="00DD477A" w:rsidRDefault="001B36F7" w:rsidP="001B36F7">
                  <w:pPr>
                    <w:pStyle w:val="TableText-SuperSmallBold"/>
                    <w:rPr>
                      <w:rFonts w:cs="Calibri"/>
                    </w:rPr>
                  </w:pPr>
                </w:p>
              </w:tc>
            </w:tr>
            <w:tr w:rsidR="00EC048F" w:rsidRPr="00DD477A" w14:paraId="6855E586" w14:textId="77777777" w:rsidTr="00F611EB">
              <w:trPr>
                <w:trHeight w:val="225"/>
                <w:jc w:val="center"/>
              </w:trPr>
              <w:tc>
                <w:tcPr>
                  <w:tcW w:w="2407" w:type="dxa"/>
                  <w:tcBorders>
                    <w:top w:val="single" w:sz="4" w:space="0" w:color="auto"/>
                    <w:left w:val="nil"/>
                    <w:bottom w:val="nil"/>
                    <w:right w:val="nil"/>
                  </w:tcBorders>
                  <w:noWrap/>
                  <w:vAlign w:val="bottom"/>
                  <w:hideMark/>
                </w:tcPr>
                <w:p w14:paraId="2CCFFFD3" w14:textId="77777777" w:rsidR="00EC048F" w:rsidRPr="00DD477A" w:rsidRDefault="00EC048F" w:rsidP="00EC048F">
                  <w:pPr>
                    <w:pStyle w:val="TableText-SuperSmallBold"/>
                    <w:rPr>
                      <w:rFonts w:cs="Calibri"/>
                    </w:rPr>
                  </w:pPr>
                  <w:r w:rsidRPr="00DD477A">
                    <w:rPr>
                      <w:rFonts w:cs="Calibri"/>
                    </w:rPr>
                    <w:t> </w:t>
                  </w:r>
                </w:p>
              </w:tc>
              <w:tc>
                <w:tcPr>
                  <w:tcW w:w="1089" w:type="dxa"/>
                  <w:tcBorders>
                    <w:top w:val="single" w:sz="4" w:space="0" w:color="auto"/>
                    <w:left w:val="nil"/>
                    <w:bottom w:val="nil"/>
                    <w:right w:val="nil"/>
                  </w:tcBorders>
                  <w:noWrap/>
                  <w:vAlign w:val="bottom"/>
                  <w:hideMark/>
                </w:tcPr>
                <w:p w14:paraId="429605C3" w14:textId="77777777" w:rsidR="00EC048F" w:rsidRPr="00DD477A" w:rsidRDefault="00EC048F" w:rsidP="00EC048F">
                  <w:pPr>
                    <w:pStyle w:val="TableText-SuperSmallBold"/>
                    <w:rPr>
                      <w:rFonts w:cs="Calibri"/>
                    </w:rPr>
                  </w:pPr>
                  <w:r w:rsidRPr="00DD477A">
                    <w:rPr>
                      <w:rFonts w:cs="Calibri"/>
                    </w:rPr>
                    <w:t>Program</w:t>
                  </w:r>
                </w:p>
              </w:tc>
              <w:tc>
                <w:tcPr>
                  <w:tcW w:w="1065" w:type="dxa"/>
                  <w:tcBorders>
                    <w:top w:val="single" w:sz="4" w:space="0" w:color="auto"/>
                    <w:left w:val="nil"/>
                    <w:bottom w:val="nil"/>
                    <w:right w:val="nil"/>
                  </w:tcBorders>
                  <w:shd w:val="clear" w:color="auto" w:fill="E6E6E6"/>
                  <w:vAlign w:val="bottom"/>
                </w:tcPr>
                <w:p w14:paraId="6B391B77" w14:textId="38BBC463" w:rsidR="00EC048F" w:rsidRPr="00DD477A" w:rsidDel="00B11749" w:rsidRDefault="0095585E" w:rsidP="00EC048F">
                  <w:pPr>
                    <w:pStyle w:val="TableText-SuperSmallBold"/>
                    <w:jc w:val="center"/>
                    <w:rPr>
                      <w:rFonts w:cs="Calibri"/>
                    </w:rPr>
                  </w:pPr>
                  <w:r>
                    <w:rPr>
                      <w:rFonts w:cs="Calibri"/>
                    </w:rPr>
                    <w:t>2025</w:t>
                  </w:r>
                  <w:r w:rsidR="00C917CE">
                    <w:rPr>
                      <w:rFonts w:cs="Calibri"/>
                    </w:rPr>
                    <w:t>–</w:t>
                  </w:r>
                  <w:r>
                    <w:rPr>
                      <w:rFonts w:cs="Calibri"/>
                    </w:rPr>
                    <w:t>26</w:t>
                  </w:r>
                </w:p>
              </w:tc>
              <w:tc>
                <w:tcPr>
                  <w:tcW w:w="1065" w:type="dxa"/>
                  <w:gridSpan w:val="2"/>
                  <w:tcBorders>
                    <w:top w:val="single" w:sz="4" w:space="0" w:color="auto"/>
                    <w:left w:val="nil"/>
                    <w:bottom w:val="nil"/>
                    <w:right w:val="nil"/>
                  </w:tcBorders>
                  <w:shd w:val="clear" w:color="auto" w:fill="FFFFFF" w:themeFill="background1"/>
                  <w:noWrap/>
                  <w:vAlign w:val="bottom"/>
                  <w:hideMark/>
                </w:tcPr>
                <w:p w14:paraId="1067E7F4" w14:textId="1669D6C5" w:rsidR="00EC048F" w:rsidRPr="00DD477A" w:rsidRDefault="00DC026B" w:rsidP="00EC048F">
                  <w:pPr>
                    <w:pStyle w:val="TableText-SuperSmallBold"/>
                    <w:jc w:val="center"/>
                    <w:rPr>
                      <w:rFonts w:cs="Calibri"/>
                    </w:rPr>
                  </w:pPr>
                  <w:r>
                    <w:rPr>
                      <w:rFonts w:cs="Calibri"/>
                    </w:rPr>
                    <w:t>2026</w:t>
                  </w:r>
                  <w:r w:rsidR="00C917CE">
                    <w:rPr>
                      <w:rFonts w:cs="Calibri"/>
                    </w:rPr>
                    <w:t>–</w:t>
                  </w:r>
                  <w:r>
                    <w:rPr>
                      <w:rFonts w:cs="Calibri"/>
                    </w:rPr>
                    <w:t>27</w:t>
                  </w:r>
                </w:p>
              </w:tc>
              <w:tc>
                <w:tcPr>
                  <w:tcW w:w="1122" w:type="dxa"/>
                  <w:tcBorders>
                    <w:top w:val="single" w:sz="4" w:space="0" w:color="auto"/>
                    <w:left w:val="nil"/>
                    <w:bottom w:val="nil"/>
                    <w:right w:val="nil"/>
                  </w:tcBorders>
                  <w:shd w:val="clear" w:color="auto" w:fill="E6E6E6"/>
                  <w:noWrap/>
                  <w:vAlign w:val="bottom"/>
                  <w:hideMark/>
                </w:tcPr>
                <w:p w14:paraId="7D3A3482" w14:textId="7560FE02" w:rsidR="00EC048F" w:rsidRPr="00DD477A" w:rsidRDefault="00B5347E" w:rsidP="00EC048F">
                  <w:pPr>
                    <w:pStyle w:val="TableText-SuperSmallBold"/>
                    <w:jc w:val="center"/>
                    <w:rPr>
                      <w:rFonts w:cs="Calibri"/>
                    </w:rPr>
                  </w:pPr>
                  <w:r>
                    <w:rPr>
                      <w:rFonts w:cs="Calibri"/>
                    </w:rPr>
                    <w:t>2027</w:t>
                  </w:r>
                  <w:r w:rsidR="00C917CE">
                    <w:rPr>
                      <w:rFonts w:cs="Calibri"/>
                    </w:rPr>
                    <w:t>–</w:t>
                  </w:r>
                  <w:r>
                    <w:rPr>
                      <w:rFonts w:cs="Calibri"/>
                    </w:rPr>
                    <w:t>28</w:t>
                  </w:r>
                </w:p>
              </w:tc>
              <w:tc>
                <w:tcPr>
                  <w:tcW w:w="1122" w:type="dxa"/>
                  <w:tcBorders>
                    <w:top w:val="single" w:sz="4" w:space="0" w:color="auto"/>
                    <w:left w:val="nil"/>
                    <w:bottom w:val="nil"/>
                    <w:right w:val="nil"/>
                  </w:tcBorders>
                  <w:shd w:val="clear" w:color="auto" w:fill="FFFFFF" w:themeFill="background1"/>
                  <w:noWrap/>
                  <w:vAlign w:val="bottom"/>
                  <w:hideMark/>
                </w:tcPr>
                <w:p w14:paraId="3CFD5A42" w14:textId="24FD86A5" w:rsidR="00EC048F" w:rsidRPr="00DD477A" w:rsidRDefault="00B5347E" w:rsidP="00EC048F">
                  <w:pPr>
                    <w:pStyle w:val="TableText-SuperSmallBold"/>
                    <w:jc w:val="center"/>
                    <w:rPr>
                      <w:rFonts w:cs="Calibri"/>
                    </w:rPr>
                  </w:pPr>
                  <w:r>
                    <w:rPr>
                      <w:rFonts w:cs="Calibri"/>
                    </w:rPr>
                    <w:t>2028</w:t>
                  </w:r>
                  <w:r w:rsidR="00C917CE">
                    <w:rPr>
                      <w:rFonts w:cs="Calibri"/>
                    </w:rPr>
                    <w:t>–</w:t>
                  </w:r>
                  <w:r>
                    <w:rPr>
                      <w:rFonts w:cs="Calibri"/>
                    </w:rPr>
                    <w:t>29</w:t>
                  </w:r>
                </w:p>
              </w:tc>
              <w:tc>
                <w:tcPr>
                  <w:tcW w:w="1183" w:type="dxa"/>
                  <w:tcBorders>
                    <w:top w:val="single" w:sz="4" w:space="0" w:color="auto"/>
                    <w:left w:val="nil"/>
                    <w:bottom w:val="nil"/>
                    <w:right w:val="nil"/>
                  </w:tcBorders>
                  <w:shd w:val="clear" w:color="auto" w:fill="E6E6E6"/>
                  <w:noWrap/>
                  <w:vAlign w:val="bottom"/>
                  <w:hideMark/>
                </w:tcPr>
                <w:p w14:paraId="5E7C79B4" w14:textId="42795CB1" w:rsidR="00EC048F" w:rsidRPr="00DD477A" w:rsidRDefault="00B5347E" w:rsidP="00EC048F">
                  <w:pPr>
                    <w:pStyle w:val="TableText-SuperSmallBold"/>
                    <w:jc w:val="center"/>
                    <w:rPr>
                      <w:rFonts w:cs="Calibri"/>
                    </w:rPr>
                  </w:pPr>
                  <w:r>
                    <w:rPr>
                      <w:rFonts w:cs="Calibri"/>
                    </w:rPr>
                    <w:t>2029</w:t>
                  </w:r>
                  <w:r w:rsidR="00C917CE">
                    <w:rPr>
                      <w:rFonts w:cs="Calibri"/>
                    </w:rPr>
                    <w:t>–</w:t>
                  </w:r>
                  <w:r>
                    <w:rPr>
                      <w:rFonts w:cs="Calibri"/>
                    </w:rPr>
                    <w:t>30</w:t>
                  </w:r>
                </w:p>
              </w:tc>
            </w:tr>
            <w:tr w:rsidR="001B36F7" w:rsidRPr="00DD477A" w14:paraId="1734EC2F" w14:textId="77777777" w:rsidTr="00F611EB">
              <w:trPr>
                <w:trHeight w:val="225"/>
                <w:jc w:val="center"/>
              </w:trPr>
              <w:tc>
                <w:tcPr>
                  <w:tcW w:w="2407" w:type="dxa"/>
                  <w:tcBorders>
                    <w:top w:val="nil"/>
                    <w:left w:val="nil"/>
                    <w:bottom w:val="nil"/>
                    <w:right w:val="nil"/>
                  </w:tcBorders>
                  <w:noWrap/>
                  <w:vAlign w:val="bottom"/>
                  <w:hideMark/>
                </w:tcPr>
                <w:p w14:paraId="42533E8A" w14:textId="77777777" w:rsidR="001B36F7" w:rsidRPr="00DD477A" w:rsidRDefault="001B36F7" w:rsidP="001B36F7">
                  <w:pPr>
                    <w:pStyle w:val="TableText-SuperSmallBold"/>
                    <w:rPr>
                      <w:rFonts w:cs="Calibri"/>
                    </w:rPr>
                  </w:pPr>
                </w:p>
              </w:tc>
              <w:tc>
                <w:tcPr>
                  <w:tcW w:w="1089" w:type="dxa"/>
                  <w:tcBorders>
                    <w:top w:val="nil"/>
                    <w:left w:val="nil"/>
                    <w:bottom w:val="single" w:sz="4" w:space="0" w:color="auto"/>
                    <w:right w:val="nil"/>
                  </w:tcBorders>
                  <w:noWrap/>
                  <w:vAlign w:val="bottom"/>
                  <w:hideMark/>
                </w:tcPr>
                <w:p w14:paraId="0E930D73" w14:textId="77777777" w:rsidR="001B36F7" w:rsidRPr="00DD477A" w:rsidRDefault="001B36F7" w:rsidP="001B36F7">
                  <w:pPr>
                    <w:pStyle w:val="TableText-SuperSmallBold"/>
                    <w:rPr>
                      <w:rFonts w:cs="Calibri"/>
                    </w:rPr>
                  </w:pPr>
                  <w:r w:rsidRPr="00DD477A">
                    <w:rPr>
                      <w:rFonts w:cs="Calibri"/>
                    </w:rPr>
                    <w:t> </w:t>
                  </w:r>
                </w:p>
              </w:tc>
              <w:tc>
                <w:tcPr>
                  <w:tcW w:w="1065" w:type="dxa"/>
                  <w:tcBorders>
                    <w:top w:val="nil"/>
                    <w:left w:val="nil"/>
                    <w:bottom w:val="single" w:sz="4" w:space="0" w:color="auto"/>
                    <w:right w:val="nil"/>
                  </w:tcBorders>
                  <w:shd w:val="clear" w:color="auto" w:fill="E6E6E6"/>
                  <w:vAlign w:val="bottom"/>
                </w:tcPr>
                <w:p w14:paraId="64F0CC52" w14:textId="5A09EDA6" w:rsidR="001B36F7" w:rsidRPr="00DD477A" w:rsidRDefault="001B36F7" w:rsidP="001B36F7">
                  <w:pPr>
                    <w:pStyle w:val="TableText-SuperSmallBold"/>
                    <w:jc w:val="center"/>
                    <w:rPr>
                      <w:rFonts w:cs="Calibri"/>
                    </w:rPr>
                  </w:pPr>
                  <w:r w:rsidRPr="00DD477A">
                    <w:rPr>
                      <w:rFonts w:cs="Calibri"/>
                    </w:rPr>
                    <w:t>$'000</w:t>
                  </w:r>
                </w:p>
              </w:tc>
              <w:tc>
                <w:tcPr>
                  <w:tcW w:w="1065" w:type="dxa"/>
                  <w:gridSpan w:val="2"/>
                  <w:tcBorders>
                    <w:top w:val="nil"/>
                    <w:left w:val="nil"/>
                    <w:bottom w:val="single" w:sz="4" w:space="0" w:color="auto"/>
                    <w:right w:val="nil"/>
                  </w:tcBorders>
                  <w:shd w:val="clear" w:color="auto" w:fill="FFFFFF" w:themeFill="background1"/>
                  <w:noWrap/>
                  <w:vAlign w:val="bottom"/>
                  <w:hideMark/>
                </w:tcPr>
                <w:p w14:paraId="3A77BC09" w14:textId="324A3C1C" w:rsidR="001B36F7" w:rsidRPr="00DD477A" w:rsidRDefault="001B36F7" w:rsidP="001B36F7">
                  <w:pPr>
                    <w:pStyle w:val="TableText-SuperSmallBold"/>
                    <w:jc w:val="center"/>
                    <w:rPr>
                      <w:rFonts w:cs="Calibri"/>
                    </w:rPr>
                  </w:pPr>
                  <w:r w:rsidRPr="00DD477A">
                    <w:rPr>
                      <w:rFonts w:cs="Calibri"/>
                    </w:rPr>
                    <w:t>$'000</w:t>
                  </w:r>
                </w:p>
              </w:tc>
              <w:tc>
                <w:tcPr>
                  <w:tcW w:w="1122" w:type="dxa"/>
                  <w:tcBorders>
                    <w:top w:val="nil"/>
                    <w:left w:val="nil"/>
                    <w:bottom w:val="single" w:sz="4" w:space="0" w:color="auto"/>
                    <w:right w:val="nil"/>
                  </w:tcBorders>
                  <w:shd w:val="clear" w:color="auto" w:fill="E6E6E6"/>
                  <w:noWrap/>
                  <w:vAlign w:val="bottom"/>
                  <w:hideMark/>
                </w:tcPr>
                <w:p w14:paraId="1E757525" w14:textId="77777777" w:rsidR="001B36F7" w:rsidRPr="00DD477A" w:rsidRDefault="001B36F7" w:rsidP="001B36F7">
                  <w:pPr>
                    <w:pStyle w:val="TableText-SuperSmallBold"/>
                    <w:jc w:val="center"/>
                    <w:rPr>
                      <w:rFonts w:cs="Calibri"/>
                    </w:rPr>
                  </w:pPr>
                  <w:r w:rsidRPr="00DD477A">
                    <w:rPr>
                      <w:rFonts w:cs="Calibri"/>
                    </w:rPr>
                    <w:t>$'000</w:t>
                  </w:r>
                </w:p>
              </w:tc>
              <w:tc>
                <w:tcPr>
                  <w:tcW w:w="1122" w:type="dxa"/>
                  <w:tcBorders>
                    <w:top w:val="nil"/>
                    <w:left w:val="nil"/>
                    <w:bottom w:val="single" w:sz="4" w:space="0" w:color="auto"/>
                    <w:right w:val="nil"/>
                  </w:tcBorders>
                  <w:shd w:val="clear" w:color="auto" w:fill="FFFFFF" w:themeFill="background1"/>
                  <w:noWrap/>
                  <w:vAlign w:val="bottom"/>
                  <w:hideMark/>
                </w:tcPr>
                <w:p w14:paraId="1B1BD80C" w14:textId="77777777" w:rsidR="001B36F7" w:rsidRPr="00DD477A" w:rsidRDefault="001B36F7" w:rsidP="001B36F7">
                  <w:pPr>
                    <w:pStyle w:val="TableText-SuperSmallBold"/>
                    <w:jc w:val="center"/>
                    <w:rPr>
                      <w:rFonts w:cs="Calibri"/>
                    </w:rPr>
                  </w:pPr>
                  <w:r w:rsidRPr="00DD477A">
                    <w:rPr>
                      <w:rFonts w:cs="Calibri"/>
                    </w:rPr>
                    <w:t>$'000</w:t>
                  </w:r>
                </w:p>
              </w:tc>
              <w:tc>
                <w:tcPr>
                  <w:tcW w:w="1183" w:type="dxa"/>
                  <w:tcBorders>
                    <w:top w:val="nil"/>
                    <w:left w:val="nil"/>
                    <w:bottom w:val="single" w:sz="4" w:space="0" w:color="auto"/>
                    <w:right w:val="nil"/>
                  </w:tcBorders>
                  <w:shd w:val="clear" w:color="auto" w:fill="E6E6E6"/>
                  <w:noWrap/>
                  <w:vAlign w:val="bottom"/>
                  <w:hideMark/>
                </w:tcPr>
                <w:p w14:paraId="163C0267" w14:textId="77777777" w:rsidR="001B36F7" w:rsidRPr="00DD477A" w:rsidRDefault="001B36F7" w:rsidP="001B36F7">
                  <w:pPr>
                    <w:pStyle w:val="TableText-SuperSmallBold"/>
                    <w:jc w:val="center"/>
                    <w:rPr>
                      <w:rFonts w:cs="Calibri"/>
                    </w:rPr>
                  </w:pPr>
                  <w:r w:rsidRPr="00DD477A">
                    <w:rPr>
                      <w:rFonts w:cs="Calibri"/>
                    </w:rPr>
                    <w:t>$'000</w:t>
                  </w:r>
                </w:p>
              </w:tc>
            </w:tr>
            <w:tr w:rsidR="001B36F7" w:rsidRPr="00DD477A" w14:paraId="016EC382" w14:textId="77777777" w:rsidTr="00F611EB">
              <w:trPr>
                <w:trHeight w:val="225"/>
                <w:jc w:val="center"/>
              </w:trPr>
              <w:tc>
                <w:tcPr>
                  <w:tcW w:w="2407" w:type="dxa"/>
                  <w:tcBorders>
                    <w:top w:val="nil"/>
                    <w:left w:val="nil"/>
                    <w:bottom w:val="nil"/>
                    <w:right w:val="nil"/>
                  </w:tcBorders>
                  <w:noWrap/>
                  <w:vAlign w:val="bottom"/>
                  <w:hideMark/>
                </w:tcPr>
                <w:p w14:paraId="6455747B" w14:textId="77777777" w:rsidR="001B36F7" w:rsidRPr="00DD477A" w:rsidRDefault="001B36F7" w:rsidP="001B36F7">
                  <w:pPr>
                    <w:pStyle w:val="TableText-SuperSmallBold"/>
                    <w:rPr>
                      <w:rFonts w:cs="Calibri"/>
                    </w:rPr>
                  </w:pPr>
                  <w:r w:rsidRPr="00DD477A">
                    <w:rPr>
                      <w:rFonts w:cs="Calibri"/>
                    </w:rPr>
                    <w:t>Payment measures</w:t>
                  </w:r>
                </w:p>
              </w:tc>
              <w:tc>
                <w:tcPr>
                  <w:tcW w:w="1089" w:type="dxa"/>
                  <w:tcBorders>
                    <w:top w:val="nil"/>
                    <w:left w:val="nil"/>
                    <w:bottom w:val="nil"/>
                    <w:right w:val="nil"/>
                  </w:tcBorders>
                  <w:noWrap/>
                  <w:vAlign w:val="bottom"/>
                  <w:hideMark/>
                </w:tcPr>
                <w:p w14:paraId="3D626F5F" w14:textId="77777777" w:rsidR="001B36F7" w:rsidRPr="00DD477A" w:rsidRDefault="001B36F7" w:rsidP="001B36F7">
                  <w:pPr>
                    <w:pStyle w:val="TableText-SuperSmallBold"/>
                    <w:rPr>
                      <w:rFonts w:cs="Calibri"/>
                    </w:rPr>
                  </w:pPr>
                </w:p>
              </w:tc>
              <w:tc>
                <w:tcPr>
                  <w:tcW w:w="1065" w:type="dxa"/>
                  <w:tcBorders>
                    <w:top w:val="nil"/>
                    <w:left w:val="nil"/>
                    <w:bottom w:val="nil"/>
                    <w:right w:val="nil"/>
                  </w:tcBorders>
                  <w:shd w:val="clear" w:color="auto" w:fill="E6E6E6"/>
                  <w:vAlign w:val="bottom"/>
                </w:tcPr>
                <w:p w14:paraId="2FBAA096" w14:textId="15E251ED" w:rsidR="001B36F7" w:rsidRPr="00DD477A"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04575D71" w14:textId="239BEC07"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26A867EF" w14:textId="77777777"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25A7F1ED" w14:textId="77777777" w:rsidR="001B36F7" w:rsidRPr="00DD477A"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36F8CA1E" w14:textId="77777777" w:rsidR="001B36F7" w:rsidRPr="00DD477A" w:rsidRDefault="001B36F7" w:rsidP="001B36F7">
                  <w:pPr>
                    <w:pStyle w:val="TableText-SuperSmallBold"/>
                    <w:jc w:val="center"/>
                    <w:rPr>
                      <w:rFonts w:cs="Calibri"/>
                    </w:rPr>
                  </w:pPr>
                </w:p>
              </w:tc>
            </w:tr>
            <w:tr w:rsidR="001B36F7" w:rsidRPr="00DD477A" w14:paraId="0EC26CFE" w14:textId="77777777" w:rsidTr="00F611EB">
              <w:trPr>
                <w:trHeight w:val="225"/>
                <w:jc w:val="center"/>
              </w:trPr>
              <w:tc>
                <w:tcPr>
                  <w:tcW w:w="2407" w:type="dxa"/>
                  <w:tcBorders>
                    <w:top w:val="nil"/>
                    <w:left w:val="nil"/>
                    <w:bottom w:val="nil"/>
                    <w:right w:val="nil"/>
                  </w:tcBorders>
                  <w:noWrap/>
                  <w:vAlign w:val="bottom"/>
                  <w:hideMark/>
                </w:tcPr>
                <w:p w14:paraId="114F0734" w14:textId="77777777" w:rsidR="001B36F7" w:rsidRPr="00DD477A" w:rsidRDefault="001B36F7" w:rsidP="001B36F7">
                  <w:pPr>
                    <w:pStyle w:val="TableText-SuperSmallBold"/>
                    <w:rPr>
                      <w:rFonts w:cs="Calibri"/>
                    </w:rPr>
                  </w:pPr>
                  <w:r w:rsidRPr="00DD477A">
                    <w:rPr>
                      <w:rFonts w:cs="Calibri"/>
                    </w:rPr>
                    <w:t>X Measure (a)</w:t>
                  </w:r>
                </w:p>
              </w:tc>
              <w:tc>
                <w:tcPr>
                  <w:tcW w:w="1089" w:type="dxa"/>
                  <w:tcBorders>
                    <w:top w:val="nil"/>
                    <w:left w:val="nil"/>
                    <w:bottom w:val="nil"/>
                    <w:right w:val="nil"/>
                  </w:tcBorders>
                  <w:noWrap/>
                  <w:vAlign w:val="bottom"/>
                  <w:hideMark/>
                </w:tcPr>
                <w:p w14:paraId="1FD4197B" w14:textId="77777777" w:rsidR="001B36F7" w:rsidRPr="00DD477A" w:rsidRDefault="001B36F7" w:rsidP="001B36F7">
                  <w:pPr>
                    <w:pStyle w:val="TableText-SuperSmallBold"/>
                    <w:jc w:val="center"/>
                    <w:rPr>
                      <w:rFonts w:cs="Calibri"/>
                    </w:rPr>
                  </w:pPr>
                  <w:r w:rsidRPr="00DD477A">
                    <w:rPr>
                      <w:rFonts w:cs="Calibri"/>
                    </w:rPr>
                    <w:t>1.1</w:t>
                  </w:r>
                </w:p>
              </w:tc>
              <w:tc>
                <w:tcPr>
                  <w:tcW w:w="1065" w:type="dxa"/>
                  <w:tcBorders>
                    <w:top w:val="nil"/>
                    <w:left w:val="nil"/>
                    <w:bottom w:val="nil"/>
                    <w:right w:val="nil"/>
                  </w:tcBorders>
                  <w:shd w:val="clear" w:color="auto" w:fill="E6E6E6"/>
                  <w:vAlign w:val="bottom"/>
                </w:tcPr>
                <w:p w14:paraId="3D341DDA" w14:textId="73D33E9F" w:rsidR="001B36F7" w:rsidRPr="00DD477A"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26E23C85" w14:textId="334D72A6"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50387852" w14:textId="77777777"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216CB440" w14:textId="77777777" w:rsidR="001B36F7" w:rsidRPr="00DD477A"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624BBDEF" w14:textId="77777777" w:rsidR="001B36F7" w:rsidRPr="00DD477A" w:rsidRDefault="001B36F7" w:rsidP="001B36F7">
                  <w:pPr>
                    <w:pStyle w:val="TableText-SuperSmallBold"/>
                    <w:jc w:val="center"/>
                    <w:rPr>
                      <w:rFonts w:cs="Calibri"/>
                    </w:rPr>
                  </w:pPr>
                </w:p>
              </w:tc>
            </w:tr>
            <w:tr w:rsidR="001B36F7" w:rsidRPr="00DD477A" w14:paraId="3164D05C" w14:textId="77777777" w:rsidTr="00F611EB">
              <w:trPr>
                <w:trHeight w:val="225"/>
                <w:jc w:val="center"/>
              </w:trPr>
              <w:tc>
                <w:tcPr>
                  <w:tcW w:w="2407" w:type="dxa"/>
                  <w:tcBorders>
                    <w:top w:val="nil"/>
                    <w:left w:val="nil"/>
                    <w:bottom w:val="nil"/>
                    <w:right w:val="nil"/>
                  </w:tcBorders>
                  <w:noWrap/>
                  <w:vAlign w:val="bottom"/>
                  <w:hideMark/>
                </w:tcPr>
                <w:p w14:paraId="53DC06B7" w14:textId="77777777" w:rsidR="001B36F7" w:rsidRPr="00DD477A" w:rsidRDefault="001B36F7" w:rsidP="001B36F7">
                  <w:pPr>
                    <w:pStyle w:val="TableText-SuperSmallBold"/>
                    <w:rPr>
                      <w:rFonts w:cs="Calibri"/>
                    </w:rPr>
                  </w:pPr>
                  <w:r w:rsidRPr="00DD477A">
                    <w:rPr>
                      <w:rFonts w:cs="Calibri"/>
                    </w:rPr>
                    <w:t>Administered payment</w:t>
                  </w:r>
                </w:p>
              </w:tc>
              <w:tc>
                <w:tcPr>
                  <w:tcW w:w="1089" w:type="dxa"/>
                  <w:tcBorders>
                    <w:top w:val="nil"/>
                    <w:left w:val="nil"/>
                    <w:bottom w:val="nil"/>
                    <w:right w:val="nil"/>
                  </w:tcBorders>
                  <w:noWrap/>
                  <w:vAlign w:val="bottom"/>
                  <w:hideMark/>
                </w:tcPr>
                <w:p w14:paraId="3AFA8E65" w14:textId="77777777" w:rsidR="001B36F7" w:rsidRPr="00DD477A"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74CA08E8" w14:textId="08F0322B" w:rsidR="001B36F7" w:rsidRPr="00DD477A" w:rsidRDefault="001B36F7" w:rsidP="001B36F7">
                  <w:pPr>
                    <w:pStyle w:val="TableText-SuperSmallBold"/>
                    <w:jc w:val="center"/>
                    <w:rPr>
                      <w:rFonts w:cs="Calibri"/>
                    </w:rPr>
                  </w:pPr>
                  <w:r w:rsidRPr="00DD477A">
                    <w:rPr>
                      <w:rFonts w:cs="Calibri"/>
                    </w:rPr>
                    <w:t>1,000</w:t>
                  </w:r>
                </w:p>
              </w:tc>
              <w:tc>
                <w:tcPr>
                  <w:tcW w:w="1065" w:type="dxa"/>
                  <w:gridSpan w:val="2"/>
                  <w:tcBorders>
                    <w:top w:val="nil"/>
                    <w:left w:val="nil"/>
                    <w:bottom w:val="nil"/>
                    <w:right w:val="nil"/>
                  </w:tcBorders>
                  <w:shd w:val="clear" w:color="auto" w:fill="FFFFFF" w:themeFill="background1"/>
                  <w:noWrap/>
                  <w:vAlign w:val="bottom"/>
                  <w:hideMark/>
                </w:tcPr>
                <w:p w14:paraId="39359275" w14:textId="35E3874B" w:rsidR="001B36F7" w:rsidRPr="00DD477A" w:rsidRDefault="001B36F7" w:rsidP="001B36F7">
                  <w:pPr>
                    <w:pStyle w:val="TableText-SuperSmallBold"/>
                    <w:jc w:val="center"/>
                    <w:rPr>
                      <w:rFonts w:cs="Calibri"/>
                    </w:rPr>
                  </w:pPr>
                  <w:r w:rsidRPr="00DD477A">
                    <w:rPr>
                      <w:rFonts w:cs="Calibri"/>
                    </w:rPr>
                    <w:t>2,000</w:t>
                  </w:r>
                </w:p>
              </w:tc>
              <w:tc>
                <w:tcPr>
                  <w:tcW w:w="1122" w:type="dxa"/>
                  <w:tcBorders>
                    <w:top w:val="nil"/>
                    <w:left w:val="nil"/>
                    <w:bottom w:val="nil"/>
                    <w:right w:val="nil"/>
                  </w:tcBorders>
                  <w:shd w:val="clear" w:color="auto" w:fill="E6E6E6"/>
                  <w:noWrap/>
                  <w:vAlign w:val="bottom"/>
                  <w:hideMark/>
                </w:tcPr>
                <w:p w14:paraId="57405D35" w14:textId="77777777" w:rsidR="001B36F7" w:rsidRPr="00DD477A" w:rsidRDefault="001B36F7" w:rsidP="001B36F7">
                  <w:pPr>
                    <w:pStyle w:val="TableText-SuperSmallBold"/>
                    <w:jc w:val="center"/>
                    <w:rPr>
                      <w:rFonts w:cs="Calibri"/>
                    </w:rPr>
                  </w:pPr>
                  <w:r w:rsidRPr="00DD477A">
                    <w:rPr>
                      <w:rFonts w:cs="Calibri"/>
                    </w:rPr>
                    <w:t>3,000</w:t>
                  </w:r>
                </w:p>
              </w:tc>
              <w:tc>
                <w:tcPr>
                  <w:tcW w:w="1122" w:type="dxa"/>
                  <w:tcBorders>
                    <w:top w:val="nil"/>
                    <w:left w:val="nil"/>
                    <w:bottom w:val="nil"/>
                    <w:right w:val="nil"/>
                  </w:tcBorders>
                  <w:shd w:val="clear" w:color="auto" w:fill="FFFFFF" w:themeFill="background1"/>
                  <w:noWrap/>
                  <w:vAlign w:val="bottom"/>
                  <w:hideMark/>
                </w:tcPr>
                <w:p w14:paraId="5B4497C3" w14:textId="77777777" w:rsidR="001B36F7" w:rsidRPr="00DD477A" w:rsidRDefault="001B36F7" w:rsidP="001B36F7">
                  <w:pPr>
                    <w:pStyle w:val="TableText-SuperSmallBold"/>
                    <w:jc w:val="center"/>
                    <w:rPr>
                      <w:rFonts w:cs="Calibri"/>
                    </w:rPr>
                  </w:pPr>
                  <w:r w:rsidRPr="00DD477A">
                    <w:rPr>
                      <w:rFonts w:cs="Calibri"/>
                    </w:rPr>
                    <w:t>4,000</w:t>
                  </w:r>
                </w:p>
              </w:tc>
              <w:tc>
                <w:tcPr>
                  <w:tcW w:w="1183" w:type="dxa"/>
                  <w:tcBorders>
                    <w:top w:val="nil"/>
                    <w:left w:val="nil"/>
                    <w:bottom w:val="nil"/>
                    <w:right w:val="nil"/>
                  </w:tcBorders>
                  <w:shd w:val="clear" w:color="auto" w:fill="E6E6E6"/>
                  <w:noWrap/>
                  <w:vAlign w:val="bottom"/>
                  <w:hideMark/>
                </w:tcPr>
                <w:p w14:paraId="717F080D" w14:textId="77777777" w:rsidR="001B36F7" w:rsidRPr="00DD477A" w:rsidRDefault="001B36F7" w:rsidP="001B36F7">
                  <w:pPr>
                    <w:pStyle w:val="TableText-SuperSmallBold"/>
                    <w:jc w:val="center"/>
                    <w:rPr>
                      <w:rFonts w:cs="Calibri"/>
                    </w:rPr>
                  </w:pPr>
                  <w:r w:rsidRPr="00DD477A">
                    <w:rPr>
                      <w:rFonts w:cs="Calibri"/>
                    </w:rPr>
                    <w:t>5,000</w:t>
                  </w:r>
                </w:p>
              </w:tc>
            </w:tr>
            <w:tr w:rsidR="001B36F7" w:rsidRPr="00DD477A" w14:paraId="10CF67DF" w14:textId="77777777" w:rsidTr="00F611EB">
              <w:trPr>
                <w:trHeight w:val="225"/>
                <w:jc w:val="center"/>
              </w:trPr>
              <w:tc>
                <w:tcPr>
                  <w:tcW w:w="2407" w:type="dxa"/>
                  <w:tcBorders>
                    <w:top w:val="nil"/>
                    <w:left w:val="nil"/>
                    <w:bottom w:val="nil"/>
                    <w:right w:val="nil"/>
                  </w:tcBorders>
                  <w:noWrap/>
                  <w:vAlign w:val="bottom"/>
                  <w:hideMark/>
                </w:tcPr>
                <w:p w14:paraId="039A3A29" w14:textId="77777777" w:rsidR="001B36F7" w:rsidRPr="00DD477A" w:rsidRDefault="001B36F7" w:rsidP="001B36F7">
                  <w:pPr>
                    <w:pStyle w:val="TableText-SuperSmallBold"/>
                    <w:rPr>
                      <w:rFonts w:cs="Calibri"/>
                    </w:rPr>
                  </w:pPr>
                  <w:r w:rsidRPr="00DD477A">
                    <w:rPr>
                      <w:rFonts w:cs="Calibri"/>
                    </w:rPr>
                    <w:t xml:space="preserve">Total </w:t>
                  </w:r>
                </w:p>
              </w:tc>
              <w:tc>
                <w:tcPr>
                  <w:tcW w:w="1089" w:type="dxa"/>
                  <w:tcBorders>
                    <w:top w:val="nil"/>
                    <w:left w:val="nil"/>
                    <w:bottom w:val="nil"/>
                    <w:right w:val="nil"/>
                  </w:tcBorders>
                  <w:noWrap/>
                  <w:vAlign w:val="bottom"/>
                  <w:hideMark/>
                </w:tcPr>
                <w:p w14:paraId="4EB5D71D" w14:textId="77777777" w:rsidR="001B36F7" w:rsidRPr="00DD477A"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54432475" w14:textId="595F3254" w:rsidR="001B36F7" w:rsidRPr="00DD477A" w:rsidRDefault="001B36F7" w:rsidP="001B36F7">
                  <w:pPr>
                    <w:pStyle w:val="TableText-SuperSmallBold"/>
                    <w:jc w:val="center"/>
                    <w:rPr>
                      <w:rFonts w:cs="Calibri"/>
                    </w:rPr>
                  </w:pPr>
                  <w:r w:rsidRPr="00DD477A">
                    <w:rPr>
                      <w:rFonts w:cs="Calibri"/>
                    </w:rPr>
                    <w:t>1,000</w:t>
                  </w:r>
                </w:p>
              </w:tc>
              <w:tc>
                <w:tcPr>
                  <w:tcW w:w="1065" w:type="dxa"/>
                  <w:gridSpan w:val="2"/>
                  <w:tcBorders>
                    <w:top w:val="nil"/>
                    <w:left w:val="nil"/>
                    <w:bottom w:val="nil"/>
                    <w:right w:val="nil"/>
                  </w:tcBorders>
                  <w:shd w:val="clear" w:color="auto" w:fill="FFFFFF" w:themeFill="background1"/>
                  <w:noWrap/>
                  <w:vAlign w:val="bottom"/>
                  <w:hideMark/>
                </w:tcPr>
                <w:p w14:paraId="310A516C" w14:textId="54BF91A4" w:rsidR="001B36F7" w:rsidRPr="00DD477A" w:rsidRDefault="001B36F7" w:rsidP="001B36F7">
                  <w:pPr>
                    <w:pStyle w:val="TableText-SuperSmallBold"/>
                    <w:jc w:val="center"/>
                    <w:rPr>
                      <w:rFonts w:cs="Calibri"/>
                    </w:rPr>
                  </w:pPr>
                  <w:r w:rsidRPr="00DD477A">
                    <w:rPr>
                      <w:rFonts w:cs="Calibri"/>
                    </w:rPr>
                    <w:t>2,000</w:t>
                  </w:r>
                </w:p>
              </w:tc>
              <w:tc>
                <w:tcPr>
                  <w:tcW w:w="1122" w:type="dxa"/>
                  <w:tcBorders>
                    <w:top w:val="nil"/>
                    <w:left w:val="nil"/>
                    <w:bottom w:val="nil"/>
                    <w:right w:val="nil"/>
                  </w:tcBorders>
                  <w:shd w:val="clear" w:color="auto" w:fill="E6E6E6"/>
                  <w:noWrap/>
                  <w:vAlign w:val="bottom"/>
                  <w:hideMark/>
                </w:tcPr>
                <w:p w14:paraId="73E2668F" w14:textId="77777777" w:rsidR="001B36F7" w:rsidRPr="00DD477A" w:rsidRDefault="001B36F7" w:rsidP="001B36F7">
                  <w:pPr>
                    <w:pStyle w:val="TableText-SuperSmallBold"/>
                    <w:jc w:val="center"/>
                    <w:rPr>
                      <w:rFonts w:cs="Calibri"/>
                    </w:rPr>
                  </w:pPr>
                  <w:r w:rsidRPr="00DD477A">
                    <w:rPr>
                      <w:rFonts w:cs="Calibri"/>
                    </w:rPr>
                    <w:t>3,000</w:t>
                  </w:r>
                </w:p>
              </w:tc>
              <w:tc>
                <w:tcPr>
                  <w:tcW w:w="1122" w:type="dxa"/>
                  <w:tcBorders>
                    <w:top w:val="nil"/>
                    <w:left w:val="nil"/>
                    <w:bottom w:val="nil"/>
                    <w:right w:val="nil"/>
                  </w:tcBorders>
                  <w:shd w:val="clear" w:color="auto" w:fill="FFFFFF" w:themeFill="background1"/>
                  <w:noWrap/>
                  <w:vAlign w:val="bottom"/>
                  <w:hideMark/>
                </w:tcPr>
                <w:p w14:paraId="4F858358" w14:textId="77777777" w:rsidR="001B36F7" w:rsidRPr="00DD477A" w:rsidRDefault="001B36F7" w:rsidP="001B36F7">
                  <w:pPr>
                    <w:pStyle w:val="TableText-SuperSmallBold"/>
                    <w:jc w:val="center"/>
                    <w:rPr>
                      <w:rFonts w:cs="Calibri"/>
                    </w:rPr>
                  </w:pPr>
                  <w:r w:rsidRPr="00DD477A">
                    <w:rPr>
                      <w:rFonts w:cs="Calibri"/>
                    </w:rPr>
                    <w:t>4,000</w:t>
                  </w:r>
                </w:p>
              </w:tc>
              <w:tc>
                <w:tcPr>
                  <w:tcW w:w="1183" w:type="dxa"/>
                  <w:tcBorders>
                    <w:top w:val="nil"/>
                    <w:left w:val="nil"/>
                    <w:bottom w:val="nil"/>
                    <w:right w:val="nil"/>
                  </w:tcBorders>
                  <w:shd w:val="clear" w:color="auto" w:fill="E6E6E6"/>
                  <w:noWrap/>
                  <w:vAlign w:val="bottom"/>
                  <w:hideMark/>
                </w:tcPr>
                <w:p w14:paraId="500CA980" w14:textId="77777777" w:rsidR="001B36F7" w:rsidRPr="00DD477A" w:rsidRDefault="001B36F7" w:rsidP="001B36F7">
                  <w:pPr>
                    <w:pStyle w:val="TableText-SuperSmallBold"/>
                    <w:jc w:val="center"/>
                    <w:rPr>
                      <w:rFonts w:cs="Calibri"/>
                    </w:rPr>
                  </w:pPr>
                  <w:r w:rsidRPr="00DD477A">
                    <w:rPr>
                      <w:rFonts w:cs="Calibri"/>
                    </w:rPr>
                    <w:t>5,000</w:t>
                  </w:r>
                </w:p>
              </w:tc>
            </w:tr>
            <w:tr w:rsidR="001B36F7" w:rsidRPr="00DD477A" w14:paraId="47156251" w14:textId="77777777" w:rsidTr="00F611EB">
              <w:trPr>
                <w:trHeight w:val="60"/>
                <w:jc w:val="center"/>
              </w:trPr>
              <w:tc>
                <w:tcPr>
                  <w:tcW w:w="2407" w:type="dxa"/>
                  <w:tcBorders>
                    <w:top w:val="nil"/>
                    <w:left w:val="nil"/>
                    <w:bottom w:val="nil"/>
                    <w:right w:val="nil"/>
                  </w:tcBorders>
                  <w:noWrap/>
                  <w:vAlign w:val="bottom"/>
                  <w:hideMark/>
                </w:tcPr>
                <w:p w14:paraId="7FD09DB7" w14:textId="77777777" w:rsidR="001B36F7" w:rsidRPr="00DD477A" w:rsidRDefault="001B36F7" w:rsidP="001B36F7">
                  <w:pPr>
                    <w:pStyle w:val="TableText-SuperSmallBold"/>
                    <w:rPr>
                      <w:rFonts w:cs="Calibri"/>
                    </w:rPr>
                  </w:pPr>
                </w:p>
              </w:tc>
              <w:tc>
                <w:tcPr>
                  <w:tcW w:w="1089" w:type="dxa"/>
                  <w:tcBorders>
                    <w:top w:val="nil"/>
                    <w:left w:val="nil"/>
                    <w:bottom w:val="nil"/>
                    <w:right w:val="nil"/>
                  </w:tcBorders>
                  <w:noWrap/>
                  <w:vAlign w:val="bottom"/>
                  <w:hideMark/>
                </w:tcPr>
                <w:p w14:paraId="013F6F2B" w14:textId="77777777" w:rsidR="001B36F7" w:rsidRPr="00DD477A"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6DCEA87F" w14:textId="5FD7607B" w:rsidR="001B36F7" w:rsidRPr="00DD477A"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7998777F" w14:textId="6C4352DC"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692D29CA" w14:textId="77777777"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04A909EC" w14:textId="77777777" w:rsidR="001B36F7" w:rsidRPr="00DD477A"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63EE468C" w14:textId="77777777" w:rsidR="001B36F7" w:rsidRPr="00DD477A" w:rsidRDefault="001B36F7" w:rsidP="001B36F7">
                  <w:pPr>
                    <w:pStyle w:val="TableText-SuperSmallBold"/>
                    <w:jc w:val="center"/>
                    <w:rPr>
                      <w:rFonts w:cs="Calibri"/>
                    </w:rPr>
                  </w:pPr>
                </w:p>
              </w:tc>
            </w:tr>
            <w:tr w:rsidR="001B36F7" w:rsidRPr="00DD477A" w14:paraId="7E9AF0A3" w14:textId="77777777" w:rsidTr="00F611EB">
              <w:trPr>
                <w:trHeight w:val="225"/>
                <w:jc w:val="center"/>
              </w:trPr>
              <w:tc>
                <w:tcPr>
                  <w:tcW w:w="2407" w:type="dxa"/>
                  <w:tcBorders>
                    <w:top w:val="nil"/>
                    <w:left w:val="nil"/>
                    <w:bottom w:val="nil"/>
                    <w:right w:val="nil"/>
                  </w:tcBorders>
                  <w:noWrap/>
                  <w:vAlign w:val="bottom"/>
                  <w:hideMark/>
                </w:tcPr>
                <w:p w14:paraId="1A69A820" w14:textId="77777777" w:rsidR="001B36F7" w:rsidRPr="00DD477A" w:rsidRDefault="001B36F7" w:rsidP="001B36F7">
                  <w:pPr>
                    <w:pStyle w:val="TableText-SuperSmallBold"/>
                    <w:rPr>
                      <w:rFonts w:cs="Calibri"/>
                    </w:rPr>
                  </w:pPr>
                  <w:r w:rsidRPr="00DD477A">
                    <w:rPr>
                      <w:rFonts w:cs="Calibri"/>
                    </w:rPr>
                    <w:t>Y Measure (b)</w:t>
                  </w:r>
                </w:p>
              </w:tc>
              <w:tc>
                <w:tcPr>
                  <w:tcW w:w="1089" w:type="dxa"/>
                  <w:tcBorders>
                    <w:top w:val="nil"/>
                    <w:left w:val="nil"/>
                    <w:bottom w:val="nil"/>
                    <w:right w:val="nil"/>
                  </w:tcBorders>
                  <w:noWrap/>
                  <w:vAlign w:val="bottom"/>
                  <w:hideMark/>
                </w:tcPr>
                <w:p w14:paraId="6263A046" w14:textId="77777777" w:rsidR="001B36F7" w:rsidRPr="00DD477A" w:rsidRDefault="001B36F7" w:rsidP="001B36F7">
                  <w:pPr>
                    <w:pStyle w:val="TableText-SuperSmallBold"/>
                    <w:jc w:val="center"/>
                    <w:rPr>
                      <w:rFonts w:cs="Calibri"/>
                    </w:rPr>
                  </w:pPr>
                  <w:r w:rsidRPr="00DD477A">
                    <w:rPr>
                      <w:rFonts w:cs="Calibri"/>
                    </w:rPr>
                    <w:t>2.2</w:t>
                  </w:r>
                </w:p>
              </w:tc>
              <w:tc>
                <w:tcPr>
                  <w:tcW w:w="1065" w:type="dxa"/>
                  <w:tcBorders>
                    <w:top w:val="nil"/>
                    <w:left w:val="nil"/>
                    <w:bottom w:val="nil"/>
                    <w:right w:val="nil"/>
                  </w:tcBorders>
                  <w:shd w:val="clear" w:color="auto" w:fill="E6E6E6"/>
                  <w:vAlign w:val="bottom"/>
                </w:tcPr>
                <w:p w14:paraId="60EEACB8" w14:textId="5A893AEF" w:rsidR="001B36F7" w:rsidRPr="00DD477A"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230896AA" w14:textId="09962AA5"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1B88CD8E" w14:textId="77777777"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6A42733C" w14:textId="77777777" w:rsidR="001B36F7" w:rsidRPr="00DD477A"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124BBCE9" w14:textId="77777777" w:rsidR="001B36F7" w:rsidRPr="00DD477A" w:rsidRDefault="001B36F7" w:rsidP="001B36F7">
                  <w:pPr>
                    <w:pStyle w:val="TableText-SuperSmallBold"/>
                    <w:jc w:val="center"/>
                    <w:rPr>
                      <w:rFonts w:cs="Calibri"/>
                    </w:rPr>
                  </w:pPr>
                </w:p>
              </w:tc>
            </w:tr>
            <w:tr w:rsidR="001B36F7" w:rsidRPr="00DD477A" w14:paraId="5C1EFA3D" w14:textId="77777777" w:rsidTr="00F611EB">
              <w:trPr>
                <w:trHeight w:val="225"/>
                <w:jc w:val="center"/>
              </w:trPr>
              <w:tc>
                <w:tcPr>
                  <w:tcW w:w="2407" w:type="dxa"/>
                  <w:tcBorders>
                    <w:top w:val="nil"/>
                    <w:left w:val="nil"/>
                    <w:bottom w:val="nil"/>
                    <w:right w:val="nil"/>
                  </w:tcBorders>
                  <w:noWrap/>
                  <w:vAlign w:val="bottom"/>
                  <w:hideMark/>
                </w:tcPr>
                <w:p w14:paraId="190E8DAF" w14:textId="5EE0DD76" w:rsidR="001B36F7" w:rsidRPr="00DD477A" w:rsidRDefault="001B36F7" w:rsidP="001B36F7">
                  <w:pPr>
                    <w:pStyle w:val="TableText-SuperSmallBold"/>
                    <w:rPr>
                      <w:rFonts w:cs="Calibri"/>
                    </w:rPr>
                  </w:pPr>
                  <w:r w:rsidRPr="00DD477A">
                    <w:rPr>
                      <w:rFonts w:cs="Calibri"/>
                    </w:rPr>
                    <w:t xml:space="preserve">Administered </w:t>
                  </w:r>
                  <w:r w:rsidR="00DF6845" w:rsidRPr="00DD477A">
                    <w:rPr>
                      <w:rFonts w:cs="Calibri"/>
                    </w:rPr>
                    <w:t>p</w:t>
                  </w:r>
                  <w:r w:rsidRPr="00DD477A">
                    <w:rPr>
                      <w:rFonts w:cs="Calibri"/>
                    </w:rPr>
                    <w:t>ayment</w:t>
                  </w:r>
                </w:p>
              </w:tc>
              <w:tc>
                <w:tcPr>
                  <w:tcW w:w="1089" w:type="dxa"/>
                  <w:tcBorders>
                    <w:top w:val="nil"/>
                    <w:left w:val="nil"/>
                    <w:bottom w:val="nil"/>
                    <w:right w:val="nil"/>
                  </w:tcBorders>
                  <w:noWrap/>
                  <w:vAlign w:val="bottom"/>
                  <w:hideMark/>
                </w:tcPr>
                <w:p w14:paraId="5E5E3EC6" w14:textId="77777777" w:rsidR="001B36F7" w:rsidRPr="00DD477A"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080748C6" w14:textId="1275377D" w:rsidR="001B36F7" w:rsidRPr="00DD477A" w:rsidRDefault="001B36F7" w:rsidP="001B36F7">
                  <w:pPr>
                    <w:pStyle w:val="TableText-SuperSmallBold"/>
                    <w:rPr>
                      <w:rFonts w:cs="Calibri"/>
                    </w:rPr>
                  </w:pPr>
                  <w:r w:rsidRPr="00DD477A">
                    <w:rPr>
                      <w:rFonts w:cs="Calibri"/>
                    </w:rPr>
                    <w:t>–</w:t>
                  </w:r>
                </w:p>
              </w:tc>
              <w:tc>
                <w:tcPr>
                  <w:tcW w:w="1065" w:type="dxa"/>
                  <w:gridSpan w:val="2"/>
                  <w:tcBorders>
                    <w:top w:val="nil"/>
                    <w:left w:val="nil"/>
                    <w:bottom w:val="nil"/>
                    <w:right w:val="nil"/>
                  </w:tcBorders>
                  <w:shd w:val="clear" w:color="auto" w:fill="FFFFFF" w:themeFill="background1"/>
                  <w:noWrap/>
                  <w:vAlign w:val="bottom"/>
                  <w:hideMark/>
                </w:tcPr>
                <w:p w14:paraId="609B27B7" w14:textId="739CF0E0" w:rsidR="001B36F7" w:rsidRPr="00DD477A" w:rsidRDefault="001B36F7" w:rsidP="001B36F7">
                  <w:pPr>
                    <w:pStyle w:val="TableText-SuperSmallBold"/>
                    <w:rPr>
                      <w:rFonts w:cs="Calibri"/>
                    </w:rPr>
                  </w:pPr>
                  <w:r w:rsidRPr="00DD477A">
                    <w:rPr>
                      <w:rFonts w:cs="Calibri"/>
                    </w:rPr>
                    <w:t>–</w:t>
                  </w:r>
                </w:p>
              </w:tc>
              <w:tc>
                <w:tcPr>
                  <w:tcW w:w="1122" w:type="dxa"/>
                  <w:tcBorders>
                    <w:top w:val="nil"/>
                    <w:left w:val="nil"/>
                    <w:bottom w:val="nil"/>
                    <w:right w:val="nil"/>
                  </w:tcBorders>
                  <w:shd w:val="clear" w:color="auto" w:fill="E6E6E6"/>
                  <w:noWrap/>
                  <w:vAlign w:val="bottom"/>
                  <w:hideMark/>
                </w:tcPr>
                <w:p w14:paraId="3B4F8600" w14:textId="66D1A8A0" w:rsidR="001B36F7" w:rsidRPr="00DD477A" w:rsidRDefault="001B36F7" w:rsidP="001B36F7">
                  <w:pPr>
                    <w:pStyle w:val="TableText-SuperSmallBold"/>
                    <w:rPr>
                      <w:rFonts w:cs="Calibri"/>
                    </w:rPr>
                  </w:pPr>
                  <w:r w:rsidRPr="00DD477A">
                    <w:rPr>
                      <w:rFonts w:cs="Calibri"/>
                    </w:rPr>
                    <w:t>–</w:t>
                  </w:r>
                </w:p>
              </w:tc>
              <w:tc>
                <w:tcPr>
                  <w:tcW w:w="1122" w:type="dxa"/>
                  <w:tcBorders>
                    <w:top w:val="nil"/>
                    <w:left w:val="nil"/>
                    <w:bottom w:val="nil"/>
                    <w:right w:val="nil"/>
                  </w:tcBorders>
                  <w:shd w:val="clear" w:color="auto" w:fill="FFFFFF" w:themeFill="background1"/>
                  <w:noWrap/>
                  <w:vAlign w:val="bottom"/>
                  <w:hideMark/>
                </w:tcPr>
                <w:p w14:paraId="74D484C4" w14:textId="143EE7A8" w:rsidR="001B36F7" w:rsidRPr="00DD477A" w:rsidRDefault="001B36F7" w:rsidP="001B36F7">
                  <w:pPr>
                    <w:pStyle w:val="TableText-SuperSmallBold"/>
                    <w:rPr>
                      <w:rFonts w:cs="Calibri"/>
                    </w:rPr>
                  </w:pPr>
                  <w:r w:rsidRPr="00DD477A">
                    <w:rPr>
                      <w:rFonts w:cs="Calibri"/>
                    </w:rPr>
                    <w:t>–</w:t>
                  </w:r>
                </w:p>
              </w:tc>
              <w:tc>
                <w:tcPr>
                  <w:tcW w:w="1183" w:type="dxa"/>
                  <w:tcBorders>
                    <w:top w:val="nil"/>
                    <w:left w:val="nil"/>
                    <w:bottom w:val="nil"/>
                    <w:right w:val="nil"/>
                  </w:tcBorders>
                  <w:shd w:val="clear" w:color="auto" w:fill="E6E6E6"/>
                  <w:noWrap/>
                  <w:vAlign w:val="bottom"/>
                  <w:hideMark/>
                </w:tcPr>
                <w:p w14:paraId="17F63A15" w14:textId="4C49D03A" w:rsidR="001B36F7" w:rsidRPr="00DD477A" w:rsidRDefault="001B36F7" w:rsidP="001B36F7">
                  <w:pPr>
                    <w:pStyle w:val="TableText-SuperSmallBold"/>
                    <w:rPr>
                      <w:rFonts w:cs="Calibri"/>
                    </w:rPr>
                  </w:pPr>
                  <w:r w:rsidRPr="00DD477A">
                    <w:rPr>
                      <w:rFonts w:cs="Calibri"/>
                    </w:rPr>
                    <w:t>–</w:t>
                  </w:r>
                </w:p>
              </w:tc>
            </w:tr>
            <w:tr w:rsidR="001B36F7" w:rsidRPr="00DD477A" w14:paraId="02C72842" w14:textId="77777777" w:rsidTr="00F611EB">
              <w:trPr>
                <w:trHeight w:val="225"/>
                <w:jc w:val="center"/>
              </w:trPr>
              <w:tc>
                <w:tcPr>
                  <w:tcW w:w="2407" w:type="dxa"/>
                  <w:tcBorders>
                    <w:top w:val="nil"/>
                    <w:left w:val="nil"/>
                    <w:bottom w:val="single" w:sz="4" w:space="0" w:color="auto"/>
                    <w:right w:val="nil"/>
                  </w:tcBorders>
                  <w:noWrap/>
                  <w:vAlign w:val="bottom"/>
                  <w:hideMark/>
                </w:tcPr>
                <w:p w14:paraId="2B72E25C" w14:textId="77777777" w:rsidR="001B36F7" w:rsidRPr="00DD477A" w:rsidRDefault="001B36F7" w:rsidP="001B36F7">
                  <w:pPr>
                    <w:pStyle w:val="TableText-SuperSmallBold"/>
                    <w:rPr>
                      <w:rFonts w:cs="Calibri"/>
                    </w:rPr>
                  </w:pPr>
                  <w:r w:rsidRPr="00DD477A">
                    <w:rPr>
                      <w:rFonts w:cs="Calibri"/>
                    </w:rPr>
                    <w:t xml:space="preserve">Total </w:t>
                  </w:r>
                </w:p>
              </w:tc>
              <w:tc>
                <w:tcPr>
                  <w:tcW w:w="1089" w:type="dxa"/>
                  <w:tcBorders>
                    <w:top w:val="nil"/>
                    <w:left w:val="nil"/>
                    <w:bottom w:val="single" w:sz="4" w:space="0" w:color="auto"/>
                    <w:right w:val="nil"/>
                  </w:tcBorders>
                  <w:noWrap/>
                  <w:vAlign w:val="bottom"/>
                  <w:hideMark/>
                </w:tcPr>
                <w:p w14:paraId="7162A1FC" w14:textId="77777777" w:rsidR="001B36F7" w:rsidRPr="00DD477A" w:rsidRDefault="001B36F7" w:rsidP="001B36F7">
                  <w:pPr>
                    <w:pStyle w:val="TableText-SuperSmallBold"/>
                    <w:rPr>
                      <w:rFonts w:cs="Calibri"/>
                    </w:rPr>
                  </w:pPr>
                </w:p>
              </w:tc>
              <w:tc>
                <w:tcPr>
                  <w:tcW w:w="1065" w:type="dxa"/>
                  <w:tcBorders>
                    <w:top w:val="nil"/>
                    <w:left w:val="nil"/>
                    <w:bottom w:val="single" w:sz="4" w:space="0" w:color="auto"/>
                    <w:right w:val="nil"/>
                  </w:tcBorders>
                  <w:shd w:val="clear" w:color="auto" w:fill="E6E6E6"/>
                  <w:vAlign w:val="bottom"/>
                </w:tcPr>
                <w:p w14:paraId="4C4C0DFF" w14:textId="31BFA7D1" w:rsidR="001B36F7" w:rsidRPr="00DD477A" w:rsidRDefault="001B36F7" w:rsidP="001B36F7">
                  <w:pPr>
                    <w:pStyle w:val="TableText-SuperSmallBold"/>
                    <w:rPr>
                      <w:rFonts w:cs="Calibri"/>
                    </w:rPr>
                  </w:pPr>
                  <w:r w:rsidRPr="00DD477A">
                    <w:rPr>
                      <w:rFonts w:cs="Calibri"/>
                    </w:rPr>
                    <w:t>–</w:t>
                  </w:r>
                </w:p>
              </w:tc>
              <w:tc>
                <w:tcPr>
                  <w:tcW w:w="1065" w:type="dxa"/>
                  <w:gridSpan w:val="2"/>
                  <w:tcBorders>
                    <w:top w:val="nil"/>
                    <w:left w:val="nil"/>
                    <w:bottom w:val="single" w:sz="4" w:space="0" w:color="auto"/>
                    <w:right w:val="nil"/>
                  </w:tcBorders>
                  <w:shd w:val="clear" w:color="auto" w:fill="FFFFFF" w:themeFill="background1"/>
                  <w:noWrap/>
                  <w:vAlign w:val="bottom"/>
                  <w:hideMark/>
                </w:tcPr>
                <w:p w14:paraId="6FED3415" w14:textId="46C623C0" w:rsidR="001B36F7" w:rsidRPr="00DD477A" w:rsidRDefault="001B36F7" w:rsidP="001B36F7">
                  <w:pPr>
                    <w:pStyle w:val="TableText-SuperSmallBold"/>
                    <w:rPr>
                      <w:rFonts w:cs="Calibri"/>
                    </w:rPr>
                  </w:pPr>
                  <w:r w:rsidRPr="00DD477A">
                    <w:rPr>
                      <w:rFonts w:cs="Calibri"/>
                    </w:rPr>
                    <w:t>–</w:t>
                  </w:r>
                </w:p>
              </w:tc>
              <w:tc>
                <w:tcPr>
                  <w:tcW w:w="1122" w:type="dxa"/>
                  <w:tcBorders>
                    <w:top w:val="nil"/>
                    <w:left w:val="nil"/>
                    <w:bottom w:val="single" w:sz="4" w:space="0" w:color="auto"/>
                    <w:right w:val="nil"/>
                  </w:tcBorders>
                  <w:shd w:val="clear" w:color="auto" w:fill="E6E6E6"/>
                  <w:noWrap/>
                  <w:vAlign w:val="bottom"/>
                  <w:hideMark/>
                </w:tcPr>
                <w:p w14:paraId="79F40D6D" w14:textId="3A565F0E" w:rsidR="001B36F7" w:rsidRPr="00DD477A" w:rsidRDefault="001B36F7" w:rsidP="001B36F7">
                  <w:pPr>
                    <w:pStyle w:val="TableText-SuperSmallBold"/>
                    <w:rPr>
                      <w:rFonts w:cs="Calibri"/>
                    </w:rPr>
                  </w:pPr>
                  <w:r w:rsidRPr="00DD477A">
                    <w:rPr>
                      <w:rFonts w:cs="Calibri"/>
                    </w:rPr>
                    <w:t>–</w:t>
                  </w:r>
                </w:p>
              </w:tc>
              <w:tc>
                <w:tcPr>
                  <w:tcW w:w="1122" w:type="dxa"/>
                  <w:tcBorders>
                    <w:top w:val="nil"/>
                    <w:left w:val="nil"/>
                    <w:bottom w:val="single" w:sz="4" w:space="0" w:color="auto"/>
                    <w:right w:val="nil"/>
                  </w:tcBorders>
                  <w:shd w:val="clear" w:color="auto" w:fill="FFFFFF" w:themeFill="background1"/>
                  <w:noWrap/>
                  <w:vAlign w:val="bottom"/>
                  <w:hideMark/>
                </w:tcPr>
                <w:p w14:paraId="22B3FBEC" w14:textId="1E8981EA" w:rsidR="001B36F7" w:rsidRPr="00DD477A" w:rsidRDefault="001B36F7" w:rsidP="001B36F7">
                  <w:pPr>
                    <w:pStyle w:val="TableText-SuperSmallBold"/>
                    <w:rPr>
                      <w:rFonts w:cs="Calibri"/>
                    </w:rPr>
                  </w:pPr>
                  <w:r w:rsidRPr="00DD477A">
                    <w:rPr>
                      <w:rFonts w:cs="Calibri"/>
                    </w:rPr>
                    <w:t>–</w:t>
                  </w:r>
                </w:p>
              </w:tc>
              <w:tc>
                <w:tcPr>
                  <w:tcW w:w="1183" w:type="dxa"/>
                  <w:tcBorders>
                    <w:top w:val="nil"/>
                    <w:left w:val="nil"/>
                    <w:bottom w:val="single" w:sz="4" w:space="0" w:color="auto"/>
                    <w:right w:val="nil"/>
                  </w:tcBorders>
                  <w:shd w:val="clear" w:color="auto" w:fill="E6E6E6"/>
                  <w:noWrap/>
                  <w:vAlign w:val="bottom"/>
                  <w:hideMark/>
                </w:tcPr>
                <w:p w14:paraId="6DD440CF" w14:textId="1C49C214" w:rsidR="001B36F7" w:rsidRPr="00DD477A" w:rsidRDefault="001B36F7" w:rsidP="001B36F7">
                  <w:pPr>
                    <w:pStyle w:val="TableText-SuperSmallBold"/>
                    <w:rPr>
                      <w:rFonts w:cs="Calibri"/>
                    </w:rPr>
                  </w:pPr>
                  <w:r w:rsidRPr="00DD477A">
                    <w:rPr>
                      <w:rFonts w:cs="Calibri"/>
                    </w:rPr>
                    <w:t>–</w:t>
                  </w:r>
                </w:p>
              </w:tc>
            </w:tr>
          </w:tbl>
          <w:p w14:paraId="2D60248D" w14:textId="1D1EA5B2" w:rsidR="004D479A" w:rsidRPr="00DD477A" w:rsidRDefault="53BF0693" w:rsidP="00AA1E87">
            <w:pPr>
              <w:pStyle w:val="TableText-Normal"/>
              <w:numPr>
                <w:ilvl w:val="0"/>
                <w:numId w:val="15"/>
              </w:numPr>
              <w:rPr>
                <w:rStyle w:val="BodyTextChar"/>
                <w:rFonts w:cs="Calibri"/>
                <w:sz w:val="18"/>
                <w:szCs w:val="18"/>
              </w:rPr>
            </w:pPr>
            <w:r w:rsidRPr="00DD477A">
              <w:rPr>
                <w:rStyle w:val="BodyTextChar"/>
                <w:rFonts w:cs="Calibri"/>
                <w:sz w:val="18"/>
                <w:szCs w:val="18"/>
              </w:rPr>
              <w:t>this measure was originally announced in the 20XX Economic Statement/20XX Pre</w:t>
            </w:r>
            <w:r w:rsidR="00401DFC" w:rsidRPr="00DD477A">
              <w:rPr>
                <w:rStyle w:val="BodyTextChar"/>
                <w:rFonts w:cs="Calibri"/>
                <w:sz w:val="18"/>
                <w:szCs w:val="18"/>
              </w:rPr>
              <w:noBreakHyphen/>
            </w:r>
            <w:r w:rsidRPr="00DD477A">
              <w:rPr>
                <w:rStyle w:val="BodyTextChar"/>
                <w:rFonts w:cs="Calibri"/>
                <w:sz w:val="18"/>
                <w:szCs w:val="18"/>
              </w:rPr>
              <w:t>Election Economic and Fiscal Outlook/</w:t>
            </w:r>
            <w:r w:rsidR="008E1BDD" w:rsidRPr="00DD477A">
              <w:rPr>
                <w:rStyle w:val="BodyTextChar"/>
                <w:rFonts w:cs="Calibri"/>
                <w:sz w:val="18"/>
                <w:szCs w:val="18"/>
              </w:rPr>
              <w:t>202</w:t>
            </w:r>
            <w:r w:rsidR="00AC775B" w:rsidRPr="00DD477A">
              <w:rPr>
                <w:rStyle w:val="BodyTextChar"/>
                <w:rFonts w:cs="Calibri"/>
                <w:sz w:val="18"/>
                <w:szCs w:val="18"/>
              </w:rPr>
              <w:t>X</w:t>
            </w:r>
            <w:r w:rsidR="00C917CE">
              <w:rPr>
                <w:rStyle w:val="BodyTextChar"/>
                <w:rFonts w:cs="Calibri"/>
                <w:sz w:val="18"/>
                <w:szCs w:val="18"/>
              </w:rPr>
              <w:t>–</w:t>
            </w:r>
            <w:r w:rsidR="008E1BDD" w:rsidRPr="00DD477A">
              <w:rPr>
                <w:rStyle w:val="BodyTextChar"/>
                <w:rFonts w:cs="Calibri"/>
                <w:sz w:val="18"/>
                <w:szCs w:val="18"/>
              </w:rPr>
              <w:t>2</w:t>
            </w:r>
            <w:r w:rsidR="00AC775B" w:rsidRPr="00DD477A">
              <w:rPr>
                <w:rStyle w:val="BodyTextChar"/>
                <w:rFonts w:cs="Calibri"/>
                <w:sz w:val="18"/>
                <w:szCs w:val="18"/>
              </w:rPr>
              <w:t>Y</w:t>
            </w:r>
            <w:r w:rsidR="00DA3033" w:rsidRPr="00DD477A">
              <w:rPr>
                <w:rStyle w:val="BodyTextChar"/>
                <w:rFonts w:cs="Calibri"/>
                <w:sz w:val="18"/>
                <w:szCs w:val="18"/>
              </w:rPr>
              <w:t xml:space="preserve"> </w:t>
            </w:r>
            <w:r w:rsidR="000E3921" w:rsidRPr="00DD477A">
              <w:rPr>
                <w:rStyle w:val="BodyTextChar"/>
                <w:rFonts w:cs="Calibri"/>
                <w:sz w:val="18"/>
                <w:szCs w:val="18"/>
              </w:rPr>
              <w:t>Budget</w:t>
            </w:r>
            <w:r w:rsidRPr="00DD477A">
              <w:rPr>
                <w:rStyle w:val="BodyTextChar"/>
                <w:rFonts w:cs="Calibri"/>
                <w:sz w:val="18"/>
                <w:szCs w:val="18"/>
              </w:rPr>
              <w:t xml:space="preserve"> </w:t>
            </w:r>
            <w:r w:rsidRPr="00DD477A">
              <w:rPr>
                <w:rStyle w:val="BodyTextChar"/>
                <w:rFonts w:cs="Calibri"/>
                <w:color w:val="FF0000"/>
                <w:sz w:val="18"/>
                <w:szCs w:val="18"/>
              </w:rPr>
              <w:t>(whichever applies)</w:t>
            </w:r>
            <w:r w:rsidRPr="00DD477A">
              <w:rPr>
                <w:rStyle w:val="BodyTextChar"/>
                <w:rFonts w:cs="Calibri"/>
                <w:sz w:val="18"/>
                <w:szCs w:val="18"/>
              </w:rPr>
              <w:t xml:space="preserve"> and has been partially reversed by (measure title) announced in the </w:t>
            </w:r>
            <w:r w:rsidR="00DC026B">
              <w:rPr>
                <w:rStyle w:val="BodyTextChar"/>
                <w:rFonts w:cs="Calibri"/>
                <w:sz w:val="18"/>
                <w:szCs w:val="18"/>
              </w:rPr>
              <w:t>2026</w:t>
            </w:r>
            <w:r w:rsidR="00C917CE">
              <w:rPr>
                <w:rStyle w:val="BodyTextChar"/>
                <w:rFonts w:cs="Calibri"/>
                <w:sz w:val="18"/>
                <w:szCs w:val="18"/>
              </w:rPr>
              <w:t>–</w:t>
            </w:r>
            <w:r w:rsidR="00DC026B">
              <w:rPr>
                <w:rStyle w:val="BodyTextChar"/>
                <w:rFonts w:cs="Calibri"/>
                <w:sz w:val="18"/>
                <w:szCs w:val="18"/>
              </w:rPr>
              <w:t>27</w:t>
            </w:r>
            <w:r w:rsidR="0007613A" w:rsidRPr="00DD477A">
              <w:rPr>
                <w:rStyle w:val="BodyTextChar"/>
                <w:rFonts w:cs="Calibri"/>
                <w:sz w:val="18"/>
                <w:szCs w:val="18"/>
              </w:rPr>
              <w:t xml:space="preserve"> </w:t>
            </w:r>
            <w:r w:rsidRPr="00DD477A">
              <w:rPr>
                <w:rStyle w:val="BodyTextChar"/>
                <w:rFonts w:cs="Calibri"/>
                <w:sz w:val="18"/>
                <w:szCs w:val="18"/>
              </w:rPr>
              <w:t>Budget. The above financial figures reflect the current net fiscal impact of the measure</w:t>
            </w:r>
          </w:p>
          <w:p w14:paraId="5C66EE05" w14:textId="21633FED" w:rsidR="004D479A" w:rsidRPr="00DD477A" w:rsidRDefault="53BF0693" w:rsidP="00AA1E87">
            <w:pPr>
              <w:pStyle w:val="TableText-Normal"/>
              <w:numPr>
                <w:ilvl w:val="0"/>
                <w:numId w:val="15"/>
              </w:numPr>
              <w:rPr>
                <w:rStyle w:val="BodyTextChar"/>
                <w:rFonts w:cs="Calibri"/>
                <w:sz w:val="18"/>
                <w:szCs w:val="18"/>
              </w:rPr>
            </w:pPr>
            <w:r w:rsidRPr="00DD477A">
              <w:rPr>
                <w:rStyle w:val="BodyTextChar"/>
                <w:rFonts w:cs="Calibri"/>
                <w:sz w:val="18"/>
                <w:szCs w:val="18"/>
              </w:rPr>
              <w:t>this measure was originally announced in the 20XX Economic Statement/20XX Pre</w:t>
            </w:r>
            <w:r w:rsidR="00401DFC" w:rsidRPr="00DD477A">
              <w:rPr>
                <w:rStyle w:val="BodyTextChar"/>
                <w:rFonts w:cs="Calibri"/>
                <w:sz w:val="18"/>
                <w:szCs w:val="18"/>
              </w:rPr>
              <w:noBreakHyphen/>
            </w:r>
            <w:r w:rsidRPr="00DD477A">
              <w:rPr>
                <w:rStyle w:val="BodyTextChar"/>
                <w:rFonts w:cs="Calibri"/>
                <w:sz w:val="18"/>
                <w:szCs w:val="18"/>
              </w:rPr>
              <w:t>Election Economic and Fiscal Outlook/</w:t>
            </w:r>
            <w:r w:rsidR="00B11749" w:rsidRPr="00DD477A">
              <w:rPr>
                <w:rStyle w:val="BodyTextChar"/>
                <w:rFonts w:cs="Calibri"/>
                <w:sz w:val="18"/>
                <w:szCs w:val="18"/>
              </w:rPr>
              <w:t>202</w:t>
            </w:r>
            <w:r w:rsidR="00AC775B" w:rsidRPr="00DD477A">
              <w:rPr>
                <w:rStyle w:val="BodyTextChar"/>
                <w:rFonts w:cs="Calibri"/>
                <w:sz w:val="18"/>
                <w:szCs w:val="18"/>
              </w:rPr>
              <w:t>X</w:t>
            </w:r>
            <w:r w:rsidR="00C917CE">
              <w:rPr>
                <w:rStyle w:val="BodyTextChar"/>
                <w:rFonts w:cs="Calibri"/>
                <w:sz w:val="18"/>
                <w:szCs w:val="18"/>
              </w:rPr>
              <w:t>–</w:t>
            </w:r>
            <w:r w:rsidR="00AC775B" w:rsidRPr="00DD477A">
              <w:rPr>
                <w:rStyle w:val="BodyTextChar"/>
                <w:rFonts w:cs="Calibri"/>
                <w:sz w:val="18"/>
                <w:szCs w:val="18"/>
              </w:rPr>
              <w:t>2Y</w:t>
            </w:r>
            <w:r w:rsidR="00DA3033" w:rsidRPr="00DD477A">
              <w:rPr>
                <w:rStyle w:val="BodyTextChar"/>
                <w:rFonts w:cs="Calibri"/>
                <w:sz w:val="18"/>
                <w:szCs w:val="18"/>
              </w:rPr>
              <w:t xml:space="preserve"> </w:t>
            </w:r>
            <w:r w:rsidR="35AE5E95" w:rsidRPr="00DD477A">
              <w:rPr>
                <w:rStyle w:val="BodyTextChar"/>
                <w:rFonts w:cs="Calibri"/>
                <w:sz w:val="18"/>
                <w:szCs w:val="18"/>
              </w:rPr>
              <w:t>Budget</w:t>
            </w:r>
            <w:r w:rsidRPr="00DD477A">
              <w:rPr>
                <w:rStyle w:val="BodyTextChar"/>
                <w:rFonts w:cs="Calibri"/>
                <w:sz w:val="18"/>
                <w:szCs w:val="18"/>
              </w:rPr>
              <w:t xml:space="preserve"> </w:t>
            </w:r>
            <w:r w:rsidRPr="00DD477A">
              <w:rPr>
                <w:rStyle w:val="BodyTextChar"/>
                <w:rFonts w:cs="Calibri"/>
                <w:color w:val="FF0000"/>
                <w:sz w:val="18"/>
                <w:szCs w:val="18"/>
              </w:rPr>
              <w:t>(whichever applies)</w:t>
            </w:r>
            <w:r w:rsidRPr="00DD477A">
              <w:rPr>
                <w:rStyle w:val="BodyTextChar"/>
                <w:rFonts w:cs="Calibri"/>
                <w:sz w:val="18"/>
                <w:szCs w:val="18"/>
              </w:rPr>
              <w:t xml:space="preserve"> and has been fully reversed by (measure title) announced in the </w:t>
            </w:r>
            <w:r w:rsidR="00DC026B">
              <w:rPr>
                <w:rStyle w:val="BodyTextChar"/>
                <w:rFonts w:cs="Calibri"/>
                <w:sz w:val="18"/>
                <w:szCs w:val="18"/>
              </w:rPr>
              <w:t>2026</w:t>
            </w:r>
            <w:r w:rsidR="00C917CE">
              <w:rPr>
                <w:rStyle w:val="BodyTextChar"/>
                <w:rFonts w:cs="Calibri"/>
                <w:sz w:val="18"/>
                <w:szCs w:val="18"/>
              </w:rPr>
              <w:t>–</w:t>
            </w:r>
            <w:r w:rsidR="00DC026B">
              <w:rPr>
                <w:rStyle w:val="BodyTextChar"/>
                <w:rFonts w:cs="Calibri"/>
                <w:sz w:val="18"/>
                <w:szCs w:val="18"/>
              </w:rPr>
              <w:t>27</w:t>
            </w:r>
            <w:r w:rsidR="0007613A" w:rsidRPr="00DD477A">
              <w:rPr>
                <w:rStyle w:val="BodyTextChar"/>
                <w:rFonts w:cs="Calibri"/>
                <w:sz w:val="18"/>
                <w:szCs w:val="18"/>
              </w:rPr>
              <w:t xml:space="preserve"> </w:t>
            </w:r>
            <w:r w:rsidRPr="00DD477A">
              <w:rPr>
                <w:rStyle w:val="BodyTextChar"/>
                <w:rFonts w:cs="Calibri"/>
                <w:sz w:val="18"/>
                <w:szCs w:val="18"/>
              </w:rPr>
              <w:t xml:space="preserve">Budget. The above dashes reflect that the measure has no fiscal impact as it has ceased. </w:t>
            </w:r>
          </w:p>
        </w:tc>
      </w:tr>
    </w:tbl>
    <w:p w14:paraId="2ED74A32" w14:textId="77777777" w:rsidR="00E45FE6" w:rsidRDefault="00E45FE6">
      <w:pPr>
        <w:suppressAutoHyphens w:val="0"/>
        <w:spacing w:before="0" w:after="120" w:line="440" w:lineRule="atLeast"/>
      </w:pPr>
      <w:r>
        <w:br w:type="page"/>
      </w:r>
    </w:p>
    <w:p w14:paraId="7062CBC4" w14:textId="3DED08B0" w:rsidR="00330A84" w:rsidRPr="00DD477A" w:rsidRDefault="00330A84" w:rsidP="003D6589">
      <w:pPr>
        <w:pStyle w:val="Heading3"/>
        <w:rPr>
          <w:szCs w:val="28"/>
        </w:rPr>
      </w:pPr>
      <w:bookmarkStart w:id="928" w:name="_Toc227749036"/>
      <w:r w:rsidRPr="00DD477A">
        <w:t>Amounts in the contingency reserve</w:t>
      </w:r>
      <w:bookmarkEnd w:id="928"/>
    </w:p>
    <w:p w14:paraId="79236FED" w14:textId="1B00283E" w:rsidR="00330A84" w:rsidRPr="00DD477A" w:rsidRDefault="00330A84" w:rsidP="00330A84">
      <w:pPr>
        <w:pStyle w:val="Boxed2Text"/>
        <w:rPr>
          <w:rFonts w:cs="Calibri"/>
        </w:rPr>
      </w:pPr>
      <w:r w:rsidRPr="00DD477A">
        <w:rPr>
          <w:rFonts w:cs="Calibri"/>
        </w:rPr>
        <w:t xml:space="preserve">Amounts held in the </w:t>
      </w:r>
      <w:r w:rsidRPr="00DD477A">
        <w:rPr>
          <w:rFonts w:cs="Calibri"/>
          <w:b/>
          <w:bCs/>
        </w:rPr>
        <w:t xml:space="preserve">contingency reserve (CR) </w:t>
      </w:r>
      <w:r w:rsidRPr="00DD477A">
        <w:rPr>
          <w:rFonts w:cs="Calibri"/>
        </w:rPr>
        <w:t xml:space="preserve">must not be entered as estimates in the Annual Estimates module under the relevant entity. Whilst the estimates are recorded in the CR, they cannot be appropriated to the entity in the current </w:t>
      </w:r>
      <w:r w:rsidRPr="009E5625">
        <w:rPr>
          <w:rFonts w:cs="Calibri"/>
        </w:rPr>
        <w:t>year</w:t>
      </w:r>
      <w:r w:rsidR="00752F42" w:rsidRPr="009E5625">
        <w:rPr>
          <w:rFonts w:cs="Calibri"/>
        </w:rPr>
        <w:t xml:space="preserve"> and are not reported in the PB Statement</w:t>
      </w:r>
      <w:r w:rsidRPr="009E5625">
        <w:rPr>
          <w:rFonts w:cs="Calibri"/>
        </w:rPr>
        <w:t>.</w:t>
      </w:r>
    </w:p>
    <w:p w14:paraId="45FF2838" w14:textId="6716A803" w:rsidR="00904083" w:rsidRDefault="009D5BD5" w:rsidP="009E2937">
      <w:pPr>
        <w:pStyle w:val="Boxed2Text"/>
        <w:rPr>
          <w:rStyle w:val="BodyTextChar"/>
          <w:rFonts w:cs="Calibri"/>
        </w:rPr>
      </w:pPr>
      <w:r w:rsidRPr="00DD477A">
        <w:rPr>
          <w:rStyle w:val="BodyTextChar"/>
          <w:rFonts w:cs="Calibri"/>
        </w:rPr>
        <w:t xml:space="preserve">In instances where a measure was previously announced, for example during the </w:t>
      </w:r>
      <w:r w:rsidR="0095585E">
        <w:rPr>
          <w:rStyle w:val="BodyTextChar"/>
          <w:rFonts w:cs="Calibri"/>
        </w:rPr>
        <w:t>2025</w:t>
      </w:r>
      <w:r w:rsidR="00C917CE">
        <w:rPr>
          <w:rStyle w:val="BodyTextChar"/>
          <w:rFonts w:cs="Calibri"/>
        </w:rPr>
        <w:t>–</w:t>
      </w:r>
      <w:r w:rsidR="0095585E">
        <w:rPr>
          <w:rStyle w:val="BodyTextChar"/>
          <w:rFonts w:cs="Calibri"/>
        </w:rPr>
        <w:t>26</w:t>
      </w:r>
      <w:r w:rsidRPr="00DD477A">
        <w:rPr>
          <w:rStyle w:val="BodyTextChar"/>
          <w:rFonts w:cs="Calibri"/>
        </w:rPr>
        <w:t xml:space="preserve"> MYEFO update, with only partial impacts being disclosed in MYEFO and an entity’s own PAES and with the remaining balance sitting in the CR</w:t>
      </w:r>
      <w:r w:rsidR="00904083">
        <w:rPr>
          <w:rStyle w:val="BodyTextChar"/>
          <w:rFonts w:cs="Calibri"/>
        </w:rPr>
        <w:t>, e</w:t>
      </w:r>
      <w:r w:rsidR="00330A84" w:rsidRPr="00DD477A">
        <w:rPr>
          <w:rStyle w:val="BodyTextChar"/>
          <w:rFonts w:cs="Calibri"/>
        </w:rPr>
        <w:t xml:space="preserve">ntities </w:t>
      </w:r>
      <w:r w:rsidR="00904083" w:rsidRPr="00904083">
        <w:rPr>
          <w:rStyle w:val="BodyTextChar"/>
          <w:rFonts w:cs="Calibri"/>
          <w:bCs/>
        </w:rPr>
        <w:t>may be</w:t>
      </w:r>
      <w:r w:rsidR="00904083" w:rsidRPr="00DD477A">
        <w:rPr>
          <w:rStyle w:val="BodyTextChar"/>
          <w:rFonts w:cs="Calibri"/>
        </w:rPr>
        <w:t xml:space="preserve"> </w:t>
      </w:r>
      <w:r w:rsidR="00904083">
        <w:rPr>
          <w:rStyle w:val="BodyTextChar"/>
          <w:rFonts w:cs="Calibri"/>
        </w:rPr>
        <w:t xml:space="preserve">required to </w:t>
      </w:r>
      <w:r w:rsidR="00330A84" w:rsidRPr="00DD477A">
        <w:rPr>
          <w:rStyle w:val="BodyTextChar"/>
          <w:rFonts w:cs="Calibri"/>
        </w:rPr>
        <w:t xml:space="preserve">republish the measure, in Table 1.2 Entity </w:t>
      </w:r>
      <w:r w:rsidR="00DC026B">
        <w:rPr>
          <w:rStyle w:val="BodyTextChar"/>
          <w:rFonts w:cs="Calibri"/>
        </w:rPr>
        <w:t>2026</w:t>
      </w:r>
      <w:r w:rsidR="00C917CE">
        <w:rPr>
          <w:rStyle w:val="BodyTextChar"/>
          <w:rFonts w:cs="Calibri"/>
        </w:rPr>
        <w:t>–</w:t>
      </w:r>
      <w:r w:rsidR="00DC026B">
        <w:rPr>
          <w:rStyle w:val="BodyTextChar"/>
          <w:rFonts w:cs="Calibri"/>
        </w:rPr>
        <w:t>27</w:t>
      </w:r>
      <w:r w:rsidR="00330A84" w:rsidRPr="00DD477A">
        <w:rPr>
          <w:rStyle w:val="BodyTextChar"/>
          <w:rFonts w:cs="Calibri"/>
        </w:rPr>
        <w:t xml:space="preserve"> Budget measures</w:t>
      </w:r>
      <w:r w:rsidR="00904083">
        <w:rPr>
          <w:rStyle w:val="BodyTextChar"/>
          <w:rFonts w:cs="Calibri"/>
        </w:rPr>
        <w:t>.</w:t>
      </w:r>
    </w:p>
    <w:p w14:paraId="0ECC7EA3" w14:textId="18E596E9" w:rsidR="00330A84" w:rsidRPr="00DD477A" w:rsidRDefault="00904083" w:rsidP="009E2937">
      <w:pPr>
        <w:pStyle w:val="Boxed2Text"/>
        <w:rPr>
          <w:rStyle w:val="BodyTextChar"/>
          <w:rFonts w:cs="Calibri"/>
        </w:rPr>
      </w:pPr>
      <w:r>
        <w:rPr>
          <w:rStyle w:val="BodyTextChar"/>
          <w:rFonts w:cs="Calibri"/>
        </w:rPr>
        <w:t xml:space="preserve">Entities </w:t>
      </w:r>
      <w:r w:rsidRPr="00904083">
        <w:rPr>
          <w:rStyle w:val="BodyTextChar"/>
          <w:rFonts w:cs="Calibri"/>
          <w:b/>
          <w:bCs/>
        </w:rPr>
        <w:t>will be required to do this</w:t>
      </w:r>
      <w:r>
        <w:rPr>
          <w:rStyle w:val="BodyTextChar"/>
          <w:rFonts w:cs="Calibri"/>
        </w:rPr>
        <w:t xml:space="preserve"> when </w:t>
      </w:r>
      <w:r w:rsidR="00330A84" w:rsidRPr="00DD477A">
        <w:rPr>
          <w:rStyle w:val="BodyTextChar"/>
          <w:rFonts w:cs="Calibri"/>
        </w:rPr>
        <w:t xml:space="preserve">the remaining funding is released from the CR and is appropriated to the entity through Appropriation Bills (Nos. 1 or 2) </w:t>
      </w:r>
      <w:r w:rsidR="0005119C">
        <w:rPr>
          <w:rStyle w:val="BodyTextChar"/>
          <w:rFonts w:cs="Calibri"/>
        </w:rPr>
        <w:t>2026</w:t>
      </w:r>
      <w:r w:rsidR="00C917CE">
        <w:rPr>
          <w:rStyle w:val="BodyTextChar"/>
          <w:rFonts w:cs="Calibri"/>
        </w:rPr>
        <w:t>–</w:t>
      </w:r>
      <w:r w:rsidR="0005119C">
        <w:rPr>
          <w:rStyle w:val="BodyTextChar"/>
          <w:rFonts w:cs="Calibri"/>
        </w:rPr>
        <w:t>2027</w:t>
      </w:r>
      <w:r w:rsidR="00330A84" w:rsidRPr="00DD477A">
        <w:rPr>
          <w:rStyle w:val="BodyTextChar"/>
          <w:rFonts w:cs="Calibri"/>
        </w:rPr>
        <w:t>.</w:t>
      </w:r>
    </w:p>
    <w:p w14:paraId="7D37141A" w14:textId="198550D3" w:rsidR="00330A84" w:rsidRPr="00DD477A" w:rsidRDefault="00330A84" w:rsidP="009E2937">
      <w:pPr>
        <w:pStyle w:val="Boxed2Text"/>
        <w:rPr>
          <w:rStyle w:val="BodyTextChar"/>
          <w:rFonts w:cs="Calibri"/>
        </w:rPr>
      </w:pPr>
      <w:r w:rsidRPr="00DD477A">
        <w:rPr>
          <w:rStyle w:val="BodyTextChar"/>
          <w:rFonts w:cs="Calibri"/>
        </w:rPr>
        <w:t xml:space="preserve">Entities </w:t>
      </w:r>
      <w:r w:rsidR="00904083" w:rsidRPr="00904083">
        <w:rPr>
          <w:rStyle w:val="BodyTextChar"/>
          <w:rFonts w:cs="Calibri"/>
          <w:b/>
          <w:bCs/>
        </w:rPr>
        <w:t>will need to</w:t>
      </w:r>
      <w:r w:rsidRPr="00904083">
        <w:rPr>
          <w:rStyle w:val="BodyTextChar"/>
          <w:rFonts w:cs="Calibri"/>
          <w:b/>
          <w:bCs/>
        </w:rPr>
        <w:t xml:space="preserve"> </w:t>
      </w:r>
      <w:r w:rsidRPr="00DD477A">
        <w:rPr>
          <w:rStyle w:val="BodyTextChar"/>
          <w:rFonts w:cs="Calibri"/>
        </w:rPr>
        <w:t>a footnote in their PB Statements cross referencing the previously published measure.</w:t>
      </w:r>
    </w:p>
    <w:p w14:paraId="0F1D32A8" w14:textId="31D7B56A" w:rsidR="00DB7808" w:rsidRPr="00DD477A" w:rsidRDefault="00DB7808" w:rsidP="003D6589">
      <w:pPr>
        <w:pStyle w:val="Heading3"/>
      </w:pPr>
      <w:bookmarkStart w:id="929" w:name="_Toc227749037"/>
      <w:r w:rsidRPr="00DD477A">
        <w:t>Decisions taken but not yet announced</w:t>
      </w:r>
      <w:r w:rsidR="005E1C35" w:rsidRPr="00DD477A">
        <w:t xml:space="preserve"> (DT</w:t>
      </w:r>
      <w:r w:rsidR="009F7AEC" w:rsidRPr="00DD477A">
        <w:t>BNYA)</w:t>
      </w:r>
      <w:bookmarkEnd w:id="929"/>
    </w:p>
    <w:p w14:paraId="621FDA00" w14:textId="5AF2ECED" w:rsidR="00FA0945" w:rsidRPr="00DD477A" w:rsidRDefault="53BF0693" w:rsidP="53BF0693">
      <w:pPr>
        <w:rPr>
          <w:rStyle w:val="BodyTextChar"/>
          <w:rFonts w:cs="Calibri"/>
        </w:rPr>
      </w:pPr>
      <w:r w:rsidRPr="00DD477A">
        <w:rPr>
          <w:rStyle w:val="BodyTextChar"/>
          <w:rFonts w:cs="Calibri"/>
        </w:rPr>
        <w:t xml:space="preserve">Where a measure was included in an economic statement as a DTBNYA but has </w:t>
      </w:r>
      <w:r w:rsidR="0084221B" w:rsidRPr="00DD477A">
        <w:rPr>
          <w:rStyle w:val="BodyTextChar"/>
          <w:rFonts w:cs="Calibri"/>
        </w:rPr>
        <w:t xml:space="preserve">subsequently </w:t>
      </w:r>
      <w:r w:rsidRPr="00DD477A">
        <w:rPr>
          <w:rStyle w:val="BodyTextChar"/>
          <w:rFonts w:cs="Calibri"/>
        </w:rPr>
        <w:t>been announced, it should generally be published in the next available budget stateme</w:t>
      </w:r>
      <w:r w:rsidR="006C1558" w:rsidRPr="00DD477A">
        <w:rPr>
          <w:rStyle w:val="BodyTextChar"/>
          <w:rFonts w:cs="Calibri"/>
        </w:rPr>
        <w:t>nt following that announcement</w:t>
      </w:r>
      <w:r w:rsidR="00037F7F" w:rsidRPr="00DD477A">
        <w:rPr>
          <w:rStyle w:val="BodyTextChar"/>
          <w:rFonts w:cs="Calibri"/>
        </w:rPr>
        <w:t>.</w:t>
      </w:r>
    </w:p>
    <w:p w14:paraId="3ECE4AEF" w14:textId="3A14A4EA" w:rsidR="00037F7F" w:rsidRPr="00DD477A" w:rsidRDefault="00037F7F" w:rsidP="53BF0693">
      <w:pPr>
        <w:rPr>
          <w:rFonts w:cs="Calibri"/>
        </w:rPr>
      </w:pPr>
      <w:r w:rsidRPr="00DD477A">
        <w:rPr>
          <w:rStyle w:val="BodyTextChar"/>
          <w:rFonts w:cs="Calibri"/>
        </w:rPr>
        <w:t xml:space="preserve">The following details should be included in Table </w:t>
      </w:r>
      <w:r w:rsidR="00A72EA7" w:rsidRPr="00DD477A">
        <w:rPr>
          <w:rStyle w:val="BodyTextChar"/>
          <w:rFonts w:cs="Calibri"/>
        </w:rPr>
        <w:t>1.2:</w:t>
      </w:r>
    </w:p>
    <w:p w14:paraId="0DB41541" w14:textId="55917AD9" w:rsidR="00FA0945" w:rsidRPr="00DD477A" w:rsidRDefault="53BF0693" w:rsidP="00B54999">
      <w:pPr>
        <w:pStyle w:val="Bullet1"/>
        <w:rPr>
          <w:rStyle w:val="BodyTextChar"/>
          <w:rFonts w:cs="Calibri"/>
        </w:rPr>
      </w:pPr>
      <w:r w:rsidRPr="00DD477A">
        <w:rPr>
          <w:rStyle w:val="BodyTextChar"/>
          <w:rFonts w:cs="Calibri"/>
        </w:rPr>
        <w:t xml:space="preserve">the full measure title and </w:t>
      </w:r>
      <w:r w:rsidR="005E4BA9">
        <w:rPr>
          <w:rStyle w:val="BodyTextChar"/>
          <w:rFonts w:cs="Calibri"/>
        </w:rPr>
        <w:t xml:space="preserve">financials should be included in Table 1.2 </w:t>
      </w:r>
      <w:r w:rsidR="00823699">
        <w:rPr>
          <w:rStyle w:val="BodyTextChar"/>
          <w:rFonts w:cs="Calibri"/>
        </w:rPr>
        <w:t xml:space="preserve">Entity </w:t>
      </w:r>
      <w:r w:rsidR="0095585E">
        <w:rPr>
          <w:rStyle w:val="BodyTextChar"/>
          <w:rFonts w:cs="Calibri"/>
        </w:rPr>
        <w:t>202</w:t>
      </w:r>
      <w:r w:rsidR="0054188B">
        <w:rPr>
          <w:rStyle w:val="BodyTextChar"/>
          <w:rFonts w:cs="Calibri"/>
        </w:rPr>
        <w:t>6</w:t>
      </w:r>
      <w:r w:rsidR="00C917CE">
        <w:rPr>
          <w:rStyle w:val="BodyTextChar"/>
          <w:rFonts w:cs="Calibri"/>
        </w:rPr>
        <w:t>–</w:t>
      </w:r>
      <w:r w:rsidR="0095585E">
        <w:rPr>
          <w:rStyle w:val="BodyTextChar"/>
          <w:rFonts w:cs="Calibri"/>
        </w:rPr>
        <w:t>2</w:t>
      </w:r>
      <w:r w:rsidR="0054188B">
        <w:rPr>
          <w:rStyle w:val="BodyTextChar"/>
          <w:rFonts w:cs="Calibri"/>
        </w:rPr>
        <w:t>7</w:t>
      </w:r>
      <w:r w:rsidR="00823699">
        <w:rPr>
          <w:rStyle w:val="BodyTextChar"/>
          <w:rFonts w:cs="Calibri"/>
        </w:rPr>
        <w:t xml:space="preserve"> Budget measures</w:t>
      </w:r>
      <w:r w:rsidR="00AE0709">
        <w:rPr>
          <w:rStyle w:val="BodyTextChar"/>
          <w:rFonts w:cs="Calibri"/>
        </w:rPr>
        <w:t>.</w:t>
      </w:r>
    </w:p>
    <w:p w14:paraId="50A0093F" w14:textId="16502DED" w:rsidR="00FA0945" w:rsidRPr="00DD477A" w:rsidRDefault="009121FD" w:rsidP="00B54999">
      <w:pPr>
        <w:pStyle w:val="Bullet1"/>
        <w:numPr>
          <w:ilvl w:val="0"/>
          <w:numId w:val="0"/>
        </w:numPr>
        <w:rPr>
          <w:rStyle w:val="BodyTextChar"/>
          <w:rFonts w:cs="Calibri"/>
        </w:rPr>
      </w:pPr>
      <w:r w:rsidRPr="00DD477A">
        <w:rPr>
          <w:rStyle w:val="BodyTextChar"/>
          <w:rFonts w:cs="Calibri"/>
        </w:rPr>
        <w:t>W</w:t>
      </w:r>
      <w:r w:rsidR="53BF0693" w:rsidRPr="00DD477A">
        <w:rPr>
          <w:rStyle w:val="BodyTextChar"/>
          <w:rFonts w:cs="Calibri"/>
        </w:rPr>
        <w:t>here the measure has not been or will not be (i.e.</w:t>
      </w:r>
      <w:r w:rsidR="57FF3D58" w:rsidRPr="00DD477A">
        <w:rPr>
          <w:rStyle w:val="BodyTextChar"/>
          <w:rFonts w:cs="Calibri"/>
        </w:rPr>
        <w:t>,</w:t>
      </w:r>
      <w:r w:rsidR="53BF0693" w:rsidRPr="00DD477A">
        <w:rPr>
          <w:rStyle w:val="BodyTextChar"/>
          <w:rFonts w:cs="Calibri"/>
        </w:rPr>
        <w:t xml:space="preserve"> for national security reasons) announced publicly at the release of the next budget statement, the costs for the measure should continue to be included as part of the </w:t>
      </w:r>
      <w:r w:rsidR="006714EB" w:rsidRPr="00DD477A">
        <w:rPr>
          <w:rStyle w:val="BodyTextChar"/>
          <w:rFonts w:cs="Calibri"/>
        </w:rPr>
        <w:t>‘</w:t>
      </w:r>
      <w:r w:rsidR="53BF0693" w:rsidRPr="00DD477A">
        <w:rPr>
          <w:rStyle w:val="BodyTextChar"/>
          <w:rFonts w:cs="Calibri"/>
        </w:rPr>
        <w:t>Decisions taken but not yet announced</w:t>
      </w:r>
      <w:r w:rsidR="006714EB" w:rsidRPr="00DD477A">
        <w:rPr>
          <w:rStyle w:val="BodyTextChar"/>
          <w:rFonts w:cs="Calibri"/>
        </w:rPr>
        <w:t>’</w:t>
      </w:r>
      <w:r w:rsidR="53BF0693" w:rsidRPr="00DD477A">
        <w:rPr>
          <w:rStyle w:val="BodyTextChar"/>
          <w:rFonts w:cs="Calibri"/>
        </w:rPr>
        <w:t xml:space="preserve"> total line at the bottom of Table 1.2. The measure title should not be listed separately.</w:t>
      </w:r>
    </w:p>
    <w:p w14:paraId="268F9D4A" w14:textId="52D30F39" w:rsidR="001807A9" w:rsidRPr="00DD477A" w:rsidRDefault="53BF0693" w:rsidP="53BF0693">
      <w:pPr>
        <w:rPr>
          <w:rStyle w:val="BodyTextChar"/>
          <w:rFonts w:cs="Calibri"/>
        </w:rPr>
      </w:pPr>
      <w:r w:rsidRPr="00DD477A">
        <w:rPr>
          <w:rStyle w:val="BodyTextChar"/>
          <w:rFonts w:cs="Calibri"/>
        </w:rPr>
        <w:t xml:space="preserve">For further </w:t>
      </w:r>
      <w:r w:rsidR="006F2D46" w:rsidRPr="00DD477A">
        <w:rPr>
          <w:rStyle w:val="BodyTextChar"/>
          <w:rFonts w:cs="Calibri"/>
        </w:rPr>
        <w:t>information,</w:t>
      </w:r>
      <w:r w:rsidRPr="00DD477A">
        <w:rPr>
          <w:rStyle w:val="BodyTextChar"/>
          <w:rFonts w:cs="Calibri"/>
        </w:rPr>
        <w:t xml:space="preserve"> the relevant AAU should be contacted in the first instance.</w:t>
      </w:r>
    </w:p>
    <w:p w14:paraId="6E91ECD5" w14:textId="788435AD" w:rsidR="002078B6" w:rsidRPr="00DD477A" w:rsidRDefault="009D5BD5" w:rsidP="00580008">
      <w:pPr>
        <w:pStyle w:val="Boxed2Text"/>
        <w:rPr>
          <w:rFonts w:cs="Calibri"/>
        </w:rPr>
      </w:pPr>
      <w:r>
        <w:t>Where DTBNYA a</w:t>
      </w:r>
      <w:r w:rsidRPr="00C04430">
        <w:t xml:space="preserve">mounts </w:t>
      </w:r>
      <w:r>
        <w:t xml:space="preserve">remain </w:t>
      </w:r>
      <w:r w:rsidRPr="00C04430">
        <w:t>in the contingency reserve (CR)</w:t>
      </w:r>
      <w:r>
        <w:t>, they</w:t>
      </w:r>
      <w:r w:rsidRPr="00C04430">
        <w:t xml:space="preserve"> are not considered to be appropriated</w:t>
      </w:r>
      <w:r>
        <w:t xml:space="preserve"> and would not be included in an entity’s PB</w:t>
      </w:r>
      <w:r w:rsidR="005F67AB">
        <w:t xml:space="preserve"> </w:t>
      </w:r>
      <w:r w:rsidR="005F67AB">
        <w:rPr>
          <w:rFonts w:cs="Calibri"/>
        </w:rPr>
        <w:t>Statement</w:t>
      </w:r>
      <w:r>
        <w:t xml:space="preserve"> chapter</w:t>
      </w:r>
      <w:r w:rsidR="53BF0693" w:rsidRPr="00DD477A">
        <w:rPr>
          <w:rFonts w:cs="Calibri"/>
        </w:rPr>
        <w:t>.</w:t>
      </w:r>
    </w:p>
    <w:p w14:paraId="4A7F4B01" w14:textId="74AA787F" w:rsidR="00DB7808" w:rsidRPr="00DD477A" w:rsidRDefault="00DB7808" w:rsidP="003D6589">
      <w:pPr>
        <w:pStyle w:val="Heading3"/>
        <w:rPr>
          <w:szCs w:val="28"/>
        </w:rPr>
      </w:pPr>
      <w:bookmarkStart w:id="930" w:name="_Toc227749038"/>
      <w:r w:rsidRPr="00DD477A">
        <w:t>Measures with indicative costs</w:t>
      </w:r>
      <w:bookmarkEnd w:id="930"/>
    </w:p>
    <w:p w14:paraId="2BF1EFBA" w14:textId="4A5C83FE" w:rsidR="001457EE" w:rsidRPr="00DD477A" w:rsidRDefault="53BF0693" w:rsidP="00636880">
      <w:pPr>
        <w:rPr>
          <w:rStyle w:val="BodyTextChar"/>
          <w:rFonts w:cs="Calibri"/>
        </w:rPr>
      </w:pPr>
      <w:r w:rsidRPr="00DD477A">
        <w:rPr>
          <w:rStyle w:val="BodyTextChar"/>
          <w:rFonts w:cs="Calibri"/>
        </w:rPr>
        <w:t xml:space="preserve">Where measures are published in an economic statement with indicative costs, these measures should be </w:t>
      </w:r>
      <w:r w:rsidR="00EA5EAA" w:rsidRPr="00DD477A">
        <w:rPr>
          <w:rStyle w:val="BodyTextChar"/>
          <w:rFonts w:cs="Calibri"/>
        </w:rPr>
        <w:t xml:space="preserve">subsequently </w:t>
      </w:r>
      <w:r w:rsidRPr="00DD477A">
        <w:rPr>
          <w:rStyle w:val="BodyTextChar"/>
          <w:rFonts w:cs="Calibri"/>
        </w:rPr>
        <w:t xml:space="preserve">listed in Table 1.2 only </w:t>
      </w:r>
      <w:r w:rsidR="002F5E9E" w:rsidRPr="00DD477A">
        <w:rPr>
          <w:rStyle w:val="BodyTextChar"/>
          <w:rFonts w:cs="Calibri"/>
        </w:rPr>
        <w:t>when</w:t>
      </w:r>
      <w:r w:rsidRPr="00DD477A">
        <w:rPr>
          <w:rStyle w:val="BodyTextChar"/>
          <w:rFonts w:cs="Calibri"/>
        </w:rPr>
        <w:t xml:space="preserve"> the </w:t>
      </w:r>
      <w:r w:rsidR="002F5E9E" w:rsidRPr="00DD477A">
        <w:rPr>
          <w:rStyle w:val="BodyTextChar"/>
          <w:rFonts w:cs="Calibri"/>
        </w:rPr>
        <w:t xml:space="preserve">final </w:t>
      </w:r>
      <w:r w:rsidRPr="00DD477A">
        <w:rPr>
          <w:rStyle w:val="BodyTextChar"/>
          <w:rFonts w:cs="Calibri"/>
        </w:rPr>
        <w:t>costs have been agreed</w:t>
      </w:r>
      <w:r w:rsidR="007B04B4" w:rsidRPr="00DD477A">
        <w:rPr>
          <w:rStyle w:val="BodyTextChar"/>
          <w:rFonts w:cs="Calibri"/>
        </w:rPr>
        <w:t>.</w:t>
      </w:r>
    </w:p>
    <w:p w14:paraId="61CBE9FC" w14:textId="77777777" w:rsidR="001457EE" w:rsidRPr="00DD477A" w:rsidRDefault="001457EE" w:rsidP="00B54999">
      <w:pPr>
        <w:pStyle w:val="Bullet1"/>
        <w:numPr>
          <w:ilvl w:val="0"/>
          <w:numId w:val="0"/>
        </w:numPr>
        <w:rPr>
          <w:rStyle w:val="BodyTextChar"/>
          <w:rFonts w:cs="Calibri"/>
        </w:rPr>
      </w:pPr>
      <w:r w:rsidRPr="00DD477A">
        <w:rPr>
          <w:rStyle w:val="BodyTextChar"/>
          <w:rFonts w:cs="Calibri"/>
        </w:rPr>
        <w:t>The measure should be listed in Table 1.2 with its full measure title and dashes ‘–‘ for the financials as these costs have previously been allocated to the entity.</w:t>
      </w:r>
    </w:p>
    <w:p w14:paraId="75199DEA" w14:textId="338945FB" w:rsidR="00FA0945" w:rsidRPr="00DD477A" w:rsidRDefault="00857D0F" w:rsidP="0095142C">
      <w:pPr>
        <w:rPr>
          <w:rStyle w:val="BodyTextChar"/>
          <w:rFonts w:cs="Calibri"/>
        </w:rPr>
      </w:pPr>
      <w:r w:rsidRPr="00DD477A">
        <w:rPr>
          <w:rStyle w:val="BodyTextChar"/>
          <w:rFonts w:cs="Calibri"/>
        </w:rPr>
        <w:t>A</w:t>
      </w:r>
      <w:r w:rsidR="53BF0693" w:rsidRPr="00DD477A">
        <w:rPr>
          <w:rStyle w:val="BodyTextChar"/>
          <w:rFonts w:cs="Calibri"/>
        </w:rPr>
        <w:t xml:space="preserve"> footnote </w:t>
      </w:r>
      <w:r w:rsidRPr="00DD477A">
        <w:rPr>
          <w:rStyle w:val="BodyTextChar"/>
          <w:rFonts w:cs="Calibri"/>
        </w:rPr>
        <w:t xml:space="preserve">should be included, </w:t>
      </w:r>
      <w:r w:rsidR="53BF0693" w:rsidRPr="00DD477A">
        <w:rPr>
          <w:rStyle w:val="BodyTextChar"/>
          <w:rFonts w:cs="Calibri"/>
        </w:rPr>
        <w:t xml:space="preserve">stating that the measure was previously published in </w:t>
      </w:r>
      <w:r w:rsidR="00A1051E" w:rsidRPr="00DD477A">
        <w:rPr>
          <w:rStyle w:val="BodyTextChar"/>
          <w:rFonts w:cs="Calibri"/>
        </w:rPr>
        <w:t>BP </w:t>
      </w:r>
      <w:r w:rsidR="53BF0693" w:rsidRPr="00DD477A">
        <w:rPr>
          <w:rStyle w:val="BodyTextChar"/>
          <w:rFonts w:cs="Calibri"/>
        </w:rPr>
        <w:t>No. 2</w:t>
      </w:r>
      <w:r w:rsidR="007D613F" w:rsidRPr="00DD477A">
        <w:rPr>
          <w:rStyle w:val="BodyTextChar"/>
          <w:rFonts w:cs="Calibri"/>
        </w:rPr>
        <w:t>, MYEFO</w:t>
      </w:r>
      <w:r w:rsidR="004645A6" w:rsidRPr="00DD477A">
        <w:rPr>
          <w:rStyle w:val="BodyTextChar"/>
          <w:rFonts w:cs="Calibri"/>
        </w:rPr>
        <w:t xml:space="preserve"> or </w:t>
      </w:r>
      <w:r w:rsidR="53BF0693" w:rsidRPr="00DD477A">
        <w:rPr>
          <w:rStyle w:val="BodyTextChar"/>
          <w:rFonts w:cs="Calibri"/>
        </w:rPr>
        <w:t>the relevant economic statement and th</w:t>
      </w:r>
      <w:r w:rsidR="00E82604" w:rsidRPr="00DD477A">
        <w:rPr>
          <w:rStyle w:val="BodyTextChar"/>
          <w:rFonts w:cs="Calibri"/>
        </w:rPr>
        <w:t>at</w:t>
      </w:r>
      <w:r w:rsidR="53BF0693" w:rsidRPr="00DD477A">
        <w:rPr>
          <w:rStyle w:val="BodyTextChar"/>
          <w:rFonts w:cs="Calibri"/>
        </w:rPr>
        <w:t xml:space="preserve"> costs shown are now final</w:t>
      </w:r>
      <w:r w:rsidR="00FD1825" w:rsidRPr="00DD477A">
        <w:rPr>
          <w:rStyle w:val="BodyTextChar"/>
          <w:rFonts w:cs="Calibri"/>
        </w:rPr>
        <w:t>.</w:t>
      </w:r>
      <w:r w:rsidR="00636880" w:rsidRPr="00DD477A">
        <w:rPr>
          <w:rStyle w:val="BodyTextChar"/>
          <w:rFonts w:cs="Calibri"/>
        </w:rPr>
        <w:t xml:space="preserve"> </w:t>
      </w:r>
      <w:r w:rsidR="00FD1825" w:rsidRPr="00DD477A">
        <w:rPr>
          <w:rStyle w:val="BodyTextChar"/>
          <w:rFonts w:cs="Calibri"/>
        </w:rPr>
        <w:t xml:space="preserve">For </w:t>
      </w:r>
      <w:r w:rsidR="53BF0693" w:rsidRPr="00DD477A">
        <w:rPr>
          <w:rStyle w:val="BodyTextChar"/>
          <w:rFonts w:cs="Calibri"/>
        </w:rPr>
        <w:t xml:space="preserve">cross-portfolio measures </w:t>
      </w:r>
      <w:r w:rsidR="00636880" w:rsidRPr="00DD477A">
        <w:rPr>
          <w:rStyle w:val="BodyTextChar"/>
          <w:rFonts w:cs="Calibri"/>
        </w:rPr>
        <w:t xml:space="preserve">the </w:t>
      </w:r>
      <w:r w:rsidR="53BF0693" w:rsidRPr="00DD477A">
        <w:rPr>
          <w:rStyle w:val="BodyTextChar"/>
          <w:rFonts w:cs="Calibri"/>
        </w:rPr>
        <w:t xml:space="preserve">footnote </w:t>
      </w:r>
      <w:r w:rsidR="00636880" w:rsidRPr="00DD477A">
        <w:rPr>
          <w:rStyle w:val="BodyTextChar"/>
          <w:rFonts w:cs="Calibri"/>
        </w:rPr>
        <w:t>should detail</w:t>
      </w:r>
      <w:r w:rsidR="53BF0693" w:rsidRPr="00DD477A">
        <w:rPr>
          <w:rStyle w:val="BodyTextChar"/>
          <w:rFonts w:cs="Calibri"/>
        </w:rPr>
        <w:t xml:space="preserve"> that it is a cross-portfolio measure previously published in BP No. 2</w:t>
      </w:r>
      <w:r w:rsidR="007D613F" w:rsidRPr="00DD477A">
        <w:rPr>
          <w:rStyle w:val="BodyTextChar"/>
          <w:rFonts w:cs="Calibri"/>
        </w:rPr>
        <w:t>, MYEFO</w:t>
      </w:r>
      <w:r w:rsidR="00E82604" w:rsidRPr="00DD477A">
        <w:rPr>
          <w:rStyle w:val="BodyTextChar"/>
          <w:rFonts w:cs="Calibri"/>
        </w:rPr>
        <w:t xml:space="preserve"> </w:t>
      </w:r>
      <w:r w:rsidR="00893209" w:rsidRPr="00DD477A">
        <w:rPr>
          <w:rStyle w:val="BodyTextChar"/>
          <w:rFonts w:cs="Calibri"/>
        </w:rPr>
        <w:t xml:space="preserve">or </w:t>
      </w:r>
      <w:r w:rsidR="53BF0693" w:rsidRPr="00DD477A">
        <w:rPr>
          <w:rStyle w:val="BodyTextChar"/>
          <w:rFonts w:cs="Calibri"/>
        </w:rPr>
        <w:t>the relevant economic statement and naming the lead entity</w:t>
      </w:r>
      <w:r w:rsidR="00FD1825" w:rsidRPr="00DD477A">
        <w:rPr>
          <w:rStyle w:val="BodyTextChar"/>
          <w:rFonts w:cs="Calibri"/>
        </w:rPr>
        <w:t>.</w:t>
      </w:r>
    </w:p>
    <w:p w14:paraId="163197FD" w14:textId="48CD35F6" w:rsidR="00DB7808" w:rsidRPr="00DD477A" w:rsidRDefault="00DB7808" w:rsidP="003D6589">
      <w:pPr>
        <w:pStyle w:val="Heading3"/>
        <w:rPr>
          <w:szCs w:val="28"/>
        </w:rPr>
      </w:pPr>
      <w:bookmarkStart w:id="931" w:name="_Toc227749039"/>
      <w:r w:rsidRPr="00DD477A">
        <w:t xml:space="preserve">Measures earmarked as ‘not for </w:t>
      </w:r>
      <w:r w:rsidRPr="00DD477A">
        <w:rPr>
          <w:iCs/>
          <w:szCs w:val="28"/>
        </w:rPr>
        <w:t>publication’</w:t>
      </w:r>
      <w:r w:rsidR="001457EE" w:rsidRPr="00DD477A">
        <w:rPr>
          <w:iCs/>
          <w:szCs w:val="28"/>
        </w:rPr>
        <w:t xml:space="preserve"> (</w:t>
      </w:r>
      <w:r w:rsidR="00E86807" w:rsidRPr="00DD477A">
        <w:rPr>
          <w:iCs/>
          <w:szCs w:val="28"/>
        </w:rPr>
        <w:t>N</w:t>
      </w:r>
      <w:r w:rsidR="00027F2A" w:rsidRPr="00DD477A">
        <w:rPr>
          <w:iCs/>
          <w:szCs w:val="28"/>
        </w:rPr>
        <w:t>F</w:t>
      </w:r>
      <w:r w:rsidR="00E86807" w:rsidRPr="00DD477A">
        <w:rPr>
          <w:iCs/>
          <w:szCs w:val="28"/>
        </w:rPr>
        <w:t>P)</w:t>
      </w:r>
      <w:bookmarkEnd w:id="931"/>
    </w:p>
    <w:p w14:paraId="5D847BA8" w14:textId="77777777" w:rsidR="00E614E4" w:rsidRPr="00C04430" w:rsidRDefault="00E614E4" w:rsidP="00E614E4">
      <w:r w:rsidRPr="00C04430">
        <w:t xml:space="preserve">Measures may be published in </w:t>
      </w:r>
      <w:bookmarkStart w:id="932" w:name="_Hlk188523325"/>
      <w:r w:rsidRPr="00C04430">
        <w:t xml:space="preserve">Budget Paper No. 2 / MYEFO / economic statement </w:t>
      </w:r>
      <w:bookmarkEnd w:id="932"/>
      <w:r w:rsidRPr="00C04430">
        <w:t xml:space="preserve">where the financials are ‘not for publication’ (shown as </w:t>
      </w:r>
      <w:r w:rsidRPr="00C04430">
        <w:rPr>
          <w:i/>
          <w:iCs/>
        </w:rPr>
        <w:t>nfp</w:t>
      </w:r>
      <w:r w:rsidRPr="00C04430">
        <w:t xml:space="preserve">) which may be due to national security, commercial sensitivities, and commercial-in-confidence considerations or where negotiations are yet to be finalised. In this case, the financials for the measures in PB Statements will also need to be shown as </w:t>
      </w:r>
      <w:r w:rsidRPr="00C04430">
        <w:rPr>
          <w:i/>
          <w:iCs/>
        </w:rPr>
        <w:t>nfp</w:t>
      </w:r>
      <w:r w:rsidRPr="00C04430">
        <w:t>.</w:t>
      </w:r>
    </w:p>
    <w:p w14:paraId="1ADC7AE5" w14:textId="5B9A63FF" w:rsidR="00467F8F" w:rsidRDefault="00527B0B" w:rsidP="006020B2">
      <w:pPr>
        <w:pStyle w:val="Boxed2Text"/>
      </w:pPr>
      <w:r>
        <w:t xml:space="preserve">Where a measure is marked as </w:t>
      </w:r>
      <w:r w:rsidRPr="003D18AF">
        <w:rPr>
          <w:i/>
          <w:iCs/>
        </w:rPr>
        <w:t>‘</w:t>
      </w:r>
      <w:r w:rsidR="00F14D8E" w:rsidRPr="003D18AF">
        <w:rPr>
          <w:i/>
          <w:iCs/>
        </w:rPr>
        <w:t>nfp</w:t>
      </w:r>
      <w:r w:rsidRPr="003D18AF">
        <w:rPr>
          <w:i/>
          <w:iCs/>
        </w:rPr>
        <w:t>’</w:t>
      </w:r>
      <w:r>
        <w:t>, e</w:t>
      </w:r>
      <w:r w:rsidR="007E6381" w:rsidRPr="00DD477A">
        <w:t xml:space="preserve">ntities are required to </w:t>
      </w:r>
      <w:r w:rsidR="00AE4CEE">
        <w:t xml:space="preserve">include </w:t>
      </w:r>
      <w:r w:rsidR="007E6381" w:rsidRPr="00DD477A">
        <w:t xml:space="preserve">a footnote to </w:t>
      </w:r>
      <w:r w:rsidR="00F2184E" w:rsidRPr="00DD477A">
        <w:t xml:space="preserve">Table 1.2 </w:t>
      </w:r>
      <w:r w:rsidR="00F60F23">
        <w:t xml:space="preserve">Entities </w:t>
      </w:r>
      <w:r w:rsidR="0095585E">
        <w:t>202</w:t>
      </w:r>
      <w:r w:rsidR="009D5BA8">
        <w:t>6</w:t>
      </w:r>
      <w:r w:rsidR="00C917CE">
        <w:t>–</w:t>
      </w:r>
      <w:r w:rsidR="0095585E">
        <w:t>2</w:t>
      </w:r>
      <w:r w:rsidR="009D5BA8">
        <w:t>7</w:t>
      </w:r>
      <w:r w:rsidR="00457ACD">
        <w:t xml:space="preserve"> Budget measures </w:t>
      </w:r>
      <w:r w:rsidR="00F2184E" w:rsidRPr="00DD477A">
        <w:t>t</w:t>
      </w:r>
      <w:r w:rsidR="009B0086">
        <w:t>hat</w:t>
      </w:r>
      <w:r w:rsidR="00F2184E" w:rsidRPr="00DD477A">
        <w:t xml:space="preserve"> </w:t>
      </w:r>
      <w:r w:rsidR="007E6381" w:rsidRPr="00DD477A">
        <w:t>provide</w:t>
      </w:r>
      <w:r w:rsidR="009B0086">
        <w:t>s</w:t>
      </w:r>
      <w:r w:rsidR="007E6381" w:rsidRPr="00DD477A">
        <w:t xml:space="preserve"> a high-level explanation clarifying why the measure </w:t>
      </w:r>
      <w:r w:rsidR="008332B6" w:rsidRPr="00DD477A">
        <w:t xml:space="preserve">was </w:t>
      </w:r>
      <w:r w:rsidR="007E6381" w:rsidRPr="00DD477A">
        <w:t>reported this way</w:t>
      </w:r>
      <w:r w:rsidR="003F60C1">
        <w:t>.</w:t>
      </w:r>
    </w:p>
    <w:p w14:paraId="2DE8633C" w14:textId="77F85027" w:rsidR="003D18AF" w:rsidRDefault="003F60C1" w:rsidP="00253C5A">
      <w:pPr>
        <w:pStyle w:val="Boxed2Text"/>
      </w:pPr>
      <w:r w:rsidRPr="00253C5A">
        <w:t xml:space="preserve">The </w:t>
      </w:r>
      <w:r w:rsidR="00662A34" w:rsidRPr="003D18AF">
        <w:t xml:space="preserve">NFP measure’s </w:t>
      </w:r>
      <w:r w:rsidR="009F2F51">
        <w:t>footnote</w:t>
      </w:r>
      <w:r w:rsidR="00662A34" w:rsidRPr="003D18AF">
        <w:t xml:space="preserve"> </w:t>
      </w:r>
      <w:r w:rsidRPr="00253C5A">
        <w:t xml:space="preserve">will need to link to the </w:t>
      </w:r>
      <w:r w:rsidR="00BB608D" w:rsidRPr="003D18AF">
        <w:t xml:space="preserve">explanatory statement </w:t>
      </w:r>
      <w:r w:rsidR="006020B2" w:rsidRPr="00253C5A">
        <w:t>published in Budget Paper No.2</w:t>
      </w:r>
      <w:r w:rsidR="00AD0466" w:rsidRPr="003D18AF">
        <w:t xml:space="preserve"> </w:t>
      </w:r>
      <w:r w:rsidR="0063138B" w:rsidRPr="003D18AF">
        <w:t xml:space="preserve">to </w:t>
      </w:r>
      <w:r w:rsidR="0094027A">
        <w:t xml:space="preserve">help </w:t>
      </w:r>
      <w:r w:rsidR="0063138B" w:rsidRPr="003D18AF">
        <w:t xml:space="preserve">substantiate </w:t>
      </w:r>
      <w:r w:rsidR="00732D17">
        <w:t xml:space="preserve">the </w:t>
      </w:r>
      <w:r w:rsidR="0063138B" w:rsidRPr="003D18AF">
        <w:t xml:space="preserve">decision </w:t>
      </w:r>
      <w:r w:rsidR="003D18AF">
        <w:t xml:space="preserve">to </w:t>
      </w:r>
      <w:r w:rsidR="0063138B" w:rsidRPr="003D18AF">
        <w:t>not</w:t>
      </w:r>
      <w:r w:rsidR="0050745C">
        <w:t xml:space="preserve"> </w:t>
      </w:r>
      <w:r w:rsidR="003D18AF">
        <w:t>disclose the measure’s financial impact.</w:t>
      </w:r>
    </w:p>
    <w:p w14:paraId="262950A9" w14:textId="18C2ECAD" w:rsidR="00E24D83" w:rsidRPr="00DD477A" w:rsidRDefault="003D18AF" w:rsidP="00253C5A">
      <w:pPr>
        <w:pStyle w:val="Boxed2Text"/>
      </w:pPr>
      <w:r>
        <w:t>Entities in most instances are required to disclose</w:t>
      </w:r>
      <w:r w:rsidR="0063138B" w:rsidRPr="00892E30">
        <w:t xml:space="preserve"> the</w:t>
      </w:r>
      <w:r>
        <w:t>ir</w:t>
      </w:r>
      <w:r w:rsidR="0063138B" w:rsidRPr="003D18AF">
        <w:t xml:space="preserve"> financial </w:t>
      </w:r>
      <w:r w:rsidR="00BE6732">
        <w:t>impacts,</w:t>
      </w:r>
      <w:r>
        <w:t xml:space="preserve"> so they conform with</w:t>
      </w:r>
      <w:r w:rsidR="0063138B" w:rsidRPr="00892E30">
        <w:t xml:space="preserve"> </w:t>
      </w:r>
      <w:r w:rsidR="000C7417" w:rsidRPr="00892E30">
        <w:t>a</w:t>
      </w:r>
      <w:r w:rsidR="0063138B" w:rsidRPr="00892E30">
        <w:t xml:space="preserve"> public interest disclosure</w:t>
      </w:r>
      <w:r w:rsidR="009F2F51">
        <w:t xml:space="preserve"> requirement</w:t>
      </w:r>
      <w:r w:rsidR="0063138B" w:rsidRPr="003D18AF">
        <w:t>.</w:t>
      </w:r>
    </w:p>
    <w:p w14:paraId="156935BB" w14:textId="5DF67848" w:rsidR="00DB7808" w:rsidRPr="00DD477A" w:rsidRDefault="00DB7808" w:rsidP="003D6589">
      <w:pPr>
        <w:pStyle w:val="Heading3"/>
        <w:rPr>
          <w:szCs w:val="28"/>
        </w:rPr>
      </w:pPr>
      <w:bookmarkStart w:id="933" w:name="_Toc227749040"/>
      <w:r w:rsidRPr="00DD477A">
        <w:t>Machinery of government changes</w:t>
      </w:r>
      <w:r w:rsidR="00AD49C2" w:rsidRPr="00DD477A">
        <w:rPr>
          <w:iCs/>
          <w:szCs w:val="28"/>
        </w:rPr>
        <w:t xml:space="preserve"> (MoG)</w:t>
      </w:r>
      <w:bookmarkEnd w:id="933"/>
    </w:p>
    <w:p w14:paraId="7A9C25BF" w14:textId="4CFB1B1B" w:rsidR="001D5761" w:rsidRPr="00DD477A" w:rsidRDefault="6B6EE5C4" w:rsidP="6B6EE5C4">
      <w:pPr>
        <w:rPr>
          <w:rStyle w:val="BodyTextChar"/>
          <w:rFonts w:cs="Calibri"/>
        </w:rPr>
      </w:pPr>
      <w:r w:rsidRPr="00DD477A">
        <w:rPr>
          <w:rStyle w:val="BodyTextChar"/>
          <w:rFonts w:cs="Calibri"/>
        </w:rPr>
        <w:t>Where MoG changes</w:t>
      </w:r>
      <w:r w:rsidR="00026CA3" w:rsidRPr="00DD477A">
        <w:rPr>
          <w:rStyle w:val="BodyTextChar"/>
          <w:rFonts w:cs="Calibri"/>
        </w:rPr>
        <w:t xml:space="preserve"> have been </w:t>
      </w:r>
      <w:r w:rsidR="00574428">
        <w:rPr>
          <w:rStyle w:val="BodyTextChar"/>
          <w:rFonts w:cs="Calibri"/>
        </w:rPr>
        <w:t>implemented</w:t>
      </w:r>
      <w:r w:rsidRPr="00DD477A">
        <w:rPr>
          <w:rStyle w:val="BodyTextChar"/>
          <w:rFonts w:cs="Calibri"/>
        </w:rPr>
        <w:t xml:space="preserve">, </w:t>
      </w:r>
      <w:r w:rsidRPr="00DD477A">
        <w:rPr>
          <w:rStyle w:val="BodyTextChar"/>
          <w:rFonts w:eastAsiaTheme="minorEastAsia" w:cs="Calibri"/>
        </w:rPr>
        <w:t>the</w:t>
      </w:r>
      <w:r w:rsidRPr="00DD477A">
        <w:rPr>
          <w:rStyle w:val="BodyTextChar"/>
          <w:rFonts w:cs="Calibri"/>
        </w:rPr>
        <w:t xml:space="preserve"> gaining entity should publish any new measures relating to the function(s) </w:t>
      </w:r>
      <w:r w:rsidR="00026CA3" w:rsidRPr="00DD477A">
        <w:rPr>
          <w:rStyle w:val="BodyTextChar"/>
          <w:rFonts w:cs="Calibri"/>
        </w:rPr>
        <w:t xml:space="preserve">that have been transferred </w:t>
      </w:r>
      <w:r w:rsidR="00805479" w:rsidRPr="00DD477A">
        <w:rPr>
          <w:rStyle w:val="BodyTextChar"/>
          <w:rFonts w:cs="Calibri"/>
        </w:rPr>
        <w:t>to them in Table 1.2 of their PB Statements</w:t>
      </w:r>
      <w:r w:rsidRPr="00DD477A">
        <w:rPr>
          <w:rStyle w:val="BodyTextChar"/>
          <w:rFonts w:cs="Calibri"/>
        </w:rPr>
        <w:t>.</w:t>
      </w:r>
    </w:p>
    <w:p w14:paraId="686A91F0" w14:textId="5E4A7E3C" w:rsidR="00FA0945" w:rsidRPr="00DD477A" w:rsidRDefault="53BF0693" w:rsidP="003D6589">
      <w:pPr>
        <w:pStyle w:val="Heading1"/>
        <w:rPr>
          <w:sz w:val="36"/>
          <w:szCs w:val="36"/>
        </w:rPr>
      </w:pPr>
      <w:bookmarkStart w:id="934" w:name="_Toc534459664"/>
      <w:bookmarkStart w:id="935" w:name="_Toc534519159"/>
      <w:bookmarkStart w:id="936" w:name="_Toc534520069"/>
      <w:bookmarkStart w:id="937" w:name="_Toc534520339"/>
      <w:bookmarkStart w:id="938" w:name="_Toc534527551"/>
      <w:bookmarkStart w:id="939" w:name="_Toc534528281"/>
      <w:bookmarkStart w:id="940" w:name="_Toc534803502"/>
      <w:bookmarkStart w:id="941" w:name="_Toc534814193"/>
      <w:bookmarkStart w:id="942" w:name="_Toc536108566"/>
      <w:bookmarkStart w:id="943" w:name="_Toc534458876"/>
      <w:bookmarkStart w:id="944" w:name="_Toc534459665"/>
      <w:bookmarkStart w:id="945" w:name="_Toc534519160"/>
      <w:bookmarkStart w:id="946" w:name="_Toc534520070"/>
      <w:bookmarkStart w:id="947" w:name="_Toc534520340"/>
      <w:bookmarkStart w:id="948" w:name="_Toc534527552"/>
      <w:bookmarkStart w:id="949" w:name="_Toc534528282"/>
      <w:bookmarkStart w:id="950" w:name="_Toc534803503"/>
      <w:bookmarkStart w:id="951" w:name="_Toc534814194"/>
      <w:bookmarkStart w:id="952" w:name="_Toc536108567"/>
      <w:bookmarkStart w:id="953" w:name="_Toc411852679"/>
      <w:bookmarkStart w:id="954" w:name="_Toc534382559"/>
      <w:bookmarkStart w:id="955" w:name="_Toc63347710"/>
      <w:bookmarkStart w:id="956" w:name="_Toc227749041"/>
      <w:bookmarkStart w:id="957" w:name="OLE_LINK3"/>
      <w:bookmarkStart w:id="958" w:name="OLE_LINK4"/>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Pr="00DD477A">
        <w:t>Outcomes and planned performance</w:t>
      </w:r>
      <w:bookmarkEnd w:id="953"/>
      <w:bookmarkEnd w:id="954"/>
      <w:bookmarkEnd w:id="955"/>
      <w:r w:rsidR="005771D0">
        <w:t xml:space="preserve"> </w:t>
      </w:r>
      <w:r w:rsidR="008E77DE" w:rsidRPr="00DD477A">
        <w:t>- Section 2</w:t>
      </w:r>
      <w:bookmarkEnd w:id="956"/>
    </w:p>
    <w:p w14:paraId="5B6DA2D1" w14:textId="3693C61C" w:rsidR="00945BF5" w:rsidRPr="00DD477A" w:rsidRDefault="53BF0693" w:rsidP="000A7DEC">
      <w:pPr>
        <w:pStyle w:val="Boxed2Text"/>
        <w:rPr>
          <w:rFonts w:cs="Calibri"/>
        </w:rPr>
      </w:pPr>
      <w:r w:rsidRPr="00DD477A">
        <w:rPr>
          <w:rStyle w:val="BodyTextChar"/>
          <w:rFonts w:cs="Calibri"/>
        </w:rPr>
        <w:t xml:space="preserve">For </w:t>
      </w:r>
      <w:r w:rsidR="009D4B71" w:rsidRPr="00DD477A">
        <w:rPr>
          <w:rFonts w:cs="Calibri"/>
        </w:rPr>
        <w:t xml:space="preserve">information </w:t>
      </w:r>
      <w:r w:rsidRPr="00DD477A">
        <w:rPr>
          <w:rFonts w:cs="Calibri"/>
        </w:rPr>
        <w:t xml:space="preserve">regarding performance reporting in the PB Statements, please </w:t>
      </w:r>
      <w:r w:rsidR="009D4B71" w:rsidRPr="00DD477A">
        <w:rPr>
          <w:rFonts w:cs="Calibri"/>
        </w:rPr>
        <w:t xml:space="preserve">refer to </w:t>
      </w:r>
      <w:hyperlink r:id="rId135" w:history="1">
        <w:r w:rsidR="004545D7">
          <w:rPr>
            <w:rStyle w:val="Hyperlink"/>
          </w:rPr>
          <w:t>RMG</w:t>
        </w:r>
        <w:r w:rsidR="004D784F">
          <w:rPr>
            <w:rStyle w:val="Hyperlink"/>
          </w:rPr>
          <w:t> </w:t>
        </w:r>
        <w:r w:rsidR="004545D7">
          <w:rPr>
            <w:rStyle w:val="Hyperlink"/>
          </w:rPr>
          <w:t>129</w:t>
        </w:r>
        <w:r w:rsidR="004D784F">
          <w:rPr>
            <w:rStyle w:val="Hyperlink"/>
          </w:rPr>
          <w:t> </w:t>
        </w:r>
        <w:r w:rsidR="004545D7">
          <w:rPr>
            <w:rStyle w:val="Hyperlink"/>
          </w:rPr>
          <w:t>Reporting performance information in Portfolio Budget Statements</w:t>
        </w:r>
      </w:hyperlink>
      <w:r w:rsidR="009D4B71" w:rsidRPr="004356F5">
        <w:rPr>
          <w:rStyle w:val="Hyperlink"/>
          <w:u w:val="none"/>
        </w:rPr>
        <w:t xml:space="preserve"> </w:t>
      </w:r>
      <w:r w:rsidR="009D4B71" w:rsidRPr="00DD477A">
        <w:rPr>
          <w:rStyle w:val="Hyperlink"/>
          <w:u w:val="none"/>
        </w:rPr>
        <w:t xml:space="preserve">or </w:t>
      </w:r>
      <w:r w:rsidRPr="00DD477A">
        <w:rPr>
          <w:rStyle w:val="Hyperlink"/>
          <w:u w:val="none"/>
        </w:rPr>
        <w:t xml:space="preserve">contact the </w:t>
      </w:r>
      <w:r w:rsidR="00B50E22" w:rsidRPr="00DD477A">
        <w:rPr>
          <w:rStyle w:val="Hyperlink"/>
          <w:u w:val="none"/>
        </w:rPr>
        <w:t>PGPA and Digital Reportin</w:t>
      </w:r>
      <w:r w:rsidR="00B50E22" w:rsidRPr="00DD477A">
        <w:rPr>
          <w:rFonts w:cs="Calibri"/>
        </w:rPr>
        <w:t>g</w:t>
      </w:r>
      <w:r w:rsidRPr="00DD477A">
        <w:rPr>
          <w:rFonts w:cs="Calibri"/>
        </w:rPr>
        <w:t xml:space="preserve"> Branch in Finance </w:t>
      </w:r>
      <w:hyperlink r:id="rId136">
        <w:r w:rsidRPr="00DD477A">
          <w:rPr>
            <w:rStyle w:val="Hyperlink"/>
          </w:rPr>
          <w:t>PGPA@finance.gov.au</w:t>
        </w:r>
      </w:hyperlink>
      <w:r w:rsidRPr="00DD477A">
        <w:rPr>
          <w:rFonts w:cs="Calibri"/>
        </w:rPr>
        <w:t>.</w:t>
      </w:r>
    </w:p>
    <w:p w14:paraId="180C04B8" w14:textId="77777777" w:rsidR="00945BF5" w:rsidRPr="00DD477A" w:rsidRDefault="53BF0693" w:rsidP="000A7DEC">
      <w:pPr>
        <w:pStyle w:val="Boxed2Text"/>
        <w:rPr>
          <w:rFonts w:cs="Calibri"/>
        </w:rPr>
      </w:pPr>
      <w:r w:rsidRPr="00DD477A">
        <w:rPr>
          <w:rFonts w:cs="Calibri"/>
        </w:rPr>
        <w:t>For advice on changing outcome statements or programs, please contact your AAU in Finance in the first instance.</w:t>
      </w:r>
    </w:p>
    <w:p w14:paraId="35CF0CBA" w14:textId="79A5189B" w:rsidR="00E569F4" w:rsidRPr="00DD477A" w:rsidRDefault="53BF0693" w:rsidP="53BF0693">
      <w:pPr>
        <w:rPr>
          <w:rStyle w:val="BodyTextChar"/>
          <w:rFonts w:cs="Calibri"/>
        </w:rPr>
      </w:pPr>
      <w:r w:rsidRPr="00DD477A">
        <w:rPr>
          <w:rStyle w:val="BodyTextChar"/>
          <w:rFonts w:cs="Calibri"/>
        </w:rPr>
        <w:t xml:space="preserve">The PB Statements </w:t>
      </w:r>
      <w:r w:rsidRPr="00DD477A">
        <w:rPr>
          <w:rStyle w:val="BodyTextChar"/>
          <w:rFonts w:cs="Calibri"/>
          <w:i/>
          <w:iCs/>
        </w:rPr>
        <w:t>Outcomes and planned performance</w:t>
      </w:r>
      <w:r w:rsidRPr="00DD477A">
        <w:rPr>
          <w:rStyle w:val="BodyTextChar"/>
          <w:rFonts w:cs="Calibri"/>
        </w:rPr>
        <w:t xml:space="preserve"> section (Section 2) details </w:t>
      </w:r>
      <w:r w:rsidR="00466425" w:rsidRPr="00DD477A">
        <w:rPr>
          <w:rStyle w:val="BodyTextChar"/>
          <w:rFonts w:cs="Calibri"/>
        </w:rPr>
        <w:t xml:space="preserve">how much an entity </w:t>
      </w:r>
      <w:r w:rsidR="000E2D89" w:rsidRPr="00DD477A">
        <w:rPr>
          <w:rStyle w:val="BodyTextChar"/>
          <w:rFonts w:cs="Calibri"/>
        </w:rPr>
        <w:t>plans</w:t>
      </w:r>
      <w:r w:rsidR="00466425" w:rsidRPr="00DD477A">
        <w:rPr>
          <w:rStyle w:val="BodyTextChar"/>
          <w:rFonts w:cs="Calibri"/>
        </w:rPr>
        <w:t xml:space="preserve"> to spend </w:t>
      </w:r>
      <w:r w:rsidR="00E45548" w:rsidRPr="00DD477A">
        <w:rPr>
          <w:rStyle w:val="BodyTextChar"/>
          <w:rFonts w:cs="Calibri"/>
        </w:rPr>
        <w:t xml:space="preserve">on achieving </w:t>
      </w:r>
      <w:r w:rsidR="001240DF" w:rsidRPr="00DD477A">
        <w:rPr>
          <w:rStyle w:val="BodyTextChar"/>
          <w:rFonts w:cs="Calibri"/>
        </w:rPr>
        <w:t>planned outcomes</w:t>
      </w:r>
      <w:r w:rsidR="00B073E6" w:rsidRPr="00DD477A">
        <w:rPr>
          <w:rStyle w:val="BodyTextChar"/>
          <w:rFonts w:cs="Calibri"/>
        </w:rPr>
        <w:t>, broken down by program within each outcome</w:t>
      </w:r>
      <w:r w:rsidR="006D44F1" w:rsidRPr="00DD477A">
        <w:rPr>
          <w:rStyle w:val="BodyTextChar"/>
          <w:rFonts w:cs="Calibri"/>
        </w:rPr>
        <w:t>,</w:t>
      </w:r>
      <w:r w:rsidR="00B073E6" w:rsidRPr="00DD477A">
        <w:rPr>
          <w:rStyle w:val="BodyTextChar"/>
          <w:rFonts w:cs="Calibri"/>
        </w:rPr>
        <w:t xml:space="preserve"> </w:t>
      </w:r>
      <w:r w:rsidR="00CA0593" w:rsidRPr="00DD477A">
        <w:rPr>
          <w:rStyle w:val="BodyTextChar"/>
          <w:rFonts w:cs="Calibri"/>
        </w:rPr>
        <w:t xml:space="preserve">and </w:t>
      </w:r>
      <w:r w:rsidR="0092724C" w:rsidRPr="00DD477A">
        <w:rPr>
          <w:rStyle w:val="BodyTextChar"/>
          <w:rFonts w:cs="Calibri"/>
        </w:rPr>
        <w:t xml:space="preserve">the associated </w:t>
      </w:r>
      <w:r w:rsidR="005E44CB">
        <w:rPr>
          <w:rStyle w:val="BodyTextChar"/>
          <w:rFonts w:cs="Calibri"/>
        </w:rPr>
        <w:t xml:space="preserve">key activities and </w:t>
      </w:r>
      <w:r w:rsidR="0092724C" w:rsidRPr="00DD477A">
        <w:rPr>
          <w:rStyle w:val="BodyTextChar"/>
          <w:rFonts w:cs="Calibri"/>
        </w:rPr>
        <w:t>performance measures</w:t>
      </w:r>
      <w:r w:rsidR="006D44F1" w:rsidRPr="00DD477A">
        <w:rPr>
          <w:rStyle w:val="BodyTextChar"/>
          <w:rFonts w:cs="Calibri"/>
        </w:rPr>
        <w:t xml:space="preserve"> of those </w:t>
      </w:r>
      <w:r w:rsidR="00244BA7" w:rsidRPr="00DD477A">
        <w:rPr>
          <w:rStyle w:val="BodyTextChar"/>
          <w:rFonts w:cs="Calibri"/>
        </w:rPr>
        <w:t>programs.</w:t>
      </w:r>
      <w:r w:rsidR="00A84EAE" w:rsidRPr="00DD477A">
        <w:rPr>
          <w:rStyle w:val="BodyTextChar"/>
          <w:rFonts w:cs="Calibri"/>
        </w:rPr>
        <w:t xml:space="preserve"> </w:t>
      </w:r>
      <w:r w:rsidR="00D43990" w:rsidRPr="00DD477A">
        <w:rPr>
          <w:rStyle w:val="BodyTextChar"/>
          <w:rFonts w:cs="Calibri"/>
        </w:rPr>
        <w:t xml:space="preserve">It </w:t>
      </w:r>
      <w:r w:rsidR="000E2D89" w:rsidRPr="00DD477A">
        <w:rPr>
          <w:rStyle w:val="BodyTextChar"/>
          <w:rFonts w:cs="Calibri"/>
        </w:rPr>
        <w:t>outlines</w:t>
      </w:r>
      <w:r w:rsidR="000276A4" w:rsidRPr="00DD477A">
        <w:rPr>
          <w:rStyle w:val="BodyTextChar"/>
          <w:rFonts w:cs="Calibri"/>
        </w:rPr>
        <w:t xml:space="preserve"> </w:t>
      </w:r>
      <w:r w:rsidR="00EF42A4" w:rsidRPr="00DD477A">
        <w:rPr>
          <w:rStyle w:val="BodyTextChar"/>
          <w:rFonts w:cs="Calibri"/>
        </w:rPr>
        <w:t xml:space="preserve">entities </w:t>
      </w:r>
      <w:r w:rsidR="000E2D89" w:rsidRPr="00DD477A">
        <w:rPr>
          <w:rStyle w:val="BodyTextChar"/>
          <w:rFonts w:cs="Calibri"/>
        </w:rPr>
        <w:t>intend</w:t>
      </w:r>
      <w:r w:rsidR="00D84F26" w:rsidRPr="00DD477A">
        <w:rPr>
          <w:rStyle w:val="BodyTextChar"/>
          <w:rFonts w:cs="Calibri"/>
        </w:rPr>
        <w:t>ed</w:t>
      </w:r>
      <w:r w:rsidR="00EF42A4" w:rsidRPr="00DD477A">
        <w:rPr>
          <w:rStyle w:val="BodyTextChar"/>
          <w:rFonts w:cs="Calibri"/>
        </w:rPr>
        <w:t xml:space="preserve"> performance in a logical and consistent manner</w:t>
      </w:r>
      <w:r w:rsidR="000E2D89" w:rsidRPr="00DD477A">
        <w:rPr>
          <w:rStyle w:val="BodyTextChar"/>
          <w:rFonts w:cs="Calibri"/>
        </w:rPr>
        <w:t>,</w:t>
      </w:r>
      <w:r w:rsidR="0004519C" w:rsidRPr="00DD477A">
        <w:rPr>
          <w:rStyle w:val="BodyTextChar"/>
          <w:rFonts w:cs="Calibri"/>
        </w:rPr>
        <w:t xml:space="preserve"> detailing</w:t>
      </w:r>
      <w:r w:rsidR="00EF42A4" w:rsidRPr="00DD477A">
        <w:rPr>
          <w:rStyle w:val="BodyTextChar"/>
          <w:rFonts w:cs="Calibri"/>
        </w:rPr>
        <w:t xml:space="preserve"> the resourcing provided and expected progress towards achieving government policy objectives</w:t>
      </w:r>
      <w:r w:rsidR="00187438" w:rsidRPr="00DD477A">
        <w:rPr>
          <w:rStyle w:val="BodyTextChar"/>
          <w:rFonts w:cs="Calibri"/>
        </w:rPr>
        <w:t>.</w:t>
      </w:r>
    </w:p>
    <w:p w14:paraId="754A1596" w14:textId="7296DF9C" w:rsidR="00FA0945" w:rsidRPr="00DD477A" w:rsidRDefault="6B6EE5C4" w:rsidP="6B6EE5C4">
      <w:pPr>
        <w:rPr>
          <w:rStyle w:val="BodyTextChar"/>
          <w:rFonts w:cs="Calibri"/>
        </w:rPr>
      </w:pPr>
      <w:r w:rsidRPr="00DD477A">
        <w:rPr>
          <w:rStyle w:val="BodyTextChar"/>
          <w:rFonts w:cs="Calibri"/>
        </w:rPr>
        <w:t xml:space="preserve">Performance </w:t>
      </w:r>
      <w:r w:rsidR="00171243" w:rsidRPr="00DD477A">
        <w:rPr>
          <w:rStyle w:val="BodyTextChar"/>
          <w:rFonts w:cs="Calibri"/>
        </w:rPr>
        <w:t>measure</w:t>
      </w:r>
      <w:r w:rsidRPr="00DD477A">
        <w:rPr>
          <w:rStyle w:val="BodyTextChar"/>
          <w:rFonts w:cs="Calibri"/>
        </w:rPr>
        <w:t xml:space="preserve"> </w:t>
      </w:r>
      <w:r w:rsidR="00B76446" w:rsidRPr="00DD477A">
        <w:rPr>
          <w:rStyle w:val="BodyTextChar"/>
          <w:rFonts w:cs="Calibri"/>
        </w:rPr>
        <w:t xml:space="preserve">information in this </w:t>
      </w:r>
      <w:r w:rsidR="004710CC" w:rsidRPr="00DD477A">
        <w:rPr>
          <w:rStyle w:val="BodyTextChar"/>
          <w:rFonts w:cs="Calibri"/>
        </w:rPr>
        <w:t>section facilitates</w:t>
      </w:r>
      <w:r w:rsidRPr="00DD477A">
        <w:rPr>
          <w:rStyle w:val="BodyTextChar"/>
          <w:rFonts w:cs="Calibri"/>
        </w:rPr>
        <w:t xml:space="preserve"> meet</w:t>
      </w:r>
      <w:r w:rsidR="004710CC" w:rsidRPr="00DD477A">
        <w:rPr>
          <w:rStyle w:val="BodyTextChar"/>
          <w:rFonts w:cs="Calibri"/>
        </w:rPr>
        <w:t>ing</w:t>
      </w:r>
      <w:r w:rsidRPr="00DD477A">
        <w:rPr>
          <w:rStyle w:val="BodyTextChar"/>
          <w:rFonts w:cs="Calibri"/>
        </w:rPr>
        <w:t xml:space="preserve"> the requirements of the Commonwealth performance framework</w:t>
      </w:r>
      <w:r w:rsidR="006872F8" w:rsidRPr="00DD477A">
        <w:rPr>
          <w:rStyle w:val="BodyTextChar"/>
          <w:rFonts w:cs="Calibri"/>
        </w:rPr>
        <w:t>, with the framework</w:t>
      </w:r>
      <w:r w:rsidRPr="00DD477A">
        <w:rPr>
          <w:rStyle w:val="BodyTextChar"/>
          <w:rFonts w:cs="Calibri"/>
        </w:rPr>
        <w:t xml:space="preserve"> </w:t>
      </w:r>
      <w:r w:rsidR="009D7857" w:rsidRPr="00DD477A">
        <w:rPr>
          <w:rStyle w:val="BodyTextChar"/>
          <w:rFonts w:cs="Calibri"/>
        </w:rPr>
        <w:t>requiring p</w:t>
      </w:r>
      <w:r w:rsidRPr="00DD477A">
        <w:rPr>
          <w:rStyle w:val="BodyTextChar"/>
          <w:rFonts w:cs="Calibri"/>
        </w:rPr>
        <w:t xml:space="preserve">erformance information </w:t>
      </w:r>
      <w:r w:rsidR="00471B2A" w:rsidRPr="00DD477A">
        <w:rPr>
          <w:rStyle w:val="BodyTextChar"/>
          <w:rFonts w:cs="Calibri"/>
        </w:rPr>
        <w:t>to</w:t>
      </w:r>
      <w:r w:rsidRPr="00DD477A">
        <w:rPr>
          <w:rStyle w:val="BodyTextChar"/>
          <w:rFonts w:cs="Calibri"/>
        </w:rPr>
        <w:t xml:space="preserve"> be presented clearly across reporting documents</w:t>
      </w:r>
      <w:r w:rsidR="004F2E37" w:rsidRPr="00DD477A">
        <w:rPr>
          <w:rStyle w:val="BodyTextChar"/>
          <w:rFonts w:cs="Calibri"/>
        </w:rPr>
        <w:t xml:space="preserve">, </w:t>
      </w:r>
      <w:r w:rsidR="009C3CA7" w:rsidRPr="00DD477A">
        <w:rPr>
          <w:rStyle w:val="BodyTextChar"/>
          <w:rFonts w:cs="Calibri"/>
        </w:rPr>
        <w:t>through the</w:t>
      </w:r>
      <w:r w:rsidR="000D0413" w:rsidRPr="00DD477A">
        <w:rPr>
          <w:rStyle w:val="BodyTextChar"/>
          <w:rFonts w:cs="Calibri"/>
        </w:rPr>
        <w:t xml:space="preserve"> </w:t>
      </w:r>
      <w:r w:rsidRPr="00DD477A">
        <w:rPr>
          <w:rStyle w:val="BodyTextChar"/>
          <w:rFonts w:cs="Calibri"/>
        </w:rPr>
        <w:t>PB Statements, corporate plans and annual performance statements.</w:t>
      </w:r>
    </w:p>
    <w:p w14:paraId="362B188C" w14:textId="17C930A1" w:rsidR="00FA0945" w:rsidRPr="00DD477A" w:rsidRDefault="53BF0693" w:rsidP="53BF0693">
      <w:pPr>
        <w:rPr>
          <w:rStyle w:val="BodyTextChar"/>
          <w:rFonts w:cs="Calibri"/>
        </w:rPr>
      </w:pPr>
      <w:r w:rsidRPr="00DD477A">
        <w:rPr>
          <w:rStyle w:val="BodyTextChar"/>
          <w:rFonts w:cs="Calibri"/>
        </w:rPr>
        <w:t xml:space="preserve">Further explanation of the relationship between reporting documents is provided in </w:t>
      </w:r>
      <w:r w:rsidR="00A40CE5" w:rsidRPr="00DD477A">
        <w:rPr>
          <w:rStyle w:val="BodyTextChar"/>
          <w:rFonts w:cs="Calibri"/>
        </w:rPr>
        <w:t>the</w:t>
      </w:r>
      <w:r w:rsidRPr="00DD477A">
        <w:rPr>
          <w:rStyle w:val="BodyTextChar"/>
          <w:rFonts w:cs="Calibri"/>
        </w:rPr>
        <w:t xml:space="preserve"> ‘Commonwealth </w:t>
      </w:r>
      <w:r w:rsidR="00D67988">
        <w:rPr>
          <w:rStyle w:val="BodyTextChar"/>
          <w:rFonts w:cs="Calibri"/>
        </w:rPr>
        <w:t>p</w:t>
      </w:r>
      <w:r w:rsidRPr="00DD477A">
        <w:rPr>
          <w:rStyle w:val="BodyTextChar"/>
          <w:rFonts w:cs="Calibri"/>
        </w:rPr>
        <w:t xml:space="preserve">erformance </w:t>
      </w:r>
      <w:r w:rsidR="00D67988">
        <w:rPr>
          <w:rStyle w:val="BodyTextChar"/>
          <w:rFonts w:cs="Calibri"/>
        </w:rPr>
        <w:t>f</w:t>
      </w:r>
      <w:r w:rsidRPr="00DD477A">
        <w:rPr>
          <w:rStyle w:val="BodyTextChar"/>
          <w:rFonts w:cs="Calibri"/>
        </w:rPr>
        <w:t>ramework – key components of relevant publications’</w:t>
      </w:r>
      <w:r w:rsidR="00CB3E3D" w:rsidRPr="00DD477A">
        <w:rPr>
          <w:rStyle w:val="BodyTextChar"/>
          <w:rFonts w:cs="Calibri"/>
        </w:rPr>
        <w:t xml:space="preserve"> diagram</w:t>
      </w:r>
      <w:r w:rsidRPr="00DD477A">
        <w:rPr>
          <w:rStyle w:val="BodyTextChar"/>
          <w:rFonts w:cs="Calibri"/>
        </w:rPr>
        <w:t>, situated in the User Guide section of the PB Statements Word template</w:t>
      </w:r>
      <w:r w:rsidR="00ED6CA3" w:rsidRPr="00DD477A">
        <w:rPr>
          <w:rStyle w:val="BodyTextChar"/>
          <w:rFonts w:cs="Calibri"/>
        </w:rPr>
        <w:t xml:space="preserve"> (</w:t>
      </w:r>
      <w:r w:rsidR="00ED6CA3" w:rsidRPr="00497B53">
        <w:rPr>
          <w:rStyle w:val="BodyTextChar"/>
          <w:rFonts w:cs="Calibri"/>
          <w:u w:val="single"/>
        </w:rPr>
        <w:t>Attachment C</w:t>
      </w:r>
      <w:r w:rsidR="00ED6CA3" w:rsidRPr="00DD477A">
        <w:rPr>
          <w:rStyle w:val="BodyTextChar"/>
          <w:rFonts w:cs="Calibri"/>
        </w:rPr>
        <w:t>)</w:t>
      </w:r>
      <w:r w:rsidRPr="00DD477A">
        <w:rPr>
          <w:rStyle w:val="BodyTextChar"/>
          <w:rFonts w:cs="Calibri"/>
        </w:rPr>
        <w:t>.</w:t>
      </w:r>
    </w:p>
    <w:p w14:paraId="57265A37" w14:textId="67CFB0E8" w:rsidR="004950C9" w:rsidRPr="00DD477A" w:rsidRDefault="00F667A0" w:rsidP="003D6589">
      <w:pPr>
        <w:pStyle w:val="Heading1"/>
      </w:pPr>
      <w:bookmarkStart w:id="959" w:name="_Toc227749042"/>
      <w:r w:rsidRPr="00DD477A">
        <w:t xml:space="preserve">Minimum Program </w:t>
      </w:r>
      <w:r w:rsidR="007241EB" w:rsidRPr="00DD477A">
        <w:t>Performance Reporting</w:t>
      </w:r>
      <w:bookmarkEnd w:id="959"/>
    </w:p>
    <w:p w14:paraId="3D633618" w14:textId="1C5B3EA6" w:rsidR="00E47F62" w:rsidRPr="00DD477A" w:rsidRDefault="53BF0693" w:rsidP="53BF0693">
      <w:pPr>
        <w:rPr>
          <w:rStyle w:val="BodyTextChar"/>
          <w:rFonts w:cs="Calibri"/>
          <w:color w:val="1C1C1C" w:themeColor="text2"/>
          <w:sz w:val="34"/>
          <w:szCs w:val="34"/>
        </w:rPr>
      </w:pPr>
      <w:r w:rsidRPr="00DD477A">
        <w:rPr>
          <w:rStyle w:val="BodyTextChar"/>
          <w:rFonts w:cs="Calibri"/>
        </w:rPr>
        <w:t xml:space="preserve">The </w:t>
      </w:r>
      <w:r w:rsidR="00A14419" w:rsidRPr="00DD477A">
        <w:rPr>
          <w:rStyle w:val="BodyTextChar"/>
          <w:rFonts w:cs="Calibri"/>
        </w:rPr>
        <w:t xml:space="preserve">minimum mandatory </w:t>
      </w:r>
      <w:r w:rsidRPr="00DD477A">
        <w:rPr>
          <w:rStyle w:val="BodyTextChar"/>
          <w:rFonts w:cs="Calibri"/>
        </w:rPr>
        <w:t>requirements for reporting program performance in PB Statements are set out in a</w:t>
      </w:r>
      <w:hyperlink r:id="rId137" w:history="1">
        <w:r w:rsidRPr="00DD477A">
          <w:t xml:space="preserve"> </w:t>
        </w:r>
        <w:r w:rsidR="00DA73DA" w:rsidRPr="00DD477A">
          <w:rPr>
            <w:rStyle w:val="Hyperlink"/>
          </w:rPr>
          <w:t>Direction issued by the Finance Secretary under subsection 36(3) of the PGPA Act</w:t>
        </w:r>
      </w:hyperlink>
      <w:r w:rsidR="0059137E" w:rsidRPr="00DD477A">
        <w:t xml:space="preserve"> (</w:t>
      </w:r>
      <w:r w:rsidR="00965309" w:rsidRPr="00DD477A">
        <w:t>the Direction</w:t>
      </w:r>
      <w:r w:rsidR="0059137E" w:rsidRPr="00DD477A">
        <w:t>)</w:t>
      </w:r>
      <w:r w:rsidRPr="00DD477A">
        <w:rPr>
          <w:rStyle w:val="BodyTextChar"/>
          <w:rFonts w:cs="Calibri"/>
        </w:rPr>
        <w:t xml:space="preserve">. </w:t>
      </w:r>
      <w:r w:rsidR="00D64CEA" w:rsidRPr="00DD477A">
        <w:rPr>
          <w:rStyle w:val="BodyTextChar"/>
          <w:rFonts w:cs="Calibri"/>
        </w:rPr>
        <w:t>T</w:t>
      </w:r>
      <w:r w:rsidR="00E7449F" w:rsidRPr="00DD477A">
        <w:rPr>
          <w:rStyle w:val="BodyTextChar"/>
          <w:rFonts w:cs="Calibri"/>
        </w:rPr>
        <w:t>he PGPA Act requires accountable authorities of entities to comply with the Finance Secretary Direction.</w:t>
      </w:r>
    </w:p>
    <w:p w14:paraId="221F1774" w14:textId="1CFE8952" w:rsidR="00C25CF4" w:rsidRPr="00DD477A" w:rsidRDefault="0059137E">
      <w:pPr>
        <w:pStyle w:val="BodyText"/>
        <w:rPr>
          <w:rFonts w:cs="Calibri"/>
        </w:rPr>
      </w:pPr>
      <w:r w:rsidRPr="00DD477A">
        <w:rPr>
          <w:rStyle w:val="BodyTextChar"/>
          <w:rFonts w:cs="Calibri"/>
        </w:rPr>
        <w:t>Under the Direction, t</w:t>
      </w:r>
      <w:r w:rsidR="53BF0693" w:rsidRPr="00DD477A">
        <w:rPr>
          <w:rStyle w:val="BodyTextChar"/>
          <w:rFonts w:cs="Calibri"/>
        </w:rPr>
        <w:t xml:space="preserve">he </w:t>
      </w:r>
      <w:r w:rsidR="004120AD" w:rsidRPr="00DD477A">
        <w:rPr>
          <w:rStyle w:val="BodyTextChar"/>
          <w:rFonts w:cs="Calibri"/>
        </w:rPr>
        <w:t xml:space="preserve">minimum </w:t>
      </w:r>
      <w:r w:rsidR="53BF0693" w:rsidRPr="00DD477A">
        <w:rPr>
          <w:rFonts w:cs="Calibri"/>
        </w:rPr>
        <w:t>mandatory disclosure requirements are</w:t>
      </w:r>
      <w:r w:rsidR="00851EFB" w:rsidRPr="00DD477A">
        <w:rPr>
          <w:rFonts w:cs="Calibri"/>
        </w:rPr>
        <w:t xml:space="preserve"> that</w:t>
      </w:r>
      <w:r w:rsidR="53BF0693" w:rsidRPr="00DD477A">
        <w:rPr>
          <w:rFonts w:cs="Calibri"/>
        </w:rPr>
        <w:t>:</w:t>
      </w:r>
    </w:p>
    <w:p w14:paraId="1DD383BA" w14:textId="144C349E" w:rsidR="00374DC8" w:rsidRPr="00DD477A" w:rsidRDefault="009772EE" w:rsidP="00AA1E87">
      <w:pPr>
        <w:pStyle w:val="Numbered"/>
        <w:numPr>
          <w:ilvl w:val="0"/>
          <w:numId w:val="47"/>
        </w:numPr>
      </w:pPr>
      <w:r w:rsidRPr="00DD477A">
        <w:t>A</w:t>
      </w:r>
      <w:r w:rsidR="00A6141B" w:rsidRPr="00DD477A">
        <w:t xml:space="preserve">ll </w:t>
      </w:r>
      <w:r w:rsidR="00DA73DA" w:rsidRPr="00DD477A">
        <w:t xml:space="preserve">outcomes, programs and performance measures must be mapped to the entity’s key activities as </w:t>
      </w:r>
      <w:r w:rsidR="00D12F8D" w:rsidRPr="00DD477A">
        <w:t>reported</w:t>
      </w:r>
      <w:r w:rsidR="00DA73DA" w:rsidRPr="00DD477A">
        <w:t xml:space="preserve"> in the current corporate plan</w:t>
      </w:r>
      <w:r w:rsidR="003D623C" w:rsidRPr="00DD477A">
        <w:t>.</w:t>
      </w:r>
    </w:p>
    <w:p w14:paraId="56712E17" w14:textId="5C7DA412" w:rsidR="00374DC8" w:rsidRPr="00DD477A" w:rsidRDefault="003D623C" w:rsidP="00157BAB">
      <w:pPr>
        <w:pStyle w:val="Numbered"/>
      </w:pPr>
      <w:r w:rsidRPr="00DD477A">
        <w:rPr>
          <w:u w:val="single"/>
        </w:rPr>
        <w:t>For e</w:t>
      </w:r>
      <w:r w:rsidR="00DA73DA" w:rsidRPr="00DD477A">
        <w:rPr>
          <w:u w:val="single"/>
        </w:rPr>
        <w:t>xisting programs</w:t>
      </w:r>
      <w:r w:rsidR="00FC7C4E" w:rsidRPr="00DD477A">
        <w:t>,</w:t>
      </w:r>
      <w:r w:rsidR="00DA73DA" w:rsidRPr="00DD477A">
        <w:t xml:space="preserve"> for the Budget year and three forward estimate years, </w:t>
      </w:r>
      <w:r w:rsidR="00DA73DA" w:rsidRPr="00DD477A">
        <w:rPr>
          <w:u w:val="single"/>
        </w:rPr>
        <w:t>report at least one</w:t>
      </w:r>
      <w:r w:rsidR="00030850">
        <w:rPr>
          <w:u w:val="single"/>
        </w:rPr>
        <w:t xml:space="preserve"> high</w:t>
      </w:r>
      <w:r w:rsidR="00821642">
        <w:rPr>
          <w:u w:val="single"/>
        </w:rPr>
        <w:t xml:space="preserve"> </w:t>
      </w:r>
      <w:r w:rsidR="00030850">
        <w:rPr>
          <w:u w:val="single"/>
        </w:rPr>
        <w:t>level</w:t>
      </w:r>
      <w:r w:rsidR="00DA73DA" w:rsidRPr="00DD477A">
        <w:t xml:space="preserve"> performance measure</w:t>
      </w:r>
      <w:r w:rsidR="00E35EC5" w:rsidRPr="00DD477A">
        <w:t>,</w:t>
      </w:r>
      <w:r w:rsidR="00DA73DA" w:rsidRPr="00DD477A">
        <w:t xml:space="preserve"> and</w:t>
      </w:r>
      <w:r w:rsidR="00382459" w:rsidRPr="00DD477A">
        <w:t xml:space="preserve"> the associated</w:t>
      </w:r>
      <w:r w:rsidR="001B02FE" w:rsidRPr="00DD477A">
        <w:t xml:space="preserve"> </w:t>
      </w:r>
      <w:r w:rsidR="00DA73DA" w:rsidRPr="00DD477A">
        <w:t>planned performance result, including targets where it is reasonably practicable to set a target</w:t>
      </w:r>
      <w:r w:rsidR="00382459" w:rsidRPr="00DD477A">
        <w:t>.</w:t>
      </w:r>
      <w:r w:rsidR="007B31E8" w:rsidRPr="00DD477A">
        <w:t xml:space="preserve"> </w:t>
      </w:r>
      <w:r w:rsidR="0091515A" w:rsidRPr="00DD477A">
        <w:t>Where applicable, report the estimated date of achievement of the program objectives</w:t>
      </w:r>
      <w:r w:rsidR="00ED3874">
        <w:t xml:space="preserve"> </w:t>
      </w:r>
      <w:r w:rsidR="00562BE7" w:rsidRPr="0014243A">
        <w:rPr>
          <w:rStyle w:val="CrossReferenceChar"/>
        </w:rPr>
        <w:fldChar w:fldCharType="begin"/>
      </w:r>
      <w:r w:rsidR="00562BE7" w:rsidRPr="0014243A">
        <w:rPr>
          <w:rStyle w:val="CrossReferenceChar"/>
        </w:rPr>
        <w:instrText xml:space="preserve"> REF _Ref62052762 \h </w:instrText>
      </w:r>
      <w:r w:rsidR="00B31ED0" w:rsidRPr="0014243A">
        <w:rPr>
          <w:rStyle w:val="CrossReferenceChar"/>
        </w:rPr>
        <w:instrText xml:space="preserve"> \* MERGEFORMAT </w:instrText>
      </w:r>
      <w:r w:rsidR="00562BE7" w:rsidRPr="0014243A">
        <w:rPr>
          <w:rStyle w:val="CrossReferenceChar"/>
        </w:rPr>
      </w:r>
      <w:r w:rsidR="00562BE7" w:rsidRPr="0014243A">
        <w:rPr>
          <w:rStyle w:val="CrossReferenceChar"/>
        </w:rPr>
        <w:fldChar w:fldCharType="separate"/>
      </w:r>
      <w:r w:rsidR="009E5625" w:rsidRPr="009E5625">
        <w:rPr>
          <w:rStyle w:val="CrossReferenceChar"/>
        </w:rPr>
        <w:t>Performance measures</w:t>
      </w:r>
      <w:r w:rsidR="00562BE7" w:rsidRPr="0014243A">
        <w:rPr>
          <w:rStyle w:val="CrossReferenceChar"/>
        </w:rPr>
        <w:fldChar w:fldCharType="end"/>
      </w:r>
      <w:r w:rsidR="009772EE" w:rsidRPr="00DD477A">
        <w:t>.</w:t>
      </w:r>
    </w:p>
    <w:p w14:paraId="59D7C822" w14:textId="363A43A3" w:rsidR="00965309" w:rsidRPr="00DD477A" w:rsidRDefault="007553E4" w:rsidP="00157BAB">
      <w:pPr>
        <w:pStyle w:val="Numbered"/>
      </w:pPr>
      <w:r w:rsidRPr="00DD477A">
        <w:rPr>
          <w:u w:val="single"/>
        </w:rPr>
        <w:t>For n</w:t>
      </w:r>
      <w:r w:rsidR="0091515A" w:rsidRPr="00DD477A">
        <w:rPr>
          <w:u w:val="single"/>
        </w:rPr>
        <w:t>ew or materially changed programs</w:t>
      </w:r>
      <w:r w:rsidR="0006590F" w:rsidRPr="00DD477A">
        <w:t>,</w:t>
      </w:r>
      <w:r w:rsidR="0091515A" w:rsidRPr="00DD477A">
        <w:t xml:space="preserve"> for the budget year and the three forward estimate years, </w:t>
      </w:r>
      <w:r w:rsidR="0091515A" w:rsidRPr="00DD477A">
        <w:rPr>
          <w:u w:val="single"/>
        </w:rPr>
        <w:t>report all performance measures and planned performance results</w:t>
      </w:r>
      <w:r w:rsidR="0091515A" w:rsidRPr="00DD477A">
        <w:t>, including targets where it is reasonably practicable to set a target. Where applicable, report the estimated date of achievement of the program objectives</w:t>
      </w:r>
      <w:r w:rsidR="00ED3874">
        <w:t xml:space="preserve"> </w:t>
      </w:r>
      <w:r w:rsidR="00647827" w:rsidRPr="0014243A">
        <w:rPr>
          <w:rStyle w:val="CrossReferenceChar"/>
        </w:rPr>
        <w:fldChar w:fldCharType="begin"/>
      </w:r>
      <w:r w:rsidR="00647827" w:rsidRPr="0014243A">
        <w:rPr>
          <w:rStyle w:val="CrossReferenceChar"/>
        </w:rPr>
        <w:instrText xml:space="preserve"> REF _Ref94874397 \h  \* MERGEFORMAT </w:instrText>
      </w:r>
      <w:r w:rsidR="00647827" w:rsidRPr="0014243A">
        <w:rPr>
          <w:rStyle w:val="CrossReferenceChar"/>
        </w:rPr>
      </w:r>
      <w:r w:rsidR="00647827" w:rsidRPr="0014243A">
        <w:rPr>
          <w:rStyle w:val="CrossReferenceChar"/>
        </w:rPr>
        <w:fldChar w:fldCharType="separate"/>
      </w:r>
      <w:r w:rsidR="009E5625" w:rsidRPr="009E5625">
        <w:rPr>
          <w:rStyle w:val="CrossReferenceChar"/>
        </w:rPr>
        <w:t>New or materially changed programs</w:t>
      </w:r>
      <w:r w:rsidR="00647827" w:rsidRPr="0014243A">
        <w:rPr>
          <w:rStyle w:val="CrossReferenceChar"/>
        </w:rPr>
        <w:fldChar w:fldCharType="end"/>
      </w:r>
      <w:r w:rsidR="00647827" w:rsidRPr="00DD477A">
        <w:t>.</w:t>
      </w:r>
    </w:p>
    <w:p w14:paraId="1E87C265" w14:textId="11EAEEAB" w:rsidR="00926879" w:rsidRPr="00DD477A" w:rsidRDefault="00F62A3E" w:rsidP="00157BAB">
      <w:pPr>
        <w:pStyle w:val="Numbered"/>
      </w:pPr>
      <w:r>
        <w:t>Report e</w:t>
      </w:r>
      <w:r w:rsidR="0091515A" w:rsidRPr="00DD477A">
        <w:t xml:space="preserve">xpected performance results for the current </w:t>
      </w:r>
      <w:r w:rsidR="00D51BFD" w:rsidRPr="00DD477A">
        <w:t xml:space="preserve">financial </w:t>
      </w:r>
      <w:r w:rsidR="0091515A" w:rsidRPr="00DD477A">
        <w:t>year</w:t>
      </w:r>
      <w:r w:rsidR="00ED3874">
        <w:t xml:space="preserve"> </w:t>
      </w:r>
      <w:r w:rsidR="00562BE7" w:rsidRPr="0014243A">
        <w:rPr>
          <w:rStyle w:val="CrossReferenceChar"/>
        </w:rPr>
        <w:fldChar w:fldCharType="begin"/>
      </w:r>
      <w:r w:rsidR="00562BE7" w:rsidRPr="0014243A">
        <w:rPr>
          <w:rStyle w:val="CrossReferenceChar"/>
        </w:rPr>
        <w:instrText xml:space="preserve"> REF _Ref62052788 \h </w:instrText>
      </w:r>
      <w:r w:rsidR="00557F46" w:rsidRPr="0014243A">
        <w:rPr>
          <w:rStyle w:val="CrossReferenceChar"/>
        </w:rPr>
        <w:instrText xml:space="preserve"> \* MERGEFORMAT </w:instrText>
      </w:r>
      <w:r w:rsidR="00562BE7" w:rsidRPr="0014243A">
        <w:rPr>
          <w:rStyle w:val="CrossReferenceChar"/>
        </w:rPr>
      </w:r>
      <w:r w:rsidR="00562BE7" w:rsidRPr="0014243A">
        <w:rPr>
          <w:rStyle w:val="CrossReferenceChar"/>
        </w:rPr>
        <w:fldChar w:fldCharType="separate"/>
      </w:r>
      <w:r w:rsidR="009E5625" w:rsidRPr="009E5625">
        <w:rPr>
          <w:rStyle w:val="CrossReferenceChar"/>
        </w:rPr>
        <w:t>Performance measures for Outcome - Table 2.X.3</w:t>
      </w:r>
      <w:r w:rsidR="00562BE7" w:rsidRPr="0014243A">
        <w:rPr>
          <w:rStyle w:val="CrossReferenceChar"/>
        </w:rPr>
        <w:fldChar w:fldCharType="end"/>
      </w:r>
      <w:r w:rsidR="009772EE" w:rsidRPr="00DD477A">
        <w:t>.</w:t>
      </w:r>
    </w:p>
    <w:p w14:paraId="24D46455" w14:textId="76EC9D81" w:rsidR="008E65EE" w:rsidRPr="00DD477A" w:rsidRDefault="0091515A" w:rsidP="00157BAB">
      <w:pPr>
        <w:pStyle w:val="Numbered"/>
      </w:pPr>
      <w:r w:rsidRPr="00DD477A">
        <w:t xml:space="preserve">Linked programs </w:t>
      </w:r>
      <w:r w:rsidR="009B4602" w:rsidRPr="00DD477A">
        <w:t>–</w:t>
      </w:r>
      <w:r w:rsidRPr="00DD477A">
        <w:t xml:space="preserve"> for</w:t>
      </w:r>
      <w:r w:rsidR="009B4602" w:rsidRPr="00DD477A">
        <w:t xml:space="preserve"> </w:t>
      </w:r>
      <w:r w:rsidRPr="00DD477A">
        <w:t>each outcome, report the programs of other entities that link to that outcome</w:t>
      </w:r>
      <w:r w:rsidR="00DF5888">
        <w:t xml:space="preserve"> </w:t>
      </w:r>
      <w:r w:rsidR="00562BE7" w:rsidRPr="0014243A">
        <w:rPr>
          <w:rStyle w:val="CrossReferenceChar"/>
        </w:rPr>
        <w:fldChar w:fldCharType="begin"/>
      </w:r>
      <w:r w:rsidR="00562BE7" w:rsidRPr="0014243A">
        <w:rPr>
          <w:rStyle w:val="CrossReferenceChar"/>
        </w:rPr>
        <w:instrText xml:space="preserve"> REF _Ref62052824 \h </w:instrText>
      </w:r>
      <w:r w:rsidR="00557F46" w:rsidRPr="0014243A">
        <w:rPr>
          <w:rStyle w:val="CrossReferenceChar"/>
        </w:rPr>
        <w:instrText xml:space="preserve"> \* MERGEFORMAT </w:instrText>
      </w:r>
      <w:r w:rsidR="00562BE7" w:rsidRPr="0014243A">
        <w:rPr>
          <w:rStyle w:val="CrossReferenceChar"/>
        </w:rPr>
      </w:r>
      <w:r w:rsidR="00562BE7" w:rsidRPr="0014243A">
        <w:rPr>
          <w:rStyle w:val="CrossReferenceChar"/>
        </w:rPr>
        <w:fldChar w:fldCharType="separate"/>
      </w:r>
      <w:r w:rsidR="009E5625" w:rsidRPr="009E5625">
        <w:rPr>
          <w:rStyle w:val="CrossReferenceChar"/>
        </w:rPr>
        <w:t>Linked programs</w:t>
      </w:r>
      <w:r w:rsidR="00562BE7" w:rsidRPr="0014243A">
        <w:rPr>
          <w:rStyle w:val="CrossReferenceChar"/>
        </w:rPr>
        <w:fldChar w:fldCharType="end"/>
      </w:r>
      <w:r w:rsidR="00814F2A" w:rsidRPr="00DD477A">
        <w:t>.</w:t>
      </w:r>
    </w:p>
    <w:p w14:paraId="64BACF0F" w14:textId="005FA7DB" w:rsidR="00FA0945" w:rsidRPr="00DD477A" w:rsidRDefault="53BF0693" w:rsidP="00A85E0D">
      <w:pPr>
        <w:pStyle w:val="NormalIndented"/>
        <w:keepNext/>
        <w:ind w:left="0"/>
        <w:rPr>
          <w:b/>
          <w:bCs/>
          <w:sz w:val="24"/>
          <w:szCs w:val="24"/>
        </w:rPr>
      </w:pPr>
      <w:bookmarkStart w:id="960" w:name="_Toc534382561"/>
      <w:bookmarkStart w:id="961" w:name="_Toc63347712"/>
      <w:r w:rsidRPr="00DD477A">
        <w:rPr>
          <w:b/>
          <w:bCs/>
          <w:sz w:val="24"/>
          <w:szCs w:val="24"/>
        </w:rPr>
        <w:t xml:space="preserve">Structure of </w:t>
      </w:r>
      <w:r w:rsidR="00653F6A" w:rsidRPr="00DD477A">
        <w:rPr>
          <w:b/>
          <w:bCs/>
          <w:sz w:val="24"/>
          <w:szCs w:val="24"/>
        </w:rPr>
        <w:t>S</w:t>
      </w:r>
      <w:r w:rsidRPr="00DD477A">
        <w:rPr>
          <w:b/>
          <w:bCs/>
          <w:sz w:val="24"/>
          <w:szCs w:val="24"/>
        </w:rPr>
        <w:t>ection 2</w:t>
      </w:r>
      <w:bookmarkEnd w:id="960"/>
      <w:bookmarkEnd w:id="961"/>
      <w:r w:rsidR="002851CB" w:rsidRPr="00DD477A">
        <w:rPr>
          <w:b/>
          <w:bCs/>
          <w:sz w:val="24"/>
          <w:szCs w:val="24"/>
        </w:rPr>
        <w:t>:</w:t>
      </w:r>
      <w:r w:rsidR="002B7516" w:rsidRPr="00DD477A">
        <w:rPr>
          <w:b/>
          <w:bCs/>
          <w:sz w:val="24"/>
          <w:szCs w:val="24"/>
        </w:rPr>
        <w:t xml:space="preserve"> Outcomes and planned performance</w:t>
      </w:r>
    </w:p>
    <w:p w14:paraId="58CEFB46" w14:textId="27DE0293" w:rsidR="00913329" w:rsidRPr="00DD477A" w:rsidRDefault="53BF0693" w:rsidP="53BF0693">
      <w:pPr>
        <w:rPr>
          <w:rStyle w:val="BodyTextChar"/>
          <w:rFonts w:cs="Calibri"/>
        </w:rPr>
      </w:pPr>
      <w:r w:rsidRPr="00DD477A">
        <w:rPr>
          <w:rStyle w:val="BodyTextChar"/>
          <w:rFonts w:cs="Calibri"/>
        </w:rPr>
        <w:t>The recommended structure for Section 2 of the PB Statements</w:t>
      </w:r>
      <w:r w:rsidR="00970C73" w:rsidRPr="00DD477A">
        <w:rPr>
          <w:rStyle w:val="BodyTextChar"/>
          <w:rFonts w:cs="Calibri"/>
        </w:rPr>
        <w:t xml:space="preserve"> encompasses five </w:t>
      </w:r>
      <w:r w:rsidR="00445AB2" w:rsidRPr="00DD477A">
        <w:rPr>
          <w:rStyle w:val="BodyTextChar"/>
          <w:rFonts w:cs="Calibri"/>
        </w:rPr>
        <w:t xml:space="preserve">components, </w:t>
      </w:r>
      <w:r w:rsidR="00756C59" w:rsidRPr="00DD477A">
        <w:rPr>
          <w:rStyle w:val="BodyTextChar"/>
          <w:rFonts w:cs="Calibri"/>
        </w:rPr>
        <w:t>with</w:t>
      </w:r>
      <w:r w:rsidRPr="00DD477A">
        <w:rPr>
          <w:rStyle w:val="BodyTextChar"/>
          <w:rFonts w:cs="Calibri"/>
        </w:rPr>
        <w:t xml:space="preserve"> </w:t>
      </w:r>
      <w:r w:rsidR="009F3A02" w:rsidRPr="00DD477A">
        <w:rPr>
          <w:rStyle w:val="BodyTextChar"/>
          <w:rFonts w:cs="Calibri"/>
        </w:rPr>
        <w:t>e</w:t>
      </w:r>
      <w:r w:rsidRPr="00DD477A">
        <w:rPr>
          <w:rStyle w:val="BodyTextChar"/>
          <w:rFonts w:cs="Calibri"/>
        </w:rPr>
        <w:t xml:space="preserve">ach outcome described in a </w:t>
      </w:r>
      <w:r w:rsidR="001F72A9" w:rsidRPr="00DD477A">
        <w:rPr>
          <w:rStyle w:val="BodyTextChar"/>
          <w:rFonts w:cs="Calibri"/>
        </w:rPr>
        <w:t>separ</w:t>
      </w:r>
      <w:r w:rsidR="008C411A" w:rsidRPr="00DD477A">
        <w:rPr>
          <w:rStyle w:val="BodyTextChar"/>
          <w:rFonts w:cs="Calibri"/>
        </w:rPr>
        <w:t xml:space="preserve">ate </w:t>
      </w:r>
      <w:r w:rsidRPr="00DD477A">
        <w:rPr>
          <w:rStyle w:val="BodyTextChar"/>
          <w:rFonts w:cs="Calibri"/>
        </w:rPr>
        <w:t>subsection:</w:t>
      </w:r>
    </w:p>
    <w:p w14:paraId="30F866C6" w14:textId="79BB2D03" w:rsidR="004E3102" w:rsidRPr="00DD477A" w:rsidRDefault="0035430A" w:rsidP="00B54999">
      <w:pPr>
        <w:pStyle w:val="Bullet1"/>
        <w:rPr>
          <w:rStyle w:val="BodyTextChar"/>
          <w:rFonts w:cs="Calibri"/>
        </w:rPr>
      </w:pPr>
      <w:r w:rsidRPr="00DD477A">
        <w:rPr>
          <w:rStyle w:val="BodyTextChar"/>
          <w:rFonts w:cs="Calibri"/>
        </w:rPr>
        <w:t>Outcome Statement</w:t>
      </w:r>
    </w:p>
    <w:p w14:paraId="01D54EB4" w14:textId="2EA4E713" w:rsidR="0035430A" w:rsidRPr="00DD477A" w:rsidRDefault="0035430A" w:rsidP="00B54999">
      <w:pPr>
        <w:pStyle w:val="Bullet1"/>
        <w:rPr>
          <w:rStyle w:val="BodyTextChar"/>
          <w:rFonts w:cs="Calibri"/>
        </w:rPr>
      </w:pPr>
      <w:r w:rsidRPr="00DD477A">
        <w:rPr>
          <w:rStyle w:val="BodyTextChar"/>
          <w:rFonts w:cs="Calibri"/>
        </w:rPr>
        <w:t>Linked programs</w:t>
      </w:r>
    </w:p>
    <w:p w14:paraId="33EB85B4" w14:textId="5F7E2274" w:rsidR="0035430A" w:rsidRPr="00DD477A" w:rsidRDefault="0035430A" w:rsidP="00B54999">
      <w:pPr>
        <w:pStyle w:val="Bullet1"/>
        <w:rPr>
          <w:rStyle w:val="BodyTextChar"/>
          <w:rFonts w:cs="Calibri"/>
        </w:rPr>
      </w:pPr>
      <w:r w:rsidRPr="00DD477A">
        <w:rPr>
          <w:rStyle w:val="BodyTextChar"/>
          <w:rFonts w:cs="Calibri"/>
        </w:rPr>
        <w:t>Table 2.X.1: Budgeted expenses for Outcome</w:t>
      </w:r>
    </w:p>
    <w:p w14:paraId="5488DDDD" w14:textId="5F63CF81" w:rsidR="0035430A" w:rsidRPr="00DD477A" w:rsidRDefault="0035430A" w:rsidP="00B54999">
      <w:pPr>
        <w:pStyle w:val="Bullet1"/>
        <w:rPr>
          <w:rStyle w:val="BodyTextChar"/>
          <w:rFonts w:cs="Calibri"/>
        </w:rPr>
      </w:pPr>
      <w:r w:rsidRPr="00DD477A">
        <w:rPr>
          <w:rStyle w:val="BodyTextChar"/>
          <w:rFonts w:cs="Calibri"/>
        </w:rPr>
        <w:t>Table 2.X.2: Program components for Outcome (optional)</w:t>
      </w:r>
    </w:p>
    <w:p w14:paraId="2F2E8563" w14:textId="12136C64" w:rsidR="0035430A" w:rsidRPr="00DD477A" w:rsidRDefault="0035430A" w:rsidP="00B54999">
      <w:pPr>
        <w:pStyle w:val="Bullet1"/>
        <w:rPr>
          <w:rStyle w:val="BodyTextChar"/>
          <w:rFonts w:cs="Calibri"/>
        </w:rPr>
      </w:pPr>
      <w:r w:rsidRPr="00DD477A">
        <w:rPr>
          <w:rStyle w:val="BodyTextChar"/>
          <w:rFonts w:cs="Calibri"/>
        </w:rPr>
        <w:t xml:space="preserve">Table 2.X.3: Performance measure for Outcome </w:t>
      </w:r>
    </w:p>
    <w:p w14:paraId="19BE2F3D" w14:textId="06A88E51" w:rsidR="00FA0945" w:rsidRPr="00DD477A" w:rsidRDefault="00D3045E" w:rsidP="53BF0693">
      <w:pPr>
        <w:rPr>
          <w:rStyle w:val="BodyTextChar"/>
          <w:rFonts w:cs="Calibri"/>
        </w:rPr>
      </w:pPr>
      <w:r w:rsidRPr="00DD477A">
        <w:rPr>
          <w:rStyle w:val="BodyTextChar"/>
          <w:rFonts w:cs="Calibri"/>
        </w:rPr>
        <w:t xml:space="preserve">Entities with a single outcome would include the </w:t>
      </w:r>
      <w:r w:rsidR="001B5281" w:rsidRPr="00DD477A">
        <w:rPr>
          <w:rStyle w:val="BodyTextChar"/>
          <w:rFonts w:cs="Calibri"/>
        </w:rPr>
        <w:t xml:space="preserve">above </w:t>
      </w:r>
      <w:r w:rsidRPr="00DD477A">
        <w:rPr>
          <w:rStyle w:val="BodyTextChar"/>
          <w:rFonts w:cs="Calibri"/>
        </w:rPr>
        <w:t>components and structure under a single subsection 2.1.</w:t>
      </w:r>
      <w:r w:rsidR="00EB128B" w:rsidRPr="00DD477A">
        <w:rPr>
          <w:rStyle w:val="BodyTextChar"/>
          <w:rFonts w:cs="Calibri"/>
        </w:rPr>
        <w:t xml:space="preserve"> </w:t>
      </w:r>
      <w:r w:rsidR="001E7112" w:rsidRPr="00DD477A">
        <w:rPr>
          <w:rStyle w:val="BodyTextChar"/>
          <w:rFonts w:cs="Calibri"/>
        </w:rPr>
        <w:t xml:space="preserve">A </w:t>
      </w:r>
      <w:r w:rsidR="53BF0693" w:rsidRPr="00DD477A">
        <w:rPr>
          <w:rStyle w:val="BodyTextChar"/>
          <w:rFonts w:cs="Calibri"/>
        </w:rPr>
        <w:t xml:space="preserve">subsection 2.X for each and every outcome </w:t>
      </w:r>
      <w:r w:rsidR="00730168" w:rsidRPr="00DD477A">
        <w:rPr>
          <w:rStyle w:val="BodyTextChar"/>
          <w:rFonts w:cs="Calibri"/>
        </w:rPr>
        <w:t xml:space="preserve">of the entity is required </w:t>
      </w:r>
      <w:r w:rsidR="53BF0693" w:rsidRPr="00DD477A">
        <w:rPr>
          <w:rStyle w:val="BodyTextChar"/>
          <w:rFonts w:cs="Calibri"/>
        </w:rPr>
        <w:t>(i.e.</w:t>
      </w:r>
      <w:r w:rsidR="65EF63DA" w:rsidRPr="00DD477A">
        <w:rPr>
          <w:rStyle w:val="BodyTextChar"/>
          <w:rFonts w:cs="Calibri"/>
        </w:rPr>
        <w:t>,</w:t>
      </w:r>
      <w:r w:rsidR="53BF0693" w:rsidRPr="00DD477A">
        <w:rPr>
          <w:rStyle w:val="BodyTextChar"/>
          <w:rFonts w:cs="Calibri"/>
        </w:rPr>
        <w:t> 2.1 for Outcome 1, 2.2 for Outcome 2, etc</w:t>
      </w:r>
      <w:r w:rsidR="4E3984E4" w:rsidRPr="00DD477A">
        <w:rPr>
          <w:rStyle w:val="BodyTextChar"/>
          <w:rFonts w:cs="Calibri"/>
        </w:rPr>
        <w:t>.</w:t>
      </w:r>
      <w:r w:rsidR="53BF0693" w:rsidRPr="00DD477A">
        <w:rPr>
          <w:rStyle w:val="BodyTextChar"/>
          <w:rFonts w:cs="Calibri"/>
        </w:rPr>
        <w:t>).</w:t>
      </w:r>
    </w:p>
    <w:p w14:paraId="608E3AAD" w14:textId="27DB9566" w:rsidR="00FA0945" w:rsidRPr="00DD477A" w:rsidRDefault="6B6EE5C4" w:rsidP="53BF0693">
      <w:pPr>
        <w:rPr>
          <w:rStyle w:val="BodyTextChar"/>
          <w:rFonts w:cs="Calibri"/>
        </w:rPr>
      </w:pPr>
      <w:r w:rsidRPr="00DD477A">
        <w:rPr>
          <w:rStyle w:val="BodyTextChar"/>
          <w:rFonts w:cs="Calibri"/>
        </w:rPr>
        <w:t xml:space="preserve">Entities should use the </w:t>
      </w:r>
      <w:r w:rsidR="00083822" w:rsidRPr="00DD477A">
        <w:rPr>
          <w:rStyle w:val="BodyTextChar"/>
          <w:rFonts w:cs="Calibri"/>
        </w:rPr>
        <w:t xml:space="preserve">above </w:t>
      </w:r>
      <w:r w:rsidRPr="00DD477A">
        <w:rPr>
          <w:rStyle w:val="BodyTextChar"/>
          <w:rFonts w:cs="Calibri"/>
        </w:rPr>
        <w:t>table numbering scheme</w:t>
      </w:r>
      <w:r w:rsidR="00FB1CB0" w:rsidRPr="00DD477A">
        <w:rPr>
          <w:rStyle w:val="BodyTextChar"/>
          <w:rFonts w:cs="Calibri"/>
        </w:rPr>
        <w:t xml:space="preserve"> to improve readability </w:t>
      </w:r>
      <w:r w:rsidR="00093A6E" w:rsidRPr="00DD477A">
        <w:rPr>
          <w:rStyle w:val="BodyTextChar"/>
          <w:rFonts w:cs="Calibri"/>
        </w:rPr>
        <w:t xml:space="preserve">across information </w:t>
      </w:r>
      <w:r w:rsidR="0067747C" w:rsidRPr="00DD477A">
        <w:rPr>
          <w:rStyle w:val="BodyTextChar"/>
          <w:rFonts w:cs="Calibri"/>
        </w:rPr>
        <w:t>sources and provide consistency across PB Statements tabled by different Ministers.</w:t>
      </w:r>
    </w:p>
    <w:p w14:paraId="4B6DF89B" w14:textId="77777777" w:rsidR="00FA0945" w:rsidRPr="00DD477A" w:rsidRDefault="53BF0693" w:rsidP="003D6589">
      <w:pPr>
        <w:pStyle w:val="Heading2"/>
      </w:pPr>
      <w:bookmarkStart w:id="962" w:name="_Toc534382562"/>
      <w:bookmarkStart w:id="963" w:name="_Ref33520614"/>
      <w:bookmarkStart w:id="964" w:name="_Ref33520641"/>
      <w:bookmarkStart w:id="965" w:name="_Ref33520649"/>
      <w:bookmarkStart w:id="966" w:name="_Ref33521882"/>
      <w:bookmarkStart w:id="967" w:name="_Ref33521889"/>
      <w:bookmarkStart w:id="968" w:name="_Ref33521893"/>
      <w:bookmarkStart w:id="969" w:name="_Ref33522094"/>
      <w:bookmarkStart w:id="970" w:name="_Ref33522098"/>
      <w:bookmarkStart w:id="971" w:name="_Ref33522148"/>
      <w:bookmarkStart w:id="972" w:name="_Ref33522177"/>
      <w:bookmarkStart w:id="973" w:name="_Ref33522182"/>
      <w:bookmarkStart w:id="974" w:name="_Ref33522184"/>
      <w:bookmarkStart w:id="975" w:name="_Toc63347713"/>
      <w:bookmarkStart w:id="976" w:name="_Toc227749043"/>
      <w:r w:rsidRPr="00DD477A">
        <w:t>Outcome statements</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54E73284" w14:textId="14955F69" w:rsidR="00265990" w:rsidRPr="00DD477A" w:rsidRDefault="005622E2" w:rsidP="53BF0693">
      <w:pPr>
        <w:rPr>
          <w:rStyle w:val="BodyTextChar"/>
          <w:rFonts w:cs="Calibri"/>
        </w:rPr>
      </w:pPr>
      <w:r w:rsidRPr="173F995E">
        <w:rPr>
          <w:rStyle w:val="BodyTextChar"/>
          <w:rFonts w:cs="Calibri"/>
        </w:rPr>
        <w:t xml:space="preserve">Outcome statements </w:t>
      </w:r>
      <w:r w:rsidR="00292124">
        <w:rPr>
          <w:rStyle w:val="BodyTextChar"/>
          <w:rFonts w:cs="Calibri"/>
        </w:rPr>
        <w:t>describe</w:t>
      </w:r>
      <w:r w:rsidRPr="173F995E">
        <w:rPr>
          <w:rStyle w:val="BodyTextChar"/>
          <w:rFonts w:cs="Calibri"/>
        </w:rPr>
        <w:t xml:space="preserve"> </w:t>
      </w:r>
      <w:r w:rsidR="00CD7E2D" w:rsidRPr="173F995E">
        <w:rPr>
          <w:rStyle w:val="BodyTextChar"/>
          <w:rFonts w:cs="Calibri"/>
        </w:rPr>
        <w:t>the intended results, activities and target group</w:t>
      </w:r>
      <w:r w:rsidR="00D548D2" w:rsidRPr="173F995E">
        <w:rPr>
          <w:rStyle w:val="BodyTextChar"/>
          <w:rFonts w:cs="Calibri"/>
        </w:rPr>
        <w:t>/s</w:t>
      </w:r>
      <w:r w:rsidR="00CD7E2D" w:rsidRPr="173F995E">
        <w:rPr>
          <w:rStyle w:val="BodyTextChar"/>
          <w:rFonts w:cs="Calibri"/>
        </w:rPr>
        <w:t xml:space="preserve"> of an Australian Government entity.</w:t>
      </w:r>
    </w:p>
    <w:p w14:paraId="4489D47C" w14:textId="5E10D29A" w:rsidR="00265990" w:rsidRPr="00DD477A" w:rsidRDefault="00C772FC" w:rsidP="0014243A">
      <w:pPr>
        <w:keepNext/>
        <w:keepLines/>
        <w:rPr>
          <w:rStyle w:val="BodyTextChar"/>
          <w:rFonts w:cs="Calibri"/>
        </w:rPr>
      </w:pPr>
      <w:r w:rsidRPr="00DD477A">
        <w:rPr>
          <w:rStyle w:val="BodyTextChar"/>
          <w:rFonts w:cs="Calibri"/>
        </w:rPr>
        <w:t>T</w:t>
      </w:r>
      <w:r w:rsidR="53BF0693" w:rsidRPr="00DD477A">
        <w:rPr>
          <w:rStyle w:val="BodyTextChar"/>
          <w:rFonts w:cs="Calibri"/>
        </w:rPr>
        <w:t>he</w:t>
      </w:r>
      <w:r w:rsidRPr="00DD477A">
        <w:rPr>
          <w:rStyle w:val="BodyTextChar"/>
          <w:rFonts w:cs="Calibri"/>
        </w:rPr>
        <w:t xml:space="preserve"> statement, mirroring the </w:t>
      </w:r>
      <w:r w:rsidR="009C007F" w:rsidRPr="00DD477A">
        <w:rPr>
          <w:rStyle w:val="BodyTextChar"/>
          <w:rFonts w:cs="Calibri"/>
        </w:rPr>
        <w:t>Minister for Finance</w:t>
      </w:r>
      <w:r w:rsidRPr="00DD477A">
        <w:rPr>
          <w:rStyle w:val="BodyTextChar"/>
          <w:rFonts w:cs="Calibri"/>
        </w:rPr>
        <w:t xml:space="preserve"> approved description </w:t>
      </w:r>
      <w:r w:rsidR="006A5628" w:rsidRPr="00DD477A">
        <w:rPr>
          <w:rStyle w:val="BodyTextChar"/>
          <w:rFonts w:cs="Calibri"/>
        </w:rPr>
        <w:t xml:space="preserve">included </w:t>
      </w:r>
      <w:r w:rsidR="004D0254" w:rsidRPr="00DD477A">
        <w:rPr>
          <w:rStyle w:val="BodyTextChar"/>
          <w:rFonts w:cs="Calibri"/>
        </w:rPr>
        <w:t xml:space="preserve">at </w:t>
      </w:r>
      <w:r w:rsidRPr="00DD477A">
        <w:rPr>
          <w:rStyle w:val="BodyTextChar"/>
          <w:rFonts w:cs="Calibri"/>
        </w:rPr>
        <w:t>the Outcome and Programs policy</w:t>
      </w:r>
      <w:r w:rsidR="53BF0693" w:rsidRPr="00DD477A">
        <w:rPr>
          <w:rStyle w:val="BodyTextChar"/>
          <w:rFonts w:cs="Calibri"/>
        </w:rPr>
        <w:t>:</w:t>
      </w:r>
    </w:p>
    <w:p w14:paraId="03F0233D" w14:textId="797101A2" w:rsidR="001C779F" w:rsidRPr="00157BAB" w:rsidRDefault="53BF0693" w:rsidP="0014243A">
      <w:pPr>
        <w:pStyle w:val="Numbered"/>
        <w:keepNext/>
        <w:keepLines/>
        <w:numPr>
          <w:ilvl w:val="0"/>
          <w:numId w:val="48"/>
        </w:numPr>
        <w:rPr>
          <w:rStyle w:val="BodyTextChar"/>
          <w:rFonts w:cstheme="minorHAnsi"/>
        </w:rPr>
      </w:pPr>
      <w:r w:rsidRPr="00157BAB">
        <w:rPr>
          <w:rStyle w:val="BodyTextChar"/>
          <w:rFonts w:cstheme="minorHAnsi"/>
        </w:rPr>
        <w:t>explain</w:t>
      </w:r>
      <w:r w:rsidR="00D67291" w:rsidRPr="00157BAB">
        <w:rPr>
          <w:rStyle w:val="BodyTextChar"/>
          <w:rFonts w:cstheme="minorHAnsi"/>
        </w:rPr>
        <w:t>s</w:t>
      </w:r>
      <w:r w:rsidRPr="00157BAB">
        <w:rPr>
          <w:rStyle w:val="BodyTextChar"/>
          <w:rFonts w:cstheme="minorHAnsi"/>
        </w:rPr>
        <w:t xml:space="preserve"> the purpose for which </w:t>
      </w:r>
      <w:r w:rsidR="00050350" w:rsidRPr="00157BAB">
        <w:rPr>
          <w:rStyle w:val="BodyTextChar"/>
          <w:rFonts w:cstheme="minorHAnsi"/>
        </w:rPr>
        <w:t>a</w:t>
      </w:r>
      <w:r w:rsidRPr="00157BAB">
        <w:rPr>
          <w:rStyle w:val="BodyTextChar"/>
          <w:rFonts w:cstheme="minorHAnsi"/>
        </w:rPr>
        <w:t xml:space="preserve">nnual </w:t>
      </w:r>
      <w:r w:rsidR="00050350" w:rsidRPr="00157BAB">
        <w:rPr>
          <w:rStyle w:val="BodyTextChar"/>
          <w:rFonts w:cstheme="minorHAnsi"/>
        </w:rPr>
        <w:t>a</w:t>
      </w:r>
      <w:r w:rsidRPr="00157BAB">
        <w:rPr>
          <w:rStyle w:val="BodyTextChar"/>
          <w:rFonts w:cstheme="minorHAnsi"/>
        </w:rPr>
        <w:t>ppropriations are approved by the Parliament for use by entities</w:t>
      </w:r>
      <w:r w:rsidR="001C779F" w:rsidRPr="00157BAB">
        <w:rPr>
          <w:rStyle w:val="BodyTextChar"/>
          <w:rFonts w:cstheme="minorHAnsi"/>
        </w:rPr>
        <w:t xml:space="preserve"> and</w:t>
      </w:r>
    </w:p>
    <w:p w14:paraId="5CD76993" w14:textId="33709D19" w:rsidR="00265990" w:rsidRPr="00DD477A" w:rsidRDefault="53BF0693" w:rsidP="0014243A">
      <w:pPr>
        <w:pStyle w:val="Numbered"/>
        <w:keepNext/>
        <w:keepLines/>
        <w:rPr>
          <w:rStyle w:val="BodyTextChar"/>
          <w:rFonts w:cstheme="minorHAnsi"/>
        </w:rPr>
      </w:pPr>
      <w:r w:rsidRPr="00DD477A">
        <w:rPr>
          <w:rStyle w:val="BodyTextChar"/>
          <w:rFonts w:cstheme="minorHAnsi"/>
        </w:rPr>
        <w:t>provide</w:t>
      </w:r>
      <w:r w:rsidR="00D67291" w:rsidRPr="00DD477A">
        <w:rPr>
          <w:rStyle w:val="BodyTextChar"/>
          <w:rFonts w:cstheme="minorHAnsi"/>
        </w:rPr>
        <w:t>s</w:t>
      </w:r>
      <w:r w:rsidRPr="00DD477A">
        <w:rPr>
          <w:rStyle w:val="BodyTextChar"/>
          <w:rFonts w:cstheme="minorHAnsi"/>
        </w:rPr>
        <w:t xml:space="preserve"> a basis for budgeting and reporting </w:t>
      </w:r>
      <w:r w:rsidR="005A63E4" w:rsidRPr="00DD477A">
        <w:rPr>
          <w:rStyle w:val="BodyTextChar"/>
          <w:rFonts w:cstheme="minorHAnsi"/>
        </w:rPr>
        <w:t>on</w:t>
      </w:r>
      <w:r w:rsidRPr="00DD477A">
        <w:rPr>
          <w:rStyle w:val="BodyTextChar"/>
          <w:rFonts w:cstheme="minorHAnsi"/>
        </w:rPr>
        <w:t xml:space="preserve"> the use of appropriated funds.</w:t>
      </w:r>
    </w:p>
    <w:p w14:paraId="4EFA2629" w14:textId="3A9BF8B0" w:rsidR="00265990" w:rsidRPr="00DD477A" w:rsidRDefault="00265990" w:rsidP="00265990">
      <w:pPr>
        <w:rPr>
          <w:rFonts w:cs="Calibri"/>
        </w:rPr>
      </w:pPr>
      <w:r w:rsidRPr="00DD477A">
        <w:rPr>
          <w:rStyle w:val="BodyTextChar"/>
          <w:rFonts w:eastAsiaTheme="minorEastAsia" w:cs="Calibri"/>
        </w:rPr>
        <w:t xml:space="preserve">An outcome statement should provide an immediate impression of what success looks like. It should provide readers with a sense of what performance information is likely to be useful in assessing whether a specific outcome is delivered satisfactorily. </w:t>
      </w:r>
      <w:r w:rsidR="002C7DEA" w:rsidRPr="00DD477A">
        <w:rPr>
          <w:rStyle w:val="BodyTextChar"/>
          <w:rFonts w:eastAsiaTheme="minorEastAsia" w:cs="Calibri"/>
        </w:rPr>
        <w:t xml:space="preserve">Subsequent </w:t>
      </w:r>
      <w:r w:rsidR="000C4820" w:rsidRPr="00DD477A">
        <w:rPr>
          <w:rStyle w:val="BodyTextChar"/>
          <w:rFonts w:eastAsiaTheme="minorEastAsia" w:cs="Calibri"/>
        </w:rPr>
        <w:t xml:space="preserve">PB Statements </w:t>
      </w:r>
      <w:r w:rsidR="002C7DEA" w:rsidRPr="00DD477A">
        <w:rPr>
          <w:rStyle w:val="BodyTextChar"/>
          <w:rFonts w:eastAsiaTheme="minorEastAsia" w:cs="Calibri"/>
        </w:rPr>
        <w:t>p</w:t>
      </w:r>
      <w:r w:rsidRPr="00DD477A">
        <w:rPr>
          <w:rStyle w:val="BodyTextChar"/>
          <w:rFonts w:eastAsiaTheme="minorEastAsia" w:cs="Calibri"/>
        </w:rPr>
        <w:t xml:space="preserve">erformance information </w:t>
      </w:r>
      <w:r w:rsidRPr="00DD477A">
        <w:rPr>
          <w:rFonts w:cs="Calibri"/>
        </w:rPr>
        <w:t xml:space="preserve">should relate to the expectation </w:t>
      </w:r>
      <w:r w:rsidR="000C4820" w:rsidRPr="00DD477A">
        <w:rPr>
          <w:rFonts w:cs="Calibri"/>
        </w:rPr>
        <w:t>generated</w:t>
      </w:r>
      <w:r w:rsidRPr="00DD477A">
        <w:rPr>
          <w:rFonts w:cs="Calibri"/>
        </w:rPr>
        <w:t xml:space="preserve"> by the relevant outcome statement.</w:t>
      </w:r>
    </w:p>
    <w:p w14:paraId="6D96D31A" w14:textId="22C29D69" w:rsidR="00FA0945" w:rsidRPr="00DD477A" w:rsidRDefault="53BF0693">
      <w:pPr>
        <w:rPr>
          <w:rFonts w:cs="Calibri"/>
        </w:rPr>
      </w:pPr>
      <w:r w:rsidRPr="00DD477A">
        <w:rPr>
          <w:rStyle w:val="BodyTextChar"/>
          <w:rFonts w:cs="Calibri"/>
        </w:rPr>
        <w:t xml:space="preserve">Entities that wish to vary their outcome statements to reflect changes in government policy or its strategic environment should consult their AAU well in advance of the preparation of the </w:t>
      </w:r>
      <w:r w:rsidR="001E2A5F" w:rsidRPr="00DD477A">
        <w:rPr>
          <w:rStyle w:val="BodyTextChar"/>
          <w:rFonts w:cs="Calibri"/>
        </w:rPr>
        <w:t xml:space="preserve">annual </w:t>
      </w:r>
      <w:r w:rsidRPr="00DD477A">
        <w:rPr>
          <w:rStyle w:val="BodyTextChar"/>
          <w:rFonts w:cs="Calibri"/>
        </w:rPr>
        <w:t xml:space="preserve">Budget Appropriation Bills (and PB Statements). </w:t>
      </w:r>
      <w:r w:rsidR="00AE60D0" w:rsidRPr="00DD477A">
        <w:rPr>
          <w:rStyle w:val="BodyTextChar"/>
          <w:rFonts w:cs="Calibri"/>
        </w:rPr>
        <w:t xml:space="preserve">Key dates for making changes to outcome statements in the </w:t>
      </w:r>
      <w:r w:rsidR="003D18AF" w:rsidRPr="00DD477A">
        <w:rPr>
          <w:rStyle w:val="BodyTextChar"/>
          <w:rFonts w:cs="Calibri"/>
        </w:rPr>
        <w:t>202</w:t>
      </w:r>
      <w:r w:rsidR="009A1488">
        <w:rPr>
          <w:rStyle w:val="BodyTextChar"/>
          <w:rFonts w:cs="Calibri"/>
        </w:rPr>
        <w:t>6</w:t>
      </w:r>
      <w:r w:rsidR="001C7AC1">
        <w:rPr>
          <w:rStyle w:val="BodyTextChar"/>
          <w:rFonts w:ascii="Cambria Math" w:hAnsi="Cambria Math" w:cs="Calibri"/>
        </w:rPr>
        <w:t>‑</w:t>
      </w:r>
      <w:r w:rsidR="003D18AF" w:rsidRPr="00DD477A">
        <w:rPr>
          <w:rStyle w:val="BodyTextChar"/>
          <w:rFonts w:cs="Calibri"/>
        </w:rPr>
        <w:t>2</w:t>
      </w:r>
      <w:r w:rsidR="009A1488">
        <w:rPr>
          <w:rStyle w:val="BodyTextChar"/>
          <w:rFonts w:cs="Calibri"/>
        </w:rPr>
        <w:t>7</w:t>
      </w:r>
      <w:r w:rsidR="003D18AF" w:rsidRPr="00DD477A">
        <w:rPr>
          <w:rStyle w:val="BodyTextChar"/>
          <w:rFonts w:cs="Calibri"/>
        </w:rPr>
        <w:t xml:space="preserve"> </w:t>
      </w:r>
      <w:r w:rsidR="00AE60D0" w:rsidRPr="00DD477A">
        <w:rPr>
          <w:rStyle w:val="BodyTextChar"/>
          <w:rFonts w:cs="Calibri"/>
        </w:rPr>
        <w:t xml:space="preserve">Budget context are </w:t>
      </w:r>
      <w:r w:rsidR="00AE60D0" w:rsidRPr="00DC574D">
        <w:rPr>
          <w:rStyle w:val="BodyTextChar"/>
          <w:rFonts w:cs="Calibri"/>
        </w:rPr>
        <w:t xml:space="preserve">published in EM </w:t>
      </w:r>
      <w:r w:rsidR="00AE60D0" w:rsidRPr="00DC574D">
        <w:rPr>
          <w:rStyle w:val="BodyTextChar"/>
          <w:rFonts w:cs="Calibri"/>
          <w:iCs/>
        </w:rPr>
        <w:t>202</w:t>
      </w:r>
      <w:r w:rsidR="00C507C2" w:rsidRPr="0014243A">
        <w:rPr>
          <w:rStyle w:val="BodyTextChar"/>
          <w:rFonts w:cs="Calibri"/>
          <w:iCs/>
        </w:rPr>
        <w:t>5</w:t>
      </w:r>
      <w:r w:rsidR="00C917CE">
        <w:rPr>
          <w:rStyle w:val="BodyTextChar"/>
          <w:rFonts w:cs="Calibri"/>
          <w:iCs/>
        </w:rPr>
        <w:t>–</w:t>
      </w:r>
      <w:r w:rsidR="00C507C2" w:rsidRPr="0014243A">
        <w:rPr>
          <w:rStyle w:val="BodyTextChar"/>
          <w:rFonts w:cs="Calibri"/>
          <w:iCs/>
        </w:rPr>
        <w:t>32</w:t>
      </w:r>
      <w:r w:rsidR="001C6B9F" w:rsidRPr="00DC574D">
        <w:rPr>
          <w:rStyle w:val="BodyTextChar"/>
          <w:rFonts w:cs="Calibri"/>
          <w:iCs/>
        </w:rPr>
        <w:t>:</w:t>
      </w:r>
      <w:r w:rsidR="007C67CB" w:rsidRPr="00DC574D">
        <w:rPr>
          <w:rStyle w:val="BodyTextChar"/>
          <w:rFonts w:cs="Calibri"/>
          <w:i/>
          <w:iCs/>
        </w:rPr>
        <w:t xml:space="preserve"> 202</w:t>
      </w:r>
      <w:r w:rsidR="00C507C2" w:rsidRPr="0014243A">
        <w:rPr>
          <w:rStyle w:val="BodyTextChar"/>
          <w:rFonts w:cs="Calibri"/>
          <w:i/>
          <w:iCs/>
        </w:rPr>
        <w:t>6</w:t>
      </w:r>
      <w:r w:rsidR="00C917CE">
        <w:rPr>
          <w:rStyle w:val="BodyTextChar"/>
          <w:rFonts w:cs="Calibri"/>
          <w:i/>
          <w:iCs/>
        </w:rPr>
        <w:t>–</w:t>
      </w:r>
      <w:r w:rsidR="007C67CB" w:rsidRPr="00DC574D">
        <w:rPr>
          <w:rStyle w:val="BodyTextChar"/>
          <w:rFonts w:cs="Calibri"/>
          <w:i/>
          <w:iCs/>
        </w:rPr>
        <w:t>2</w:t>
      </w:r>
      <w:r w:rsidR="00C507C2" w:rsidRPr="0014243A">
        <w:rPr>
          <w:rStyle w:val="BodyTextChar"/>
          <w:rFonts w:cs="Calibri"/>
          <w:i/>
          <w:iCs/>
        </w:rPr>
        <w:t>7</w:t>
      </w:r>
      <w:r w:rsidR="00E45217" w:rsidRPr="00DC574D">
        <w:rPr>
          <w:rStyle w:val="BodyTextChar"/>
          <w:rFonts w:cs="Calibri"/>
          <w:i/>
          <w:iCs/>
        </w:rPr>
        <w:t xml:space="preserve"> Budget: Changes to Outcome Statements and CBMS Reference Data</w:t>
      </w:r>
      <w:r w:rsidR="00B07F6C" w:rsidRPr="00DC574D">
        <w:rPr>
          <w:rStyle w:val="BodyTextChar"/>
          <w:rFonts w:cs="Calibri"/>
          <w:i/>
          <w:iCs/>
        </w:rPr>
        <w:t xml:space="preserve"> S</w:t>
      </w:r>
      <w:r w:rsidR="00E45217" w:rsidRPr="00DC574D">
        <w:rPr>
          <w:rStyle w:val="BodyTextChar"/>
          <w:rFonts w:cs="Calibri"/>
          <w:i/>
          <w:iCs/>
        </w:rPr>
        <w:t>et</w:t>
      </w:r>
      <w:r w:rsidR="00E45217" w:rsidRPr="00DC574D">
        <w:rPr>
          <w:rStyle w:val="BodyTextChar"/>
          <w:rFonts w:cs="Calibri"/>
        </w:rPr>
        <w:t>.</w:t>
      </w:r>
    </w:p>
    <w:p w14:paraId="40074144" w14:textId="7D65D88A" w:rsidR="000C42A6" w:rsidRPr="00DD477A" w:rsidRDefault="53BF0693" w:rsidP="00913329">
      <w:pPr>
        <w:rPr>
          <w:rStyle w:val="Hyperlink"/>
          <w:rFonts w:eastAsia="Cambria" w:cs="Calibri"/>
        </w:rPr>
      </w:pPr>
      <w:r w:rsidRPr="00DD477A">
        <w:rPr>
          <w:rStyle w:val="BodyTextChar"/>
          <w:rFonts w:cs="Calibri"/>
        </w:rPr>
        <w:t xml:space="preserve">For </w:t>
      </w:r>
      <w:r w:rsidRPr="00DD477A">
        <w:rPr>
          <w:rFonts w:cs="Calibri"/>
        </w:rPr>
        <w:t xml:space="preserve">information on the purpose, or process </w:t>
      </w:r>
      <w:r w:rsidR="5C0FD798" w:rsidRPr="00DD477A">
        <w:rPr>
          <w:rFonts w:cs="Calibri"/>
        </w:rPr>
        <w:t xml:space="preserve">for </w:t>
      </w:r>
      <w:r w:rsidRPr="00DD477A">
        <w:rPr>
          <w:rFonts w:cs="Calibri"/>
        </w:rPr>
        <w:t xml:space="preserve">amending an entity’s existing </w:t>
      </w:r>
      <w:r w:rsidR="00644FC6" w:rsidRPr="00DD477A">
        <w:rPr>
          <w:rFonts w:cs="Calibri"/>
        </w:rPr>
        <w:t>o</w:t>
      </w:r>
      <w:r w:rsidRPr="00DD477A">
        <w:rPr>
          <w:rFonts w:cs="Calibri"/>
        </w:rPr>
        <w:t xml:space="preserve">utcome </w:t>
      </w:r>
      <w:r w:rsidR="00644FC6" w:rsidRPr="00DD477A">
        <w:rPr>
          <w:rFonts w:cs="Calibri"/>
        </w:rPr>
        <w:t>s</w:t>
      </w:r>
      <w:r w:rsidRPr="00DD477A">
        <w:rPr>
          <w:rFonts w:cs="Calibri"/>
        </w:rPr>
        <w:t xml:space="preserve">tatement(s) or program structure, refer to </w:t>
      </w:r>
      <w:r w:rsidRPr="00DD477A">
        <w:t xml:space="preserve">the </w:t>
      </w:r>
      <w:hyperlink r:id="rId138" w:history="1">
        <w:r w:rsidR="00E6025C" w:rsidRPr="00ED4F32">
          <w:rPr>
            <w:rStyle w:val="Hyperlink"/>
            <w:rFonts w:cstheme="minorBidi"/>
          </w:rPr>
          <w:t>O</w:t>
        </w:r>
        <w:r w:rsidR="00B1452B" w:rsidRPr="00ED4F32">
          <w:rPr>
            <w:rStyle w:val="Hyperlink"/>
            <w:rFonts w:cstheme="minorBidi"/>
          </w:rPr>
          <w:t xml:space="preserve">utcomes </w:t>
        </w:r>
        <w:r w:rsidR="00E6025C" w:rsidRPr="00ED4F32">
          <w:rPr>
            <w:rStyle w:val="Hyperlink"/>
            <w:rFonts w:cstheme="minorBidi"/>
          </w:rPr>
          <w:t>S</w:t>
        </w:r>
        <w:r w:rsidR="00B1452B" w:rsidRPr="00ED4F32">
          <w:rPr>
            <w:rStyle w:val="Hyperlink"/>
            <w:rFonts w:cstheme="minorBidi"/>
          </w:rPr>
          <w:t xml:space="preserve">tatement </w:t>
        </w:r>
        <w:r w:rsidR="00E6025C" w:rsidRPr="00ED4F32">
          <w:rPr>
            <w:rStyle w:val="Hyperlink"/>
            <w:rFonts w:cstheme="minorBidi"/>
          </w:rPr>
          <w:t>P</w:t>
        </w:r>
        <w:r w:rsidR="00B1452B" w:rsidRPr="00ED4F32">
          <w:rPr>
            <w:rStyle w:val="Hyperlink"/>
            <w:rFonts w:cstheme="minorBidi"/>
          </w:rPr>
          <w:t>olicy</w:t>
        </w:r>
        <w:r w:rsidR="000F5797" w:rsidRPr="00ED4F32">
          <w:rPr>
            <w:rStyle w:val="Hyperlink"/>
            <w:rFonts w:cstheme="minorBidi"/>
          </w:rPr>
          <w:t xml:space="preserve"> and Approval Process</w:t>
        </w:r>
      </w:hyperlink>
      <w:r w:rsidRPr="00ED4F32">
        <w:t xml:space="preserve"> and </w:t>
      </w:r>
      <w:hyperlink r:id="rId139" w:history="1">
        <w:r w:rsidR="00B1452B" w:rsidRPr="00ED4F32">
          <w:rPr>
            <w:rStyle w:val="Hyperlink"/>
            <w:rFonts w:cstheme="minorBidi"/>
          </w:rPr>
          <w:t>Commonwealth’s</w:t>
        </w:r>
        <w:r w:rsidR="00B1452B" w:rsidRPr="00ED4F32">
          <w:rPr>
            <w:rStyle w:val="Hyperlink"/>
            <w:rFonts w:cs="Calibri"/>
          </w:rPr>
          <w:t xml:space="preserve"> </w:t>
        </w:r>
        <w:r w:rsidR="00E6025C" w:rsidRPr="00ED4F32">
          <w:rPr>
            <w:rStyle w:val="Hyperlink"/>
            <w:rFonts w:cs="Calibri"/>
          </w:rPr>
          <w:t>P</w:t>
        </w:r>
        <w:r w:rsidR="00B1452B" w:rsidRPr="00ED4F32">
          <w:rPr>
            <w:rStyle w:val="Hyperlink"/>
            <w:rFonts w:cstheme="minorBidi"/>
          </w:rPr>
          <w:t xml:space="preserve">rograms </w:t>
        </w:r>
        <w:r w:rsidR="00E6025C" w:rsidRPr="00ED4F32">
          <w:rPr>
            <w:rStyle w:val="Hyperlink"/>
            <w:rFonts w:cstheme="minorBidi"/>
          </w:rPr>
          <w:t>P</w:t>
        </w:r>
        <w:r w:rsidR="00B1452B" w:rsidRPr="00ED4F32">
          <w:rPr>
            <w:rStyle w:val="Hyperlink"/>
            <w:rFonts w:cstheme="minorBidi"/>
          </w:rPr>
          <w:t>olicy</w:t>
        </w:r>
        <w:r w:rsidR="00E6025C" w:rsidRPr="00ED4F32">
          <w:rPr>
            <w:rStyle w:val="Hyperlink"/>
            <w:rFonts w:cstheme="minorBidi"/>
          </w:rPr>
          <w:t xml:space="preserve"> and Approval Process</w:t>
        </w:r>
      </w:hyperlink>
      <w:r w:rsidR="00102A2A" w:rsidRPr="00ED4F32">
        <w:t xml:space="preserve"> </w:t>
      </w:r>
      <w:r w:rsidRPr="00ED4F32">
        <w:rPr>
          <w:rFonts w:cs="Calibri"/>
        </w:rPr>
        <w:t>av</w:t>
      </w:r>
      <w:r w:rsidRPr="00DD477A">
        <w:rPr>
          <w:rFonts w:cs="Calibri"/>
        </w:rPr>
        <w:t xml:space="preserve">ailable </w:t>
      </w:r>
      <w:r w:rsidR="00C4760C" w:rsidRPr="00DD477A">
        <w:rPr>
          <w:rFonts w:cs="Calibri"/>
        </w:rPr>
        <w:t>on</w:t>
      </w:r>
      <w:r w:rsidRPr="00DD477A">
        <w:rPr>
          <w:rFonts w:cs="Calibri"/>
        </w:rPr>
        <w:t xml:space="preserve"> Finance</w:t>
      </w:r>
      <w:r w:rsidR="00B1452B" w:rsidRPr="00DD477A">
        <w:rPr>
          <w:rFonts w:cs="Calibri"/>
        </w:rPr>
        <w:t>’s</w:t>
      </w:r>
      <w:r w:rsidRPr="00DD477A">
        <w:rPr>
          <w:rFonts w:cs="Calibri"/>
        </w:rPr>
        <w:t xml:space="preserve"> website</w:t>
      </w:r>
      <w:r w:rsidR="00C4760C" w:rsidRPr="00DD477A">
        <w:rPr>
          <w:rFonts w:cs="Calibri"/>
        </w:rPr>
        <w:t>.</w:t>
      </w:r>
    </w:p>
    <w:p w14:paraId="715F9C60" w14:textId="47313386" w:rsidR="00FA0945" w:rsidRPr="00DD477A" w:rsidRDefault="53BF0693" w:rsidP="003D6589">
      <w:pPr>
        <w:pStyle w:val="Heading2"/>
      </w:pPr>
      <w:bookmarkStart w:id="977" w:name="_Toc47369890"/>
      <w:bookmarkStart w:id="978" w:name="_Toc534382563"/>
      <w:bookmarkStart w:id="979" w:name="_Ref62052820"/>
      <w:bookmarkStart w:id="980" w:name="_Ref62052824"/>
      <w:bookmarkStart w:id="981" w:name="_Toc63347714"/>
      <w:bookmarkStart w:id="982" w:name="_Toc227749044"/>
      <w:bookmarkEnd w:id="977"/>
      <w:r w:rsidRPr="00DD477A">
        <w:t>Linked programs</w:t>
      </w:r>
      <w:bookmarkEnd w:id="978"/>
      <w:bookmarkEnd w:id="979"/>
      <w:bookmarkEnd w:id="980"/>
      <w:bookmarkEnd w:id="981"/>
      <w:bookmarkEnd w:id="982"/>
    </w:p>
    <w:p w14:paraId="7BFF046F" w14:textId="1507B184" w:rsidR="0015783F" w:rsidRPr="00DD477A" w:rsidRDefault="53BF0693" w:rsidP="53BF0693">
      <w:pPr>
        <w:rPr>
          <w:rStyle w:val="BodyTextChar"/>
          <w:rFonts w:cs="Calibri"/>
        </w:rPr>
      </w:pPr>
      <w:r w:rsidRPr="00DD477A">
        <w:rPr>
          <w:rStyle w:val="BodyTextChar"/>
          <w:rFonts w:cs="Calibri"/>
        </w:rPr>
        <w:t xml:space="preserve">Linked programs are those undertaken by other entities that contribute to the achievement of </w:t>
      </w:r>
      <w:r w:rsidR="002377D9" w:rsidRPr="00DD477A" w:rsidDel="00816D86">
        <w:rPr>
          <w:rStyle w:val="BodyTextChar"/>
          <w:rFonts w:cs="Calibri"/>
        </w:rPr>
        <w:t xml:space="preserve">another </w:t>
      </w:r>
      <w:r w:rsidRPr="00DD477A" w:rsidDel="00816D86">
        <w:rPr>
          <w:rStyle w:val="BodyTextChar"/>
          <w:rFonts w:cs="Calibri"/>
        </w:rPr>
        <w:t>entity’s</w:t>
      </w:r>
      <w:r w:rsidRPr="00DD477A">
        <w:rPr>
          <w:rStyle w:val="BodyTextChar"/>
          <w:rFonts w:cs="Calibri"/>
        </w:rPr>
        <w:t xml:space="preserve"> outcomes</w:t>
      </w:r>
      <w:r w:rsidRPr="00DD477A" w:rsidDel="003C3C28">
        <w:rPr>
          <w:rStyle w:val="BodyTextChar"/>
          <w:rFonts w:cs="Calibri"/>
        </w:rPr>
        <w:t xml:space="preserve">. </w:t>
      </w:r>
      <w:r w:rsidR="00611899" w:rsidRPr="00DD477A" w:rsidDel="003C3C28">
        <w:rPr>
          <w:rStyle w:val="BodyTextChar"/>
          <w:rFonts w:cs="Calibri"/>
        </w:rPr>
        <w:t xml:space="preserve">This reporting is ‘one way’ in nature, </w:t>
      </w:r>
      <w:r w:rsidR="00611899" w:rsidRPr="00DD477A">
        <w:rPr>
          <w:rStyle w:val="BodyTextChar"/>
          <w:rFonts w:cs="Calibri"/>
        </w:rPr>
        <w:t>the contribution your entity</w:t>
      </w:r>
      <w:r w:rsidR="00BD0DA3" w:rsidRPr="00DD477A">
        <w:rPr>
          <w:rStyle w:val="BodyTextChar"/>
          <w:rFonts w:cs="Calibri"/>
        </w:rPr>
        <w:t xml:space="preserve"> </w:t>
      </w:r>
      <w:r w:rsidR="00611899" w:rsidRPr="00DD477A" w:rsidDel="00BD0DA3">
        <w:rPr>
          <w:rStyle w:val="BodyTextChar"/>
          <w:rFonts w:cs="Calibri"/>
        </w:rPr>
        <w:t xml:space="preserve">makes to the achievement of another entity’s outcomes </w:t>
      </w:r>
      <w:r w:rsidR="00611899" w:rsidRPr="00DD477A">
        <w:rPr>
          <w:rStyle w:val="BodyTextChar"/>
          <w:rFonts w:cs="Calibri"/>
        </w:rPr>
        <w:t xml:space="preserve">should not be reported. </w:t>
      </w:r>
      <w:r w:rsidRPr="00DD477A">
        <w:rPr>
          <w:rStyle w:val="BodyTextChar"/>
          <w:rFonts w:cs="Calibri"/>
        </w:rPr>
        <w:t>The</w:t>
      </w:r>
      <w:r w:rsidR="009A435A" w:rsidRPr="00DD477A">
        <w:rPr>
          <w:rStyle w:val="BodyTextChar"/>
          <w:rFonts w:cs="Calibri"/>
        </w:rPr>
        <w:t xml:space="preserve"> </w:t>
      </w:r>
      <w:r w:rsidR="009A435A" w:rsidRPr="00DD477A">
        <w:rPr>
          <w:rStyle w:val="BodyTextChar"/>
          <w:rFonts w:cs="Calibri"/>
          <w:i/>
        </w:rPr>
        <w:t xml:space="preserve">linked programs </w:t>
      </w:r>
      <w:r w:rsidRPr="00DD477A">
        <w:rPr>
          <w:rStyle w:val="BodyTextChar"/>
          <w:rFonts w:cs="Calibri"/>
        </w:rPr>
        <w:t xml:space="preserve">box should appear immediately after the </w:t>
      </w:r>
      <w:r w:rsidR="00E0636D" w:rsidRPr="00DD477A" w:rsidDel="00336FC6">
        <w:rPr>
          <w:rStyle w:val="BodyTextChar"/>
          <w:rFonts w:cs="Calibri"/>
        </w:rPr>
        <w:t>o</w:t>
      </w:r>
      <w:r w:rsidRPr="00DD477A">
        <w:rPr>
          <w:rStyle w:val="BodyTextChar"/>
          <w:rFonts w:cs="Calibri"/>
        </w:rPr>
        <w:t xml:space="preserve">utcome </w:t>
      </w:r>
      <w:r w:rsidR="00E0636D" w:rsidRPr="00DD477A">
        <w:rPr>
          <w:rStyle w:val="BodyTextChar"/>
          <w:rFonts w:cs="Calibri"/>
        </w:rPr>
        <w:t>s</w:t>
      </w:r>
      <w:r w:rsidRPr="00DD477A">
        <w:rPr>
          <w:rStyle w:val="BodyTextChar"/>
          <w:rFonts w:cs="Calibri"/>
        </w:rPr>
        <w:t xml:space="preserve">tatement in subsection 2.X relevant to Outcome X. </w:t>
      </w:r>
    </w:p>
    <w:p w14:paraId="015A1661" w14:textId="7E5F6E8B" w:rsidR="0015783F" w:rsidRPr="00DD477A" w:rsidRDefault="00336FC6" w:rsidP="0015783F">
      <w:pPr>
        <w:rPr>
          <w:rFonts w:cs="Calibri"/>
        </w:rPr>
      </w:pPr>
      <w:r w:rsidRPr="00DD477A">
        <w:rPr>
          <w:rFonts w:cs="Calibri"/>
        </w:rPr>
        <w:t xml:space="preserve">The </w:t>
      </w:r>
      <w:r w:rsidR="53BF0693" w:rsidRPr="00DD477A">
        <w:rPr>
          <w:rFonts w:cs="Calibri"/>
        </w:rPr>
        <w:t xml:space="preserve">Linked programs </w:t>
      </w:r>
      <w:r w:rsidR="007B7D74" w:rsidRPr="00DD477A">
        <w:rPr>
          <w:rFonts w:cs="Calibri"/>
        </w:rPr>
        <w:t xml:space="preserve">box </w:t>
      </w:r>
      <w:r w:rsidR="000A11B2" w:rsidRPr="00DD477A">
        <w:rPr>
          <w:rFonts w:cs="Calibri"/>
        </w:rPr>
        <w:t xml:space="preserve">template, as below, </w:t>
      </w:r>
      <w:r w:rsidR="001C40B8" w:rsidRPr="00DD477A">
        <w:rPr>
          <w:rFonts w:cs="Calibri"/>
        </w:rPr>
        <w:t xml:space="preserve">is included </w:t>
      </w:r>
      <w:r w:rsidR="00612C51" w:rsidRPr="00DD477A">
        <w:rPr>
          <w:rFonts w:cs="Calibri"/>
        </w:rPr>
        <w:t xml:space="preserve">in </w:t>
      </w:r>
      <w:r w:rsidR="00396E4B" w:rsidRPr="00497B53">
        <w:rPr>
          <w:rFonts w:cs="Calibri"/>
          <w:u w:val="single"/>
        </w:rPr>
        <w:t>Attachment C</w:t>
      </w:r>
      <w:r w:rsidR="00396E4B" w:rsidRPr="00DD477A">
        <w:rPr>
          <w:rFonts w:cs="Calibri"/>
        </w:rPr>
        <w:t xml:space="preserve"> </w:t>
      </w:r>
      <w:r w:rsidR="00002FDE" w:rsidRPr="00DD477A">
        <w:rPr>
          <w:rFonts w:cs="Calibri"/>
        </w:rPr>
        <w:t xml:space="preserve">of </w:t>
      </w:r>
      <w:r w:rsidR="007C1D12">
        <w:rPr>
          <w:rFonts w:cs="Calibri"/>
        </w:rPr>
        <w:t>this</w:t>
      </w:r>
      <w:r w:rsidR="007C1D12" w:rsidRPr="00DD477A">
        <w:rPr>
          <w:rFonts w:cs="Calibri"/>
        </w:rPr>
        <w:t xml:space="preserve"> </w:t>
      </w:r>
      <w:r w:rsidR="00002FDE" w:rsidRPr="00DD477A">
        <w:rPr>
          <w:rFonts w:cs="Calibri"/>
        </w:rPr>
        <w:t>EM</w:t>
      </w:r>
      <w:r w:rsidR="000A11B2" w:rsidRPr="00DD477A">
        <w:rPr>
          <w:rFonts w:cs="Calibri"/>
        </w:rPr>
        <w:t xml:space="preserve"> under the heading </w:t>
      </w:r>
      <w:r w:rsidR="000A11B2" w:rsidRPr="00DD477A">
        <w:rPr>
          <w:rFonts w:cs="Calibri"/>
          <w:i/>
          <w:iCs/>
        </w:rPr>
        <w:t>Linked Programs</w:t>
      </w:r>
      <w:r w:rsidR="000A11B2" w:rsidRPr="00DD477A">
        <w:rPr>
          <w:rFonts w:cs="Calibri"/>
        </w:rPr>
        <w:t>. The red text provides a description of what information is to be provided in each row.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tblGrid>
      <w:tr w:rsidR="000A11B2" w:rsidRPr="00DD477A" w14:paraId="0409BD78" w14:textId="77777777" w:rsidTr="00A85E0D">
        <w:trPr>
          <w:trHeight w:val="113"/>
          <w:tblHeader/>
        </w:trPr>
        <w:tc>
          <w:tcPr>
            <w:tcW w:w="7792" w:type="dxa"/>
            <w:tcBorders>
              <w:bottom w:val="dotted" w:sz="4" w:space="0" w:color="auto"/>
            </w:tcBorders>
          </w:tcPr>
          <w:p w14:paraId="77CCBA08" w14:textId="77777777" w:rsidR="000A11B2" w:rsidRPr="00DD477A" w:rsidRDefault="000A11B2" w:rsidP="000A77C7">
            <w:pPr>
              <w:pStyle w:val="BoxHeading"/>
            </w:pPr>
            <w:r w:rsidRPr="00DD477A">
              <w:rPr>
                <w:bCs/>
              </w:rPr>
              <w:t>Entity X</w:t>
            </w:r>
            <w:r w:rsidRPr="00DD477A">
              <w:t xml:space="preserve"> </w:t>
            </w:r>
            <w:r w:rsidRPr="00DD477A">
              <w:rPr>
                <w:rStyle w:val="ExampletextCharChar"/>
                <w:lang w:val="en-AU"/>
              </w:rPr>
              <w:fldChar w:fldCharType="begin"/>
            </w:r>
            <w:r w:rsidRPr="00DD477A">
              <w:rPr>
                <w:rStyle w:val="ExampletextCharChar"/>
                <w:lang w:val="en-AU"/>
              </w:rPr>
              <w:instrText xml:space="preserve"> MACROBUTTON  AcceptAllChangesInDoc Entity X (insert the name of the entity with programs linked to Outcome X) </w:instrText>
            </w:r>
            <w:r w:rsidRPr="00DD477A">
              <w:rPr>
                <w:rStyle w:val="ExampletextCharChar"/>
                <w:lang w:val="en-AU"/>
              </w:rPr>
              <w:fldChar w:fldCharType="end"/>
            </w:r>
          </w:p>
        </w:tc>
      </w:tr>
      <w:tr w:rsidR="000A11B2" w:rsidRPr="00DD477A" w14:paraId="0A122EFE" w14:textId="77777777" w:rsidTr="00A85E0D">
        <w:trPr>
          <w:trHeight w:val="113"/>
        </w:trPr>
        <w:tc>
          <w:tcPr>
            <w:tcW w:w="7792" w:type="dxa"/>
            <w:tcBorders>
              <w:top w:val="dotted" w:sz="4" w:space="0" w:color="auto"/>
              <w:bottom w:val="single" w:sz="4" w:space="0" w:color="auto"/>
            </w:tcBorders>
          </w:tcPr>
          <w:p w14:paraId="04B6621D" w14:textId="77777777" w:rsidR="000A11B2" w:rsidRPr="00DD477A" w:rsidRDefault="000A11B2" w:rsidP="000A77C7">
            <w:pPr>
              <w:pStyle w:val="BoxText"/>
              <w:rPr>
                <w:rStyle w:val="ExampletextCharChar"/>
                <w:b/>
                <w:bCs/>
                <w:i w:val="0"/>
                <w:lang w:val="en-AU"/>
              </w:rPr>
            </w:pPr>
            <w:r w:rsidRPr="00DD477A">
              <w:rPr>
                <w:b/>
                <w:bCs/>
              </w:rPr>
              <w:t>Programs</w:t>
            </w:r>
          </w:p>
          <w:p w14:paraId="63DEAAE1" w14:textId="77777777" w:rsidR="000A11B2" w:rsidRPr="007737BB" w:rsidRDefault="000A11B2" w:rsidP="0014243A">
            <w:pPr>
              <w:pStyle w:val="BoxBullet"/>
              <w:spacing w:before="60" w:after="60"/>
              <w:ind w:left="284" w:hanging="284"/>
              <w:rPr>
                <w:rStyle w:val="ExampletextCharChar"/>
                <w:rFonts w:eastAsia="Book Antiqua" w:cs="Book Antiqua"/>
                <w:b/>
                <w:color w:val="auto"/>
                <w:lang w:val="en-AU"/>
              </w:rPr>
            </w:pPr>
            <w:r w:rsidRPr="00DD477A">
              <w:t>Program X.</w:t>
            </w:r>
            <w:r w:rsidRPr="00DD477A">
              <w:rPr>
                <w:rFonts w:eastAsia="Book Antiqua" w:cs="Book Antiqua"/>
              </w:rPr>
              <w:t>X –</w:t>
            </w:r>
            <w:r w:rsidRPr="00DD477A">
              <w:rPr>
                <w:rStyle w:val="ExampletextCharChar"/>
                <w:rFonts w:eastAsia="Book Antiqua" w:cs="Book Antiqua"/>
                <w:b/>
                <w:lang w:val="en-AU"/>
              </w:rPr>
              <w:t xml:space="preserve"> </w:t>
            </w:r>
            <w:r w:rsidRPr="00DD477A">
              <w:rPr>
                <w:rStyle w:val="ExampletextCharChar"/>
                <w:rFonts w:eastAsia="Book Antiqua" w:cs="Book Antiqua"/>
                <w:lang w:val="en-AU"/>
              </w:rPr>
              <w:t>insert program name</w:t>
            </w:r>
          </w:p>
          <w:p w14:paraId="704E6A5A" w14:textId="77777777" w:rsidR="000A11B2" w:rsidRPr="00DD477A" w:rsidRDefault="000A11B2" w:rsidP="0014243A">
            <w:pPr>
              <w:pStyle w:val="BoxBullet"/>
              <w:spacing w:before="60" w:after="60"/>
              <w:ind w:left="284" w:hanging="284"/>
            </w:pPr>
            <w:r w:rsidRPr="007737BB">
              <w:t>P</w:t>
            </w:r>
            <w:r w:rsidRPr="00DD477A">
              <w:t xml:space="preserve">rogram X.X – </w:t>
            </w:r>
            <w:r w:rsidRPr="00DD477A">
              <w:rPr>
                <w:rFonts w:eastAsia="Book Antiqua"/>
                <w:i/>
                <w:color w:val="FF0000"/>
              </w:rPr>
              <w:t xml:space="preserve">insert program </w:t>
            </w:r>
            <w:r w:rsidRPr="00DD477A">
              <w:rPr>
                <w:i/>
                <w:color w:val="FF0000"/>
              </w:rPr>
              <w:t>name</w:t>
            </w:r>
          </w:p>
          <w:p w14:paraId="0B52FF20" w14:textId="77777777" w:rsidR="000A11B2" w:rsidRPr="00DD477A" w:rsidRDefault="000A11B2" w:rsidP="0014243A">
            <w:pPr>
              <w:pStyle w:val="BoxBullet"/>
              <w:spacing w:before="60" w:after="60"/>
              <w:ind w:left="284" w:hanging="284"/>
            </w:pPr>
            <w:r w:rsidRPr="00DD477A">
              <w:rPr>
                <w:color w:val="FF0000"/>
              </w:rPr>
              <w:t>Etc ...</w:t>
            </w:r>
          </w:p>
        </w:tc>
      </w:tr>
      <w:tr w:rsidR="000A11B2" w:rsidRPr="00DD477A" w14:paraId="2BF3AA7C" w14:textId="77777777" w:rsidTr="00A85E0D">
        <w:trPr>
          <w:trHeight w:val="113"/>
        </w:trPr>
        <w:tc>
          <w:tcPr>
            <w:tcW w:w="7792" w:type="dxa"/>
            <w:tcBorders>
              <w:bottom w:val="dotted" w:sz="4" w:space="0" w:color="auto"/>
            </w:tcBorders>
          </w:tcPr>
          <w:p w14:paraId="76A17ADF" w14:textId="77777777" w:rsidR="000A11B2" w:rsidRPr="00DD477A" w:rsidRDefault="000A11B2" w:rsidP="000A77C7">
            <w:pPr>
              <w:pStyle w:val="BoxHeading"/>
            </w:pPr>
            <w:r w:rsidRPr="00DD477A">
              <w:rPr>
                <w:bCs/>
              </w:rPr>
              <w:t>Entity</w:t>
            </w:r>
            <w:r w:rsidRPr="00DD477A">
              <w:t xml:space="preserve"> Y</w:t>
            </w:r>
            <w:r w:rsidRPr="00DD477A">
              <w:rPr>
                <w:rStyle w:val="ExampletextCharChar"/>
                <w:lang w:val="en-AU"/>
              </w:rPr>
              <w:t xml:space="preserve"> Entity Y (insert the name of the entity with programs linked to Outcome X)</w:t>
            </w:r>
          </w:p>
        </w:tc>
      </w:tr>
      <w:tr w:rsidR="000A11B2" w:rsidRPr="00DD477A" w14:paraId="721C05AE" w14:textId="77777777" w:rsidTr="00A85E0D">
        <w:trPr>
          <w:trHeight w:val="113"/>
        </w:trPr>
        <w:tc>
          <w:tcPr>
            <w:tcW w:w="7792" w:type="dxa"/>
            <w:tcBorders>
              <w:top w:val="dotted" w:sz="4" w:space="0" w:color="auto"/>
              <w:bottom w:val="single" w:sz="4" w:space="0" w:color="auto"/>
            </w:tcBorders>
          </w:tcPr>
          <w:p w14:paraId="3DE0190F" w14:textId="77777777" w:rsidR="000A11B2" w:rsidRPr="00DD477A" w:rsidRDefault="000A11B2" w:rsidP="000A77C7">
            <w:pPr>
              <w:pStyle w:val="BoxText"/>
              <w:rPr>
                <w:b/>
                <w:bCs/>
              </w:rPr>
            </w:pPr>
            <w:r w:rsidRPr="00DD477A">
              <w:rPr>
                <w:b/>
                <w:bCs/>
              </w:rPr>
              <w:t>Programs</w:t>
            </w:r>
          </w:p>
          <w:p w14:paraId="592E2F43" w14:textId="77777777" w:rsidR="000A11B2" w:rsidRPr="00DD477A" w:rsidRDefault="000A11B2" w:rsidP="0014243A">
            <w:pPr>
              <w:pStyle w:val="BoxBullet"/>
              <w:spacing w:before="60" w:after="60"/>
              <w:ind w:left="284" w:hanging="284"/>
            </w:pPr>
            <w:r w:rsidRPr="00DD477A">
              <w:t>Program X.X –</w:t>
            </w:r>
            <w:r w:rsidRPr="00DD477A">
              <w:rPr>
                <w:rStyle w:val="ExampletextCharChar"/>
                <w:rFonts w:eastAsia="Book Antiqua" w:cs="Book Antiqua"/>
                <w:lang w:val="en-AU"/>
              </w:rPr>
              <w:t xml:space="preserve"> insert program name</w:t>
            </w:r>
          </w:p>
          <w:p w14:paraId="5BD7FCDF" w14:textId="77777777" w:rsidR="000A11B2" w:rsidRPr="00DD477A" w:rsidRDefault="000A11B2" w:rsidP="0014243A">
            <w:pPr>
              <w:pStyle w:val="BoxBullet"/>
              <w:spacing w:before="60" w:after="60"/>
              <w:ind w:left="284" w:hanging="284"/>
            </w:pPr>
            <w:r w:rsidRPr="00DD477A">
              <w:t>Program X.X –</w:t>
            </w:r>
            <w:r w:rsidRPr="00DD477A">
              <w:rPr>
                <w:rStyle w:val="ExampletextCharChar"/>
                <w:b/>
                <w:lang w:val="en-AU"/>
              </w:rPr>
              <w:t xml:space="preserve"> </w:t>
            </w:r>
            <w:r w:rsidRPr="00DD477A">
              <w:rPr>
                <w:rStyle w:val="ExampletextCharChar"/>
                <w:rFonts w:eastAsia="Book Antiqua" w:cs="Book Antiqua"/>
                <w:lang w:val="en-AU"/>
              </w:rPr>
              <w:t>insert program name</w:t>
            </w:r>
          </w:p>
          <w:p w14:paraId="080CE78F" w14:textId="77777777" w:rsidR="000A11B2" w:rsidRPr="00DD477A" w:rsidRDefault="000A11B2" w:rsidP="0014243A">
            <w:pPr>
              <w:pStyle w:val="BoxBullet"/>
              <w:spacing w:before="60" w:after="60"/>
              <w:ind w:left="284" w:hanging="284"/>
            </w:pPr>
            <w:r w:rsidRPr="00DD477A">
              <w:rPr>
                <w:color w:val="FF0000"/>
              </w:rPr>
              <w:t>Etc ...</w:t>
            </w:r>
          </w:p>
        </w:tc>
      </w:tr>
      <w:tr w:rsidR="000A11B2" w:rsidRPr="00DD477A" w14:paraId="2B716F7B" w14:textId="77777777" w:rsidTr="00A85E0D">
        <w:trPr>
          <w:trHeight w:val="113"/>
        </w:trPr>
        <w:tc>
          <w:tcPr>
            <w:tcW w:w="7792" w:type="dxa"/>
            <w:tcBorders>
              <w:bottom w:val="single" w:sz="4" w:space="0" w:color="auto"/>
            </w:tcBorders>
          </w:tcPr>
          <w:p w14:paraId="3812CEE9" w14:textId="77777777" w:rsidR="000A11B2" w:rsidRPr="00DD477A" w:rsidRDefault="000A11B2" w:rsidP="0014243A">
            <w:pPr>
              <w:pStyle w:val="BoxText"/>
              <w:spacing w:before="60" w:after="60"/>
            </w:pPr>
            <w:r w:rsidRPr="00DD477A">
              <w:t>Contribution to Outcome X made by linked programs</w:t>
            </w:r>
          </w:p>
          <w:p w14:paraId="44988D4C" w14:textId="77777777" w:rsidR="000A11B2" w:rsidRPr="00DD477A" w:rsidRDefault="000A11B2" w:rsidP="0014243A">
            <w:pPr>
              <w:pStyle w:val="Exampletext"/>
              <w:spacing w:after="120"/>
              <w:rPr>
                <w:lang w:val="en-AU"/>
              </w:rPr>
            </w:pPr>
            <w:r w:rsidRPr="00DD477A">
              <w:rPr>
                <w:lang w:val="en-AU"/>
              </w:rPr>
              <w:fldChar w:fldCharType="begin"/>
            </w:r>
            <w:r w:rsidRPr="00DD477A">
              <w:rPr>
                <w:lang w:val="en-AU"/>
              </w:rPr>
              <w:instrText xml:space="preserve"> MACROBUTTON  AcceptAllChangesInDoc Insert one or two sentences on how Outcome X benefits from the linked programs </w:instrText>
            </w:r>
            <w:r w:rsidRPr="00DD477A">
              <w:rPr>
                <w:lang w:val="en-AU"/>
              </w:rPr>
              <w:fldChar w:fldCharType="end"/>
            </w:r>
          </w:p>
        </w:tc>
      </w:tr>
    </w:tbl>
    <w:p w14:paraId="640DF78B" w14:textId="77777777" w:rsidR="000A11B2" w:rsidRPr="00892E30" w:rsidRDefault="000A11B2" w:rsidP="00892E30">
      <w:pPr>
        <w:pStyle w:val="ChartandTableFootnoteAlpha"/>
        <w:numPr>
          <w:ilvl w:val="0"/>
          <w:numId w:val="59"/>
        </w:numPr>
        <w:spacing w:before="30"/>
        <w:jc w:val="left"/>
        <w:rPr>
          <w:rFonts w:ascii="Book Antiqua" w:hAnsi="Book Antiqua"/>
        </w:rPr>
      </w:pPr>
      <w:r w:rsidRPr="00892E30">
        <w:rPr>
          <w:rFonts w:ascii="Book Antiqua" w:hAnsi="Book Antiqua"/>
          <w:color w:val="FF0000"/>
        </w:rPr>
        <w:t>Insert footnote if required</w:t>
      </w:r>
      <w:r w:rsidRPr="00892E30">
        <w:rPr>
          <w:rFonts w:ascii="Book Antiqua" w:hAnsi="Book Antiqua"/>
        </w:rPr>
        <w:t>.</w:t>
      </w:r>
    </w:p>
    <w:p w14:paraId="06DE6FEF" w14:textId="77777777" w:rsidR="000A11B2" w:rsidRPr="00892E30" w:rsidRDefault="000A11B2" w:rsidP="00892E30">
      <w:pPr>
        <w:pStyle w:val="ChartandTableFootnoteAlpha"/>
        <w:numPr>
          <w:ilvl w:val="0"/>
          <w:numId w:val="59"/>
        </w:numPr>
        <w:spacing w:before="30"/>
        <w:jc w:val="left"/>
        <w:rPr>
          <w:rFonts w:ascii="Book Antiqua" w:hAnsi="Book Antiqua"/>
        </w:rPr>
      </w:pPr>
      <w:r w:rsidRPr="00892E30">
        <w:rPr>
          <w:rFonts w:ascii="Book Antiqua" w:hAnsi="Book Antiqua"/>
          <w:color w:val="FF0000"/>
        </w:rPr>
        <w:t>Insert footnote if required</w:t>
      </w:r>
      <w:r w:rsidRPr="00892E30">
        <w:rPr>
          <w:rFonts w:ascii="Book Antiqua" w:hAnsi="Book Antiqua"/>
        </w:rPr>
        <w:t>.</w:t>
      </w:r>
    </w:p>
    <w:p w14:paraId="1E78CE89" w14:textId="77777777" w:rsidR="000A11B2" w:rsidRPr="00892E30" w:rsidRDefault="000A11B2" w:rsidP="00892E30">
      <w:pPr>
        <w:pStyle w:val="ChartandTableFootnoteAlpha"/>
        <w:numPr>
          <w:ilvl w:val="0"/>
          <w:numId w:val="59"/>
        </w:numPr>
        <w:spacing w:before="30"/>
        <w:jc w:val="left"/>
        <w:rPr>
          <w:rFonts w:ascii="Book Antiqua" w:hAnsi="Book Antiqua"/>
        </w:rPr>
      </w:pPr>
      <w:r w:rsidRPr="00892E30">
        <w:rPr>
          <w:rFonts w:ascii="Book Antiqua" w:hAnsi="Book Antiqua"/>
          <w:color w:val="FF0000"/>
        </w:rPr>
        <w:t>Insert footnote if required.</w:t>
      </w:r>
    </w:p>
    <w:p w14:paraId="652F0989" w14:textId="77777777" w:rsidR="009E45E6" w:rsidRDefault="009E45E6">
      <w:pPr>
        <w:suppressAutoHyphens w:val="0"/>
        <w:spacing w:before="0" w:after="120" w:line="440" w:lineRule="atLeast"/>
        <w:rPr>
          <w:rStyle w:val="BodyTextChar"/>
          <w:rFonts w:cs="Calibri"/>
        </w:rPr>
      </w:pPr>
      <w:r>
        <w:rPr>
          <w:rStyle w:val="BodyTextChar"/>
          <w:rFonts w:cs="Calibri"/>
        </w:rPr>
        <w:br w:type="page"/>
      </w:r>
    </w:p>
    <w:p w14:paraId="57A1A1B0" w14:textId="396CFFC2" w:rsidR="00805922" w:rsidRPr="00DD477A" w:rsidRDefault="00BA480B" w:rsidP="00805922">
      <w:pPr>
        <w:rPr>
          <w:rFonts w:cs="Calibri"/>
        </w:rPr>
      </w:pPr>
      <w:r>
        <w:rPr>
          <w:rFonts w:cs="Calibri"/>
        </w:rPr>
        <w:t xml:space="preserve">The ‘Contribution to outcome X made by linked programs’ text should outline </w:t>
      </w:r>
      <w:r w:rsidRPr="00BA480B">
        <w:rPr>
          <w:rFonts w:cs="Calibri"/>
        </w:rPr>
        <w:t>‘how’ the linked program contributes to the successful delivery of your entity’s Outcome</w:t>
      </w:r>
      <w:r w:rsidR="00CA3047">
        <w:rPr>
          <w:rFonts w:cs="Calibri"/>
        </w:rPr>
        <w:t xml:space="preserve">. </w:t>
      </w:r>
      <w:r w:rsidR="00805922" w:rsidRPr="00DD477A">
        <w:rPr>
          <w:rFonts w:cs="Calibri"/>
        </w:rPr>
        <w:t xml:space="preserve">Where linked programs are covered by a cross-entity arrangement (i.e. a Memorandum of Understanding) or an intergovernmental agreement (i.e. a National Partnership Agreement), entities are encouraged to name </w:t>
      </w:r>
      <w:r w:rsidR="00805922">
        <w:rPr>
          <w:rFonts w:cs="Calibri"/>
        </w:rPr>
        <w:t>the</w:t>
      </w:r>
      <w:r w:rsidR="00805922" w:rsidRPr="00DD477A">
        <w:rPr>
          <w:rFonts w:cs="Calibri"/>
        </w:rPr>
        <w:t xml:space="preserve"> arrangement</w:t>
      </w:r>
      <w:r w:rsidR="00805922">
        <w:rPr>
          <w:rFonts w:cs="Calibri"/>
        </w:rPr>
        <w:t xml:space="preserve"> or agreement</w:t>
      </w:r>
      <w:r w:rsidR="00805922" w:rsidRPr="00DD477A">
        <w:rPr>
          <w:rFonts w:cs="Calibri"/>
        </w:rPr>
        <w:t xml:space="preserve"> in the </w:t>
      </w:r>
      <w:r w:rsidR="00805922">
        <w:rPr>
          <w:rFonts w:cs="Calibri"/>
        </w:rPr>
        <w:t>‘Contribution to outcome X made by linked programs’ text box</w:t>
      </w:r>
      <w:r w:rsidR="00805922" w:rsidRPr="00DD477A">
        <w:rPr>
          <w:rFonts w:cs="Calibri"/>
        </w:rPr>
        <w:t>.</w:t>
      </w:r>
    </w:p>
    <w:p w14:paraId="5B7B7795" w14:textId="7B5619A3" w:rsidR="00CA3047" w:rsidRDefault="00CA3047" w:rsidP="00CA3047">
      <w:pPr>
        <w:rPr>
          <w:szCs w:val="22"/>
        </w:rPr>
      </w:pPr>
      <w:r w:rsidRPr="00DD477A">
        <w:rPr>
          <w:rStyle w:val="BodyTextChar"/>
          <w:rFonts w:cs="Calibri"/>
        </w:rPr>
        <w:t xml:space="preserve">An example of </w:t>
      </w:r>
      <w:r w:rsidR="0070396E">
        <w:rPr>
          <w:rStyle w:val="BodyTextChar"/>
          <w:rFonts w:cs="Calibri"/>
        </w:rPr>
        <w:t xml:space="preserve">how to report </w:t>
      </w:r>
      <w:r w:rsidRPr="00DD477A">
        <w:rPr>
          <w:rStyle w:val="BodyTextChar"/>
          <w:rFonts w:cs="Calibri"/>
        </w:rPr>
        <w:t>Linked program</w:t>
      </w:r>
      <w:r w:rsidR="0070396E">
        <w:rPr>
          <w:rStyle w:val="BodyTextChar"/>
          <w:rFonts w:cs="Calibri"/>
        </w:rPr>
        <w:t>s</w:t>
      </w:r>
      <w:r w:rsidRPr="00DD477A">
        <w:rPr>
          <w:rStyle w:val="BodyTextChar"/>
          <w:rFonts w:cs="Calibri"/>
        </w:rPr>
        <w:t xml:space="preserve"> from the Department of </w:t>
      </w:r>
      <w:r>
        <w:rPr>
          <w:rStyle w:val="BodyTextChar"/>
          <w:rFonts w:cs="Calibri"/>
        </w:rPr>
        <w:t>Education’s</w:t>
      </w:r>
      <w:r w:rsidRPr="00DD477A">
        <w:rPr>
          <w:rStyle w:val="BodyTextChar"/>
          <w:rFonts w:cs="Calibri"/>
        </w:rPr>
        <w:t xml:space="preserve"> 202</w:t>
      </w:r>
      <w:r>
        <w:rPr>
          <w:rStyle w:val="BodyTextChar"/>
          <w:rFonts w:cs="Calibri"/>
        </w:rPr>
        <w:t>5</w:t>
      </w:r>
      <w:r w:rsidRPr="00DD477A">
        <w:rPr>
          <w:rStyle w:val="BodyTextChar"/>
          <w:rFonts w:cs="Calibri"/>
        </w:rPr>
        <w:t>–2</w:t>
      </w:r>
      <w:r>
        <w:rPr>
          <w:rStyle w:val="BodyTextChar"/>
          <w:rFonts w:cs="Calibri"/>
        </w:rPr>
        <w:t>6</w:t>
      </w:r>
      <w:r w:rsidRPr="00DD477A">
        <w:rPr>
          <w:rStyle w:val="BodyTextChar"/>
          <w:rFonts w:cs="Calibri"/>
        </w:rPr>
        <w:t xml:space="preserve"> PB Statements </w:t>
      </w:r>
      <w:r w:rsidR="00F41DB9">
        <w:rPr>
          <w:rStyle w:val="BodyTextChar"/>
          <w:rFonts w:cs="Calibri"/>
        </w:rPr>
        <w:t>appears</w:t>
      </w:r>
      <w:r w:rsidRPr="00DD477A">
        <w:rPr>
          <w:rStyle w:val="BodyTextChar"/>
          <w:rFonts w:cs="Calibri"/>
        </w:rPr>
        <w:t xml:space="preserve"> below</w:t>
      </w:r>
      <w:r>
        <w:rPr>
          <w:rStyle w:val="BodyTextChar"/>
          <w:rFonts w:cs="Calibri"/>
        </w:rPr>
        <w:t xml:space="preserve">. Other examples are published in </w:t>
      </w:r>
      <w:hyperlink r:id="rId140" w:history="1">
        <w:r w:rsidRPr="00463D87">
          <w:rPr>
            <w:rStyle w:val="Hyperlink"/>
            <w:szCs w:val="22"/>
          </w:rPr>
          <w:t>RMG 129 Reporting performance information in Portfolio Budget Statements</w:t>
        </w:r>
      </w:hyperlink>
      <w:r w:rsidRPr="005B776C">
        <w:rPr>
          <w:rStyle w:val="CommentReference"/>
          <w:rFonts w:eastAsia="Cambria" w:cs="Times New Roman"/>
          <w:sz w:val="22"/>
          <w:szCs w:val="22"/>
        </w:rPr>
        <w:t xml:space="preserve"> (see </w:t>
      </w:r>
      <w:r>
        <w:rPr>
          <w:rStyle w:val="CommentReference"/>
          <w:rFonts w:eastAsia="Cambria" w:cs="Times New Roman"/>
          <w:sz w:val="22"/>
          <w:szCs w:val="22"/>
        </w:rPr>
        <w:t>‘</w:t>
      </w:r>
      <w:hyperlink r:id="rId141" w:history="1">
        <w:r w:rsidRPr="008523DD">
          <w:rPr>
            <w:rStyle w:val="Hyperlink"/>
            <w:rFonts w:eastAsia="Cambria" w:cs="Times New Roman"/>
            <w:szCs w:val="22"/>
          </w:rPr>
          <w:t xml:space="preserve">Direction 5: </w:t>
        </w:r>
        <w:r w:rsidRPr="005B776C">
          <w:rPr>
            <w:rStyle w:val="Hyperlink"/>
            <w:rFonts w:eastAsia="Cambria" w:cs="Times New Roman"/>
            <w:szCs w:val="22"/>
          </w:rPr>
          <w:t>Linked Programs</w:t>
        </w:r>
      </w:hyperlink>
      <w:r w:rsidRPr="005B776C">
        <w:rPr>
          <w:rStyle w:val="CommentReference"/>
          <w:rFonts w:eastAsia="Cambria" w:cs="Times New Roman"/>
          <w:sz w:val="22"/>
          <w:szCs w:val="22"/>
        </w:rPr>
        <w:t>’)</w:t>
      </w:r>
      <w:r w:rsidRPr="00463D87">
        <w:rPr>
          <w:szCs w:val="22"/>
        </w:rPr>
        <w:t>.</w:t>
      </w:r>
    </w:p>
    <w:p w14:paraId="25404CCD" w14:textId="57C7915D" w:rsidR="000A11B2" w:rsidRPr="00892E30" w:rsidRDefault="005E4296" w:rsidP="000A11B2">
      <w:pPr>
        <w:rPr>
          <w:rStyle w:val="BodyTextChar"/>
          <w:rFonts w:cs="Calibri"/>
          <w:i/>
          <w:iCs/>
        </w:rPr>
      </w:pPr>
      <w:r w:rsidRPr="005E4296">
        <w:rPr>
          <w:rStyle w:val="BodyTextChar"/>
          <w:rFonts w:cs="Calibri"/>
          <w:i/>
          <w:iCs/>
          <w:noProof/>
        </w:rPr>
        <w:drawing>
          <wp:inline distT="0" distB="0" distL="0" distR="0" wp14:anchorId="674E6A01" wp14:editId="11AE0A6B">
            <wp:extent cx="6115685" cy="5609590"/>
            <wp:effectExtent l="0" t="0" r="0" b="0"/>
            <wp:docPr id="110668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8085" name=""/>
                    <pic:cNvPicPr/>
                  </pic:nvPicPr>
                  <pic:blipFill>
                    <a:blip r:embed="rId142"/>
                    <a:stretch>
                      <a:fillRect/>
                    </a:stretch>
                  </pic:blipFill>
                  <pic:spPr>
                    <a:xfrm>
                      <a:off x="0" y="0"/>
                      <a:ext cx="6115685" cy="5609590"/>
                    </a:xfrm>
                    <a:prstGeom prst="rect">
                      <a:avLst/>
                    </a:prstGeom>
                  </pic:spPr>
                </pic:pic>
              </a:graphicData>
            </a:graphic>
          </wp:inline>
        </w:drawing>
      </w:r>
    </w:p>
    <w:p w14:paraId="0F2A0CF7" w14:textId="70B4819E" w:rsidR="00FA0945" w:rsidRPr="00DD477A" w:rsidRDefault="53BF0693" w:rsidP="003D6589">
      <w:pPr>
        <w:pStyle w:val="Heading2"/>
      </w:pPr>
      <w:bookmarkStart w:id="983" w:name="_Toc222148025"/>
      <w:bookmarkStart w:id="984" w:name="_Toc222148287"/>
      <w:bookmarkStart w:id="985" w:name="_Toc222148513"/>
      <w:bookmarkStart w:id="986" w:name="_Toc222148741"/>
      <w:bookmarkStart w:id="987" w:name="_Toc222148969"/>
      <w:bookmarkStart w:id="988" w:name="_Toc222149197"/>
      <w:bookmarkStart w:id="989" w:name="_Toc222149425"/>
      <w:bookmarkStart w:id="990" w:name="_Toc222149654"/>
      <w:bookmarkStart w:id="991" w:name="_Toc222150119"/>
      <w:bookmarkStart w:id="992" w:name="_Toc222150345"/>
      <w:bookmarkStart w:id="993" w:name="_Toc222148026"/>
      <w:bookmarkStart w:id="994" w:name="_Toc222148288"/>
      <w:bookmarkStart w:id="995" w:name="_Toc222148514"/>
      <w:bookmarkStart w:id="996" w:name="_Toc222148742"/>
      <w:bookmarkStart w:id="997" w:name="_Toc222148970"/>
      <w:bookmarkStart w:id="998" w:name="_Toc222149198"/>
      <w:bookmarkStart w:id="999" w:name="_Toc222149426"/>
      <w:bookmarkStart w:id="1000" w:name="_Toc222149655"/>
      <w:bookmarkStart w:id="1001" w:name="_Toc222150120"/>
      <w:bookmarkStart w:id="1002" w:name="_Toc222150346"/>
      <w:bookmarkStart w:id="1003" w:name="_Toc63357890"/>
      <w:bookmarkStart w:id="1004" w:name="_Toc65165122"/>
      <w:bookmarkStart w:id="1005" w:name="_Toc65230625"/>
      <w:bookmarkStart w:id="1006" w:name="_Toc534458882"/>
      <w:bookmarkStart w:id="1007" w:name="_Toc534459671"/>
      <w:bookmarkStart w:id="1008" w:name="_Toc534519166"/>
      <w:bookmarkStart w:id="1009" w:name="_Toc534520076"/>
      <w:bookmarkStart w:id="1010" w:name="_Toc534520346"/>
      <w:bookmarkStart w:id="1011" w:name="_Toc534527558"/>
      <w:bookmarkStart w:id="1012" w:name="_Toc534528288"/>
      <w:bookmarkStart w:id="1013" w:name="_Toc534803509"/>
      <w:bookmarkStart w:id="1014" w:name="_Toc534814200"/>
      <w:bookmarkStart w:id="1015" w:name="_Toc536108573"/>
      <w:bookmarkStart w:id="1016" w:name="_Toc536802121"/>
      <w:bookmarkStart w:id="1017" w:name="_Toc411852681"/>
      <w:bookmarkStart w:id="1018" w:name="_Toc534382564"/>
      <w:bookmarkStart w:id="1019" w:name="_Toc63347715"/>
      <w:bookmarkStart w:id="1020" w:name="_Toc227749045"/>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DD477A">
        <w:t>Budgeted expenses by outcome table</w:t>
      </w:r>
      <w:bookmarkEnd w:id="1017"/>
      <w:bookmarkEnd w:id="1018"/>
      <w:bookmarkEnd w:id="1019"/>
      <w:r w:rsidR="00765257" w:rsidRPr="00DD477A">
        <w:t xml:space="preserve"> – Table 2.X.1</w:t>
      </w:r>
      <w:bookmarkEnd w:id="1020"/>
    </w:p>
    <w:p w14:paraId="23682720" w14:textId="4CC59137" w:rsidR="00C1241A" w:rsidRPr="00DD477A" w:rsidRDefault="00C1241A" w:rsidP="000A7DEC">
      <w:pPr>
        <w:rPr>
          <w:rStyle w:val="BodyTextChar"/>
          <w:rFonts w:cs="Calibri"/>
        </w:rPr>
      </w:pPr>
      <w:r w:rsidRPr="00DD477A">
        <w:rPr>
          <w:rFonts w:eastAsia="Cambria" w:cs="Calibri"/>
          <w:noProof/>
        </w:rPr>
        <w:drawing>
          <wp:inline distT="0" distB="0" distL="0" distR="0" wp14:anchorId="5260CDCF" wp14:editId="402E4754">
            <wp:extent cx="5835650" cy="780443"/>
            <wp:effectExtent l="0" t="0" r="0" b="0"/>
            <wp:docPr id="790165377" name="Diagram 7901653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3" r:lo="rId144" r:qs="rId145" r:cs="rId146"/>
              </a:graphicData>
            </a:graphic>
          </wp:inline>
        </w:drawing>
      </w:r>
    </w:p>
    <w:p w14:paraId="4738BDE2" w14:textId="1196935A" w:rsidR="00FA0945" w:rsidRPr="00DD477A" w:rsidRDefault="00DB7A5E" w:rsidP="000A7DEC">
      <w:pPr>
        <w:rPr>
          <w:rStyle w:val="BodyTextChar"/>
          <w:rFonts w:cs="Calibri"/>
        </w:rPr>
      </w:pPr>
      <w:r w:rsidRPr="00DD477A">
        <w:rPr>
          <w:rStyle w:val="BodyTextChar"/>
          <w:rFonts w:cs="Calibri"/>
        </w:rPr>
        <w:t>Table 2.X.1</w:t>
      </w:r>
      <w:r w:rsidR="005604BC" w:rsidRPr="00DD477A">
        <w:rPr>
          <w:rStyle w:val="BodyTextChar"/>
          <w:rFonts w:cs="Calibri"/>
        </w:rPr>
        <w:t>, where</w:t>
      </w:r>
      <w:r w:rsidR="00C85F95" w:rsidRPr="00DD477A">
        <w:rPr>
          <w:rStyle w:val="BodyTextChar"/>
          <w:rFonts w:cs="Calibri"/>
        </w:rPr>
        <w:t xml:space="preserve"> X relates to the number of the Outcome being reported</w:t>
      </w:r>
      <w:r w:rsidR="00524985" w:rsidRPr="00DD477A">
        <w:rPr>
          <w:rStyle w:val="BodyTextChar"/>
          <w:rFonts w:cs="Calibri"/>
        </w:rPr>
        <w:t>,</w:t>
      </w:r>
      <w:r w:rsidR="53BF0693" w:rsidRPr="00DD477A">
        <w:rPr>
          <w:rStyle w:val="BodyTextChar"/>
          <w:rFonts w:cs="Calibri"/>
        </w:rPr>
        <w:t xml:space="preserve"> detail</w:t>
      </w:r>
      <w:r w:rsidR="00FB4AE5" w:rsidRPr="00DD477A">
        <w:rPr>
          <w:rStyle w:val="BodyTextChar"/>
          <w:rFonts w:cs="Calibri"/>
        </w:rPr>
        <w:t xml:space="preserve">s </w:t>
      </w:r>
      <w:r w:rsidR="00EE4D9E" w:rsidRPr="00DD477A">
        <w:rPr>
          <w:rStyle w:val="BodyTextChar"/>
          <w:rFonts w:cs="Calibri"/>
        </w:rPr>
        <w:t xml:space="preserve">the </w:t>
      </w:r>
      <w:r w:rsidR="00996113" w:rsidRPr="00DD477A">
        <w:rPr>
          <w:rStyle w:val="BodyTextChar"/>
          <w:rFonts w:cs="Calibri"/>
        </w:rPr>
        <w:t xml:space="preserve">proposed </w:t>
      </w:r>
      <w:r w:rsidR="00432E8E" w:rsidRPr="00DD477A">
        <w:rPr>
          <w:rStyle w:val="BodyTextChar"/>
          <w:rFonts w:cs="Calibri"/>
        </w:rPr>
        <w:t xml:space="preserve">use </w:t>
      </w:r>
      <w:r w:rsidR="53BF0693" w:rsidRPr="00DD477A">
        <w:rPr>
          <w:rStyle w:val="BodyTextChar"/>
          <w:rFonts w:cs="Calibri"/>
        </w:rPr>
        <w:t xml:space="preserve">of an entity’s </w:t>
      </w:r>
      <w:r w:rsidR="002E7CE0" w:rsidRPr="00DD477A">
        <w:rPr>
          <w:rStyle w:val="BodyTextChar"/>
          <w:rFonts w:cs="Calibri"/>
        </w:rPr>
        <w:t>appropriations</w:t>
      </w:r>
      <w:r w:rsidR="00FC34B5" w:rsidRPr="00DD477A">
        <w:rPr>
          <w:rStyle w:val="BodyTextChar"/>
          <w:rFonts w:cs="Calibri"/>
        </w:rPr>
        <w:t xml:space="preserve"> by outcome</w:t>
      </w:r>
      <w:r w:rsidR="00A031ED" w:rsidRPr="00DD477A">
        <w:rPr>
          <w:rStyle w:val="BodyTextChar"/>
          <w:rFonts w:cs="Calibri"/>
        </w:rPr>
        <w:t>, with each outcome</w:t>
      </w:r>
      <w:r w:rsidR="00C2510C" w:rsidRPr="00DD477A">
        <w:rPr>
          <w:rStyle w:val="BodyTextChar"/>
          <w:rFonts w:cs="Calibri"/>
        </w:rPr>
        <w:t xml:space="preserve"> reported in a separate table</w:t>
      </w:r>
      <w:r w:rsidR="00432E8E" w:rsidRPr="00DD477A">
        <w:rPr>
          <w:rStyle w:val="BodyTextChar"/>
          <w:rFonts w:cs="Calibri"/>
        </w:rPr>
        <w:t>. It provides a breakdown of the entit</w:t>
      </w:r>
      <w:r w:rsidR="00FC34B5" w:rsidRPr="00DD477A">
        <w:rPr>
          <w:rStyle w:val="BodyTextChar"/>
          <w:rFonts w:cs="Calibri"/>
        </w:rPr>
        <w:t>y’s</w:t>
      </w:r>
      <w:r w:rsidR="00D44BCC" w:rsidRPr="00DD477A">
        <w:rPr>
          <w:rStyle w:val="BodyTextChar"/>
          <w:rFonts w:cs="Calibri"/>
        </w:rPr>
        <w:t xml:space="preserve"> </w:t>
      </w:r>
      <w:r w:rsidR="00D44BCC" w:rsidRPr="00DD477A">
        <w:rPr>
          <w:rStyle w:val="BodyTextChar"/>
          <w:rFonts w:cs="Calibri"/>
          <w:b/>
          <w:bCs/>
        </w:rPr>
        <w:t xml:space="preserve">expenses </w:t>
      </w:r>
      <w:r w:rsidR="00654674" w:rsidRPr="00DD477A">
        <w:rPr>
          <w:rStyle w:val="BodyTextChar"/>
          <w:rFonts w:cs="Calibri"/>
          <w:b/>
          <w:bCs/>
        </w:rPr>
        <w:t>attributed to</w:t>
      </w:r>
      <w:r w:rsidR="00FD1D04" w:rsidRPr="00DD477A">
        <w:rPr>
          <w:rStyle w:val="BodyTextChar"/>
          <w:rFonts w:cs="Calibri"/>
          <w:b/>
          <w:bCs/>
        </w:rPr>
        <w:t xml:space="preserve"> </w:t>
      </w:r>
      <w:r w:rsidR="53BF0693" w:rsidRPr="00DD477A">
        <w:rPr>
          <w:rStyle w:val="BodyTextChar"/>
          <w:rFonts w:cs="Calibri"/>
          <w:b/>
          <w:bCs/>
        </w:rPr>
        <w:t>program</w:t>
      </w:r>
      <w:r w:rsidR="00654674" w:rsidRPr="00DD477A">
        <w:rPr>
          <w:rStyle w:val="BodyTextChar"/>
          <w:rFonts w:cs="Calibri"/>
          <w:b/>
          <w:bCs/>
        </w:rPr>
        <w:t xml:space="preserve">s </w:t>
      </w:r>
      <w:r w:rsidR="00BA155F" w:rsidRPr="00DD477A">
        <w:rPr>
          <w:rStyle w:val="BodyTextChar"/>
          <w:rFonts w:cs="Calibri"/>
          <w:b/>
          <w:bCs/>
        </w:rPr>
        <w:t>by funding source</w:t>
      </w:r>
      <w:r w:rsidR="009B00E4" w:rsidRPr="00DD477A">
        <w:rPr>
          <w:rStyle w:val="BodyTextChar"/>
          <w:rFonts w:cs="Calibri"/>
          <w:b/>
          <w:bCs/>
        </w:rPr>
        <w:t xml:space="preserve"> </w:t>
      </w:r>
      <w:r w:rsidR="009B00E4" w:rsidRPr="00DD477A">
        <w:rPr>
          <w:rStyle w:val="BodyTextChar"/>
          <w:rFonts w:cs="Calibri"/>
        </w:rPr>
        <w:t>in each of the budget cycle financial years</w:t>
      </w:r>
      <w:r w:rsidR="00AE1DAD" w:rsidRPr="00DD477A">
        <w:rPr>
          <w:rStyle w:val="BodyTextChar"/>
          <w:rFonts w:cs="Calibri"/>
        </w:rPr>
        <w:t>.</w:t>
      </w:r>
      <w:r w:rsidR="00AE1DAD" w:rsidRPr="00DD477A">
        <w:rPr>
          <w:rStyle w:val="BodyTextChar"/>
          <w:rFonts w:cs="Calibri"/>
          <w:b/>
          <w:bCs/>
        </w:rPr>
        <w:t xml:space="preserve"> </w:t>
      </w:r>
      <w:r w:rsidR="007620BB" w:rsidRPr="00DD477A">
        <w:rPr>
          <w:rStyle w:val="BodyTextChar"/>
          <w:rFonts w:cs="Calibri"/>
        </w:rPr>
        <w:t>Th</w:t>
      </w:r>
      <w:r w:rsidR="002A712C" w:rsidRPr="00DD477A">
        <w:rPr>
          <w:rStyle w:val="BodyTextChar"/>
          <w:rFonts w:cs="Calibri"/>
        </w:rPr>
        <w:t>is</w:t>
      </w:r>
      <w:r w:rsidR="007620BB" w:rsidRPr="00DD477A">
        <w:rPr>
          <w:rStyle w:val="BodyTextChar"/>
          <w:rFonts w:cs="Calibri"/>
        </w:rPr>
        <w:t xml:space="preserve"> </w:t>
      </w:r>
      <w:r w:rsidR="0049208E" w:rsidRPr="00DD477A">
        <w:rPr>
          <w:rStyle w:val="BodyTextChar"/>
          <w:rFonts w:cs="Calibri"/>
        </w:rPr>
        <w:t xml:space="preserve">expenditure </w:t>
      </w:r>
      <w:r w:rsidR="007620BB" w:rsidRPr="00DD477A">
        <w:rPr>
          <w:rStyle w:val="BodyTextChar"/>
          <w:rFonts w:cs="Calibri"/>
        </w:rPr>
        <w:t>information</w:t>
      </w:r>
      <w:r w:rsidR="53BF0693" w:rsidRPr="00DD477A">
        <w:rPr>
          <w:rStyle w:val="BodyTextChar"/>
          <w:rFonts w:cs="Calibri"/>
        </w:rPr>
        <w:t xml:space="preserve"> </w:t>
      </w:r>
      <w:r w:rsidR="00EF4959" w:rsidRPr="00DD477A">
        <w:rPr>
          <w:rStyle w:val="BodyTextChar"/>
          <w:rFonts w:cs="Calibri"/>
        </w:rPr>
        <w:t xml:space="preserve">provides </w:t>
      </w:r>
      <w:r w:rsidR="53BF0693" w:rsidRPr="00DD477A">
        <w:rPr>
          <w:rStyle w:val="BodyTextChar"/>
          <w:rFonts w:cs="Calibri"/>
        </w:rPr>
        <w:t>links to the entity’s financial statements (</w:t>
      </w:r>
      <w:r w:rsidR="00A84FEF" w:rsidRPr="00DD477A">
        <w:rPr>
          <w:rStyle w:val="BodyTextChar"/>
          <w:rFonts w:cs="Calibri"/>
        </w:rPr>
        <w:t xml:space="preserve">primarily </w:t>
      </w:r>
      <w:r w:rsidR="53BF0693" w:rsidRPr="00DD477A">
        <w:rPr>
          <w:rStyle w:val="BodyTextChar"/>
          <w:rFonts w:cs="Calibri"/>
        </w:rPr>
        <w:t>the income statement)</w:t>
      </w:r>
      <w:r w:rsidR="00055486" w:rsidRPr="00DD477A">
        <w:rPr>
          <w:rStyle w:val="BodyTextChar"/>
          <w:rFonts w:cs="Calibri"/>
        </w:rPr>
        <w:t xml:space="preserve"> and complements Table 1.1, which in contrast, provides a summary of funding sources in the Budget year </w:t>
      </w:r>
      <w:r w:rsidR="007E7959" w:rsidRPr="00DD477A">
        <w:rPr>
          <w:rStyle w:val="BodyTextChar"/>
          <w:rFonts w:cs="Calibri"/>
        </w:rPr>
        <w:t>alone</w:t>
      </w:r>
      <w:r w:rsidR="00055486" w:rsidRPr="00DD477A">
        <w:rPr>
          <w:rStyle w:val="BodyTextChar"/>
          <w:rFonts w:cs="Calibri"/>
        </w:rPr>
        <w:t>.</w:t>
      </w:r>
    </w:p>
    <w:p w14:paraId="64885FE7" w14:textId="37EF8C13" w:rsidR="00C76801" w:rsidRPr="00DD477A" w:rsidRDefault="00CD7617" w:rsidP="000A7DEC">
      <w:pPr>
        <w:rPr>
          <w:rFonts w:cs="Calibri"/>
        </w:rPr>
      </w:pPr>
      <w:r w:rsidRPr="00DD477A">
        <w:rPr>
          <w:rFonts w:cs="Calibri"/>
        </w:rPr>
        <w:t xml:space="preserve">The </w:t>
      </w:r>
      <w:r w:rsidR="001C4488" w:rsidRPr="00DD477A">
        <w:rPr>
          <w:rFonts w:cs="Calibri"/>
        </w:rPr>
        <w:t xml:space="preserve">outcome and </w:t>
      </w:r>
      <w:r w:rsidRPr="00DD477A">
        <w:rPr>
          <w:rFonts w:cs="Calibri"/>
        </w:rPr>
        <w:t xml:space="preserve">program title </w:t>
      </w:r>
      <w:r w:rsidR="00EA2A38" w:rsidRPr="00DD477A">
        <w:rPr>
          <w:rFonts w:cs="Calibri"/>
        </w:rPr>
        <w:t xml:space="preserve">does not need to </w:t>
      </w:r>
      <w:r w:rsidR="00BC4EF0" w:rsidRPr="00DD477A">
        <w:rPr>
          <w:rFonts w:cs="Calibri"/>
        </w:rPr>
        <w:t xml:space="preserve">mirror the formal </w:t>
      </w:r>
      <w:r w:rsidR="008356CD" w:rsidRPr="00DD477A">
        <w:rPr>
          <w:rFonts w:cs="Calibri"/>
        </w:rPr>
        <w:t>titles</w:t>
      </w:r>
      <w:r w:rsidR="00BC4EF0" w:rsidRPr="00DD477A">
        <w:rPr>
          <w:rFonts w:cs="Calibri"/>
        </w:rPr>
        <w:t xml:space="preserve"> and should </w:t>
      </w:r>
      <w:r w:rsidR="00D2446C" w:rsidRPr="00DD477A">
        <w:rPr>
          <w:rFonts w:cs="Calibri"/>
        </w:rPr>
        <w:t>be a short description of the activity.</w:t>
      </w:r>
    </w:p>
    <w:p w14:paraId="66D95327" w14:textId="3232C039" w:rsidR="00FA0945" w:rsidRPr="00DD477A" w:rsidRDefault="00FA0945" w:rsidP="00B54999">
      <w:pPr>
        <w:pStyle w:val="Bullet1"/>
        <w:rPr>
          <w:rStyle w:val="BodyTextChar"/>
          <w:rFonts w:cs="Calibri"/>
        </w:rPr>
      </w:pPr>
      <w:r w:rsidRPr="00DD477A">
        <w:rPr>
          <w:rStyle w:val="BodyTextChar"/>
          <w:rFonts w:cs="Calibri"/>
        </w:rPr>
        <w:t xml:space="preserve">Where an entity wishes to describe a program in greater detail, for example, </w:t>
      </w:r>
      <w:r w:rsidR="00BA4CF3" w:rsidRPr="00DD477A">
        <w:rPr>
          <w:rStyle w:val="BodyTextChar"/>
          <w:rFonts w:cs="Calibri"/>
        </w:rPr>
        <w:t xml:space="preserve">if </w:t>
      </w:r>
      <w:r w:rsidR="00A74A48" w:rsidRPr="00DD477A">
        <w:rPr>
          <w:rStyle w:val="BodyTextChar"/>
          <w:rFonts w:cs="Calibri"/>
        </w:rPr>
        <w:t>the program has</w:t>
      </w:r>
      <w:r w:rsidRPr="00DD477A">
        <w:rPr>
          <w:rStyle w:val="BodyTextChar"/>
          <w:rFonts w:cs="Calibri"/>
        </w:rPr>
        <w:t xml:space="preserve"> </w:t>
      </w:r>
      <w:r w:rsidR="00EB2E04" w:rsidRPr="00DD477A">
        <w:rPr>
          <w:rStyle w:val="BodyTextChar"/>
          <w:rFonts w:cs="Calibri"/>
        </w:rPr>
        <w:t>several</w:t>
      </w:r>
      <w:r w:rsidRPr="00DD477A">
        <w:rPr>
          <w:rStyle w:val="BodyTextChar"/>
          <w:rFonts w:cs="Calibri"/>
        </w:rPr>
        <w:t xml:space="preserve"> sub-components, th</w:t>
      </w:r>
      <w:r w:rsidR="00E051D9" w:rsidRPr="00DD477A">
        <w:rPr>
          <w:rStyle w:val="BodyTextChar"/>
          <w:rFonts w:cs="Calibri"/>
        </w:rPr>
        <w:t xml:space="preserve">e </w:t>
      </w:r>
      <w:r w:rsidR="007110F5" w:rsidRPr="00DD477A">
        <w:rPr>
          <w:rStyle w:val="BodyTextChar"/>
          <w:rFonts w:cs="Calibri"/>
        </w:rPr>
        <w:t xml:space="preserve">more comprehensive descriptors </w:t>
      </w:r>
      <w:r w:rsidRPr="00DD477A">
        <w:rPr>
          <w:rStyle w:val="BodyTextChar"/>
          <w:rFonts w:cs="Calibri"/>
        </w:rPr>
        <w:t xml:space="preserve">should be </w:t>
      </w:r>
      <w:r w:rsidR="007110F5" w:rsidRPr="00DD477A">
        <w:rPr>
          <w:rStyle w:val="BodyTextChar"/>
          <w:rFonts w:cs="Calibri"/>
        </w:rPr>
        <w:t>included</w:t>
      </w:r>
      <w:r w:rsidRPr="00DD477A">
        <w:rPr>
          <w:rStyle w:val="BodyTextChar"/>
          <w:rFonts w:cs="Calibri"/>
        </w:rPr>
        <w:t xml:space="preserve"> in Table 2.X.2: Program components</w:t>
      </w:r>
      <w:r w:rsidR="00007226" w:rsidRPr="00DD477A">
        <w:rPr>
          <w:rStyle w:val="BodyTextChar"/>
          <w:rFonts w:cs="Calibri"/>
        </w:rPr>
        <w:t>.</w:t>
      </w:r>
      <w:r w:rsidRPr="00DD477A">
        <w:rPr>
          <w:rStyle w:val="BodyTextChar"/>
          <w:rFonts w:cs="Calibri"/>
        </w:rPr>
        <w:t xml:space="preserve"> </w:t>
      </w:r>
    </w:p>
    <w:p w14:paraId="25F7E20B" w14:textId="44E09AEF" w:rsidR="00276FB4" w:rsidRPr="00DD477A" w:rsidRDefault="00DE0FBD" w:rsidP="00B54999">
      <w:pPr>
        <w:pStyle w:val="Bullet1"/>
        <w:numPr>
          <w:ilvl w:val="0"/>
          <w:numId w:val="0"/>
        </w:numPr>
        <w:rPr>
          <w:rStyle w:val="BodyTextChar"/>
          <w:rFonts w:cs="Calibri"/>
        </w:rPr>
      </w:pPr>
      <w:r w:rsidRPr="00DD477A">
        <w:rPr>
          <w:rStyle w:val="BodyTextChar"/>
          <w:rFonts w:cs="Calibri"/>
        </w:rPr>
        <w:t xml:space="preserve">Details of </w:t>
      </w:r>
      <w:r w:rsidR="00337B17" w:rsidRPr="00DD477A">
        <w:rPr>
          <w:rStyle w:val="BodyTextChar"/>
          <w:rFonts w:cs="Calibri"/>
        </w:rPr>
        <w:t xml:space="preserve">agreed </w:t>
      </w:r>
      <w:r w:rsidR="00CB28E3" w:rsidRPr="00DD477A">
        <w:rPr>
          <w:rStyle w:val="BodyTextChar"/>
          <w:rFonts w:cs="Calibri"/>
        </w:rPr>
        <w:t>m</w:t>
      </w:r>
      <w:r w:rsidR="00276FB4" w:rsidRPr="00DD477A">
        <w:rPr>
          <w:rStyle w:val="BodyTextChar"/>
          <w:rFonts w:cs="Calibri"/>
        </w:rPr>
        <w:t>ovement</w:t>
      </w:r>
      <w:r w:rsidR="00823456" w:rsidRPr="00DD477A">
        <w:rPr>
          <w:rStyle w:val="BodyTextChar"/>
          <w:rFonts w:cs="Calibri"/>
        </w:rPr>
        <w:t>/reallocation</w:t>
      </w:r>
      <w:r w:rsidR="00276FB4" w:rsidRPr="00DD477A">
        <w:rPr>
          <w:rStyle w:val="BodyTextChar"/>
          <w:rFonts w:cs="Calibri"/>
        </w:rPr>
        <w:t xml:space="preserve"> of </w:t>
      </w:r>
      <w:r w:rsidR="00A8289B" w:rsidRPr="00DD477A">
        <w:rPr>
          <w:rStyle w:val="BodyTextChar"/>
          <w:rFonts w:cs="Calibri"/>
        </w:rPr>
        <w:t xml:space="preserve">unspent </w:t>
      </w:r>
      <w:r w:rsidR="00276FB4" w:rsidRPr="00DD477A">
        <w:rPr>
          <w:rStyle w:val="BodyTextChar"/>
          <w:rFonts w:cs="Calibri"/>
        </w:rPr>
        <w:t xml:space="preserve">administered </w:t>
      </w:r>
      <w:r w:rsidR="00337B17" w:rsidRPr="00DD477A">
        <w:rPr>
          <w:rStyle w:val="BodyTextChar"/>
          <w:rFonts w:cs="Calibri"/>
        </w:rPr>
        <w:t xml:space="preserve">program </w:t>
      </w:r>
      <w:r w:rsidR="00276FB4" w:rsidRPr="00DD477A">
        <w:rPr>
          <w:rStyle w:val="BodyTextChar"/>
          <w:rFonts w:cs="Calibri"/>
        </w:rPr>
        <w:t xml:space="preserve">funds </w:t>
      </w:r>
      <w:r w:rsidR="0080774B" w:rsidRPr="00DD477A">
        <w:rPr>
          <w:rStyle w:val="BodyTextChar"/>
          <w:rFonts w:cs="Calibri"/>
        </w:rPr>
        <w:t xml:space="preserve">from current or prior financial year to the budget and forward years </w:t>
      </w:r>
      <w:r w:rsidR="00CB28E3" w:rsidRPr="00DD477A">
        <w:rPr>
          <w:rStyle w:val="BodyTextChar"/>
          <w:rFonts w:cs="Calibri"/>
        </w:rPr>
        <w:t>are provided as</w:t>
      </w:r>
      <w:r w:rsidR="00276FB4" w:rsidRPr="00DD477A">
        <w:rPr>
          <w:rStyle w:val="BodyTextChar"/>
          <w:rFonts w:cs="Calibri"/>
        </w:rPr>
        <w:t xml:space="preserve"> </w:t>
      </w:r>
      <w:r w:rsidR="009A2DB2" w:rsidRPr="00DD477A">
        <w:rPr>
          <w:rStyle w:val="BodyTextChar"/>
          <w:rFonts w:cs="Calibri"/>
        </w:rPr>
        <w:t>a component of Table 2.X.1</w:t>
      </w:r>
      <w:r w:rsidR="00276FB4" w:rsidRPr="00DD477A">
        <w:rPr>
          <w:rStyle w:val="BodyTextChar"/>
          <w:rFonts w:cs="Calibri"/>
        </w:rPr>
        <w:t>.</w:t>
      </w:r>
      <w:r w:rsidR="008720E3" w:rsidRPr="00DD477A">
        <w:t xml:space="preserve"> </w:t>
      </w:r>
      <w:r w:rsidR="00B37218" w:rsidRPr="00DD477A">
        <w:t xml:space="preserve">Details </w:t>
      </w:r>
      <w:r w:rsidR="008720E3" w:rsidRPr="00DD477A">
        <w:rPr>
          <w:rStyle w:val="BodyTextChar"/>
          <w:rFonts w:cs="Calibri"/>
        </w:rPr>
        <w:t xml:space="preserve">should be sourced from </w:t>
      </w:r>
      <w:r w:rsidR="00CA0030" w:rsidRPr="00DD477A">
        <w:rPr>
          <w:rStyle w:val="BodyTextChar"/>
          <w:rFonts w:cs="Calibri"/>
        </w:rPr>
        <w:t xml:space="preserve">the relevant </w:t>
      </w:r>
      <w:r w:rsidR="009C007F" w:rsidRPr="00DD477A">
        <w:rPr>
          <w:rStyle w:val="BodyTextChar"/>
          <w:rFonts w:cs="Calibri"/>
        </w:rPr>
        <w:t>Minister for Finance</w:t>
      </w:r>
      <w:r w:rsidR="00CA0030" w:rsidRPr="00DD477A">
        <w:rPr>
          <w:rStyle w:val="BodyTextChar"/>
          <w:rFonts w:cs="Calibri"/>
        </w:rPr>
        <w:t xml:space="preserve"> </w:t>
      </w:r>
      <w:r w:rsidR="008720E3" w:rsidRPr="00DD477A">
        <w:rPr>
          <w:rStyle w:val="BodyTextChar"/>
          <w:rFonts w:cs="Calibri"/>
        </w:rPr>
        <w:t xml:space="preserve">approved movement of funds requests and/or </w:t>
      </w:r>
      <w:r w:rsidR="000A033F" w:rsidRPr="00DD477A">
        <w:rPr>
          <w:rStyle w:val="BodyTextChar"/>
          <w:rFonts w:cs="Calibri"/>
        </w:rPr>
        <w:t xml:space="preserve">CBMS </w:t>
      </w:r>
      <w:r w:rsidR="008720E3" w:rsidRPr="00DD477A">
        <w:rPr>
          <w:rStyle w:val="BodyTextChar"/>
          <w:rFonts w:cs="Calibri"/>
        </w:rPr>
        <w:t xml:space="preserve">adjustments </w:t>
      </w:r>
      <w:r w:rsidR="00DB09E1" w:rsidRPr="00DD477A">
        <w:rPr>
          <w:rStyle w:val="BodyTextChar"/>
          <w:rFonts w:cs="Calibri"/>
        </w:rPr>
        <w:t xml:space="preserve">reported </w:t>
      </w:r>
      <w:r w:rsidR="00874E9E" w:rsidRPr="00DD477A">
        <w:rPr>
          <w:rStyle w:val="BodyTextChar"/>
          <w:rFonts w:cs="Calibri"/>
        </w:rPr>
        <w:t>against</w:t>
      </w:r>
      <w:r w:rsidR="008720E3" w:rsidRPr="00DD477A">
        <w:rPr>
          <w:rStyle w:val="BodyTextChar"/>
          <w:rFonts w:cs="Calibri"/>
        </w:rPr>
        <w:t xml:space="preserve"> the reason code ‘Movement of Funds’.</w:t>
      </w:r>
      <w:r w:rsidR="00276FB4" w:rsidRPr="00DD477A">
        <w:rPr>
          <w:rStyle w:val="BodyTextChar"/>
          <w:rFonts w:cs="Calibri"/>
        </w:rPr>
        <w:t xml:space="preserve"> </w:t>
      </w:r>
      <w:r w:rsidR="008720E3" w:rsidRPr="00DD477A">
        <w:rPr>
          <w:rStyle w:val="BodyTextChar"/>
          <w:rFonts w:cs="Calibri"/>
        </w:rPr>
        <w:t>For information on the Movement of Funds process, please contact your AAU</w:t>
      </w:r>
      <w:r w:rsidR="002158CB" w:rsidRPr="00DD477A">
        <w:rPr>
          <w:rStyle w:val="BodyTextChar"/>
          <w:rFonts w:cs="Calibri"/>
        </w:rPr>
        <w:t>.</w:t>
      </w:r>
    </w:p>
    <w:p w14:paraId="3A57E705" w14:textId="7688DD11" w:rsidR="00FA0945" w:rsidRPr="00DD477A" w:rsidRDefault="002C2872" w:rsidP="53BF0693">
      <w:pPr>
        <w:rPr>
          <w:rStyle w:val="BodyTextChar"/>
          <w:rFonts w:cs="Calibri"/>
        </w:rPr>
      </w:pPr>
      <w:r w:rsidRPr="00DD477A">
        <w:rPr>
          <w:rStyle w:val="BodyTextChar"/>
          <w:rFonts w:cs="Calibri"/>
        </w:rPr>
        <w:t>A</w:t>
      </w:r>
      <w:r w:rsidR="00FA0945" w:rsidRPr="00DD477A">
        <w:rPr>
          <w:rStyle w:val="BodyTextChar"/>
          <w:rFonts w:cs="Calibri"/>
        </w:rPr>
        <w:t>n estimate of ASL by outcome for the budget and prior year</w:t>
      </w:r>
      <w:r w:rsidR="003737B1" w:rsidRPr="00DD477A">
        <w:rPr>
          <w:rStyle w:val="BodyTextChar"/>
          <w:rFonts w:cs="Calibri"/>
        </w:rPr>
        <w:t xml:space="preserve"> is included at the conclusion of the table</w:t>
      </w:r>
      <w:r w:rsidR="00FA0945" w:rsidRPr="00DD477A">
        <w:rPr>
          <w:rStyle w:val="BodyTextChar"/>
          <w:rFonts w:cs="Calibri"/>
        </w:rPr>
        <w:t xml:space="preserve">. The total ASL </w:t>
      </w:r>
      <w:r w:rsidR="003002A5">
        <w:rPr>
          <w:rStyle w:val="BodyTextChar"/>
          <w:rFonts w:cs="Calibri"/>
        </w:rPr>
        <w:t>estimates</w:t>
      </w:r>
      <w:r w:rsidR="003002A5" w:rsidRPr="00DD477A">
        <w:rPr>
          <w:rStyle w:val="BodyTextChar"/>
          <w:rFonts w:cs="Calibri"/>
        </w:rPr>
        <w:t xml:space="preserve"> </w:t>
      </w:r>
      <w:r w:rsidR="003B2E7F" w:rsidRPr="00DD477A">
        <w:rPr>
          <w:rStyle w:val="BodyTextChar"/>
          <w:rFonts w:cs="Calibri"/>
        </w:rPr>
        <w:t xml:space="preserve">represented </w:t>
      </w:r>
      <w:r w:rsidR="00FA0945" w:rsidRPr="00DD477A">
        <w:rPr>
          <w:rStyle w:val="BodyTextChar"/>
          <w:rFonts w:cs="Calibri"/>
        </w:rPr>
        <w:t xml:space="preserve">across all outcomes should reconcile with </w:t>
      </w:r>
      <w:r w:rsidR="003B2E7F" w:rsidRPr="00DD477A">
        <w:rPr>
          <w:rStyle w:val="BodyTextChar"/>
          <w:rFonts w:cs="Calibri"/>
        </w:rPr>
        <w:t xml:space="preserve">both </w:t>
      </w:r>
      <w:r w:rsidR="00FA0945" w:rsidRPr="00DD477A">
        <w:rPr>
          <w:rStyle w:val="BodyTextChar"/>
          <w:rFonts w:cs="Calibri"/>
        </w:rPr>
        <w:t xml:space="preserve">the ASL </w:t>
      </w:r>
      <w:r w:rsidR="003002A5">
        <w:rPr>
          <w:rStyle w:val="BodyTextChar"/>
          <w:rFonts w:cs="Calibri"/>
        </w:rPr>
        <w:t>estimates</w:t>
      </w:r>
      <w:r w:rsidR="003002A5" w:rsidRPr="00DD477A">
        <w:rPr>
          <w:rStyle w:val="BodyTextChar"/>
          <w:rFonts w:cs="Calibri"/>
        </w:rPr>
        <w:t xml:space="preserve"> </w:t>
      </w:r>
      <w:r w:rsidR="00FA0945" w:rsidRPr="00DD477A">
        <w:rPr>
          <w:rStyle w:val="BodyTextChar"/>
          <w:rFonts w:cs="Calibri"/>
        </w:rPr>
        <w:t xml:space="preserve">to be published in </w:t>
      </w:r>
      <w:r w:rsidR="00DD71E6" w:rsidRPr="00DD477A">
        <w:rPr>
          <w:rStyle w:val="BodyTextChar"/>
          <w:rFonts w:cs="Calibri"/>
        </w:rPr>
        <w:t xml:space="preserve">Table 1.1 and </w:t>
      </w:r>
      <w:r w:rsidR="00FA0945" w:rsidRPr="00DD477A">
        <w:rPr>
          <w:rStyle w:val="BodyTextChar"/>
          <w:rFonts w:cs="Calibri"/>
        </w:rPr>
        <w:t>BP No. 4.</w:t>
      </w:r>
      <w:r w:rsidR="008720E3" w:rsidRPr="00DD477A">
        <w:rPr>
          <w:rStyle w:val="BodyTextChar"/>
          <w:rFonts w:cs="Calibri"/>
          <w:b/>
        </w:rPr>
        <w:t xml:space="preserve"> ASL </w:t>
      </w:r>
      <w:r w:rsidR="003002A5">
        <w:rPr>
          <w:rStyle w:val="BodyTextChar"/>
          <w:rFonts w:cs="Calibri"/>
          <w:b/>
        </w:rPr>
        <w:t>estimates</w:t>
      </w:r>
      <w:r w:rsidR="008720E3" w:rsidRPr="00DD477A">
        <w:rPr>
          <w:rStyle w:val="BodyTextChar"/>
          <w:rFonts w:cs="Calibri"/>
        </w:rPr>
        <w:t xml:space="preserve"> across all outcomes should be discussed with Finance</w:t>
      </w:r>
      <w:r w:rsidR="00411B91" w:rsidRPr="00DD477A">
        <w:rPr>
          <w:rStyle w:val="BodyTextChar"/>
          <w:rFonts w:cs="Calibri"/>
        </w:rPr>
        <w:t xml:space="preserve"> </w:t>
      </w:r>
      <w:r w:rsidR="004539FF" w:rsidRPr="00DD477A">
        <w:rPr>
          <w:rStyle w:val="BodyTextChar"/>
          <w:rFonts w:cs="Calibri"/>
        </w:rPr>
        <w:t>and</w:t>
      </w:r>
      <w:r w:rsidR="00411B91" w:rsidRPr="00DD477A">
        <w:rPr>
          <w:rStyle w:val="BodyTextChar"/>
          <w:rFonts w:cs="Calibri"/>
        </w:rPr>
        <w:t xml:space="preserve"> </w:t>
      </w:r>
      <w:r w:rsidR="00B37218" w:rsidRPr="00DD477A">
        <w:rPr>
          <w:rStyle w:val="BodyTextChar"/>
          <w:rFonts w:cs="Calibri"/>
        </w:rPr>
        <w:t>assistance</w:t>
      </w:r>
      <w:r w:rsidR="00411B91" w:rsidRPr="00DD477A">
        <w:rPr>
          <w:rStyle w:val="BodyTextChar"/>
          <w:rFonts w:cs="Calibri"/>
        </w:rPr>
        <w:t xml:space="preserve"> </w:t>
      </w:r>
      <w:r w:rsidR="0090305B" w:rsidRPr="00DD477A">
        <w:rPr>
          <w:rStyle w:val="BodyTextChar"/>
          <w:rFonts w:cs="Calibri"/>
        </w:rPr>
        <w:t>sourced from</w:t>
      </w:r>
      <w:r w:rsidR="00411B91" w:rsidRPr="00DD477A">
        <w:rPr>
          <w:rStyle w:val="BodyTextChar"/>
          <w:rFonts w:cs="Calibri"/>
        </w:rPr>
        <w:t xml:space="preserve"> the latest Finance guid</w:t>
      </w:r>
      <w:r w:rsidR="00B37218" w:rsidRPr="00DD477A">
        <w:rPr>
          <w:rStyle w:val="BodyTextChar"/>
          <w:rFonts w:cs="Calibri"/>
        </w:rPr>
        <w:t>ance</w:t>
      </w:r>
      <w:r w:rsidR="00411B91" w:rsidRPr="00DD477A">
        <w:rPr>
          <w:rStyle w:val="BodyTextChar"/>
          <w:rFonts w:cs="Calibri"/>
        </w:rPr>
        <w:t xml:space="preserve"> on ASL </w:t>
      </w:r>
      <w:r w:rsidR="004539FF" w:rsidRPr="00DD477A">
        <w:rPr>
          <w:rStyle w:val="BodyTextChar"/>
          <w:rFonts w:cs="Calibri"/>
        </w:rPr>
        <w:t xml:space="preserve">and associated </w:t>
      </w:r>
      <w:r w:rsidR="00411B91" w:rsidRPr="00DD477A">
        <w:rPr>
          <w:rStyle w:val="BodyTextChar"/>
          <w:rFonts w:cs="Calibri"/>
        </w:rPr>
        <w:t>reporting.</w:t>
      </w:r>
      <w:r w:rsidR="008720E3" w:rsidRPr="00DD477A">
        <w:rPr>
          <w:rStyle w:val="BodyTextChar"/>
          <w:rFonts w:cs="Calibri"/>
        </w:rPr>
        <w:t xml:space="preserve"> </w:t>
      </w:r>
    </w:p>
    <w:p w14:paraId="1D56499E" w14:textId="6D0D30E9" w:rsidR="004950C9" w:rsidRPr="00DD477A" w:rsidRDefault="004950C9" w:rsidP="003D6589">
      <w:pPr>
        <w:pStyle w:val="Heading3"/>
      </w:pPr>
      <w:bookmarkStart w:id="1021" w:name="_Toc227749046"/>
      <w:r w:rsidRPr="00DD477A">
        <w:t>Minimum reporting requirements</w:t>
      </w:r>
      <w:r w:rsidR="007F587C" w:rsidRPr="00DD477A">
        <w:t xml:space="preserve"> for </w:t>
      </w:r>
      <w:r w:rsidR="007F587C" w:rsidRPr="00DD477A">
        <w:rPr>
          <w:rStyle w:val="BodyTextChar"/>
          <w:rFonts w:cs="Calibri"/>
        </w:rPr>
        <w:t>Table 2.X.1</w:t>
      </w:r>
      <w:bookmarkEnd w:id="1021"/>
    </w:p>
    <w:p w14:paraId="43199968" w14:textId="61491E04" w:rsidR="00FA0945" w:rsidRPr="00DD477A" w:rsidRDefault="00403DC4" w:rsidP="00B54999">
      <w:pPr>
        <w:pStyle w:val="Bullet1"/>
        <w:rPr>
          <w:rStyle w:val="BodyTextChar"/>
          <w:rFonts w:cs="Calibri"/>
        </w:rPr>
      </w:pPr>
      <w:r w:rsidRPr="00DD477A">
        <w:rPr>
          <w:rStyle w:val="BodyTextChar"/>
          <w:rFonts w:cs="Calibri"/>
        </w:rPr>
        <w:t>E</w:t>
      </w:r>
      <w:r w:rsidR="53BF0693" w:rsidRPr="00DD477A">
        <w:rPr>
          <w:rStyle w:val="BodyTextChar"/>
          <w:rFonts w:cs="Calibri"/>
        </w:rPr>
        <w:t xml:space="preserve">ach outcome delivered by an entity </w:t>
      </w:r>
      <w:r w:rsidRPr="00DD477A">
        <w:rPr>
          <w:rStyle w:val="BodyTextChar"/>
          <w:rFonts w:cs="Calibri"/>
        </w:rPr>
        <w:t xml:space="preserve">requires a separate </w:t>
      </w:r>
      <w:r w:rsidR="007F587C" w:rsidRPr="00DD477A">
        <w:rPr>
          <w:rStyle w:val="BodyTextChar"/>
          <w:rFonts w:cs="Calibri"/>
        </w:rPr>
        <w:t>t</w:t>
      </w:r>
      <w:r w:rsidRPr="00DD477A">
        <w:rPr>
          <w:rStyle w:val="BodyTextChar"/>
          <w:rFonts w:cs="Calibri"/>
        </w:rPr>
        <w:t xml:space="preserve">able </w:t>
      </w:r>
      <w:r w:rsidR="53BF0693" w:rsidRPr="00DD477A">
        <w:rPr>
          <w:rStyle w:val="BodyTextChar"/>
          <w:rFonts w:cs="Calibri"/>
        </w:rPr>
        <w:t xml:space="preserve">(where X is </w:t>
      </w:r>
      <w:r w:rsidR="006714EB" w:rsidRPr="00DD477A">
        <w:rPr>
          <w:rStyle w:val="BodyTextChar"/>
          <w:rFonts w:cs="Calibri"/>
        </w:rPr>
        <w:t>‘</w:t>
      </w:r>
      <w:r w:rsidR="53BF0693" w:rsidRPr="00DD477A">
        <w:rPr>
          <w:rStyle w:val="BodyTextChar"/>
          <w:rFonts w:cs="Calibri"/>
        </w:rPr>
        <w:t>1</w:t>
      </w:r>
      <w:r w:rsidR="006714EB" w:rsidRPr="00DD477A">
        <w:rPr>
          <w:rStyle w:val="BodyTextChar"/>
          <w:rFonts w:cs="Calibri"/>
        </w:rPr>
        <w:t>’</w:t>
      </w:r>
      <w:r w:rsidR="53BF0693" w:rsidRPr="00DD477A">
        <w:rPr>
          <w:rStyle w:val="BodyTextChar"/>
          <w:rFonts w:cs="Calibri"/>
        </w:rPr>
        <w:t xml:space="preserve"> for Outcome 1, </w:t>
      </w:r>
      <w:r w:rsidR="006714EB" w:rsidRPr="00DD477A">
        <w:rPr>
          <w:rStyle w:val="BodyTextChar"/>
          <w:rFonts w:cs="Calibri"/>
        </w:rPr>
        <w:t>‘</w:t>
      </w:r>
      <w:r w:rsidR="53BF0693" w:rsidRPr="00DD477A">
        <w:rPr>
          <w:rStyle w:val="BodyTextChar"/>
          <w:rFonts w:cs="Calibri"/>
        </w:rPr>
        <w:t>2</w:t>
      </w:r>
      <w:r w:rsidR="006714EB" w:rsidRPr="00DD477A">
        <w:rPr>
          <w:rStyle w:val="BodyTextChar"/>
          <w:rFonts w:cs="Calibri"/>
        </w:rPr>
        <w:t>’</w:t>
      </w:r>
      <w:r w:rsidR="53BF0693" w:rsidRPr="00DD477A">
        <w:rPr>
          <w:rStyle w:val="BodyTextChar"/>
          <w:rFonts w:cs="Calibri"/>
        </w:rPr>
        <w:t xml:space="preserve"> for Outcome 2, etc)</w:t>
      </w:r>
      <w:r w:rsidR="00BC0DB5" w:rsidRPr="00DD477A">
        <w:rPr>
          <w:rStyle w:val="BodyTextChar"/>
          <w:rFonts w:cs="Calibri"/>
        </w:rPr>
        <w:t>.</w:t>
      </w:r>
    </w:p>
    <w:p w14:paraId="41CDEFCF" w14:textId="0DDD2A66" w:rsidR="00E124AE" w:rsidRPr="00DD477A" w:rsidRDefault="00BC0DB5" w:rsidP="00B54999">
      <w:pPr>
        <w:pStyle w:val="Bullet1"/>
        <w:rPr>
          <w:rStyle w:val="BodyTextChar"/>
          <w:rFonts w:cs="Calibri"/>
        </w:rPr>
      </w:pPr>
      <w:r w:rsidRPr="00DD477A">
        <w:rPr>
          <w:rStyle w:val="BodyTextChar"/>
          <w:rFonts w:cs="Calibri"/>
        </w:rPr>
        <w:t>T</w:t>
      </w:r>
      <w:r w:rsidR="53BF0693" w:rsidRPr="00DD477A">
        <w:rPr>
          <w:rStyle w:val="BodyTextChar"/>
          <w:rFonts w:cs="Calibri"/>
        </w:rPr>
        <w:t xml:space="preserve">he total budgeted expenses </w:t>
      </w:r>
      <w:r w:rsidR="00CD4863" w:rsidRPr="00DD477A">
        <w:rPr>
          <w:rStyle w:val="BodyTextChar"/>
          <w:rFonts w:cs="Calibri"/>
        </w:rPr>
        <w:t>across</w:t>
      </w:r>
      <w:r w:rsidR="53BF0693" w:rsidRPr="00DD477A">
        <w:rPr>
          <w:rStyle w:val="BodyTextChar"/>
          <w:rFonts w:cs="Calibri"/>
        </w:rPr>
        <w:t xml:space="preserve"> all outcomes </w:t>
      </w:r>
      <w:r w:rsidR="53BF0693" w:rsidRPr="00DD477A">
        <w:rPr>
          <w:rStyle w:val="BodyTextChar"/>
          <w:rFonts w:cs="Calibri"/>
          <w:b/>
          <w:bCs/>
        </w:rPr>
        <w:t>must</w:t>
      </w:r>
      <w:r w:rsidR="53BF0693" w:rsidRPr="00DD477A">
        <w:rPr>
          <w:rStyle w:val="BodyTextChar"/>
          <w:rFonts w:cs="Calibri"/>
        </w:rPr>
        <w:t xml:space="preserve"> equal the aggregate of total Departmental and Administered expenses </w:t>
      </w:r>
      <w:r w:rsidR="00F13710" w:rsidRPr="00DD477A">
        <w:rPr>
          <w:rStyle w:val="BodyTextChar"/>
          <w:rFonts w:cs="Calibri"/>
        </w:rPr>
        <w:t>included</w:t>
      </w:r>
      <w:r w:rsidR="53BF0693" w:rsidRPr="00DD477A">
        <w:rPr>
          <w:rStyle w:val="BodyTextChar"/>
          <w:rFonts w:cs="Calibri"/>
        </w:rPr>
        <w:t xml:space="preserve"> in</w:t>
      </w:r>
      <w:r w:rsidR="00E124AE" w:rsidRPr="00DD477A">
        <w:rPr>
          <w:rStyle w:val="BodyTextChar"/>
          <w:rFonts w:cs="Calibri"/>
        </w:rPr>
        <w:t>:</w:t>
      </w:r>
    </w:p>
    <w:p w14:paraId="18C33B3B" w14:textId="78B05634" w:rsidR="00E124AE" w:rsidRPr="00DD477A" w:rsidRDefault="00E14D83" w:rsidP="00A85E0D">
      <w:pPr>
        <w:pStyle w:val="Bullet2"/>
        <w:rPr>
          <w:rStyle w:val="BodyTextChar"/>
          <w:rFonts w:cs="Calibri"/>
        </w:rPr>
      </w:pPr>
      <w:r w:rsidRPr="00DD477A">
        <w:rPr>
          <w:rStyle w:val="BodyTextChar"/>
          <w:rFonts w:cs="Calibri"/>
        </w:rPr>
        <w:t>Table 3.1</w:t>
      </w:r>
      <w:r w:rsidR="53BF0693" w:rsidRPr="00DD477A">
        <w:rPr>
          <w:rStyle w:val="BodyTextChar"/>
          <w:rFonts w:cs="Calibri"/>
        </w:rPr>
        <w:t xml:space="preserve"> Comprehensive income statement and</w:t>
      </w:r>
    </w:p>
    <w:p w14:paraId="481F134E" w14:textId="1FE81037" w:rsidR="00FA0945" w:rsidRPr="00DD477A" w:rsidRDefault="00E161D1" w:rsidP="00A85E0D">
      <w:pPr>
        <w:pStyle w:val="Bullet2"/>
        <w:rPr>
          <w:rStyle w:val="BodyTextChar"/>
          <w:rFonts w:cs="Calibri"/>
        </w:rPr>
      </w:pPr>
      <w:r w:rsidRPr="00DD477A">
        <w:rPr>
          <w:rStyle w:val="BodyTextChar"/>
          <w:rFonts w:cs="Calibri"/>
        </w:rPr>
        <w:t xml:space="preserve">Table 3.7 </w:t>
      </w:r>
      <w:r w:rsidR="53BF0693" w:rsidRPr="00DD477A">
        <w:rPr>
          <w:rStyle w:val="BodyTextChar"/>
          <w:rFonts w:cs="Calibri"/>
        </w:rPr>
        <w:t xml:space="preserve">Schedule of budgeted income and expenses administered on behalf of </w:t>
      </w:r>
      <w:r w:rsidR="006418EA" w:rsidRPr="00DD477A">
        <w:rPr>
          <w:rStyle w:val="BodyTextChar"/>
          <w:rFonts w:cs="Calibri"/>
        </w:rPr>
        <w:t>government</w:t>
      </w:r>
      <w:r w:rsidR="00BC0DB5" w:rsidRPr="00DD477A">
        <w:rPr>
          <w:rStyle w:val="BodyTextChar"/>
          <w:rFonts w:cs="Calibri"/>
        </w:rPr>
        <w:t>.</w:t>
      </w:r>
    </w:p>
    <w:p w14:paraId="6B348015" w14:textId="7176C01C" w:rsidR="00FA0945" w:rsidRPr="00DD477A" w:rsidRDefault="00BC0DB5" w:rsidP="00B54999">
      <w:pPr>
        <w:pStyle w:val="Bullet1"/>
        <w:rPr>
          <w:rStyle w:val="BodyTextChar"/>
          <w:rFonts w:cs="Calibri"/>
        </w:rPr>
      </w:pPr>
      <w:r w:rsidRPr="00DD477A">
        <w:rPr>
          <w:rStyle w:val="BodyTextChar"/>
          <w:rFonts w:cs="Calibri"/>
        </w:rPr>
        <w:t>T</w:t>
      </w:r>
      <w:r w:rsidR="53BF0693" w:rsidRPr="00DD477A">
        <w:rPr>
          <w:rStyle w:val="BodyTextChar"/>
          <w:rFonts w:cs="Calibri"/>
        </w:rPr>
        <w:t xml:space="preserve">otal expenses </w:t>
      </w:r>
      <w:r w:rsidR="007F587C" w:rsidRPr="00DD477A">
        <w:rPr>
          <w:rStyle w:val="BodyTextChar"/>
          <w:rFonts w:cs="Calibri"/>
        </w:rPr>
        <w:t>in each table</w:t>
      </w:r>
      <w:r w:rsidR="53BF0693" w:rsidRPr="00DD477A">
        <w:rPr>
          <w:rStyle w:val="BodyTextChar"/>
          <w:rFonts w:cs="Calibri"/>
        </w:rPr>
        <w:t xml:space="preserve"> </w:t>
      </w:r>
      <w:r w:rsidR="007F587C" w:rsidRPr="00DD477A">
        <w:rPr>
          <w:rStyle w:val="BodyTextChar"/>
          <w:rFonts w:cs="Calibri"/>
        </w:rPr>
        <w:t xml:space="preserve">must </w:t>
      </w:r>
      <w:r w:rsidR="53BF0693" w:rsidRPr="00DD477A">
        <w:rPr>
          <w:rStyle w:val="BodyTextChar"/>
          <w:rFonts w:cs="Calibri"/>
        </w:rPr>
        <w:t>reconcile to program and outcome expenses captured in CBMS</w:t>
      </w:r>
      <w:r w:rsidR="009772EE" w:rsidRPr="00DD477A">
        <w:rPr>
          <w:rStyle w:val="BodyTextChar"/>
          <w:rFonts w:cs="Calibri"/>
        </w:rPr>
        <w:t>.</w:t>
      </w:r>
    </w:p>
    <w:p w14:paraId="5822A348" w14:textId="0E9925FE" w:rsidR="00FA0945" w:rsidRPr="00DD477A" w:rsidRDefault="0063005D" w:rsidP="00B54999">
      <w:pPr>
        <w:pStyle w:val="Bullet1"/>
        <w:rPr>
          <w:rStyle w:val="BodyTextChar"/>
          <w:rFonts w:cs="Calibri"/>
        </w:rPr>
      </w:pPr>
      <w:r w:rsidRPr="00DD477A">
        <w:rPr>
          <w:rStyle w:val="BodyTextChar"/>
          <w:rFonts w:cs="Calibri"/>
        </w:rPr>
        <w:t>A</w:t>
      </w:r>
      <w:r w:rsidR="53BF0693" w:rsidRPr="00DD477A">
        <w:rPr>
          <w:rStyle w:val="BodyTextChar"/>
          <w:rFonts w:cs="Calibri"/>
        </w:rPr>
        <w:t>mounts drawn down from an annual</w:t>
      </w:r>
      <w:r w:rsidRPr="00DD477A">
        <w:rPr>
          <w:rStyle w:val="BodyTextChar"/>
          <w:rFonts w:cs="Calibri"/>
        </w:rPr>
        <w:t>/</w:t>
      </w:r>
      <w:r w:rsidR="53BF0693" w:rsidRPr="00DD477A">
        <w:rPr>
          <w:rStyle w:val="BodyTextChar"/>
          <w:rFonts w:cs="Calibri"/>
        </w:rPr>
        <w:t>special appropriation and credited to a special account</w:t>
      </w:r>
      <w:r w:rsidRPr="00DD477A">
        <w:rPr>
          <w:rStyle w:val="BodyTextChar"/>
          <w:rFonts w:cs="Calibri"/>
        </w:rPr>
        <w:t xml:space="preserve"> </w:t>
      </w:r>
      <w:r w:rsidR="0090185F" w:rsidRPr="00DD477A">
        <w:rPr>
          <w:rStyle w:val="BodyTextChar"/>
          <w:rFonts w:cs="Calibri"/>
        </w:rPr>
        <w:t>then</w:t>
      </w:r>
      <w:r w:rsidR="00FB07E3" w:rsidRPr="00DD477A">
        <w:rPr>
          <w:rStyle w:val="BodyTextChar"/>
          <w:rFonts w:cs="Calibri"/>
        </w:rPr>
        <w:t xml:space="preserve"> subsequently expensed </w:t>
      </w:r>
      <w:r w:rsidR="00E60942" w:rsidRPr="00DD477A">
        <w:rPr>
          <w:rStyle w:val="BodyTextChar"/>
          <w:rFonts w:cs="Calibri"/>
        </w:rPr>
        <w:t>from the special account</w:t>
      </w:r>
      <w:r w:rsidR="0002296F" w:rsidRPr="00DD477A">
        <w:rPr>
          <w:rStyle w:val="BodyTextChar"/>
          <w:rFonts w:cs="Calibri"/>
        </w:rPr>
        <w:t>,</w:t>
      </w:r>
      <w:r w:rsidR="00E60942" w:rsidRPr="00DD477A">
        <w:rPr>
          <w:rStyle w:val="BodyTextChar"/>
          <w:rFonts w:cs="Calibri"/>
        </w:rPr>
        <w:t xml:space="preserve"> </w:t>
      </w:r>
      <w:r w:rsidRPr="00DD477A">
        <w:rPr>
          <w:rStyle w:val="BodyTextChar"/>
          <w:rFonts w:cs="Calibri"/>
        </w:rPr>
        <w:t xml:space="preserve">must only </w:t>
      </w:r>
      <w:r w:rsidR="00DE2146" w:rsidRPr="00DD477A">
        <w:rPr>
          <w:rStyle w:val="BodyTextChar"/>
          <w:rFonts w:cs="Calibri"/>
        </w:rPr>
        <w:t xml:space="preserve">be </w:t>
      </w:r>
      <w:r w:rsidR="00E60942" w:rsidRPr="00DD477A">
        <w:rPr>
          <w:rStyle w:val="BodyTextChar"/>
          <w:rFonts w:cs="Calibri"/>
        </w:rPr>
        <w:t>reported once in the Tables of the entity.</w:t>
      </w:r>
      <w:r w:rsidR="008720E3" w:rsidRPr="00DD477A">
        <w:rPr>
          <w:rStyle w:val="BodyTextChar"/>
          <w:rFonts w:cs="Calibri"/>
        </w:rPr>
        <w:t xml:space="preserve"> </w:t>
      </w:r>
      <w:r w:rsidR="00FA5F4A" w:rsidRPr="00DD477A">
        <w:rPr>
          <w:rStyle w:val="BodyTextChar"/>
          <w:rFonts w:cs="Calibri"/>
        </w:rPr>
        <w:t>This</w:t>
      </w:r>
      <w:r w:rsidR="53BF0693" w:rsidRPr="00DD477A">
        <w:rPr>
          <w:rStyle w:val="BodyTextChar"/>
          <w:rFonts w:cs="Calibri"/>
        </w:rPr>
        <w:t xml:space="preserve"> ensure</w:t>
      </w:r>
      <w:r w:rsidR="00FA5F4A" w:rsidRPr="00DD477A">
        <w:rPr>
          <w:rStyle w:val="BodyTextChar"/>
          <w:rFonts w:cs="Calibri"/>
        </w:rPr>
        <w:t>s</w:t>
      </w:r>
      <w:r w:rsidR="53BF0693" w:rsidRPr="00DD477A">
        <w:rPr>
          <w:rStyle w:val="BodyTextChar"/>
          <w:rFonts w:cs="Calibri"/>
        </w:rPr>
        <w:t xml:space="preserve"> that expenses are not double counted</w:t>
      </w:r>
      <w:r w:rsidR="00AC356E" w:rsidRPr="00DD477A">
        <w:rPr>
          <w:rStyle w:val="BodyTextChar"/>
          <w:rFonts w:cs="Calibri"/>
        </w:rPr>
        <w:t xml:space="preserve">. </w:t>
      </w:r>
      <w:r w:rsidR="53BF0693" w:rsidRPr="00DD477A">
        <w:rPr>
          <w:rStyle w:val="BodyTextChar"/>
          <w:rFonts w:cs="Calibri"/>
        </w:rPr>
        <w:t xml:space="preserve">Entities may wish to include a </w:t>
      </w:r>
      <w:r w:rsidR="00AC356E" w:rsidRPr="00DD477A">
        <w:rPr>
          <w:rStyle w:val="BodyTextChar"/>
          <w:rFonts w:cs="Calibri"/>
        </w:rPr>
        <w:t xml:space="preserve">program-level </w:t>
      </w:r>
      <w:r w:rsidR="53BF0693" w:rsidRPr="00DD477A">
        <w:rPr>
          <w:rStyle w:val="BodyTextChar"/>
          <w:rFonts w:cs="Calibri"/>
        </w:rPr>
        <w:t>footnote describing such transfers</w:t>
      </w:r>
      <w:r w:rsidR="00AC356E" w:rsidRPr="00DD477A">
        <w:rPr>
          <w:rStyle w:val="BodyTextChar"/>
          <w:rFonts w:cs="Calibri"/>
        </w:rPr>
        <w:t>.</w:t>
      </w:r>
    </w:p>
    <w:p w14:paraId="43DEF286" w14:textId="77777777" w:rsidR="00FA0945" w:rsidRPr="00DD477A" w:rsidRDefault="00BC0DB5" w:rsidP="00B54999">
      <w:pPr>
        <w:pStyle w:val="Bullet1"/>
        <w:rPr>
          <w:rStyle w:val="BodyTextChar"/>
          <w:rFonts w:cs="Calibri"/>
        </w:rPr>
      </w:pPr>
      <w:r w:rsidRPr="00DD477A">
        <w:rPr>
          <w:rStyle w:val="BodyTextChar"/>
          <w:rFonts w:cs="Calibri"/>
        </w:rPr>
        <w:t>F</w:t>
      </w:r>
      <w:r w:rsidR="53BF0693" w:rsidRPr="00DD477A">
        <w:rPr>
          <w:rStyle w:val="BodyTextChar"/>
          <w:rFonts w:cs="Calibri"/>
        </w:rPr>
        <w:t xml:space="preserve">or </w:t>
      </w:r>
      <w:r w:rsidR="00396887" w:rsidRPr="00DD477A">
        <w:rPr>
          <w:rStyle w:val="BodyTextChar"/>
          <w:rFonts w:cs="Calibri"/>
        </w:rPr>
        <w:t>portfolio department</w:t>
      </w:r>
      <w:r w:rsidR="53BF0693" w:rsidRPr="00DD477A">
        <w:rPr>
          <w:rStyle w:val="BodyTextChar"/>
          <w:rFonts w:cs="Calibri"/>
        </w:rPr>
        <w:t>s, payments made to corporate entities should be disclosed as a separate line item under the relevant outcome and program</w:t>
      </w:r>
      <w:r w:rsidRPr="00DD477A">
        <w:rPr>
          <w:rStyle w:val="BodyTextChar"/>
          <w:rFonts w:cs="Calibri"/>
        </w:rPr>
        <w:t>.</w:t>
      </w:r>
    </w:p>
    <w:p w14:paraId="5B0AD1B3" w14:textId="66CBF96C" w:rsidR="00FA0945" w:rsidRPr="00DD477A" w:rsidRDefault="001B435E" w:rsidP="00B54999">
      <w:pPr>
        <w:pStyle w:val="Bullet1"/>
        <w:rPr>
          <w:rStyle w:val="BodyTextChar"/>
          <w:rFonts w:cs="Calibri"/>
        </w:rPr>
      </w:pPr>
      <w:r w:rsidRPr="00DD477A">
        <w:rPr>
          <w:rStyle w:val="BodyTextChar"/>
          <w:rFonts w:cs="Calibri"/>
        </w:rPr>
        <w:t>C</w:t>
      </w:r>
      <w:r w:rsidR="53BF0693" w:rsidRPr="00DD477A">
        <w:rPr>
          <w:rStyle w:val="BodyTextChar"/>
          <w:rFonts w:cs="Calibri"/>
        </w:rPr>
        <w:t>osts of delivering administered programs</w:t>
      </w:r>
      <w:r w:rsidR="008843C3" w:rsidRPr="00DD477A">
        <w:rPr>
          <w:rStyle w:val="BodyTextChar"/>
          <w:rFonts w:cs="Calibri"/>
        </w:rPr>
        <w:t>,</w:t>
      </w:r>
      <w:r w:rsidR="53BF0693" w:rsidRPr="00DD477A">
        <w:rPr>
          <w:rStyle w:val="BodyTextChar"/>
          <w:rFonts w:cs="Calibri"/>
        </w:rPr>
        <w:t xml:space="preserve"> referred to as program support</w:t>
      </w:r>
      <w:r w:rsidR="008843C3" w:rsidRPr="00DD477A">
        <w:rPr>
          <w:rStyle w:val="BodyTextChar"/>
          <w:rFonts w:cs="Calibri"/>
        </w:rPr>
        <w:t>,</w:t>
      </w:r>
      <w:r w:rsidRPr="00DD477A">
        <w:rPr>
          <w:rStyle w:val="BodyTextChar"/>
          <w:rFonts w:cs="Calibri"/>
        </w:rPr>
        <w:t xml:space="preserve"> </w:t>
      </w:r>
      <w:r w:rsidR="00D63A26" w:rsidRPr="00DD477A">
        <w:rPr>
          <w:rStyle w:val="BodyTextChar"/>
          <w:rFonts w:cs="Calibri"/>
        </w:rPr>
        <w:t xml:space="preserve">are </w:t>
      </w:r>
      <w:r w:rsidR="00FD6311" w:rsidRPr="00DD477A">
        <w:rPr>
          <w:rStyle w:val="BodyTextChar"/>
          <w:rFonts w:cs="Calibri"/>
        </w:rPr>
        <w:t>attributed at the program level</w:t>
      </w:r>
      <w:r w:rsidR="53BF0693" w:rsidRPr="00DD477A">
        <w:rPr>
          <w:rStyle w:val="BodyTextChar"/>
          <w:rFonts w:cs="Calibri"/>
        </w:rPr>
        <w:t>. As program support typically include</w:t>
      </w:r>
      <w:r w:rsidR="00D4140B" w:rsidRPr="00DD477A">
        <w:rPr>
          <w:rStyle w:val="BodyTextChar"/>
          <w:rFonts w:cs="Calibri"/>
        </w:rPr>
        <w:t>s</w:t>
      </w:r>
      <w:r w:rsidR="53BF0693" w:rsidRPr="00DD477A">
        <w:rPr>
          <w:rStyle w:val="BodyTextChar"/>
          <w:rFonts w:cs="Calibri"/>
        </w:rPr>
        <w:t xml:space="preserve"> a portion of corporate/overhead expenses (in addition to direct costs), a reliable and consistent allocation methodology should be used to produce accurate information</w:t>
      </w:r>
      <w:r w:rsidR="00BC0DB5" w:rsidRPr="00DD477A">
        <w:rPr>
          <w:rStyle w:val="BodyTextChar"/>
          <w:rFonts w:cs="Calibri"/>
        </w:rPr>
        <w:t>.</w:t>
      </w:r>
    </w:p>
    <w:p w14:paraId="491BA3C2" w14:textId="13F48418" w:rsidR="00FA0945" w:rsidRPr="00DD477A" w:rsidRDefault="53BF0693" w:rsidP="00B54999">
      <w:pPr>
        <w:pStyle w:val="Bullet1"/>
        <w:rPr>
          <w:rStyle w:val="BodyTextChar"/>
          <w:rFonts w:cs="Calibri"/>
        </w:rPr>
      </w:pPr>
      <w:r w:rsidRPr="00DD477A">
        <w:rPr>
          <w:rStyle w:val="BodyTextChar"/>
          <w:rFonts w:cs="Calibri"/>
        </w:rPr>
        <w:t xml:space="preserve">Where </w:t>
      </w:r>
      <w:r w:rsidR="00876A11" w:rsidRPr="00DD477A">
        <w:rPr>
          <w:rStyle w:val="BodyTextChar"/>
          <w:rFonts w:cs="Calibri"/>
        </w:rPr>
        <w:t xml:space="preserve">a portion of the ‘Other Departmental’ program expenses </w:t>
      </w:r>
      <w:r w:rsidR="00227438" w:rsidRPr="00DD477A">
        <w:rPr>
          <w:rStyle w:val="BodyTextChar"/>
          <w:rFonts w:cs="Calibri"/>
        </w:rPr>
        <w:t>i</w:t>
      </w:r>
      <w:r w:rsidR="00876A11" w:rsidRPr="00DD477A">
        <w:rPr>
          <w:rStyle w:val="BodyTextChar"/>
          <w:rFonts w:cs="Calibri"/>
        </w:rPr>
        <w:t xml:space="preserve">n CBMS </w:t>
      </w:r>
      <w:r w:rsidRPr="00DD477A">
        <w:rPr>
          <w:rStyle w:val="BodyTextChar"/>
          <w:rFonts w:cs="Calibri"/>
        </w:rPr>
        <w:t xml:space="preserve">are apportioned as </w:t>
      </w:r>
      <w:r w:rsidR="006714EB" w:rsidRPr="00DD477A">
        <w:rPr>
          <w:rStyle w:val="BodyTextChar"/>
          <w:rFonts w:cs="Calibri"/>
        </w:rPr>
        <w:t>‘</w:t>
      </w:r>
      <w:r w:rsidR="00992FF5" w:rsidRPr="00DD477A">
        <w:rPr>
          <w:rStyle w:val="BodyTextChar"/>
          <w:rFonts w:cs="Calibri"/>
        </w:rPr>
        <w:t>program </w:t>
      </w:r>
      <w:r w:rsidRPr="00DD477A">
        <w:rPr>
          <w:rStyle w:val="BodyTextChar"/>
          <w:rFonts w:cs="Calibri"/>
        </w:rPr>
        <w:t>support</w:t>
      </w:r>
      <w:r w:rsidR="006714EB" w:rsidRPr="00DD477A">
        <w:rPr>
          <w:rStyle w:val="BodyTextChar"/>
          <w:rFonts w:cs="Calibri"/>
        </w:rPr>
        <w:t>’</w:t>
      </w:r>
      <w:r w:rsidRPr="00DD477A">
        <w:rPr>
          <w:rStyle w:val="BodyTextChar"/>
          <w:rFonts w:cs="Calibri"/>
        </w:rPr>
        <w:t xml:space="preserve">, entities should ensure that </w:t>
      </w:r>
      <w:r w:rsidR="00BE4C2E" w:rsidRPr="00DD477A">
        <w:rPr>
          <w:rStyle w:val="BodyTextChar"/>
          <w:rFonts w:cs="Calibri"/>
        </w:rPr>
        <w:t xml:space="preserve">amounts </w:t>
      </w:r>
      <w:r w:rsidR="004704BD" w:rsidRPr="00DD477A">
        <w:rPr>
          <w:rStyle w:val="BodyTextChar"/>
          <w:rFonts w:cs="Calibri"/>
        </w:rPr>
        <w:t xml:space="preserve">reported </w:t>
      </w:r>
      <w:r w:rsidRPr="00DD477A">
        <w:rPr>
          <w:rStyle w:val="BodyTextChar"/>
          <w:rFonts w:cs="Calibri"/>
        </w:rPr>
        <w:t>in the Outcome expense tables reconcile to the data in CBMS</w:t>
      </w:r>
      <w:r w:rsidR="00BC0DB5" w:rsidRPr="00DD477A">
        <w:rPr>
          <w:rStyle w:val="BodyTextChar"/>
          <w:rFonts w:cs="Calibri"/>
        </w:rPr>
        <w:t>.</w:t>
      </w:r>
    </w:p>
    <w:p w14:paraId="44661A40" w14:textId="654FC59A" w:rsidR="00FA0945" w:rsidRPr="00DD477A" w:rsidRDefault="008A5B27" w:rsidP="008843C3">
      <w:pPr>
        <w:pStyle w:val="Bullet2"/>
        <w:rPr>
          <w:rStyle w:val="BodyTextChar"/>
          <w:rFonts w:cs="Calibri"/>
        </w:rPr>
      </w:pPr>
      <w:r w:rsidRPr="00DD477A">
        <w:rPr>
          <w:rStyle w:val="BodyTextChar"/>
          <w:rFonts w:cs="Calibri"/>
        </w:rPr>
        <w:t xml:space="preserve">Departmental expenses attributed </w:t>
      </w:r>
      <w:r w:rsidR="001E6C29" w:rsidRPr="00DD477A">
        <w:rPr>
          <w:rStyle w:val="BodyTextChar"/>
          <w:rFonts w:cs="Calibri"/>
        </w:rPr>
        <w:t>by</w:t>
      </w:r>
      <w:r w:rsidRPr="00DD477A">
        <w:rPr>
          <w:rStyle w:val="BodyTextChar"/>
          <w:rFonts w:cs="Calibri"/>
        </w:rPr>
        <w:t xml:space="preserve"> program in the </w:t>
      </w:r>
      <w:r w:rsidR="001E6C29" w:rsidRPr="00DD477A">
        <w:t>PB Statements</w:t>
      </w:r>
      <w:r w:rsidR="001E6C29" w:rsidRPr="00DD477A">
        <w:rPr>
          <w:rStyle w:val="BodyTextChar"/>
          <w:rFonts w:cs="Calibri"/>
        </w:rPr>
        <w:t xml:space="preserve"> expense tables </w:t>
      </w:r>
      <w:r w:rsidR="53BF0693" w:rsidRPr="00DD477A">
        <w:rPr>
          <w:rStyle w:val="BodyTextChar"/>
          <w:rFonts w:cs="Calibri"/>
          <w:b/>
          <w:bCs/>
        </w:rPr>
        <w:t>must not</w:t>
      </w:r>
      <w:r w:rsidR="53BF0693" w:rsidRPr="00DD477A">
        <w:rPr>
          <w:rStyle w:val="BodyTextChar"/>
          <w:rFonts w:cs="Calibri"/>
        </w:rPr>
        <w:t xml:space="preserve"> be </w:t>
      </w:r>
      <w:r w:rsidR="001E6C29" w:rsidRPr="00DD477A">
        <w:rPr>
          <w:rStyle w:val="BodyTextChar"/>
          <w:rFonts w:cs="Calibri"/>
        </w:rPr>
        <w:t>titled ‘Other Departmental’</w:t>
      </w:r>
      <w:r w:rsidR="53BF0693" w:rsidRPr="00DD477A">
        <w:rPr>
          <w:rStyle w:val="BodyTextChar"/>
          <w:rFonts w:cs="Calibri"/>
        </w:rPr>
        <w:t xml:space="preserve">. CBMS programs named </w:t>
      </w:r>
      <w:r w:rsidR="006714EB" w:rsidRPr="00DD477A">
        <w:rPr>
          <w:rStyle w:val="BodyTextChar"/>
          <w:rFonts w:cs="Calibri"/>
        </w:rPr>
        <w:t>‘</w:t>
      </w:r>
      <w:r w:rsidR="53BF0693" w:rsidRPr="00DD477A">
        <w:rPr>
          <w:rStyle w:val="BodyTextChar"/>
          <w:rFonts w:cs="Calibri"/>
        </w:rPr>
        <w:t>Other Departmental</w:t>
      </w:r>
      <w:r w:rsidR="006714EB" w:rsidRPr="00DD477A">
        <w:rPr>
          <w:rStyle w:val="BodyTextChar"/>
          <w:rFonts w:cs="Calibri"/>
        </w:rPr>
        <w:t>’</w:t>
      </w:r>
      <w:r w:rsidR="53BF0693" w:rsidRPr="00DD477A">
        <w:rPr>
          <w:rStyle w:val="BodyTextChar"/>
          <w:rFonts w:cs="Calibri"/>
        </w:rPr>
        <w:t xml:space="preserve"> should be reported as either:</w:t>
      </w:r>
    </w:p>
    <w:p w14:paraId="1C09DBC0" w14:textId="45CEF367" w:rsidR="00FA0945" w:rsidRPr="00074797" w:rsidRDefault="006714EB" w:rsidP="00074797">
      <w:pPr>
        <w:pStyle w:val="Bullet3"/>
        <w:rPr>
          <w:rStyle w:val="BodyTextChar"/>
          <w:rFonts w:cs="Calibri"/>
        </w:rPr>
      </w:pPr>
      <w:r w:rsidRPr="00074797">
        <w:rPr>
          <w:rStyle w:val="BodyTextChar"/>
          <w:rFonts w:cs="Calibri"/>
        </w:rPr>
        <w:t>‘</w:t>
      </w:r>
      <w:r w:rsidR="53BF0693" w:rsidRPr="00074797">
        <w:rPr>
          <w:rStyle w:val="BodyTextChar"/>
          <w:rFonts w:cs="Calibri"/>
        </w:rPr>
        <w:t>program support</w:t>
      </w:r>
      <w:r w:rsidRPr="00074797">
        <w:rPr>
          <w:rStyle w:val="BodyTextChar"/>
          <w:rFonts w:cs="Calibri"/>
        </w:rPr>
        <w:t>’</w:t>
      </w:r>
      <w:r w:rsidR="53BF0693" w:rsidRPr="00074797">
        <w:rPr>
          <w:rStyle w:val="BodyTextChar"/>
          <w:rFonts w:cs="Calibri"/>
        </w:rPr>
        <w:t xml:space="preserve"> or </w:t>
      </w:r>
    </w:p>
    <w:p w14:paraId="414007B4" w14:textId="686B132E" w:rsidR="00FA0945" w:rsidRPr="00074797" w:rsidRDefault="53BF0693" w:rsidP="00074797">
      <w:pPr>
        <w:pStyle w:val="Bullet3"/>
        <w:rPr>
          <w:rStyle w:val="BodyTextChar"/>
          <w:rFonts w:cs="Calibri"/>
        </w:rPr>
      </w:pPr>
      <w:r w:rsidRPr="00074797">
        <w:rPr>
          <w:rStyle w:val="BodyTextChar"/>
          <w:rFonts w:cs="Calibri"/>
        </w:rPr>
        <w:t xml:space="preserve">where the entity only has one program </w:t>
      </w:r>
      <w:r w:rsidR="001D1076" w:rsidRPr="00074797">
        <w:rPr>
          <w:rStyle w:val="BodyTextChar"/>
          <w:rFonts w:cs="Calibri"/>
        </w:rPr>
        <w:t>with</w:t>
      </w:r>
      <w:r w:rsidRPr="00074797">
        <w:rPr>
          <w:rStyle w:val="BodyTextChar"/>
          <w:rFonts w:cs="Calibri"/>
        </w:rPr>
        <w:t xml:space="preserve"> th</w:t>
      </w:r>
      <w:r w:rsidR="001D1076" w:rsidRPr="00074797">
        <w:rPr>
          <w:rStyle w:val="BodyTextChar"/>
          <w:rFonts w:cs="Calibri"/>
        </w:rPr>
        <w:t xml:space="preserve">e Other Departmental </w:t>
      </w:r>
      <w:r w:rsidRPr="00074797">
        <w:rPr>
          <w:rStyle w:val="BodyTextChar"/>
          <w:rFonts w:cs="Calibri"/>
        </w:rPr>
        <w:t>funding cover</w:t>
      </w:r>
      <w:r w:rsidR="00BC0386" w:rsidRPr="00074797">
        <w:rPr>
          <w:rStyle w:val="BodyTextChar"/>
          <w:rFonts w:cs="Calibri"/>
        </w:rPr>
        <w:t>ing</w:t>
      </w:r>
      <w:r w:rsidRPr="00074797">
        <w:rPr>
          <w:rStyle w:val="BodyTextChar"/>
          <w:rFonts w:cs="Calibri"/>
        </w:rPr>
        <w:t xml:space="preserve"> </w:t>
      </w:r>
      <w:r w:rsidR="00F13710" w:rsidRPr="00074797">
        <w:rPr>
          <w:rStyle w:val="BodyTextChar"/>
          <w:rFonts w:cs="Calibri"/>
        </w:rPr>
        <w:t>all</w:t>
      </w:r>
      <w:r w:rsidRPr="00074797">
        <w:rPr>
          <w:rStyle w:val="BodyTextChar"/>
          <w:rFonts w:cs="Calibri"/>
        </w:rPr>
        <w:t xml:space="preserve"> functions of the entity, </w:t>
      </w:r>
      <w:r w:rsidR="00BC0386" w:rsidRPr="00074797">
        <w:rPr>
          <w:rStyle w:val="BodyTextChar"/>
          <w:rFonts w:cs="Calibri"/>
        </w:rPr>
        <w:t xml:space="preserve">these </w:t>
      </w:r>
      <w:r w:rsidR="0002795E" w:rsidRPr="00074797">
        <w:rPr>
          <w:rStyle w:val="BodyTextChar"/>
          <w:rFonts w:cs="Calibri"/>
        </w:rPr>
        <w:t xml:space="preserve">funds should be titled as </w:t>
      </w:r>
      <w:r w:rsidRPr="00074797">
        <w:rPr>
          <w:rStyle w:val="BodyTextChar"/>
          <w:rFonts w:cs="Calibri"/>
        </w:rPr>
        <w:t>the entity’s name (</w:t>
      </w:r>
      <w:r w:rsidR="0002795E" w:rsidRPr="00074797">
        <w:rPr>
          <w:rStyle w:val="BodyTextChar"/>
          <w:rFonts w:cs="Calibri"/>
        </w:rPr>
        <w:t>e</w:t>
      </w:r>
      <w:r w:rsidR="00096C37" w:rsidRPr="00074797">
        <w:rPr>
          <w:rStyle w:val="BodyTextChar"/>
          <w:rFonts w:cs="Calibri"/>
        </w:rPr>
        <w:t>.</w:t>
      </w:r>
      <w:r w:rsidR="0002795E" w:rsidRPr="00074797">
        <w:rPr>
          <w:rStyle w:val="BodyTextChar"/>
          <w:rFonts w:cs="Calibri"/>
        </w:rPr>
        <w:t>g</w:t>
      </w:r>
      <w:r w:rsidR="00096C37" w:rsidRPr="00074797">
        <w:rPr>
          <w:rStyle w:val="BodyTextChar"/>
          <w:rFonts w:cs="Calibri"/>
        </w:rPr>
        <w:t>.</w:t>
      </w:r>
      <w:r w:rsidR="670085A2" w:rsidRPr="00074797">
        <w:rPr>
          <w:rStyle w:val="BodyTextChar"/>
          <w:rFonts w:cs="Calibri"/>
        </w:rPr>
        <w:t>,</w:t>
      </w:r>
      <w:r w:rsidRPr="00074797">
        <w:rPr>
          <w:rStyle w:val="BodyTextChar"/>
          <w:rFonts w:cs="Calibri"/>
        </w:rPr>
        <w:t xml:space="preserve"> the Productivity Commission reports a single program titled </w:t>
      </w:r>
      <w:r w:rsidR="006714EB" w:rsidRPr="00074797">
        <w:rPr>
          <w:rStyle w:val="BodyTextChar"/>
          <w:rFonts w:cs="Calibri"/>
        </w:rPr>
        <w:t>‘</w:t>
      </w:r>
      <w:r w:rsidRPr="00074797">
        <w:rPr>
          <w:rStyle w:val="BodyTextChar"/>
          <w:rFonts w:cs="Calibri"/>
        </w:rPr>
        <w:t>Productivity Commission</w:t>
      </w:r>
      <w:r w:rsidR="006714EB" w:rsidRPr="00074797">
        <w:rPr>
          <w:rStyle w:val="BodyTextChar"/>
          <w:rFonts w:cs="Calibri"/>
        </w:rPr>
        <w:t>’</w:t>
      </w:r>
      <w:r w:rsidRPr="00074797">
        <w:rPr>
          <w:rStyle w:val="BodyTextChar"/>
          <w:rFonts w:cs="Calibri"/>
        </w:rPr>
        <w:t>)</w:t>
      </w:r>
      <w:r w:rsidR="00D14759" w:rsidRPr="00074797">
        <w:rPr>
          <w:rStyle w:val="BodyTextChar"/>
          <w:rFonts w:cs="Calibri"/>
        </w:rPr>
        <w:t>.</w:t>
      </w:r>
    </w:p>
    <w:p w14:paraId="50744BA6" w14:textId="1EA7EA44" w:rsidR="00FA0945" w:rsidRPr="00DD477A" w:rsidRDefault="00BC0DB5" w:rsidP="00B54999">
      <w:pPr>
        <w:pStyle w:val="Bullet1"/>
        <w:rPr>
          <w:rStyle w:val="BodyTextChar"/>
          <w:rFonts w:cs="Calibri"/>
        </w:rPr>
      </w:pPr>
      <w:r w:rsidRPr="00DD477A">
        <w:rPr>
          <w:rStyle w:val="BodyTextChar"/>
          <w:rFonts w:cs="Calibri"/>
        </w:rPr>
        <w:t>W</w:t>
      </w:r>
      <w:r w:rsidR="53BF0693" w:rsidRPr="00DD477A">
        <w:rPr>
          <w:rStyle w:val="BodyTextChar"/>
          <w:rFonts w:cs="Calibri"/>
        </w:rPr>
        <w:t xml:space="preserve">here relevant, entities may footnote relevant tables explaining that </w:t>
      </w:r>
      <w:r w:rsidR="0002795E" w:rsidRPr="00DD477A">
        <w:rPr>
          <w:rStyle w:val="BodyTextChar"/>
          <w:rFonts w:cs="Calibri"/>
        </w:rPr>
        <w:t xml:space="preserve">departmental expenses are notionally </w:t>
      </w:r>
      <w:r w:rsidR="53BF0693" w:rsidRPr="00DD477A">
        <w:rPr>
          <w:rStyle w:val="BodyTextChar"/>
          <w:rFonts w:cs="Calibri"/>
        </w:rPr>
        <w:t>allocat</w:t>
      </w:r>
      <w:r w:rsidR="0002795E" w:rsidRPr="00DD477A">
        <w:rPr>
          <w:rStyle w:val="BodyTextChar"/>
          <w:rFonts w:cs="Calibri"/>
        </w:rPr>
        <w:t xml:space="preserve">ed </w:t>
      </w:r>
      <w:r w:rsidR="53BF0693" w:rsidRPr="00DD477A">
        <w:rPr>
          <w:rStyle w:val="BodyTextChar"/>
          <w:rFonts w:cs="Calibri"/>
        </w:rPr>
        <w:t>to programs based on attribution models maintained by entities.</w:t>
      </w:r>
    </w:p>
    <w:p w14:paraId="19BB4BB8" w14:textId="2AD2E92D" w:rsidR="00EF179A" w:rsidRPr="009E2937" w:rsidRDefault="00EF179A" w:rsidP="003D6589">
      <w:pPr>
        <w:pStyle w:val="Heading3"/>
        <w:rPr>
          <w:rStyle w:val="BodyTextChar"/>
          <w:rFonts w:eastAsiaTheme="majorEastAsia" w:cs="Calibri"/>
        </w:rPr>
      </w:pPr>
      <w:bookmarkStart w:id="1022" w:name="_Toc227749047"/>
      <w:r w:rsidRPr="009E2937">
        <w:rPr>
          <w:rStyle w:val="BodyTextChar"/>
          <w:rFonts w:eastAsiaTheme="majorEastAsia" w:cs="Calibri"/>
        </w:rPr>
        <w:t>Expenses not requiring appropriation</w:t>
      </w:r>
      <w:bookmarkEnd w:id="1022"/>
    </w:p>
    <w:p w14:paraId="63E220B5" w14:textId="682A052F" w:rsidR="006150E4" w:rsidRPr="00DD477A" w:rsidRDefault="005B560C" w:rsidP="005B560C">
      <w:pPr>
        <w:rPr>
          <w:rStyle w:val="BodyTextChar"/>
          <w:rFonts w:cs="Calibri"/>
        </w:rPr>
      </w:pPr>
      <w:r w:rsidRPr="00DD477A">
        <w:rPr>
          <w:rStyle w:val="BodyTextChar"/>
          <w:rFonts w:cs="Calibri"/>
        </w:rPr>
        <w:t xml:space="preserve">The </w:t>
      </w:r>
      <w:r w:rsidRPr="00DD477A">
        <w:rPr>
          <w:rStyle w:val="BodyTextChar"/>
          <w:rFonts w:cs="Calibri"/>
          <w:b/>
          <w:bCs/>
        </w:rPr>
        <w:t>Expenses not requiring appropriation in Budget year</w:t>
      </w:r>
      <w:r w:rsidRPr="00DD477A">
        <w:rPr>
          <w:rStyle w:val="BodyTextChar"/>
          <w:rFonts w:cs="Calibri"/>
        </w:rPr>
        <w:t xml:space="preserve"> line is to be used by entities where</w:t>
      </w:r>
      <w:r w:rsidR="006150E4" w:rsidRPr="00DD477A">
        <w:rPr>
          <w:rStyle w:val="BodyTextChar"/>
          <w:rFonts w:cs="Calibri"/>
        </w:rPr>
        <w:t>:</w:t>
      </w:r>
    </w:p>
    <w:p w14:paraId="4DEBD747" w14:textId="06ADC89F" w:rsidR="006150E4" w:rsidRPr="00DD477A" w:rsidRDefault="005B560C" w:rsidP="00B54999">
      <w:pPr>
        <w:pStyle w:val="Bullet1"/>
        <w:rPr>
          <w:rStyle w:val="BodyTextChar"/>
          <w:rFonts w:cs="Calibri"/>
        </w:rPr>
      </w:pPr>
      <w:r w:rsidRPr="00DD477A">
        <w:rPr>
          <w:rStyle w:val="BodyTextChar"/>
          <w:rFonts w:cs="Calibri"/>
        </w:rPr>
        <w:t xml:space="preserve">there is a </w:t>
      </w:r>
      <w:r w:rsidR="008843C3" w:rsidRPr="00DD477A">
        <w:rPr>
          <w:rStyle w:val="BodyTextChar"/>
          <w:rFonts w:cs="Calibri"/>
        </w:rPr>
        <w:t xml:space="preserve">Government </w:t>
      </w:r>
      <w:r w:rsidRPr="00DD477A">
        <w:rPr>
          <w:rStyle w:val="BodyTextChar"/>
          <w:rFonts w:cs="Calibri"/>
        </w:rPr>
        <w:t>policy not to fund those expenses within the year</w:t>
      </w:r>
      <w:r w:rsidR="005C79C6" w:rsidRPr="00DD477A">
        <w:rPr>
          <w:rStyle w:val="BodyTextChar"/>
          <w:rFonts w:cs="Calibri"/>
        </w:rPr>
        <w:t>,</w:t>
      </w:r>
    </w:p>
    <w:p w14:paraId="646FEF5E" w14:textId="28591D79" w:rsidR="006150E4" w:rsidRPr="00DD477A" w:rsidRDefault="005B560C" w:rsidP="00B54999">
      <w:pPr>
        <w:pStyle w:val="Bullet1"/>
        <w:rPr>
          <w:rStyle w:val="BodyTextChar"/>
          <w:rFonts w:cs="Calibri"/>
        </w:rPr>
      </w:pPr>
      <w:r w:rsidRPr="00DD477A">
        <w:rPr>
          <w:rStyle w:val="BodyTextChar"/>
          <w:rFonts w:cs="Calibri"/>
        </w:rPr>
        <w:t xml:space="preserve">the funding </w:t>
      </w:r>
      <w:r w:rsidR="005C79C6" w:rsidRPr="00DD477A">
        <w:rPr>
          <w:rStyle w:val="BodyTextChar"/>
          <w:rFonts w:cs="Calibri"/>
        </w:rPr>
        <w:t>was</w:t>
      </w:r>
      <w:r w:rsidRPr="00DD477A">
        <w:rPr>
          <w:rStyle w:val="BodyTextChar"/>
          <w:rFonts w:cs="Calibri"/>
        </w:rPr>
        <w:t xml:space="preserve"> provided in a prior year, but the expense will be incurred in the current year</w:t>
      </w:r>
      <w:r w:rsidR="005C79C6" w:rsidRPr="00DD477A">
        <w:rPr>
          <w:rStyle w:val="BodyTextChar"/>
          <w:rFonts w:cs="Calibri"/>
        </w:rPr>
        <w:t>,</w:t>
      </w:r>
      <w:r w:rsidRPr="00DD477A">
        <w:rPr>
          <w:rStyle w:val="BodyTextChar"/>
          <w:rFonts w:cs="Calibri"/>
        </w:rPr>
        <w:t xml:space="preserve"> or </w:t>
      </w:r>
    </w:p>
    <w:p w14:paraId="79D3941B" w14:textId="7DCC822C" w:rsidR="005B560C" w:rsidRPr="00DD477A" w:rsidRDefault="005B560C" w:rsidP="00B54999">
      <w:pPr>
        <w:pStyle w:val="Bullet1"/>
      </w:pPr>
      <w:r w:rsidRPr="00DD477A">
        <w:rPr>
          <w:rStyle w:val="BodyTextChar"/>
          <w:rFonts w:cs="Calibri"/>
        </w:rPr>
        <w:t>the expenses reflect the usage of services provided free of charge.</w:t>
      </w:r>
    </w:p>
    <w:p w14:paraId="5E78079E" w14:textId="77777777" w:rsidR="006437D6" w:rsidRPr="00DD477A" w:rsidRDefault="006437D6" w:rsidP="00B54999">
      <w:pPr>
        <w:pStyle w:val="Bullet1"/>
        <w:numPr>
          <w:ilvl w:val="0"/>
          <w:numId w:val="0"/>
        </w:numPr>
        <w:rPr>
          <w:rStyle w:val="BodyTextChar"/>
          <w:rFonts w:cs="Calibri"/>
        </w:rPr>
      </w:pPr>
    </w:p>
    <w:p w14:paraId="4222F1FF" w14:textId="1606F2F3" w:rsidR="00A931F6" w:rsidRPr="00DD477A" w:rsidRDefault="000034FA" w:rsidP="00B54999">
      <w:pPr>
        <w:pStyle w:val="Bullet1"/>
        <w:numPr>
          <w:ilvl w:val="0"/>
          <w:numId w:val="0"/>
        </w:numPr>
        <w:rPr>
          <w:rStyle w:val="BodyTextChar"/>
          <w:rFonts w:ascii="Cambria" w:hAnsi="Cambria" w:cs="Calibri"/>
        </w:rPr>
      </w:pPr>
      <w:r w:rsidRPr="00DD477A">
        <w:rPr>
          <w:rStyle w:val="BodyTextChar"/>
          <w:rFonts w:cs="Calibri"/>
        </w:rPr>
        <w:t>E</w:t>
      </w:r>
      <w:r w:rsidR="005B560C" w:rsidRPr="00DD477A">
        <w:rPr>
          <w:rStyle w:val="BodyTextChar"/>
          <w:rFonts w:cs="Calibri"/>
        </w:rPr>
        <w:t>xample</w:t>
      </w:r>
      <w:r w:rsidRPr="00DD477A">
        <w:rPr>
          <w:rStyle w:val="BodyTextChar"/>
          <w:rFonts w:cs="Calibri"/>
        </w:rPr>
        <w:t xml:space="preserve">s </w:t>
      </w:r>
      <w:r w:rsidR="00A931F6" w:rsidRPr="00DD477A">
        <w:rPr>
          <w:rStyle w:val="BodyTextChar"/>
          <w:rFonts w:cs="Calibri"/>
        </w:rPr>
        <w:t>include:</w:t>
      </w:r>
    </w:p>
    <w:p w14:paraId="1448EB27" w14:textId="057B5CA8" w:rsidR="00A931F6" w:rsidRPr="00DD477A" w:rsidRDefault="005B560C" w:rsidP="00B54999">
      <w:pPr>
        <w:pStyle w:val="Bullet1"/>
        <w:rPr>
          <w:rStyle w:val="BodyTextChar"/>
          <w:rFonts w:cs="Calibri"/>
        </w:rPr>
      </w:pPr>
      <w:r w:rsidRPr="00DD477A">
        <w:rPr>
          <w:rStyle w:val="BodyTextChar"/>
          <w:rFonts w:cs="Calibri"/>
        </w:rPr>
        <w:t xml:space="preserve">depreciation expenses </w:t>
      </w:r>
      <w:r w:rsidR="008843C3" w:rsidRPr="00DD477A">
        <w:rPr>
          <w:rStyle w:val="BodyTextChar"/>
          <w:rFonts w:cs="Calibri"/>
        </w:rPr>
        <w:t xml:space="preserve">where </w:t>
      </w:r>
      <w:r w:rsidRPr="00DD477A">
        <w:rPr>
          <w:rStyle w:val="BodyTextChar"/>
          <w:rFonts w:cs="Calibri"/>
        </w:rPr>
        <w:t>the government has provided a separate capital budget</w:t>
      </w:r>
      <w:r w:rsidR="008843C3" w:rsidRPr="00DD477A">
        <w:rPr>
          <w:rStyle w:val="BodyTextChar"/>
          <w:rFonts w:cs="Calibri"/>
        </w:rPr>
        <w:t xml:space="preserve">, such as a </w:t>
      </w:r>
      <w:r w:rsidR="00994760" w:rsidRPr="00DD477A">
        <w:rPr>
          <w:rStyle w:val="BodyTextChar"/>
          <w:rFonts w:cs="Calibri"/>
        </w:rPr>
        <w:t>DCB</w:t>
      </w:r>
      <w:r w:rsidR="008843C3" w:rsidRPr="00DD477A">
        <w:rPr>
          <w:rStyle w:val="BodyTextChar"/>
          <w:rFonts w:cs="Calibri"/>
        </w:rPr>
        <w:t xml:space="preserve"> or </w:t>
      </w:r>
      <w:r w:rsidRPr="00DD477A">
        <w:rPr>
          <w:rStyle w:val="BodyTextChar"/>
          <w:rFonts w:cs="Calibri"/>
        </w:rPr>
        <w:t>Collection Development Acquisition Budget</w:t>
      </w:r>
      <w:r w:rsidR="00852646" w:rsidRPr="00DD477A">
        <w:rPr>
          <w:rStyle w:val="BodyTextChar"/>
          <w:rFonts w:cs="Calibri"/>
        </w:rPr>
        <w:t xml:space="preserve"> (</w:t>
      </w:r>
      <w:r w:rsidR="00641C6D" w:rsidRPr="00DD477A">
        <w:rPr>
          <w:rStyle w:val="BodyTextChar"/>
          <w:rFonts w:cs="Calibri"/>
        </w:rPr>
        <w:t>C</w:t>
      </w:r>
      <w:r w:rsidR="00852646" w:rsidRPr="00DD477A">
        <w:rPr>
          <w:rStyle w:val="BodyTextChar"/>
          <w:rFonts w:cs="Calibri"/>
        </w:rPr>
        <w:t>D</w:t>
      </w:r>
      <w:r w:rsidR="00641C6D" w:rsidRPr="00DD477A">
        <w:rPr>
          <w:rStyle w:val="BodyTextChar"/>
          <w:rFonts w:cs="Calibri"/>
        </w:rPr>
        <w:t>A</w:t>
      </w:r>
      <w:r w:rsidR="00852646" w:rsidRPr="00DD477A">
        <w:rPr>
          <w:rStyle w:val="BodyTextChar"/>
          <w:rFonts w:cs="Calibri"/>
        </w:rPr>
        <w:t>B)</w:t>
      </w:r>
      <w:r w:rsidR="00A931F6" w:rsidRPr="00DD477A">
        <w:rPr>
          <w:rStyle w:val="BodyTextChar"/>
          <w:rFonts w:cs="Calibri"/>
        </w:rPr>
        <w:t>.</w:t>
      </w:r>
    </w:p>
    <w:p w14:paraId="299A618D" w14:textId="06FEC785" w:rsidR="00A931F6" w:rsidRPr="00DD477A" w:rsidRDefault="00E05C51" w:rsidP="00B54999">
      <w:pPr>
        <w:pStyle w:val="Bullet1"/>
        <w:rPr>
          <w:rStyle w:val="BodyTextChar"/>
          <w:rFonts w:cs="Calibri"/>
        </w:rPr>
      </w:pPr>
      <w:r>
        <w:rPr>
          <w:rStyle w:val="BodyTextChar"/>
          <w:rFonts w:cs="Calibri"/>
        </w:rPr>
        <w:t xml:space="preserve">Resources received free of charge including </w:t>
      </w:r>
      <w:r w:rsidR="005B560C" w:rsidRPr="00DD477A">
        <w:rPr>
          <w:rStyle w:val="BodyTextChar"/>
          <w:rFonts w:cs="Calibri"/>
        </w:rPr>
        <w:t xml:space="preserve">expenses </w:t>
      </w:r>
      <w:r w:rsidR="00DF03EB" w:rsidRPr="00DD477A">
        <w:rPr>
          <w:rStyle w:val="BodyTextChar"/>
          <w:rFonts w:cs="Calibri"/>
        </w:rPr>
        <w:t>related to</w:t>
      </w:r>
      <w:r w:rsidR="005B560C" w:rsidRPr="00DD477A">
        <w:rPr>
          <w:rStyle w:val="BodyTextChar"/>
          <w:rFonts w:cs="Calibri"/>
        </w:rPr>
        <w:t xml:space="preserve"> audit services provided </w:t>
      </w:r>
      <w:r w:rsidR="008843C3" w:rsidRPr="00DD477A">
        <w:rPr>
          <w:rStyle w:val="BodyTextChar"/>
          <w:rFonts w:cs="Calibri"/>
        </w:rPr>
        <w:t xml:space="preserve">free of charge </w:t>
      </w:r>
      <w:r w:rsidR="005B560C" w:rsidRPr="00DD477A">
        <w:rPr>
          <w:rStyle w:val="BodyTextChar"/>
          <w:rFonts w:cs="Calibri"/>
        </w:rPr>
        <w:t>by the Australian National Audit Office</w:t>
      </w:r>
      <w:r w:rsidR="00B34C22" w:rsidRPr="00DD477A">
        <w:rPr>
          <w:rStyle w:val="BodyTextChar"/>
          <w:rFonts w:cs="Calibri"/>
        </w:rPr>
        <w:t xml:space="preserve"> (ANAO)</w:t>
      </w:r>
      <w:r w:rsidR="00A931F6" w:rsidRPr="00DD477A">
        <w:rPr>
          <w:rStyle w:val="BodyTextChar"/>
          <w:rFonts w:cs="Calibri"/>
        </w:rPr>
        <w:t>.</w:t>
      </w:r>
    </w:p>
    <w:p w14:paraId="44E5C033" w14:textId="463FD6DC" w:rsidR="005B560C" w:rsidRPr="00DD477A" w:rsidRDefault="005B560C" w:rsidP="00B54999">
      <w:pPr>
        <w:pStyle w:val="Bullet1"/>
        <w:rPr>
          <w:rStyle w:val="BodyTextChar"/>
          <w:rFonts w:cs="Calibri"/>
        </w:rPr>
      </w:pPr>
      <w:r w:rsidRPr="00DD477A">
        <w:rPr>
          <w:rStyle w:val="BodyTextChar"/>
          <w:rFonts w:cs="Calibri"/>
        </w:rPr>
        <w:t>non-cash expenses for which the entity has received operating loss approval.</w:t>
      </w:r>
    </w:p>
    <w:p w14:paraId="00E0FC7B" w14:textId="3B80A844" w:rsidR="00855385" w:rsidRPr="00DD477A" w:rsidRDefault="00AF08D7" w:rsidP="00B54999">
      <w:pPr>
        <w:pStyle w:val="Bullet1"/>
        <w:rPr>
          <w:rStyle w:val="BodyTextChar"/>
          <w:rFonts w:cs="Calibri"/>
        </w:rPr>
      </w:pPr>
      <w:r>
        <w:rPr>
          <w:rStyle w:val="BodyTextChar"/>
          <w:rFonts w:cs="Calibri"/>
        </w:rPr>
        <w:t>i</w:t>
      </w:r>
      <w:r w:rsidRPr="00DD477A">
        <w:rPr>
          <w:rStyle w:val="BodyTextChar"/>
          <w:rFonts w:cs="Calibri"/>
        </w:rPr>
        <w:t>tems</w:t>
      </w:r>
      <w:r w:rsidR="00855385" w:rsidRPr="00DD477A">
        <w:rPr>
          <w:rStyle w:val="BodyTextChar"/>
          <w:rFonts w:cs="Calibri"/>
        </w:rPr>
        <w:t xml:space="preserve"> which do not or will not involve a cash flow impact (such as bad debt expenses).</w:t>
      </w:r>
    </w:p>
    <w:p w14:paraId="1886EF2E" w14:textId="78F98D7E" w:rsidR="00E02C97" w:rsidRPr="00DD477A" w:rsidRDefault="53BF0693" w:rsidP="00D14759">
      <w:pPr>
        <w:keepNext/>
        <w:rPr>
          <w:rStyle w:val="BodyTextChar"/>
          <w:rFonts w:cs="Calibri"/>
        </w:rPr>
      </w:pPr>
      <w:r w:rsidRPr="00DD477A">
        <w:rPr>
          <w:rStyle w:val="BodyTextChar"/>
          <w:rFonts w:cs="Calibri"/>
        </w:rPr>
        <w:t>A summary of the relationship between Table 2.X.1 and the income statements is provided below:</w:t>
      </w:r>
    </w:p>
    <w:p w14:paraId="0B928351" w14:textId="23C21637" w:rsidR="000E69EB" w:rsidRPr="00DD477A" w:rsidRDefault="00FA0945" w:rsidP="001D30A2">
      <w:pPr>
        <w:pStyle w:val="BodyText"/>
        <w:rPr>
          <w:rStyle w:val="BodyTextChar"/>
          <w:rFonts w:eastAsia="MS Gothic" w:cs="Calibri"/>
          <w:iCs/>
          <w:color w:val="005A77"/>
          <w:spacing w:val="-6"/>
          <w:sz w:val="32"/>
          <w:szCs w:val="24"/>
        </w:rPr>
      </w:pPr>
      <w:r w:rsidRPr="00DD477A">
        <w:rPr>
          <w:rStyle w:val="BodyTextChar"/>
          <w:rFonts w:cs="Calibri"/>
          <w:noProof/>
          <w:lang w:eastAsia="en-AU"/>
        </w:rPr>
        <mc:AlternateContent>
          <mc:Choice Requires="wpc">
            <w:drawing>
              <wp:inline distT="0" distB="0" distL="0" distR="0" wp14:anchorId="3EEB1626" wp14:editId="2E6929E8">
                <wp:extent cx="5981457" cy="2026285"/>
                <wp:effectExtent l="0" t="0" r="19685" b="12065"/>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85000"/>
                          </a:schemeClr>
                        </a:solidFill>
                      </wpc:bg>
                      <wpc:whole>
                        <a:ln>
                          <a:solidFill>
                            <a:schemeClr val="tx1"/>
                          </a:solidFill>
                        </a:ln>
                      </wpc:whole>
                      <wps:wsp>
                        <wps:cNvPr id="34" name="Text Box 20"/>
                        <wps:cNvSpPr txBox="1">
                          <a:spLocks noChangeArrowheads="1"/>
                        </wps:cNvSpPr>
                        <wps:spPr bwMode="auto">
                          <a:xfrm>
                            <a:off x="3514881" y="87354"/>
                            <a:ext cx="2396686" cy="1799679"/>
                          </a:xfrm>
                          <a:prstGeom prst="rect">
                            <a:avLst/>
                          </a:prstGeom>
                          <a:solidFill>
                            <a:schemeClr val="bg1"/>
                          </a:solidFill>
                          <a:ln w="9525">
                            <a:solidFill>
                              <a:srgbClr val="000000"/>
                            </a:solidFill>
                            <a:miter lim="800000"/>
                            <a:headEnd/>
                            <a:tailEnd/>
                          </a:ln>
                        </wps:spPr>
                        <wps:txbx>
                          <w:txbxContent>
                            <w:p w14:paraId="3253B4D4" w14:textId="77777777" w:rsidR="000D76A1" w:rsidRPr="00A27DB6" w:rsidRDefault="000D76A1" w:rsidP="000A7DEC">
                              <w:pPr>
                                <w:rPr>
                                  <w:sz w:val="16"/>
                                  <w:szCs w:val="16"/>
                                </w:rPr>
                              </w:pPr>
                              <w:bookmarkStart w:id="1023" w:name="_Hlk410817650"/>
                              <w:r w:rsidRPr="00A27DB6">
                                <w:rPr>
                                  <w:sz w:val="16"/>
                                  <w:szCs w:val="16"/>
                                </w:rPr>
                                <w:t>Table 3.1: Comprehensive income statement (Departmental)</w:t>
                              </w:r>
                            </w:p>
                            <w:p w14:paraId="504D05B4" w14:textId="77777777" w:rsidR="000D76A1" w:rsidRPr="00A27DB6" w:rsidRDefault="000D76A1">
                              <w:pPr>
                                <w:pStyle w:val="NormalTextRed"/>
                                <w:rPr>
                                  <w:sz w:val="16"/>
                                  <w:szCs w:val="16"/>
                                </w:rPr>
                              </w:pPr>
                              <w:r w:rsidRPr="00A27DB6">
                                <w:rPr>
                                  <w:sz w:val="16"/>
                                  <w:szCs w:val="16"/>
                                </w:rPr>
                                <w:t>Total expenses</w:t>
                              </w:r>
                            </w:p>
                            <w:p w14:paraId="35E09851" w14:textId="7A545269" w:rsidR="000D76A1" w:rsidRPr="00A27DB6" w:rsidRDefault="00994760" w:rsidP="000A7DEC">
                              <w:pPr>
                                <w:rPr>
                                  <w:b/>
                                  <w:sz w:val="16"/>
                                  <w:szCs w:val="16"/>
                                </w:rPr>
                              </w:pPr>
                              <w:r>
                                <w:rPr>
                                  <w:sz w:val="16"/>
                                  <w:szCs w:val="16"/>
                                </w:rPr>
                                <w:t xml:space="preserve">          </w:t>
                              </w:r>
                              <w:r w:rsidR="000D76A1" w:rsidRPr="00A27DB6">
                                <w:rPr>
                                  <w:b/>
                                  <w:sz w:val="16"/>
                                  <w:szCs w:val="16"/>
                                </w:rPr>
                                <w:t>+</w:t>
                              </w:r>
                            </w:p>
                            <w:p w14:paraId="044031AC" w14:textId="77777777" w:rsidR="000D76A1" w:rsidRPr="00A27DB6" w:rsidRDefault="000D76A1" w:rsidP="000A7DEC">
                              <w:pPr>
                                <w:rPr>
                                  <w:sz w:val="16"/>
                                  <w:szCs w:val="16"/>
                                </w:rPr>
                              </w:pPr>
                              <w:r w:rsidRPr="00A27DB6">
                                <w:rPr>
                                  <w:sz w:val="16"/>
                                  <w:szCs w:val="16"/>
                                </w:rPr>
                                <w:t>Table 3.7: Schedule of budgeted income and expenses administered on behalf of Government</w:t>
                              </w:r>
                            </w:p>
                            <w:p w14:paraId="2DBE4996" w14:textId="77777777" w:rsidR="000D76A1" w:rsidRPr="00A27DB6" w:rsidRDefault="000D76A1">
                              <w:pPr>
                                <w:pStyle w:val="NormalTextRed"/>
                                <w:rPr>
                                  <w:sz w:val="16"/>
                                  <w:szCs w:val="16"/>
                                </w:rPr>
                              </w:pPr>
                              <w:r w:rsidRPr="00A27DB6">
                                <w:rPr>
                                  <w:sz w:val="16"/>
                                  <w:szCs w:val="16"/>
                                </w:rPr>
                                <w:t>Total expenses</w:t>
                              </w:r>
                              <w:bookmarkEnd w:id="1023"/>
                            </w:p>
                          </w:txbxContent>
                        </wps:txbx>
                        <wps:bodyPr rot="0" vert="horz" wrap="square" lIns="91440" tIns="45720" rIns="91440" bIns="45720" anchor="t" anchorCtr="0" upright="1">
                          <a:noAutofit/>
                        </wps:bodyPr>
                      </wps:wsp>
                      <wps:wsp>
                        <wps:cNvPr id="35" name="Text Box 21"/>
                        <wps:cNvSpPr txBox="1">
                          <a:spLocks noChangeArrowheads="1"/>
                        </wps:cNvSpPr>
                        <wps:spPr bwMode="auto">
                          <a:xfrm>
                            <a:off x="86208" y="320302"/>
                            <a:ext cx="2493890" cy="1458010"/>
                          </a:xfrm>
                          <a:prstGeom prst="rect">
                            <a:avLst/>
                          </a:prstGeom>
                          <a:solidFill>
                            <a:schemeClr val="bg1"/>
                          </a:solidFill>
                          <a:ln w="9525">
                            <a:solidFill>
                              <a:srgbClr val="000000"/>
                            </a:solidFill>
                            <a:miter lim="800000"/>
                            <a:headEnd/>
                            <a:tailEnd/>
                          </a:ln>
                        </wps:spPr>
                        <wps:txbx>
                          <w:txbxContent>
                            <w:p w14:paraId="5A85C580" w14:textId="34E2E2A0" w:rsidR="000D76A1" w:rsidRPr="00A85E0D" w:rsidRDefault="000D76A1" w:rsidP="000A7DEC">
                              <w:pPr>
                                <w:rPr>
                                  <w:sz w:val="16"/>
                                  <w:szCs w:val="16"/>
                                </w:rPr>
                              </w:pPr>
                              <w:r w:rsidRPr="00A27DB6">
                                <w:rPr>
                                  <w:sz w:val="16"/>
                                  <w:szCs w:val="16"/>
                                </w:rPr>
                                <w:t>Table 2.</w:t>
                              </w:r>
                              <w:r w:rsidR="003D54E7">
                                <w:rPr>
                                  <w:sz w:val="16"/>
                                  <w:szCs w:val="16"/>
                                </w:rPr>
                                <w:t xml:space="preserve">[relevant Outcome </w:t>
                              </w:r>
                              <w:r w:rsidR="00380547">
                                <w:rPr>
                                  <w:sz w:val="16"/>
                                  <w:szCs w:val="16"/>
                                </w:rPr>
                                <w:t>number</w:t>
                              </w:r>
                              <w:r w:rsidR="003D54E7">
                                <w:rPr>
                                  <w:sz w:val="16"/>
                                  <w:szCs w:val="16"/>
                                </w:rPr>
                                <w:t>]</w:t>
                              </w:r>
                              <w:r w:rsidRPr="00A85E0D">
                                <w:rPr>
                                  <w:sz w:val="16"/>
                                  <w:szCs w:val="16"/>
                                </w:rPr>
                                <w:t xml:space="preserve">.1: Budgeted expenses for Outcome </w:t>
                              </w:r>
                              <w:r w:rsidR="002413A0">
                                <w:rPr>
                                  <w:sz w:val="16"/>
                                  <w:szCs w:val="16"/>
                                </w:rPr>
                                <w:t xml:space="preserve">[relevant </w:t>
                              </w:r>
                              <w:r w:rsidR="00380547">
                                <w:rPr>
                                  <w:sz w:val="16"/>
                                  <w:szCs w:val="16"/>
                                </w:rPr>
                                <w:t>Outcome</w:t>
                              </w:r>
                              <w:r w:rsidR="002413A0">
                                <w:rPr>
                                  <w:sz w:val="16"/>
                                  <w:szCs w:val="16"/>
                                </w:rPr>
                                <w:t xml:space="preserve"> number</w:t>
                              </w:r>
                              <w:r w:rsidR="00380547">
                                <w:rPr>
                                  <w:sz w:val="16"/>
                                  <w:szCs w:val="16"/>
                                </w:rPr>
                                <w:t>]</w:t>
                              </w:r>
                            </w:p>
                            <w:p w14:paraId="58F6A973" w14:textId="77777777" w:rsidR="000D76A1" w:rsidRPr="00A85E0D" w:rsidRDefault="000D76A1">
                              <w:pPr>
                                <w:pStyle w:val="NormalTextRed"/>
                                <w:rPr>
                                  <w:sz w:val="16"/>
                                  <w:szCs w:val="16"/>
                                </w:rPr>
                              </w:pPr>
                              <w:r w:rsidRPr="00A85E0D">
                                <w:rPr>
                                  <w:sz w:val="16"/>
                                  <w:szCs w:val="16"/>
                                </w:rPr>
                                <w:t>Total Departmental expenses</w:t>
                              </w:r>
                            </w:p>
                            <w:p w14:paraId="09CF747A" w14:textId="529D366D" w:rsidR="000D76A1" w:rsidRDefault="00994760">
                              <w:pPr>
                                <w:rPr>
                                  <w:b/>
                                  <w:sz w:val="16"/>
                                  <w:szCs w:val="16"/>
                                </w:rPr>
                              </w:pPr>
                              <w:r>
                                <w:rPr>
                                  <w:sz w:val="16"/>
                                  <w:szCs w:val="16"/>
                                </w:rPr>
                                <w:t xml:space="preserve">          </w:t>
                              </w:r>
                              <w:r w:rsidR="000D76A1" w:rsidRPr="00A85E0D">
                                <w:rPr>
                                  <w:b/>
                                  <w:sz w:val="16"/>
                                  <w:szCs w:val="16"/>
                                </w:rPr>
                                <w:t>+</w:t>
                              </w:r>
                            </w:p>
                            <w:p w14:paraId="116965F4" w14:textId="35D59CD3" w:rsidR="00E41A70" w:rsidRPr="00892E30" w:rsidRDefault="00E41A70">
                              <w:pPr>
                                <w:rPr>
                                  <w:bCs/>
                                  <w:color w:val="FF0000"/>
                                  <w:sz w:val="16"/>
                                  <w:szCs w:val="16"/>
                                </w:rPr>
                              </w:pPr>
                              <w:r w:rsidRPr="00892E30">
                                <w:rPr>
                                  <w:bCs/>
                                  <w:color w:val="FF0000"/>
                                  <w:sz w:val="16"/>
                                  <w:szCs w:val="16"/>
                                </w:rPr>
                                <w:t>Total Administered expenses</w:t>
                              </w:r>
                            </w:p>
                            <w:p w14:paraId="05C14862" w14:textId="77777777" w:rsidR="00E41A70" w:rsidRPr="00A85E0D" w:rsidRDefault="00E41A70">
                              <w:pPr>
                                <w:rPr>
                                  <w:b/>
                                  <w:sz w:val="16"/>
                                  <w:szCs w:val="16"/>
                                </w:rPr>
                              </w:pPr>
                            </w:p>
                            <w:p w14:paraId="76B41BAC" w14:textId="77777777" w:rsidR="000D76A1" w:rsidRPr="00A85E0D" w:rsidRDefault="000D76A1">
                              <w:pPr>
                                <w:pStyle w:val="NormalTextRed"/>
                                <w:rPr>
                                  <w:sz w:val="16"/>
                                  <w:szCs w:val="16"/>
                                </w:rPr>
                              </w:pPr>
                              <w:r w:rsidRPr="00A85E0D">
                                <w:rPr>
                                  <w:sz w:val="16"/>
                                  <w:szCs w:val="16"/>
                                </w:rPr>
                                <w:t>Total Administered expenses</w:t>
                              </w:r>
                            </w:p>
                          </w:txbxContent>
                        </wps:txbx>
                        <wps:bodyPr rot="0" vert="horz" wrap="square" lIns="91440" tIns="45720" rIns="91440" bIns="45720" anchor="t" anchorCtr="0" upright="1">
                          <a:noAutofit/>
                        </wps:bodyPr>
                      </wps:wsp>
                      <wps:wsp>
                        <wps:cNvPr id="36" name="Text Box 22"/>
                        <wps:cNvSpPr txBox="1">
                          <a:spLocks noChangeArrowheads="1"/>
                        </wps:cNvSpPr>
                        <wps:spPr bwMode="auto">
                          <a:xfrm>
                            <a:off x="2944132" y="598602"/>
                            <a:ext cx="307968" cy="458066"/>
                          </a:xfrm>
                          <a:prstGeom prst="rect">
                            <a:avLst/>
                          </a:prstGeom>
                          <a:solidFill>
                            <a:schemeClr val="bg1">
                              <a:lumMod val="85000"/>
                            </a:schemeClr>
                          </a:solidFill>
                          <a:ln>
                            <a:noFill/>
                          </a:ln>
                        </wps:spPr>
                        <wps:txbx>
                          <w:txbxContent>
                            <w:p w14:paraId="704ADF60" w14:textId="77777777" w:rsidR="000D76A1" w:rsidRPr="00A27DB6" w:rsidRDefault="000D76A1">
                              <w:pPr>
                                <w:rPr>
                                  <w:b/>
                                  <w:bCs/>
                                  <w:sz w:val="16"/>
                                  <w:szCs w:val="16"/>
                                </w:rPr>
                              </w:pPr>
                              <w:r w:rsidRPr="00A27DB6">
                                <w:rPr>
                                  <w:b/>
                                  <w:bCs/>
                                  <w:sz w:val="16"/>
                                  <w:szCs w:val="16"/>
                                </w:rPr>
                                <w:t>=</w:t>
                              </w:r>
                            </w:p>
                          </w:txbxContent>
                        </wps:txbx>
                        <wps:bodyPr rot="0" vert="horz" wrap="square" lIns="91440" tIns="45720" rIns="91440" bIns="45720" anchor="t" anchorCtr="0" upright="1">
                          <a:noAutofit/>
                        </wps:bodyPr>
                      </wps:wsp>
                    </wpc:wpc>
                  </a:graphicData>
                </a:graphic>
              </wp:inline>
            </w:drawing>
          </mc:Choice>
          <mc:Fallback>
            <w:pict>
              <v:group w14:anchorId="3EEB1626" id="Canvas 37" o:spid="_x0000_s1026" editas="canvas" style="width:471pt;height:159.55pt;mso-position-horizontal-relative:char;mso-position-vertical-relative:line" coordsize="59810,20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810;height:20262;visibility:visible;mso-wrap-style:square" filled="t" fillcolor="#d8d8d8 [2732]" stroked="t" strokecolor="black [3213]">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left:35148;top:873;width:23967;height:1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" fillcolor="white [3212]">
                  <v:textbox>
                    <w:txbxContent>
                      <w:p w14:paraId="3253B4D4" w14:textId="77777777" w:rsidR="000D76A1" w:rsidRPr="00A27DB6" w:rsidRDefault="000D76A1" w:rsidP="000A7DEC">
                        <w:pPr>
                          <w:rPr>
                            <w:sz w:val="16"/>
                            <w:szCs w:val="16"/>
                          </w:rPr>
                        </w:pPr>
                        <w:bookmarkStart w:id="1024" w:name="_Hlk410817650"/>
                        <w:r w:rsidRPr="00A27DB6">
                          <w:rPr>
                            <w:sz w:val="16"/>
                            <w:szCs w:val="16"/>
                          </w:rPr>
                          <w:t>Table 3.1: Comprehensive income statement (Departmental)</w:t>
                        </w:r>
                      </w:p>
                      <w:p w14:paraId="504D05B4" w14:textId="77777777" w:rsidR="000D76A1" w:rsidRPr="00A27DB6" w:rsidRDefault="000D76A1">
                        <w:pPr>
                          <w:pStyle w:val="NormalTextRed"/>
                          <w:rPr>
                            <w:sz w:val="16"/>
                            <w:szCs w:val="16"/>
                          </w:rPr>
                        </w:pPr>
                        <w:r w:rsidRPr="00A27DB6">
                          <w:rPr>
                            <w:sz w:val="16"/>
                            <w:szCs w:val="16"/>
                          </w:rPr>
                          <w:t>Total expenses</w:t>
                        </w:r>
                      </w:p>
                      <w:p w14:paraId="35E09851" w14:textId="7A545269" w:rsidR="000D76A1" w:rsidRPr="00A27DB6" w:rsidRDefault="00994760" w:rsidP="000A7DEC">
                        <w:pPr>
                          <w:rPr>
                            <w:b/>
                            <w:sz w:val="16"/>
                            <w:szCs w:val="16"/>
                          </w:rPr>
                        </w:pPr>
                        <w:r>
                          <w:rPr>
                            <w:sz w:val="16"/>
                            <w:szCs w:val="16"/>
                          </w:rPr>
                          <w:t xml:space="preserve">          </w:t>
                        </w:r>
                        <w:r w:rsidR="000D76A1" w:rsidRPr="00A27DB6">
                          <w:rPr>
                            <w:b/>
                            <w:sz w:val="16"/>
                            <w:szCs w:val="16"/>
                          </w:rPr>
                          <w:t>+</w:t>
                        </w:r>
                      </w:p>
                      <w:p w14:paraId="044031AC" w14:textId="77777777" w:rsidR="000D76A1" w:rsidRPr="00A27DB6" w:rsidRDefault="000D76A1" w:rsidP="000A7DEC">
                        <w:pPr>
                          <w:rPr>
                            <w:sz w:val="16"/>
                            <w:szCs w:val="16"/>
                          </w:rPr>
                        </w:pPr>
                        <w:r w:rsidRPr="00A27DB6">
                          <w:rPr>
                            <w:sz w:val="16"/>
                            <w:szCs w:val="16"/>
                          </w:rPr>
                          <w:t>Table 3.7: Schedule of budgeted income and expenses administered on behalf of Government</w:t>
                        </w:r>
                      </w:p>
                      <w:p w14:paraId="2DBE4996" w14:textId="77777777" w:rsidR="000D76A1" w:rsidRPr="00A27DB6" w:rsidRDefault="000D76A1">
                        <w:pPr>
                          <w:pStyle w:val="NormalTextRed"/>
                          <w:rPr>
                            <w:sz w:val="16"/>
                            <w:szCs w:val="16"/>
                          </w:rPr>
                        </w:pPr>
                        <w:r w:rsidRPr="00A27DB6">
                          <w:rPr>
                            <w:sz w:val="16"/>
                            <w:szCs w:val="16"/>
                          </w:rPr>
                          <w:t>Total expenses</w:t>
                        </w:r>
                        <w:bookmarkEnd w:id="1024"/>
                      </w:p>
                    </w:txbxContent>
                  </v:textbox>
                </v:shape>
                <v:shape id="Text Box 21" o:spid="_x0000_s1029" type="#_x0000_t202" style="position:absolute;left:862;top:3203;width:24938;height:1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" fillcolor="white [3212]">
                  <v:textbox>
                    <w:txbxContent>
                      <w:p w14:paraId="5A85C580" w14:textId="34E2E2A0" w:rsidR="000D76A1" w:rsidRPr="00A85E0D" w:rsidRDefault="000D76A1" w:rsidP="000A7DEC">
                        <w:pPr>
                          <w:rPr>
                            <w:sz w:val="16"/>
                            <w:szCs w:val="16"/>
                          </w:rPr>
                        </w:pPr>
                        <w:r w:rsidRPr="00A27DB6">
                          <w:rPr>
                            <w:sz w:val="16"/>
                            <w:szCs w:val="16"/>
                          </w:rPr>
                          <w:t>Table 2.</w:t>
                        </w:r>
                        <w:r w:rsidR="003D54E7">
                          <w:rPr>
                            <w:sz w:val="16"/>
                            <w:szCs w:val="16"/>
                          </w:rPr>
                          <w:t xml:space="preserve">[relevant Outcome </w:t>
                        </w:r>
                        <w:r w:rsidR="00380547">
                          <w:rPr>
                            <w:sz w:val="16"/>
                            <w:szCs w:val="16"/>
                          </w:rPr>
                          <w:t>number</w:t>
                        </w:r>
                        <w:r w:rsidR="003D54E7">
                          <w:rPr>
                            <w:sz w:val="16"/>
                            <w:szCs w:val="16"/>
                          </w:rPr>
                          <w:t>]</w:t>
                        </w:r>
                        <w:r w:rsidRPr="00A85E0D">
                          <w:rPr>
                            <w:sz w:val="16"/>
                            <w:szCs w:val="16"/>
                          </w:rPr>
                          <w:t xml:space="preserve">.1: Budgeted expenses for Outcome </w:t>
                        </w:r>
                        <w:r w:rsidR="002413A0">
                          <w:rPr>
                            <w:sz w:val="16"/>
                            <w:szCs w:val="16"/>
                          </w:rPr>
                          <w:t xml:space="preserve">[relevant </w:t>
                        </w:r>
                        <w:r w:rsidR="00380547">
                          <w:rPr>
                            <w:sz w:val="16"/>
                            <w:szCs w:val="16"/>
                          </w:rPr>
                          <w:t>Outcome</w:t>
                        </w:r>
                        <w:r w:rsidR="002413A0">
                          <w:rPr>
                            <w:sz w:val="16"/>
                            <w:szCs w:val="16"/>
                          </w:rPr>
                          <w:t xml:space="preserve"> number</w:t>
                        </w:r>
                        <w:r w:rsidR="00380547">
                          <w:rPr>
                            <w:sz w:val="16"/>
                            <w:szCs w:val="16"/>
                          </w:rPr>
                          <w:t>]</w:t>
                        </w:r>
                      </w:p>
                      <w:p w14:paraId="58F6A973" w14:textId="77777777" w:rsidR="000D76A1" w:rsidRPr="00A85E0D" w:rsidRDefault="000D76A1">
                        <w:pPr>
                          <w:pStyle w:val="NormalTextRed"/>
                          <w:rPr>
                            <w:sz w:val="16"/>
                            <w:szCs w:val="16"/>
                          </w:rPr>
                        </w:pPr>
                        <w:r w:rsidRPr="00A85E0D">
                          <w:rPr>
                            <w:sz w:val="16"/>
                            <w:szCs w:val="16"/>
                          </w:rPr>
                          <w:t>Total Departmental expenses</w:t>
                        </w:r>
                      </w:p>
                      <w:p w14:paraId="09CF747A" w14:textId="529D366D" w:rsidR="000D76A1" w:rsidRDefault="00994760">
                        <w:pPr>
                          <w:rPr>
                            <w:b/>
                            <w:sz w:val="16"/>
                            <w:szCs w:val="16"/>
                          </w:rPr>
                        </w:pPr>
                        <w:r>
                          <w:rPr>
                            <w:sz w:val="16"/>
                            <w:szCs w:val="16"/>
                          </w:rPr>
                          <w:t xml:space="preserve">          </w:t>
                        </w:r>
                        <w:r w:rsidR="000D76A1" w:rsidRPr="00A85E0D">
                          <w:rPr>
                            <w:b/>
                            <w:sz w:val="16"/>
                            <w:szCs w:val="16"/>
                          </w:rPr>
                          <w:t>+</w:t>
                        </w:r>
                      </w:p>
                      <w:p w14:paraId="116965F4" w14:textId="35D59CD3" w:rsidR="00E41A70" w:rsidRPr="00892E30" w:rsidRDefault="00E41A70">
                        <w:pPr>
                          <w:rPr>
                            <w:bCs/>
                            <w:color w:val="FF0000"/>
                            <w:sz w:val="16"/>
                            <w:szCs w:val="16"/>
                          </w:rPr>
                        </w:pPr>
                        <w:r w:rsidRPr="00892E30">
                          <w:rPr>
                            <w:bCs/>
                            <w:color w:val="FF0000"/>
                            <w:sz w:val="16"/>
                            <w:szCs w:val="16"/>
                          </w:rPr>
                          <w:t>Total Administered expenses</w:t>
                        </w:r>
                      </w:p>
                      <w:p w14:paraId="05C14862" w14:textId="77777777" w:rsidR="00E41A70" w:rsidRPr="00A85E0D" w:rsidRDefault="00E41A70">
                        <w:pPr>
                          <w:rPr>
                            <w:b/>
                            <w:sz w:val="16"/>
                            <w:szCs w:val="16"/>
                          </w:rPr>
                        </w:pPr>
                      </w:p>
                      <w:p w14:paraId="76B41BAC" w14:textId="77777777" w:rsidR="000D76A1" w:rsidRPr="00A85E0D" w:rsidRDefault="000D76A1">
                        <w:pPr>
                          <w:pStyle w:val="NormalTextRed"/>
                          <w:rPr>
                            <w:sz w:val="16"/>
                            <w:szCs w:val="16"/>
                          </w:rPr>
                        </w:pPr>
                        <w:r w:rsidRPr="00A85E0D">
                          <w:rPr>
                            <w:sz w:val="16"/>
                            <w:szCs w:val="16"/>
                          </w:rPr>
                          <w:t>Total Administered expenses</w:t>
                        </w:r>
                      </w:p>
                    </w:txbxContent>
                  </v:textbox>
                </v:shape>
                <v:shape id="Text Box 22" o:spid="_x0000_s1030" type="#_x0000_t202" style="position:absolute;left:29441;top:5986;width:3080;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" fillcolor="#d8d8d8 [2732]" stroked="f">
                  <v:textbox>
                    <w:txbxContent>
                      <w:p w14:paraId="704ADF60" w14:textId="77777777" w:rsidR="000D76A1" w:rsidRPr="00A27DB6" w:rsidRDefault="000D76A1">
                        <w:pPr>
                          <w:rPr>
                            <w:b/>
                            <w:bCs/>
                            <w:sz w:val="16"/>
                            <w:szCs w:val="16"/>
                          </w:rPr>
                        </w:pPr>
                        <w:r w:rsidRPr="00A27DB6">
                          <w:rPr>
                            <w:b/>
                            <w:bCs/>
                            <w:sz w:val="16"/>
                            <w:szCs w:val="16"/>
                          </w:rPr>
                          <w:t>=</w:t>
                        </w:r>
                      </w:p>
                    </w:txbxContent>
                  </v:textbox>
                </v:shape>
                <w10:anchorlock/>
              </v:group>
            </w:pict>
          </mc:Fallback>
        </mc:AlternateContent>
      </w:r>
      <w:bookmarkStart w:id="1025" w:name="_Toc26963584"/>
    </w:p>
    <w:p w14:paraId="43BE1547" w14:textId="7B95C2F1" w:rsidR="004950C9" w:rsidRPr="00DD477A" w:rsidRDefault="00994760" w:rsidP="003D6589">
      <w:pPr>
        <w:pStyle w:val="Heading3"/>
      </w:pPr>
      <w:bookmarkStart w:id="1026" w:name="_Toc227749048"/>
      <w:bookmarkEnd w:id="1025"/>
      <w:r w:rsidRPr="00DD477A">
        <w:rPr>
          <w:rStyle w:val="BodyTextChar"/>
          <w:rFonts w:cs="Calibri"/>
        </w:rPr>
        <w:t>Adjustments for interest</w:t>
      </w:r>
      <w:r w:rsidRPr="00DD477A">
        <w:t xml:space="preserve"> </w:t>
      </w:r>
      <w:r w:rsidR="004950C9" w:rsidRPr="00DD477A">
        <w:t>and depreciation of Right-of-Use (RoU) assets</w:t>
      </w:r>
      <w:bookmarkEnd w:id="1026"/>
    </w:p>
    <w:p w14:paraId="4AB981FC" w14:textId="7C9AB060" w:rsidR="00DE5C35" w:rsidRPr="00DD477A" w:rsidRDefault="53BF0693" w:rsidP="53BF0693">
      <w:pPr>
        <w:rPr>
          <w:rFonts w:cs="Calibri"/>
        </w:rPr>
      </w:pPr>
      <w:r w:rsidRPr="00DD477A">
        <w:rPr>
          <w:rFonts w:cs="Calibri"/>
        </w:rPr>
        <w:t xml:space="preserve">There are </w:t>
      </w:r>
      <w:r w:rsidR="00D4487F" w:rsidRPr="00DD477A">
        <w:rPr>
          <w:rFonts w:cs="Calibri"/>
        </w:rPr>
        <w:t>two</w:t>
      </w:r>
      <w:r w:rsidRPr="00DD477A">
        <w:rPr>
          <w:rFonts w:cs="Calibri"/>
        </w:rPr>
        <w:t xml:space="preserve"> main </w:t>
      </w:r>
      <w:r w:rsidR="0015195A" w:rsidRPr="00DD477A">
        <w:rPr>
          <w:rFonts w:cs="Calibri"/>
        </w:rPr>
        <w:t xml:space="preserve">asset </w:t>
      </w:r>
      <w:r w:rsidRPr="00DD477A">
        <w:rPr>
          <w:rFonts w:cs="Calibri"/>
        </w:rPr>
        <w:t xml:space="preserve">leasing components that </w:t>
      </w:r>
      <w:r w:rsidR="00994760" w:rsidRPr="00DD477A">
        <w:rPr>
          <w:rFonts w:cs="Calibri"/>
        </w:rPr>
        <w:t xml:space="preserve">should be included when calculating the </w:t>
      </w:r>
      <w:r w:rsidR="00AB4332" w:rsidRPr="00DD477A">
        <w:rPr>
          <w:rFonts w:cs="Calibri"/>
        </w:rPr>
        <w:t>Departmental appropriation expense</w:t>
      </w:r>
      <w:r w:rsidR="00994760" w:rsidRPr="00DD477A">
        <w:rPr>
          <w:rFonts w:cs="Calibri"/>
        </w:rPr>
        <w:t>s to be reported</w:t>
      </w:r>
      <w:r w:rsidR="00AB4332" w:rsidRPr="00DD477A">
        <w:rPr>
          <w:rFonts w:cs="Calibri"/>
        </w:rPr>
        <w:t xml:space="preserve"> </w:t>
      </w:r>
      <w:r w:rsidRPr="00DD477A">
        <w:rPr>
          <w:rFonts w:cs="Calibri"/>
        </w:rPr>
        <w:t xml:space="preserve">in </w:t>
      </w:r>
      <w:r w:rsidR="00454218" w:rsidRPr="00DD477A">
        <w:rPr>
          <w:rStyle w:val="BodyTextChar"/>
          <w:rFonts w:cs="Calibri"/>
          <w:iCs/>
        </w:rPr>
        <w:t>Table </w:t>
      </w:r>
      <w:r w:rsidRPr="00DD477A">
        <w:rPr>
          <w:rStyle w:val="BodyTextChar"/>
          <w:rFonts w:cs="Calibri"/>
          <w:iCs/>
        </w:rPr>
        <w:t>2.X.1</w:t>
      </w:r>
      <w:r w:rsidR="00187C4E" w:rsidRPr="00DD477A">
        <w:rPr>
          <w:rStyle w:val="BodyTextChar"/>
          <w:rFonts w:cs="Calibri"/>
          <w:iCs/>
        </w:rPr>
        <w:t>, including</w:t>
      </w:r>
      <w:r w:rsidR="00187C4E" w:rsidRPr="00DD477A">
        <w:rPr>
          <w:rFonts w:cs="Calibri"/>
        </w:rPr>
        <w:t>:</w:t>
      </w:r>
    </w:p>
    <w:p w14:paraId="49BC846D" w14:textId="6BB07CA9" w:rsidR="00DE5C35" w:rsidRPr="00DD477A" w:rsidRDefault="00A067C2" w:rsidP="007737BB">
      <w:pPr>
        <w:pStyle w:val="Numbered"/>
        <w:numPr>
          <w:ilvl w:val="0"/>
          <w:numId w:val="52"/>
        </w:numPr>
      </w:pPr>
      <w:r w:rsidRPr="007737BB">
        <w:rPr>
          <w:b/>
          <w:bCs/>
        </w:rPr>
        <w:t>I</w:t>
      </w:r>
      <w:r w:rsidR="6B6EE5C4" w:rsidRPr="007737BB">
        <w:rPr>
          <w:b/>
          <w:bCs/>
        </w:rPr>
        <w:t xml:space="preserve">nterest on </w:t>
      </w:r>
      <w:r w:rsidR="003C43AC" w:rsidRPr="007737BB">
        <w:rPr>
          <w:b/>
          <w:bCs/>
        </w:rPr>
        <w:t xml:space="preserve">RoU </w:t>
      </w:r>
      <w:r w:rsidR="006707E8" w:rsidRPr="007737BB">
        <w:rPr>
          <w:b/>
          <w:bCs/>
        </w:rPr>
        <w:t xml:space="preserve">lease </w:t>
      </w:r>
      <w:r w:rsidR="00994760" w:rsidRPr="007737BB">
        <w:rPr>
          <w:b/>
          <w:bCs/>
        </w:rPr>
        <w:t>liabilities</w:t>
      </w:r>
      <w:r w:rsidR="6B6EE5C4" w:rsidRPr="007737BB">
        <w:rPr>
          <w:b/>
          <w:bCs/>
        </w:rPr>
        <w:t xml:space="preserve"> </w:t>
      </w:r>
      <w:r w:rsidR="00D4537D" w:rsidRPr="007737BB">
        <w:rPr>
          <w:b/>
          <w:bCs/>
        </w:rPr>
        <w:t>–</w:t>
      </w:r>
      <w:r w:rsidR="6B6EE5C4" w:rsidRPr="00DD477A">
        <w:t xml:space="preserve"> </w:t>
      </w:r>
      <w:r w:rsidR="00D4537D" w:rsidRPr="00DD477A">
        <w:t xml:space="preserve">due to </w:t>
      </w:r>
      <w:r w:rsidR="00EA1839" w:rsidRPr="00DD477A">
        <w:t xml:space="preserve">these </w:t>
      </w:r>
      <w:r w:rsidR="00C649D3" w:rsidRPr="00DD477A">
        <w:t xml:space="preserve">aggregated </w:t>
      </w:r>
      <w:r w:rsidR="00EA1839" w:rsidRPr="00DD477A">
        <w:t xml:space="preserve">costs being </w:t>
      </w:r>
      <w:r w:rsidR="6B6EE5C4" w:rsidRPr="00DD477A">
        <w:t xml:space="preserve">reported </w:t>
      </w:r>
      <w:r w:rsidR="00EA1839" w:rsidRPr="00DD477A">
        <w:t>in</w:t>
      </w:r>
      <w:r w:rsidR="6B6EE5C4" w:rsidRPr="00DD477A">
        <w:t xml:space="preserve"> the </w:t>
      </w:r>
      <w:r w:rsidR="00403E7D" w:rsidRPr="00DD477A">
        <w:t>c</w:t>
      </w:r>
      <w:r w:rsidR="6B6EE5C4" w:rsidRPr="00DD477A">
        <w:t xml:space="preserve">omprehensive </w:t>
      </w:r>
      <w:r w:rsidR="00403E7D" w:rsidRPr="00DD477A">
        <w:t>i</w:t>
      </w:r>
      <w:r w:rsidR="6B6EE5C4" w:rsidRPr="00DD477A">
        <w:t xml:space="preserve">ncome </w:t>
      </w:r>
      <w:r w:rsidR="00403E7D" w:rsidRPr="00DD477A">
        <w:t>s</w:t>
      </w:r>
      <w:r w:rsidR="6B6EE5C4" w:rsidRPr="00DD477A">
        <w:t>tatement</w:t>
      </w:r>
      <w:r w:rsidR="00EA1839" w:rsidRPr="00DD477A">
        <w:t xml:space="preserve">, </w:t>
      </w:r>
      <w:r w:rsidR="00086759" w:rsidRPr="00DD477A">
        <w:t xml:space="preserve">a </w:t>
      </w:r>
      <w:r w:rsidR="00C649D3" w:rsidRPr="00DD477A">
        <w:t>matching</w:t>
      </w:r>
      <w:r w:rsidR="00086759" w:rsidRPr="00DD477A">
        <w:t xml:space="preserve"> </w:t>
      </w:r>
      <w:r w:rsidR="00424FE7" w:rsidRPr="00DD477A">
        <w:t>cost need</w:t>
      </w:r>
      <w:r w:rsidR="00852646" w:rsidRPr="00DD477A">
        <w:t>s</w:t>
      </w:r>
      <w:r w:rsidR="00086759" w:rsidRPr="00DD477A">
        <w:t xml:space="preserve"> </w:t>
      </w:r>
      <w:r w:rsidR="6B6EE5C4" w:rsidRPr="00DD477A">
        <w:t xml:space="preserve">to be </w:t>
      </w:r>
      <w:r w:rsidR="00424FE7" w:rsidRPr="00DD477A">
        <w:t xml:space="preserve">captured </w:t>
      </w:r>
      <w:r w:rsidR="00C649D3" w:rsidRPr="00DD477A">
        <w:t>with</w:t>
      </w:r>
      <w:r w:rsidR="00424FE7" w:rsidRPr="00DD477A">
        <w:t xml:space="preserve">in </w:t>
      </w:r>
      <w:r w:rsidR="6B6EE5C4" w:rsidRPr="00DD477A">
        <w:t>the ‘Departmental appropriation expenses’</w:t>
      </w:r>
      <w:r w:rsidR="00C025DF" w:rsidRPr="00DD477A">
        <w:t>.</w:t>
      </w:r>
    </w:p>
    <w:p w14:paraId="6A54832F" w14:textId="58EBA2A4" w:rsidR="00DD477A" w:rsidRPr="00DD477A" w:rsidRDefault="00A067C2" w:rsidP="00AA1E87">
      <w:pPr>
        <w:pStyle w:val="Numbered"/>
      </w:pPr>
      <w:r w:rsidRPr="00DD477A">
        <w:rPr>
          <w:b/>
          <w:bCs/>
        </w:rPr>
        <w:t>D</w:t>
      </w:r>
      <w:r w:rsidR="00DE5C35" w:rsidRPr="00DD477A">
        <w:rPr>
          <w:b/>
          <w:bCs/>
        </w:rPr>
        <w:t>epreciation</w:t>
      </w:r>
      <w:r w:rsidR="00BC0DB5" w:rsidRPr="00DD477A">
        <w:rPr>
          <w:b/>
          <w:bCs/>
        </w:rPr>
        <w:t xml:space="preserve"> </w:t>
      </w:r>
      <w:r w:rsidR="00DE5C35" w:rsidRPr="00DD477A">
        <w:rPr>
          <w:b/>
          <w:bCs/>
        </w:rPr>
        <w:t>/</w:t>
      </w:r>
      <w:r w:rsidR="00BC0DB5" w:rsidRPr="00DD477A">
        <w:rPr>
          <w:b/>
          <w:bCs/>
        </w:rPr>
        <w:t xml:space="preserve"> </w:t>
      </w:r>
      <w:r w:rsidR="00DE5C35" w:rsidRPr="00DD477A">
        <w:rPr>
          <w:b/>
          <w:bCs/>
        </w:rPr>
        <w:t xml:space="preserve">amortisation of </w:t>
      </w:r>
      <w:r w:rsidR="009F3C94" w:rsidRPr="00DD477A">
        <w:rPr>
          <w:b/>
          <w:bCs/>
        </w:rPr>
        <w:t>RoU</w:t>
      </w:r>
      <w:r w:rsidR="00DE5C35" w:rsidRPr="00DD477A">
        <w:rPr>
          <w:b/>
          <w:bCs/>
        </w:rPr>
        <w:t xml:space="preserve"> </w:t>
      </w:r>
      <w:r w:rsidR="00B51040" w:rsidRPr="00DD477A">
        <w:rPr>
          <w:b/>
          <w:bCs/>
        </w:rPr>
        <w:t>a</w:t>
      </w:r>
      <w:r w:rsidR="00DE5C35" w:rsidRPr="00DD477A">
        <w:rPr>
          <w:b/>
          <w:bCs/>
        </w:rPr>
        <w:t>sset</w:t>
      </w:r>
      <w:r w:rsidR="00FC0AF4" w:rsidRPr="00DD477A">
        <w:rPr>
          <w:b/>
          <w:bCs/>
        </w:rPr>
        <w:t xml:space="preserve"> </w:t>
      </w:r>
      <w:r w:rsidR="00294AE3" w:rsidRPr="00DD477A">
        <w:rPr>
          <w:b/>
          <w:bCs/>
        </w:rPr>
        <w:t>–</w:t>
      </w:r>
      <w:r w:rsidR="00DE5C35" w:rsidRPr="00DD477A">
        <w:t xml:space="preserve"> </w:t>
      </w:r>
      <w:r w:rsidR="00994760" w:rsidRPr="00DD477A">
        <w:t>w</w:t>
      </w:r>
      <w:r w:rsidR="00294AE3" w:rsidRPr="00DD477A">
        <w:t xml:space="preserve">here a </w:t>
      </w:r>
      <w:r w:rsidR="007E7B36" w:rsidRPr="00DD477A">
        <w:t>Non-corporate Commonwealth entity (</w:t>
      </w:r>
      <w:r w:rsidRPr="00DD477A">
        <w:t>NCE</w:t>
      </w:r>
      <w:r w:rsidR="007E7B36" w:rsidRPr="00DD477A">
        <w:t>)</w:t>
      </w:r>
      <w:r w:rsidR="00DE5C35" w:rsidRPr="00DD477A">
        <w:t xml:space="preserve"> receive a DCB</w:t>
      </w:r>
      <w:r w:rsidR="00294AE3" w:rsidRPr="00DD477A">
        <w:t xml:space="preserve">, the </w:t>
      </w:r>
      <w:r w:rsidR="00CB5FCE" w:rsidRPr="00DD477A">
        <w:t xml:space="preserve">depreciation </w:t>
      </w:r>
      <w:r w:rsidR="00517B3D" w:rsidRPr="00DD477A">
        <w:t>a</w:t>
      </w:r>
      <w:r w:rsidR="00BC077F" w:rsidRPr="00DD477A">
        <w:t>llocation</w:t>
      </w:r>
      <w:r w:rsidR="008464FE" w:rsidRPr="00DD477A">
        <w:t xml:space="preserve"> </w:t>
      </w:r>
      <w:r w:rsidR="00517B3D" w:rsidRPr="00DD477A">
        <w:t xml:space="preserve">must be apportioned </w:t>
      </w:r>
      <w:r w:rsidR="00DE5C35" w:rsidRPr="00DD477A">
        <w:t xml:space="preserve">between </w:t>
      </w:r>
      <w:r w:rsidR="009F3C94" w:rsidRPr="00DD477A">
        <w:t>RoU</w:t>
      </w:r>
      <w:r w:rsidR="00DE5C35" w:rsidRPr="00DD477A">
        <w:t xml:space="preserve"> </w:t>
      </w:r>
      <w:r w:rsidR="00071DD0" w:rsidRPr="00DD477A">
        <w:t xml:space="preserve">assets </w:t>
      </w:r>
      <w:r w:rsidR="00DE5C35" w:rsidRPr="00DD477A">
        <w:t>and Non</w:t>
      </w:r>
      <w:r w:rsidR="00071DD0" w:rsidRPr="00DD477A">
        <w:noBreakHyphen/>
      </w:r>
      <w:r w:rsidR="009F3C94" w:rsidRPr="00DD477A">
        <w:t>RoU</w:t>
      </w:r>
      <w:r w:rsidR="00071DD0" w:rsidRPr="00DD477A">
        <w:t xml:space="preserve"> assets</w:t>
      </w:r>
      <w:r w:rsidR="00DE5C35" w:rsidRPr="00DD477A">
        <w:t xml:space="preserve">. </w:t>
      </w:r>
      <w:r w:rsidR="00F54528" w:rsidRPr="00DD477A">
        <w:t xml:space="preserve">Both </w:t>
      </w:r>
      <w:r w:rsidR="00DE5C35" w:rsidRPr="00DD477A">
        <w:t>Non-</w:t>
      </w:r>
      <w:r w:rsidR="009F3C94" w:rsidRPr="00DD477A">
        <w:t>RoU</w:t>
      </w:r>
      <w:r w:rsidR="00DE5C35" w:rsidRPr="00DD477A">
        <w:t xml:space="preserve"> depreciation </w:t>
      </w:r>
      <w:r w:rsidR="00F54528" w:rsidRPr="00DD477A">
        <w:t>and RoU Depreciation are</w:t>
      </w:r>
      <w:r w:rsidR="00DE5C35" w:rsidRPr="00DD477A">
        <w:t xml:space="preserve"> reported as </w:t>
      </w:r>
      <w:r w:rsidR="00F54528" w:rsidRPr="00DD477A">
        <w:t xml:space="preserve">part of the </w:t>
      </w:r>
      <w:r w:rsidR="00DE5C35" w:rsidRPr="00DD477A">
        <w:rPr>
          <w:i/>
          <w:iCs/>
        </w:rPr>
        <w:t>Expenses not requiring appropriation</w:t>
      </w:r>
      <w:r w:rsidR="00DE5C35" w:rsidRPr="00DD477A">
        <w:t xml:space="preserve"> </w:t>
      </w:r>
      <w:r w:rsidR="00DD477A" w:rsidRPr="00DD477A">
        <w:t>line</w:t>
      </w:r>
      <w:r w:rsidR="001C543C">
        <w:noBreakHyphen/>
      </w:r>
      <w:r w:rsidR="00DD477A" w:rsidRPr="00DD477A">
        <w:t>item.</w:t>
      </w:r>
      <w:r w:rsidR="00157BAB">
        <w:br/>
      </w:r>
      <w:r w:rsidR="00157BAB">
        <w:br/>
      </w:r>
      <w:bookmarkStart w:id="1027" w:name="_Hlk203997891"/>
      <w:r w:rsidR="00DD477A" w:rsidRPr="00DD477A">
        <w:t>Corporate</w:t>
      </w:r>
      <w:r w:rsidR="00DD477A" w:rsidRPr="00157BAB">
        <w:rPr>
          <w:iCs/>
        </w:rPr>
        <w:t xml:space="preserve"> Commonwealth entities (CCEs)</w:t>
      </w:r>
      <w:r w:rsidR="00DD477A" w:rsidRPr="00DD477A">
        <w:t xml:space="preserve"> </w:t>
      </w:r>
      <w:r w:rsidR="00DD477A">
        <w:t xml:space="preserve">who are </w:t>
      </w:r>
      <w:r w:rsidR="00DD477A" w:rsidRPr="00DD477A">
        <w:t xml:space="preserve">funded for depreciation </w:t>
      </w:r>
      <w:r w:rsidR="00DD477A">
        <w:t xml:space="preserve">for Non-RoU Assets </w:t>
      </w:r>
      <w:r w:rsidR="00DD477A" w:rsidRPr="00DD477A">
        <w:t xml:space="preserve">should </w:t>
      </w:r>
      <w:r w:rsidR="001C543C">
        <w:t xml:space="preserve">also </w:t>
      </w:r>
      <w:r w:rsidR="00DD477A" w:rsidRPr="00DD477A">
        <w:t>report</w:t>
      </w:r>
      <w:r w:rsidR="00DD477A">
        <w:t xml:space="preserve"> their</w:t>
      </w:r>
      <w:r w:rsidR="00DD477A" w:rsidRPr="00DD477A">
        <w:t xml:space="preserve"> RoU Depreciation as part of the </w:t>
      </w:r>
      <w:r w:rsidR="00DD477A" w:rsidRPr="00157BAB">
        <w:rPr>
          <w:i/>
          <w:iCs/>
        </w:rPr>
        <w:t>Expenses not requiring appropriation</w:t>
      </w:r>
      <w:r w:rsidR="00DD477A" w:rsidRPr="00DD477A">
        <w:t xml:space="preserve"> line</w:t>
      </w:r>
      <w:r w:rsidR="001C543C">
        <w:noBreakHyphen/>
      </w:r>
      <w:r w:rsidR="00DD477A" w:rsidRPr="00DD477A">
        <w:t>item.</w:t>
      </w:r>
      <w:bookmarkEnd w:id="1027"/>
    </w:p>
    <w:p w14:paraId="495B68DE" w14:textId="2655666D" w:rsidR="00D4487F" w:rsidRPr="00DD477A" w:rsidRDefault="00D4487F" w:rsidP="000A7DEC">
      <w:pPr>
        <w:pStyle w:val="Boxed2Text"/>
        <w:rPr>
          <w:rFonts w:cs="Calibri"/>
        </w:rPr>
      </w:pPr>
      <w:r w:rsidRPr="00DD477A">
        <w:rPr>
          <w:rFonts w:cs="Calibri"/>
        </w:rPr>
        <w:t>Where an entity has a lease t</w:t>
      </w:r>
      <w:r w:rsidR="6B6EE5C4" w:rsidRPr="00DD477A">
        <w:rPr>
          <w:rFonts w:cs="Calibri"/>
        </w:rPr>
        <w:t>he</w:t>
      </w:r>
      <w:r w:rsidR="00867E76" w:rsidRPr="00DD477A">
        <w:rPr>
          <w:rFonts w:cs="Calibri"/>
        </w:rPr>
        <w:t xml:space="preserve"> </w:t>
      </w:r>
      <w:r w:rsidR="003E6F25" w:rsidRPr="00DD477A">
        <w:rPr>
          <w:rFonts w:cs="Calibri"/>
        </w:rPr>
        <w:t xml:space="preserve">total </w:t>
      </w:r>
      <w:r w:rsidR="6B6EE5C4" w:rsidRPr="00DD477A">
        <w:rPr>
          <w:rFonts w:cs="Calibri"/>
        </w:rPr>
        <w:t xml:space="preserve">appropriation </w:t>
      </w:r>
      <w:r w:rsidR="0095219B" w:rsidRPr="00DD477A">
        <w:rPr>
          <w:rFonts w:cs="Calibri"/>
        </w:rPr>
        <w:t xml:space="preserve">expenses </w:t>
      </w:r>
      <w:r w:rsidR="00867E76" w:rsidRPr="00DD477A">
        <w:rPr>
          <w:rFonts w:cs="Calibri"/>
        </w:rPr>
        <w:t xml:space="preserve">across all </w:t>
      </w:r>
      <w:r w:rsidRPr="00DD477A">
        <w:rPr>
          <w:rFonts w:cs="Calibri"/>
        </w:rPr>
        <w:t xml:space="preserve">reported </w:t>
      </w:r>
      <w:r w:rsidR="00867E76" w:rsidRPr="00DD477A">
        <w:rPr>
          <w:rFonts w:cs="Calibri"/>
        </w:rPr>
        <w:t xml:space="preserve">outcomes </w:t>
      </w:r>
      <w:r w:rsidR="007B23D6" w:rsidRPr="00DD477A">
        <w:rPr>
          <w:rFonts w:cs="Calibri"/>
        </w:rPr>
        <w:t>in</w:t>
      </w:r>
      <w:r w:rsidR="6B6EE5C4" w:rsidRPr="00DD477A">
        <w:rPr>
          <w:rFonts w:cs="Calibri"/>
        </w:rPr>
        <w:t xml:space="preserve"> </w:t>
      </w:r>
      <w:r w:rsidR="00454218" w:rsidRPr="00DD477A">
        <w:rPr>
          <w:rFonts w:cs="Calibri"/>
          <w:iCs/>
        </w:rPr>
        <w:t>Table </w:t>
      </w:r>
      <w:r w:rsidR="6B6EE5C4" w:rsidRPr="00DD477A">
        <w:rPr>
          <w:rFonts w:cs="Calibri"/>
          <w:iCs/>
        </w:rPr>
        <w:t xml:space="preserve">2.x.1 </w:t>
      </w:r>
      <w:r w:rsidR="0063769A" w:rsidRPr="00DD477A">
        <w:rPr>
          <w:rFonts w:cs="Calibri"/>
          <w:iCs/>
        </w:rPr>
        <w:t xml:space="preserve">this </w:t>
      </w:r>
      <w:r w:rsidRPr="00DD477A">
        <w:rPr>
          <w:rFonts w:cs="Calibri"/>
        </w:rPr>
        <w:t>will match the</w:t>
      </w:r>
      <w:r w:rsidR="0063769A" w:rsidRPr="00DD477A">
        <w:rPr>
          <w:rFonts w:cs="Calibri"/>
        </w:rPr>
        <w:t xml:space="preserve"> expenses </w:t>
      </w:r>
      <w:r w:rsidR="003C43AC" w:rsidRPr="00DD477A">
        <w:rPr>
          <w:rFonts w:cs="Calibri"/>
        </w:rPr>
        <w:t>reported in the comprehensive income statement</w:t>
      </w:r>
      <w:r w:rsidRPr="00DD477A">
        <w:rPr>
          <w:rFonts w:cs="Calibri"/>
        </w:rPr>
        <w:t>.</w:t>
      </w:r>
    </w:p>
    <w:p w14:paraId="57A520BB" w14:textId="1A406584" w:rsidR="00F54528" w:rsidRPr="00DD477A" w:rsidRDefault="00EE6353" w:rsidP="000A7DEC">
      <w:pPr>
        <w:pStyle w:val="Boxed2Text"/>
        <w:rPr>
          <w:rFonts w:cs="Calibri"/>
        </w:rPr>
      </w:pPr>
      <w:hyperlink r:id="rId148" w:history="1">
        <w:r w:rsidRPr="00DD477A">
          <w:rPr>
            <w:rStyle w:val="Hyperlink"/>
            <w:rFonts w:cs="Calibri"/>
          </w:rPr>
          <w:t xml:space="preserve">AASB 16 </w:t>
        </w:r>
        <w:r w:rsidRPr="00DD477A">
          <w:rPr>
            <w:rStyle w:val="Hyperlink"/>
            <w:rFonts w:cs="Calibri"/>
            <w:i/>
            <w:iCs/>
          </w:rPr>
          <w:t>Leases</w:t>
        </w:r>
      </w:hyperlink>
      <w:r w:rsidRPr="00DD477A">
        <w:rPr>
          <w:rStyle w:val="Hyperlink"/>
          <w:rFonts w:cs="Calibri"/>
          <w:i/>
          <w:iCs/>
        </w:rPr>
        <w:t xml:space="preserve"> </w:t>
      </w:r>
      <w:r w:rsidRPr="00DD477A">
        <w:rPr>
          <w:rFonts w:cs="Calibri"/>
        </w:rPr>
        <w:t>requires t</w:t>
      </w:r>
      <w:r w:rsidR="6B6EE5C4" w:rsidRPr="00DD477A">
        <w:rPr>
          <w:rFonts w:cs="Calibri"/>
        </w:rPr>
        <w:t>he princip</w:t>
      </w:r>
      <w:r w:rsidR="00C95E09" w:rsidRPr="00DD477A">
        <w:rPr>
          <w:rFonts w:cs="Calibri"/>
        </w:rPr>
        <w:t xml:space="preserve">al </w:t>
      </w:r>
      <w:r w:rsidR="00694FA5" w:rsidRPr="00DD477A">
        <w:rPr>
          <w:rFonts w:cs="Calibri"/>
        </w:rPr>
        <w:t xml:space="preserve">lease </w:t>
      </w:r>
      <w:r w:rsidR="6B6EE5C4" w:rsidRPr="00DD477A">
        <w:rPr>
          <w:rFonts w:cs="Calibri"/>
        </w:rPr>
        <w:t xml:space="preserve">repayments </w:t>
      </w:r>
      <w:r w:rsidRPr="00DD477A">
        <w:rPr>
          <w:rFonts w:cs="Calibri"/>
        </w:rPr>
        <w:t>to be</w:t>
      </w:r>
      <w:r w:rsidR="6B6EE5C4" w:rsidRPr="00DD477A">
        <w:rPr>
          <w:rFonts w:cs="Calibri"/>
        </w:rPr>
        <w:t xml:space="preserve"> reported </w:t>
      </w:r>
      <w:r w:rsidR="006015A4" w:rsidRPr="00DD477A">
        <w:rPr>
          <w:rFonts w:cs="Calibri"/>
        </w:rPr>
        <w:t>in</w:t>
      </w:r>
      <w:r w:rsidR="6B6EE5C4" w:rsidRPr="00DD477A">
        <w:rPr>
          <w:rFonts w:cs="Calibri"/>
        </w:rPr>
        <w:t xml:space="preserve"> the balance sheet</w:t>
      </w:r>
      <w:r w:rsidR="00E42EE1" w:rsidRPr="00DD477A">
        <w:rPr>
          <w:rFonts w:cs="Calibri"/>
        </w:rPr>
        <w:t xml:space="preserve">, with </w:t>
      </w:r>
      <w:r w:rsidR="009F4BDB">
        <w:rPr>
          <w:rFonts w:cs="Calibri"/>
        </w:rPr>
        <w:t>the</w:t>
      </w:r>
      <w:r w:rsidR="00F54528" w:rsidRPr="00DD477A">
        <w:rPr>
          <w:rFonts w:cs="Calibri"/>
        </w:rPr>
        <w:t xml:space="preserve"> </w:t>
      </w:r>
      <w:r w:rsidR="00E42EE1" w:rsidRPr="00DD477A">
        <w:rPr>
          <w:rFonts w:cs="Calibri"/>
        </w:rPr>
        <w:t>correlat</w:t>
      </w:r>
      <w:r w:rsidR="00994760" w:rsidRPr="00DD477A">
        <w:rPr>
          <w:rFonts w:cs="Calibri"/>
        </w:rPr>
        <w:t>ing</w:t>
      </w:r>
      <w:r w:rsidR="00E42EE1" w:rsidRPr="00DD477A">
        <w:rPr>
          <w:rFonts w:cs="Calibri"/>
        </w:rPr>
        <w:t xml:space="preserve"> </w:t>
      </w:r>
      <w:r w:rsidR="009F4BDB">
        <w:rPr>
          <w:rFonts w:cs="Calibri"/>
        </w:rPr>
        <w:t xml:space="preserve">annual </w:t>
      </w:r>
      <w:r w:rsidR="003C43AC" w:rsidRPr="00DD477A">
        <w:rPr>
          <w:rFonts w:cs="Calibri"/>
        </w:rPr>
        <w:t xml:space="preserve">payment </w:t>
      </w:r>
      <w:r w:rsidR="00E42EE1" w:rsidRPr="00DD477A">
        <w:rPr>
          <w:rFonts w:cs="Calibri"/>
        </w:rPr>
        <w:t>report</w:t>
      </w:r>
      <w:r w:rsidR="003C43AC" w:rsidRPr="00DD477A">
        <w:rPr>
          <w:rFonts w:cs="Calibri"/>
        </w:rPr>
        <w:t>ed</w:t>
      </w:r>
      <w:r w:rsidR="00E42EE1" w:rsidRPr="00DD477A">
        <w:rPr>
          <w:rFonts w:cs="Calibri"/>
        </w:rPr>
        <w:t xml:space="preserve"> </w:t>
      </w:r>
      <w:r w:rsidR="00F54528" w:rsidRPr="00DD477A">
        <w:rPr>
          <w:rFonts w:cs="Calibri"/>
        </w:rPr>
        <w:t>through</w:t>
      </w:r>
      <w:r w:rsidR="00875E96" w:rsidRPr="00DD477A">
        <w:rPr>
          <w:rFonts w:cs="Calibri"/>
        </w:rPr>
        <w:t xml:space="preserve"> the </w:t>
      </w:r>
      <w:r w:rsidR="6B6EE5C4" w:rsidRPr="00DD477A">
        <w:rPr>
          <w:rFonts w:cs="Calibri"/>
        </w:rPr>
        <w:t>cash-flow statement</w:t>
      </w:r>
      <w:r w:rsidR="00E53310" w:rsidRPr="00DD477A">
        <w:rPr>
          <w:rFonts w:cs="Calibri"/>
        </w:rPr>
        <w:t>.</w:t>
      </w:r>
    </w:p>
    <w:p w14:paraId="18983BDA" w14:textId="5FBFBC70" w:rsidR="003C43AC" w:rsidRPr="00DD477A" w:rsidRDefault="00A75487" w:rsidP="000A7DEC">
      <w:pPr>
        <w:pStyle w:val="Boxed2Text"/>
        <w:rPr>
          <w:rFonts w:cs="Calibri"/>
        </w:rPr>
      </w:pPr>
      <w:r>
        <w:rPr>
          <w:rFonts w:cs="Calibri"/>
        </w:rPr>
        <w:t>For Table 2.x.1 t</w:t>
      </w:r>
      <w:r w:rsidR="003C43AC" w:rsidRPr="00DD477A">
        <w:rPr>
          <w:rFonts w:cs="Calibri"/>
        </w:rPr>
        <w:t xml:space="preserve">he interest on RoU lease liabilities forms part of the </w:t>
      </w:r>
      <w:r w:rsidR="003C43AC" w:rsidRPr="00A75487">
        <w:rPr>
          <w:rFonts w:cs="Calibri"/>
          <w:i/>
          <w:iCs/>
        </w:rPr>
        <w:t>departmental appropriat</w:t>
      </w:r>
      <w:r>
        <w:rPr>
          <w:rFonts w:cs="Calibri"/>
          <w:i/>
          <w:iCs/>
        </w:rPr>
        <w:t>ion</w:t>
      </w:r>
      <w:r w:rsidR="003C43AC" w:rsidRPr="00A75487">
        <w:rPr>
          <w:rFonts w:cs="Calibri"/>
          <w:i/>
          <w:iCs/>
        </w:rPr>
        <w:t xml:space="preserve"> expense</w:t>
      </w:r>
      <w:r w:rsidR="00F54528" w:rsidRPr="00DD477A">
        <w:rPr>
          <w:rFonts w:cs="Calibri"/>
        </w:rPr>
        <w:t xml:space="preserve"> whilst the depreciation on RoU assets forms part of the </w:t>
      </w:r>
      <w:r w:rsidR="00F54528" w:rsidRPr="00A75487">
        <w:rPr>
          <w:rFonts w:cs="Calibri"/>
          <w:i/>
          <w:iCs/>
        </w:rPr>
        <w:t>expenses not requiring appropriation in the budget</w:t>
      </w:r>
      <w:r w:rsidR="00F54528" w:rsidRPr="00DD477A">
        <w:rPr>
          <w:rFonts w:cs="Calibri"/>
        </w:rPr>
        <w:t xml:space="preserve"> year line-item. </w:t>
      </w:r>
    </w:p>
    <w:p w14:paraId="68F7009C" w14:textId="6806327A" w:rsidR="00802A0B" w:rsidRPr="00DD477A" w:rsidRDefault="003249FB" w:rsidP="000A7DEC">
      <w:pPr>
        <w:pStyle w:val="Boxed2Text"/>
        <w:rPr>
          <w:rFonts w:cs="Calibri"/>
        </w:rPr>
      </w:pPr>
      <w:r w:rsidRPr="00DD477A">
        <w:rPr>
          <w:rFonts w:cs="Calibri"/>
          <w:b/>
        </w:rPr>
        <w:t>Note:</w:t>
      </w:r>
      <w:r w:rsidRPr="00DD477A">
        <w:rPr>
          <w:rFonts w:cs="Calibri"/>
        </w:rPr>
        <w:t xml:space="preserve"> </w:t>
      </w:r>
      <w:r w:rsidR="00877BBB" w:rsidRPr="00DD477A">
        <w:rPr>
          <w:rFonts w:cs="Calibri"/>
        </w:rPr>
        <w:t>C</w:t>
      </w:r>
      <w:r w:rsidR="53BF0693" w:rsidRPr="00DD477A">
        <w:rPr>
          <w:rFonts w:cs="Calibri"/>
        </w:rPr>
        <w:t>omprehens</w:t>
      </w:r>
      <w:r w:rsidRPr="00DD477A">
        <w:rPr>
          <w:rFonts w:cs="Calibri"/>
        </w:rPr>
        <w:t>ive income statement</w:t>
      </w:r>
      <w:r w:rsidR="00B50E0D" w:rsidRPr="00DD477A">
        <w:rPr>
          <w:rFonts w:cs="Calibri"/>
        </w:rPr>
        <w:t>s</w:t>
      </w:r>
      <w:r w:rsidRPr="00DD477A">
        <w:rPr>
          <w:rFonts w:cs="Calibri"/>
        </w:rPr>
        <w:t xml:space="preserve"> </w:t>
      </w:r>
      <w:r w:rsidR="00081E7D" w:rsidRPr="00DD477A">
        <w:rPr>
          <w:rFonts w:cs="Calibri"/>
        </w:rPr>
        <w:t xml:space="preserve">may </w:t>
      </w:r>
      <w:r w:rsidR="00B50E0D" w:rsidRPr="00DD477A">
        <w:rPr>
          <w:rFonts w:cs="Calibri"/>
        </w:rPr>
        <w:t xml:space="preserve">report </w:t>
      </w:r>
      <w:r w:rsidR="53BF0693" w:rsidRPr="00DD477A">
        <w:rPr>
          <w:rFonts w:cs="Calibri"/>
        </w:rPr>
        <w:t>deficits in the first half of the lease's life</w:t>
      </w:r>
      <w:r w:rsidR="00B50E0D" w:rsidRPr="00DD477A">
        <w:rPr>
          <w:rFonts w:cs="Calibri"/>
        </w:rPr>
        <w:t>,</w:t>
      </w:r>
      <w:r w:rsidR="53BF0693" w:rsidRPr="00DD477A">
        <w:rPr>
          <w:rFonts w:cs="Calibri"/>
        </w:rPr>
        <w:t xml:space="preserve"> with surpluses reported in the lat</w:t>
      </w:r>
      <w:r w:rsidR="00B50E0D" w:rsidRPr="00DD477A">
        <w:rPr>
          <w:rFonts w:cs="Calibri"/>
        </w:rPr>
        <w:t>t</w:t>
      </w:r>
      <w:r w:rsidR="53BF0693" w:rsidRPr="00DD477A">
        <w:rPr>
          <w:rFonts w:cs="Calibri"/>
        </w:rPr>
        <w:t>er half.</w:t>
      </w:r>
      <w:r w:rsidRPr="00DD477A">
        <w:rPr>
          <w:rFonts w:cs="Calibri"/>
        </w:rPr>
        <w:t xml:space="preserve"> </w:t>
      </w:r>
    </w:p>
    <w:p w14:paraId="7BDD306C" w14:textId="5CC12638" w:rsidR="004950C9" w:rsidRPr="00DD477A" w:rsidRDefault="004950C9" w:rsidP="003D6589">
      <w:pPr>
        <w:pStyle w:val="Heading3"/>
      </w:pPr>
      <w:bookmarkStart w:id="1028" w:name="_Toc227749049"/>
      <w:r w:rsidRPr="00DD477A">
        <w:t>Source of information</w:t>
      </w:r>
      <w:bookmarkEnd w:id="1028"/>
    </w:p>
    <w:p w14:paraId="423289ED" w14:textId="0BAD18D6" w:rsidR="001169B8" w:rsidRPr="00DD477A" w:rsidRDefault="53BF0693" w:rsidP="53BF0693">
      <w:pPr>
        <w:rPr>
          <w:rStyle w:val="BodyTextChar"/>
          <w:rFonts w:cs="Calibri"/>
        </w:rPr>
      </w:pPr>
      <w:r w:rsidRPr="00DD477A">
        <w:rPr>
          <w:rStyle w:val="BodyTextChar"/>
          <w:rFonts w:cs="Calibri"/>
        </w:rPr>
        <w:t xml:space="preserve">CBMS </w:t>
      </w:r>
      <w:r w:rsidR="00994760" w:rsidRPr="00DD477A">
        <w:rPr>
          <w:rStyle w:val="BodyTextChar"/>
          <w:rFonts w:cs="Calibri"/>
        </w:rPr>
        <w:t xml:space="preserve">does not provide detailed </w:t>
      </w:r>
      <w:r w:rsidRPr="00DD477A">
        <w:rPr>
          <w:rStyle w:val="BodyTextChar"/>
          <w:rFonts w:cs="Calibri"/>
        </w:rPr>
        <w:t xml:space="preserve">data </w:t>
      </w:r>
      <w:r w:rsidR="00994760" w:rsidRPr="00DD477A">
        <w:rPr>
          <w:rStyle w:val="BodyTextChar"/>
          <w:rFonts w:cs="Calibri"/>
        </w:rPr>
        <w:t xml:space="preserve">by appropriation source </w:t>
      </w:r>
      <w:r w:rsidRPr="00DD477A">
        <w:rPr>
          <w:rStyle w:val="BodyTextChar"/>
          <w:rFonts w:cs="Calibri"/>
        </w:rPr>
        <w:t xml:space="preserve">at </w:t>
      </w:r>
      <w:r w:rsidR="00994760" w:rsidRPr="00DD477A">
        <w:rPr>
          <w:rStyle w:val="BodyTextChar"/>
          <w:rFonts w:cs="Calibri"/>
        </w:rPr>
        <w:t xml:space="preserve">the </w:t>
      </w:r>
      <w:r w:rsidRPr="00DD477A">
        <w:rPr>
          <w:rStyle w:val="BodyTextChar"/>
          <w:rFonts w:cs="Calibri"/>
        </w:rPr>
        <w:t xml:space="preserve">budgeted expenses by program </w:t>
      </w:r>
      <w:r w:rsidR="00994760" w:rsidRPr="00DD477A">
        <w:rPr>
          <w:rStyle w:val="BodyTextChar"/>
          <w:rFonts w:cs="Calibri"/>
        </w:rPr>
        <w:t xml:space="preserve">level </w:t>
      </w:r>
      <w:r w:rsidRPr="00DD477A">
        <w:rPr>
          <w:rStyle w:val="BodyTextChar"/>
          <w:rFonts w:cs="Calibri"/>
        </w:rPr>
        <w:t xml:space="preserve">(required for the </w:t>
      </w:r>
      <w:r w:rsidR="005B560C" w:rsidRPr="00DD477A">
        <w:rPr>
          <w:rStyle w:val="BodyTextChar"/>
          <w:rFonts w:cs="Calibri"/>
        </w:rPr>
        <w:t>Table 2.x Budgeted expenses by outcome</w:t>
      </w:r>
      <w:r w:rsidRPr="00DD477A">
        <w:rPr>
          <w:rStyle w:val="BodyTextChar"/>
          <w:rFonts w:cs="Calibri"/>
        </w:rPr>
        <w:t xml:space="preserve">). </w:t>
      </w:r>
    </w:p>
    <w:p w14:paraId="705257A7" w14:textId="6F72DE22" w:rsidR="004D761E" w:rsidRPr="00DD477A" w:rsidRDefault="00604099" w:rsidP="53BF0693">
      <w:pPr>
        <w:rPr>
          <w:rStyle w:val="BodyTextChar"/>
          <w:rFonts w:cs="Calibri"/>
        </w:rPr>
      </w:pPr>
      <w:r w:rsidRPr="00DD477A">
        <w:rPr>
          <w:rStyle w:val="BodyTextChar"/>
          <w:rFonts w:cs="Calibri"/>
        </w:rPr>
        <w:t>E</w:t>
      </w:r>
      <w:r w:rsidR="53BF0693" w:rsidRPr="00DD477A">
        <w:rPr>
          <w:rStyle w:val="BodyTextChar"/>
          <w:rFonts w:cs="Calibri"/>
        </w:rPr>
        <w:t xml:space="preserve">ntities will need to source this data from their </w:t>
      </w:r>
      <w:r w:rsidR="005B560C" w:rsidRPr="00DD477A">
        <w:rPr>
          <w:rStyle w:val="BodyTextChar"/>
          <w:rFonts w:cs="Calibri"/>
        </w:rPr>
        <w:t xml:space="preserve">own </w:t>
      </w:r>
      <w:r w:rsidR="53BF0693" w:rsidRPr="00DD477A">
        <w:rPr>
          <w:rStyle w:val="BodyTextChar"/>
          <w:rFonts w:cs="Calibri"/>
        </w:rPr>
        <w:t>FMIS.</w:t>
      </w:r>
    </w:p>
    <w:p w14:paraId="131F3A5F" w14:textId="6067E5C5" w:rsidR="00FA0945" w:rsidRPr="00DD477A" w:rsidRDefault="53BF0693" w:rsidP="003D6589">
      <w:pPr>
        <w:pStyle w:val="Heading3"/>
      </w:pPr>
      <w:bookmarkStart w:id="1029" w:name="_Toc156403523"/>
      <w:bookmarkStart w:id="1030" w:name="_Toc156482555"/>
      <w:bookmarkStart w:id="1031" w:name="_Toc156483361"/>
      <w:bookmarkStart w:id="1032" w:name="_Toc156484124"/>
      <w:bookmarkStart w:id="1033" w:name="_Toc156487645"/>
      <w:bookmarkStart w:id="1034" w:name="_Toc156829506"/>
      <w:bookmarkStart w:id="1035" w:name="_Toc157076960"/>
      <w:bookmarkStart w:id="1036" w:name="_Toc156403524"/>
      <w:bookmarkStart w:id="1037" w:name="_Toc156482556"/>
      <w:bookmarkStart w:id="1038" w:name="_Toc156483362"/>
      <w:bookmarkStart w:id="1039" w:name="_Toc156484125"/>
      <w:bookmarkStart w:id="1040" w:name="_Toc156487646"/>
      <w:bookmarkStart w:id="1041" w:name="_Toc156829507"/>
      <w:bookmarkStart w:id="1042" w:name="_Toc157076961"/>
      <w:bookmarkStart w:id="1043" w:name="_Toc411852685"/>
      <w:bookmarkStart w:id="1044" w:name="_Toc534382565"/>
      <w:bookmarkStart w:id="1045" w:name="_Ref33523258"/>
      <w:bookmarkStart w:id="1046" w:name="_Ref33523261"/>
      <w:bookmarkStart w:id="1047" w:name="_Ref33523265"/>
      <w:bookmarkStart w:id="1048" w:name="_Toc63347718"/>
      <w:bookmarkStart w:id="1049" w:name="_Toc227749050"/>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r w:rsidRPr="00DD477A">
        <w:t>Program components</w:t>
      </w:r>
      <w:bookmarkEnd w:id="1043"/>
      <w:bookmarkEnd w:id="1044"/>
      <w:bookmarkEnd w:id="1045"/>
      <w:bookmarkEnd w:id="1046"/>
      <w:bookmarkEnd w:id="1047"/>
      <w:bookmarkEnd w:id="1048"/>
      <w:r w:rsidR="00781560" w:rsidRPr="00DD477A">
        <w:t xml:space="preserve"> – Table </w:t>
      </w:r>
      <w:r w:rsidR="00765257" w:rsidRPr="00DD477A">
        <w:t>2.X.2</w:t>
      </w:r>
      <w:bookmarkEnd w:id="1049"/>
    </w:p>
    <w:p w14:paraId="3F0C6660" w14:textId="02431E05" w:rsidR="00B75FE9" w:rsidRPr="00DD477A" w:rsidRDefault="00B75FE9" w:rsidP="53BF0693">
      <w:pPr>
        <w:rPr>
          <w:rStyle w:val="BodyTextChar"/>
          <w:rFonts w:cs="Calibri"/>
        </w:rPr>
      </w:pPr>
      <w:r w:rsidRPr="00DD477A">
        <w:rPr>
          <w:rFonts w:eastAsia="Cambria" w:cs="Calibri"/>
          <w:noProof/>
        </w:rPr>
        <w:drawing>
          <wp:inline distT="0" distB="0" distL="0" distR="0" wp14:anchorId="63E365A7" wp14:editId="50567512">
            <wp:extent cx="5835650" cy="524179"/>
            <wp:effectExtent l="0" t="0" r="0" b="0"/>
            <wp:docPr id="1233595332" name="Diagram 12335953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9" r:lo="rId150" r:qs="rId151" r:cs="rId152"/>
              </a:graphicData>
            </a:graphic>
          </wp:inline>
        </w:drawing>
      </w:r>
    </w:p>
    <w:p w14:paraId="773E83C4" w14:textId="6CE4160B" w:rsidR="00FA0945" w:rsidRPr="00DD477A" w:rsidRDefault="00FF449E" w:rsidP="53BF0693">
      <w:pPr>
        <w:rPr>
          <w:rStyle w:val="BodyTextChar"/>
          <w:rFonts w:cs="Calibri"/>
        </w:rPr>
      </w:pPr>
      <w:r w:rsidRPr="00DD477A">
        <w:rPr>
          <w:rStyle w:val="BodyTextChar"/>
          <w:rFonts w:cs="Calibri"/>
        </w:rPr>
        <w:t xml:space="preserve">Program component reporting, either of administered or departmental appropriations, is a subset of program-level reporting. </w:t>
      </w:r>
      <w:r w:rsidR="00677FF5" w:rsidRPr="00DD477A">
        <w:rPr>
          <w:rStyle w:val="BodyTextChar"/>
          <w:rFonts w:cs="Calibri"/>
        </w:rPr>
        <w:t xml:space="preserve">While it is not </w:t>
      </w:r>
      <w:r w:rsidR="00B36C66" w:rsidRPr="00DD477A">
        <w:rPr>
          <w:rStyle w:val="BodyTextChar"/>
          <w:rFonts w:cs="Calibri"/>
        </w:rPr>
        <w:t>mandatory for e</w:t>
      </w:r>
      <w:r w:rsidR="53BF0693" w:rsidRPr="00DD477A">
        <w:rPr>
          <w:rStyle w:val="BodyTextChar"/>
          <w:rFonts w:cs="Calibri"/>
        </w:rPr>
        <w:t xml:space="preserve">ntities to report below the program </w:t>
      </w:r>
      <w:r w:rsidR="003C58D9" w:rsidRPr="00DD477A">
        <w:rPr>
          <w:rStyle w:val="BodyTextChar"/>
          <w:rFonts w:cs="Calibri"/>
        </w:rPr>
        <w:t>level,</w:t>
      </w:r>
      <w:r w:rsidR="00E43123" w:rsidRPr="00DD477A">
        <w:rPr>
          <w:rStyle w:val="BodyTextChar"/>
          <w:rFonts w:cs="Calibri"/>
        </w:rPr>
        <w:t xml:space="preserve"> </w:t>
      </w:r>
      <w:r w:rsidR="00B36C66" w:rsidRPr="00DD477A">
        <w:rPr>
          <w:rStyle w:val="BodyTextChar"/>
          <w:rFonts w:cs="Calibri"/>
        </w:rPr>
        <w:t>e</w:t>
      </w:r>
      <w:r w:rsidR="002E304B" w:rsidRPr="00DD477A">
        <w:rPr>
          <w:rStyle w:val="BodyTextChar"/>
          <w:rFonts w:cs="Calibri"/>
        </w:rPr>
        <w:t xml:space="preserve">ntities </w:t>
      </w:r>
      <w:r w:rsidR="00A059E3" w:rsidRPr="00DD477A">
        <w:rPr>
          <w:rStyle w:val="BodyTextChar"/>
          <w:rFonts w:cs="Calibri"/>
        </w:rPr>
        <w:t>may</w:t>
      </w:r>
      <w:r w:rsidR="002E304B" w:rsidRPr="00DD477A">
        <w:rPr>
          <w:rStyle w:val="BodyTextChar"/>
          <w:rFonts w:cs="Calibri"/>
        </w:rPr>
        <w:t xml:space="preserve"> choose </w:t>
      </w:r>
      <w:r w:rsidR="00AB204A" w:rsidRPr="00DD477A">
        <w:rPr>
          <w:rStyle w:val="BodyTextChar"/>
          <w:rFonts w:cs="Calibri"/>
        </w:rPr>
        <w:t xml:space="preserve">to </w:t>
      </w:r>
      <w:r w:rsidR="00A059E3" w:rsidRPr="00DD477A">
        <w:rPr>
          <w:rStyle w:val="BodyTextChar"/>
          <w:rFonts w:cs="Calibri"/>
        </w:rPr>
        <w:t>report on their program sub-components.</w:t>
      </w:r>
      <w:r w:rsidR="00086F8E" w:rsidRPr="00DD477A">
        <w:rPr>
          <w:rStyle w:val="BodyTextChar"/>
          <w:rFonts w:cs="Calibri"/>
        </w:rPr>
        <w:t xml:space="preserve"> If this option is preferred, ensure the </w:t>
      </w:r>
      <w:r w:rsidR="00E67854" w:rsidRPr="00DD477A">
        <w:rPr>
          <w:rStyle w:val="BodyTextChar"/>
          <w:rFonts w:cs="Calibri"/>
        </w:rPr>
        <w:t xml:space="preserve">line item is </w:t>
      </w:r>
      <w:r w:rsidR="53BF0693" w:rsidRPr="00DD477A">
        <w:rPr>
          <w:rStyle w:val="BodyTextChar"/>
          <w:rFonts w:cs="Calibri"/>
        </w:rPr>
        <w:t xml:space="preserve">clearly identified as components and not described as a program. </w:t>
      </w:r>
      <w:r w:rsidR="004C37EE" w:rsidRPr="00DD477A">
        <w:rPr>
          <w:rStyle w:val="BodyTextChar"/>
          <w:rFonts w:cs="Calibri"/>
        </w:rPr>
        <w:t>P</w:t>
      </w:r>
      <w:r w:rsidR="53BF0693" w:rsidRPr="00DD477A">
        <w:rPr>
          <w:rStyle w:val="BodyTextChar"/>
          <w:rFonts w:cs="Calibri"/>
        </w:rPr>
        <w:t>rogram component</w:t>
      </w:r>
      <w:r w:rsidR="004C37EE" w:rsidRPr="00DD477A">
        <w:rPr>
          <w:rStyle w:val="BodyTextChar"/>
          <w:rFonts w:cs="Calibri"/>
        </w:rPr>
        <w:t>s</w:t>
      </w:r>
      <w:r w:rsidR="53BF0693" w:rsidRPr="00DD477A">
        <w:rPr>
          <w:rStyle w:val="BodyTextChar"/>
          <w:rFonts w:cs="Calibri"/>
        </w:rPr>
        <w:t xml:space="preserve"> that </w:t>
      </w:r>
      <w:r w:rsidR="53BF0693" w:rsidRPr="00DD477A" w:rsidDel="00AA7DEF">
        <w:rPr>
          <w:rStyle w:val="BodyTextChar"/>
          <w:rFonts w:cs="Calibri"/>
        </w:rPr>
        <w:t>an entity chooses to report on could be an</w:t>
      </w:r>
      <w:r w:rsidR="00AA7DEF" w:rsidRPr="00DD477A">
        <w:rPr>
          <w:rStyle w:val="BodyTextChar"/>
          <w:rFonts w:cs="Calibri"/>
        </w:rPr>
        <w:t xml:space="preserve"> </w:t>
      </w:r>
      <w:r w:rsidR="53BF0693" w:rsidRPr="00DD477A">
        <w:rPr>
          <w:rStyle w:val="BodyTextChar"/>
          <w:rFonts w:cs="Calibri"/>
        </w:rPr>
        <w:t>item of special public interest or political sensitivity.</w:t>
      </w:r>
    </w:p>
    <w:p w14:paraId="468F2F27" w14:textId="7CA73DB6" w:rsidR="006F2C96" w:rsidRPr="00DD477A" w:rsidRDefault="53BF0693" w:rsidP="000A7DEC">
      <w:pPr>
        <w:rPr>
          <w:rStyle w:val="BodyTextChar"/>
          <w:rFonts w:cs="Calibri"/>
        </w:rPr>
      </w:pPr>
      <w:r w:rsidRPr="00DD477A">
        <w:rPr>
          <w:rStyle w:val="BodyTextChar"/>
          <w:rFonts w:cs="Calibri"/>
        </w:rPr>
        <w:t xml:space="preserve">Should entities choose to report </w:t>
      </w:r>
      <w:r w:rsidR="008911DB" w:rsidRPr="00DD477A">
        <w:rPr>
          <w:rStyle w:val="BodyTextChar"/>
          <w:rFonts w:cs="Calibri"/>
        </w:rPr>
        <w:t>their</w:t>
      </w:r>
      <w:r w:rsidRPr="00DD477A">
        <w:rPr>
          <w:rStyle w:val="BodyTextChar"/>
          <w:rFonts w:cs="Calibri"/>
        </w:rPr>
        <w:t xml:space="preserve"> program components, a program component expense table should be</w:t>
      </w:r>
      <w:r w:rsidR="000B0012" w:rsidRPr="00DD477A">
        <w:rPr>
          <w:rStyle w:val="BodyTextChar"/>
          <w:rFonts w:cs="Calibri"/>
        </w:rPr>
        <w:t xml:space="preserve"> included</w:t>
      </w:r>
      <w:r w:rsidRPr="00DD477A">
        <w:rPr>
          <w:rStyle w:val="BodyTextChar"/>
          <w:rFonts w:cs="Calibri"/>
        </w:rPr>
        <w:t xml:space="preserve"> for </w:t>
      </w:r>
      <w:r w:rsidR="00E072AD" w:rsidRPr="00DD477A">
        <w:rPr>
          <w:rStyle w:val="BodyTextChar"/>
          <w:rFonts w:cs="Calibri"/>
        </w:rPr>
        <w:t xml:space="preserve">all </w:t>
      </w:r>
      <w:r w:rsidRPr="00DD477A">
        <w:rPr>
          <w:rStyle w:val="BodyTextChar"/>
          <w:rFonts w:cs="Calibri"/>
        </w:rPr>
        <w:t>program</w:t>
      </w:r>
      <w:r w:rsidR="00E072AD" w:rsidRPr="00DD477A">
        <w:rPr>
          <w:rStyle w:val="BodyTextChar"/>
          <w:rFonts w:cs="Calibri"/>
        </w:rPr>
        <w:t>s</w:t>
      </w:r>
      <w:r w:rsidRPr="00DD477A">
        <w:rPr>
          <w:rStyle w:val="BodyTextChar"/>
          <w:rFonts w:cs="Calibri"/>
        </w:rPr>
        <w:t xml:space="preserve"> with more than one component</w:t>
      </w:r>
      <w:r w:rsidR="008A66E7" w:rsidRPr="00DD477A">
        <w:rPr>
          <w:rStyle w:val="BodyTextChar"/>
          <w:rFonts w:cs="Calibri"/>
        </w:rPr>
        <w:t xml:space="preserve"> across all outcomes within the PB Statements</w:t>
      </w:r>
      <w:r w:rsidRPr="00DD477A">
        <w:rPr>
          <w:rStyle w:val="BodyTextChar"/>
          <w:rFonts w:cs="Calibri"/>
        </w:rPr>
        <w:t xml:space="preserve">. The full program expenses must still be shown in </w:t>
      </w:r>
      <w:r w:rsidR="000600AA" w:rsidRPr="00DD477A">
        <w:rPr>
          <w:rStyle w:val="BodyTextChar"/>
          <w:rFonts w:cs="Calibri"/>
        </w:rPr>
        <w:t>Table 2.X.1</w:t>
      </w:r>
      <w:r w:rsidRPr="00DD477A">
        <w:rPr>
          <w:rStyle w:val="BodyTextChar"/>
          <w:rFonts w:cs="Calibri"/>
        </w:rPr>
        <w:t>. The itemised sub-set of expenses is then provided for each relevant program component</w:t>
      </w:r>
      <w:r w:rsidR="008E2060" w:rsidRPr="00DD477A">
        <w:rPr>
          <w:rStyle w:val="BodyTextChar"/>
          <w:rFonts w:cs="Calibri"/>
        </w:rPr>
        <w:t xml:space="preserve"> in Table </w:t>
      </w:r>
      <w:r w:rsidR="005A5304" w:rsidRPr="00DD477A">
        <w:rPr>
          <w:rStyle w:val="BodyTextChar"/>
          <w:rFonts w:cs="Calibri"/>
        </w:rPr>
        <w:t>2.X.2</w:t>
      </w:r>
      <w:r w:rsidR="00C02EA9" w:rsidRPr="00DD477A">
        <w:rPr>
          <w:rStyle w:val="BodyTextChar"/>
          <w:rFonts w:cs="Calibri"/>
        </w:rPr>
        <w:t>,</w:t>
      </w:r>
      <w:r w:rsidR="005A5304" w:rsidRPr="00DD477A">
        <w:rPr>
          <w:rStyle w:val="BodyTextChar"/>
          <w:rFonts w:cs="Calibri"/>
        </w:rPr>
        <w:t xml:space="preserve"> with the </w:t>
      </w:r>
      <w:r w:rsidRPr="00DD477A">
        <w:rPr>
          <w:rStyle w:val="BodyTextChar"/>
          <w:rFonts w:cs="Calibri"/>
        </w:rPr>
        <w:t xml:space="preserve">expenses </w:t>
      </w:r>
      <w:r w:rsidR="005A5304" w:rsidRPr="00DD477A">
        <w:rPr>
          <w:rStyle w:val="BodyTextChar"/>
          <w:rFonts w:cs="Calibri"/>
        </w:rPr>
        <w:t>being</w:t>
      </w:r>
      <w:r w:rsidRPr="00DD477A">
        <w:rPr>
          <w:rStyle w:val="BodyTextChar"/>
          <w:rFonts w:cs="Calibri"/>
        </w:rPr>
        <w:t xml:space="preserve"> reconcile</w:t>
      </w:r>
      <w:r w:rsidR="00671AA4" w:rsidRPr="00DD477A">
        <w:rPr>
          <w:rStyle w:val="BodyTextChar"/>
          <w:rFonts w:cs="Calibri"/>
        </w:rPr>
        <w:t>d</w:t>
      </w:r>
      <w:r w:rsidRPr="00DD477A">
        <w:rPr>
          <w:rStyle w:val="BodyTextChar"/>
          <w:rFonts w:cs="Calibri"/>
        </w:rPr>
        <w:t xml:space="preserve"> with the relevant program total</w:t>
      </w:r>
      <w:r w:rsidR="00671AA4" w:rsidRPr="00DD477A">
        <w:rPr>
          <w:rStyle w:val="BodyTextChar"/>
          <w:rFonts w:cs="Calibri"/>
        </w:rPr>
        <w:t xml:space="preserve"> in Table 2.X.1</w:t>
      </w:r>
      <w:r w:rsidRPr="00DD477A">
        <w:rPr>
          <w:rStyle w:val="BodyTextChar"/>
          <w:rFonts w:cs="Calibri"/>
        </w:rPr>
        <w:t>.</w:t>
      </w:r>
    </w:p>
    <w:p w14:paraId="7E10C6BA" w14:textId="3D7AE962" w:rsidR="00FA0945" w:rsidRPr="00B968DC" w:rsidRDefault="00070467" w:rsidP="003D6589">
      <w:pPr>
        <w:pStyle w:val="Heading2"/>
      </w:pPr>
      <w:bookmarkStart w:id="1050" w:name="_Toc534458885"/>
      <w:bookmarkStart w:id="1051" w:name="_Toc534459674"/>
      <w:bookmarkStart w:id="1052" w:name="_Toc534519169"/>
      <w:bookmarkStart w:id="1053" w:name="_Toc534520079"/>
      <w:bookmarkStart w:id="1054" w:name="_Toc534520349"/>
      <w:bookmarkStart w:id="1055" w:name="_Toc534527561"/>
      <w:bookmarkStart w:id="1056" w:name="_Toc534528291"/>
      <w:bookmarkStart w:id="1057" w:name="_Toc534803512"/>
      <w:bookmarkStart w:id="1058" w:name="_Toc534814203"/>
      <w:bookmarkStart w:id="1059" w:name="_Toc536108576"/>
      <w:bookmarkStart w:id="1060" w:name="_Toc534382566"/>
      <w:bookmarkStart w:id="1061" w:name="_Ref33522765"/>
      <w:bookmarkStart w:id="1062" w:name="_Ref33522777"/>
      <w:bookmarkStart w:id="1063" w:name="_Ref33522783"/>
      <w:bookmarkStart w:id="1064" w:name="_Ref62052417"/>
      <w:bookmarkStart w:id="1065" w:name="_Ref62052788"/>
      <w:bookmarkStart w:id="1066" w:name="_Toc63347719"/>
      <w:bookmarkStart w:id="1067" w:name="_Ref111474340"/>
      <w:bookmarkStart w:id="1068" w:name="_Ref111474347"/>
      <w:bookmarkStart w:id="1069" w:name="_Ref111474356"/>
      <w:bookmarkStart w:id="1070" w:name="_Ref112926220"/>
      <w:bookmarkStart w:id="1071" w:name="_Ref112926229"/>
      <w:bookmarkStart w:id="1072" w:name="_Ref112926234"/>
      <w:bookmarkStart w:id="1073" w:name="_Ref112926342"/>
      <w:bookmarkStart w:id="1074" w:name="_Ref112926346"/>
      <w:bookmarkStart w:id="1075" w:name="_Ref112926350"/>
      <w:bookmarkStart w:id="1076" w:name="_Toc227749051"/>
      <w:bookmarkEnd w:id="1050"/>
      <w:bookmarkEnd w:id="1051"/>
      <w:bookmarkEnd w:id="1052"/>
      <w:bookmarkEnd w:id="1053"/>
      <w:bookmarkEnd w:id="1054"/>
      <w:bookmarkEnd w:id="1055"/>
      <w:bookmarkEnd w:id="1056"/>
      <w:bookmarkEnd w:id="1057"/>
      <w:bookmarkEnd w:id="1058"/>
      <w:bookmarkEnd w:id="1059"/>
      <w:r w:rsidRPr="00B968DC">
        <w:t xml:space="preserve">Performance measures for Outcome </w:t>
      </w:r>
      <w:r w:rsidR="000D7E96" w:rsidRPr="00B968DC">
        <w:t xml:space="preserve">- </w:t>
      </w:r>
      <w:r w:rsidRPr="00B968DC">
        <w:t>T</w:t>
      </w:r>
      <w:r w:rsidR="53BF0693" w:rsidRPr="00B968DC">
        <w:t>able 2.X.3</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64A4CC6C" w14:textId="29DB7533" w:rsidR="00FA0945" w:rsidRPr="00DD477A" w:rsidRDefault="00C02EA9" w:rsidP="53BF0693">
      <w:pPr>
        <w:pStyle w:val="NormalTextRed"/>
        <w:rPr>
          <w:rStyle w:val="BodyTextChar"/>
          <w:rFonts w:cs="Calibri"/>
          <w:color w:val="auto"/>
          <w:sz w:val="34"/>
          <w:szCs w:val="34"/>
        </w:rPr>
      </w:pPr>
      <w:r w:rsidRPr="00DD477A">
        <w:rPr>
          <w:rFonts w:eastAsia="Cambria" w:cs="Calibri"/>
          <w:noProof/>
        </w:rPr>
        <w:drawing>
          <wp:inline distT="0" distB="0" distL="0" distR="0" wp14:anchorId="2762D944" wp14:editId="6323916A">
            <wp:extent cx="5835650" cy="524179"/>
            <wp:effectExtent l="0" t="0" r="0" b="0"/>
            <wp:docPr id="1655167236" name="Diagram 16551672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4" r:lo="rId155" r:qs="rId156" r:cs="rId157"/>
              </a:graphicData>
            </a:graphic>
          </wp:inline>
        </w:drawing>
      </w:r>
      <w:r w:rsidR="53BF0693" w:rsidRPr="00DD477A">
        <w:rPr>
          <w:rStyle w:val="BodyTextChar"/>
          <w:rFonts w:cs="Calibri"/>
          <w:color w:val="auto"/>
        </w:rPr>
        <w:t xml:space="preserve"> </w:t>
      </w:r>
    </w:p>
    <w:bookmarkEnd w:id="957"/>
    <w:bookmarkEnd w:id="958"/>
    <w:p w14:paraId="6BAFB17F" w14:textId="77777777" w:rsidR="00D97C7F" w:rsidRPr="00DD477A" w:rsidRDefault="00D97C7F" w:rsidP="00D97C7F">
      <w:pPr>
        <w:rPr>
          <w:rFonts w:cs="Calibri"/>
        </w:rPr>
      </w:pPr>
      <w:r w:rsidRPr="00DD477A">
        <w:rPr>
          <w:rFonts w:cs="Calibri"/>
        </w:rPr>
        <w:t xml:space="preserve">Table 2.X.3 details the performance measures for each program associated with Outcome X. </w:t>
      </w:r>
    </w:p>
    <w:p w14:paraId="164B9068" w14:textId="1B47DDF6" w:rsidR="002158CB" w:rsidRDefault="002158CB" w:rsidP="002158CB">
      <w:r w:rsidRPr="00DD477A">
        <w:t>The introductory statement to Table 2.X.3 explains the relationship between the PB Statement and the entity’s corporate plan. Finance encourages entities to use the Table 2.X.3 template to ensure that the requirements of the Direction are met, and that Parliament is provided with performance information in a consistent and comparable manner.</w:t>
      </w:r>
    </w:p>
    <w:p w14:paraId="65A3B7EE" w14:textId="12D1EF4E" w:rsidR="00607A42" w:rsidRPr="00DD477A" w:rsidRDefault="00607A42" w:rsidP="002158CB">
      <w:pPr>
        <w:rPr>
          <w:rFonts w:cs="Calibri"/>
        </w:rPr>
      </w:pPr>
      <w:r>
        <w:rPr>
          <w:rStyle w:val="BodyTextChar"/>
          <w:rFonts w:cs="Calibri"/>
        </w:rPr>
        <w:t xml:space="preserve">Better practice examples are published in </w:t>
      </w:r>
      <w:hyperlink r:id="rId159" w:history="1">
        <w:r w:rsidRPr="00463D87">
          <w:rPr>
            <w:rStyle w:val="Hyperlink"/>
            <w:szCs w:val="22"/>
          </w:rPr>
          <w:t>RMG 129 Reporting performance information in Portfolio Budget Statements</w:t>
        </w:r>
      </w:hyperlink>
      <w:r w:rsidRPr="005B776C">
        <w:rPr>
          <w:rStyle w:val="CommentReference"/>
          <w:rFonts w:eastAsia="Cambria" w:cs="Times New Roman"/>
          <w:sz w:val="22"/>
          <w:szCs w:val="22"/>
        </w:rPr>
        <w:t xml:space="preserve"> (see </w:t>
      </w:r>
      <w:r>
        <w:rPr>
          <w:rStyle w:val="CommentReference"/>
          <w:rFonts w:eastAsia="Cambria" w:cs="Times New Roman"/>
          <w:sz w:val="22"/>
          <w:szCs w:val="22"/>
        </w:rPr>
        <w:t>‘</w:t>
      </w:r>
      <w:hyperlink r:id="rId160" w:history="1">
        <w:r w:rsidR="006E40F7" w:rsidRPr="006E40F7">
          <w:rPr>
            <w:rStyle w:val="Hyperlink"/>
            <w:rFonts w:eastAsia="Cambria" w:cs="Times New Roman"/>
            <w:szCs w:val="22"/>
          </w:rPr>
          <w:t>Better</w:t>
        </w:r>
        <w:r w:rsidR="00501F5A" w:rsidRPr="006E40F7">
          <w:rPr>
            <w:rStyle w:val="Hyperlink"/>
            <w:rFonts w:eastAsia="Cambria" w:cs="Times New Roman"/>
            <w:szCs w:val="22"/>
          </w:rPr>
          <w:t xml:space="preserve"> </w:t>
        </w:r>
        <w:r w:rsidR="006E40F7" w:rsidRPr="006E40F7">
          <w:rPr>
            <w:rStyle w:val="Hyperlink"/>
            <w:rFonts w:eastAsia="Cambria" w:cs="Times New Roman"/>
            <w:szCs w:val="22"/>
          </w:rPr>
          <w:t>p</w:t>
        </w:r>
        <w:r w:rsidR="00501F5A" w:rsidRPr="006E40F7">
          <w:rPr>
            <w:rStyle w:val="Hyperlink"/>
            <w:rFonts w:eastAsia="Cambria" w:cs="Times New Roman"/>
            <w:szCs w:val="22"/>
          </w:rPr>
          <w:t>ractice examples</w:t>
        </w:r>
      </w:hyperlink>
      <w:r w:rsidRPr="005B776C">
        <w:rPr>
          <w:rStyle w:val="CommentReference"/>
          <w:rFonts w:eastAsia="Cambria" w:cs="Times New Roman"/>
          <w:sz w:val="22"/>
          <w:szCs w:val="22"/>
        </w:rPr>
        <w:t>’)</w:t>
      </w:r>
      <w:r w:rsidR="006E40F7">
        <w:rPr>
          <w:rStyle w:val="CommentReference"/>
          <w:rFonts w:eastAsia="Cambria" w:cs="Times New Roman"/>
          <w:sz w:val="22"/>
          <w:szCs w:val="22"/>
        </w:rPr>
        <w:t>.</w:t>
      </w:r>
    </w:p>
    <w:p w14:paraId="703AC634" w14:textId="2DDE0134" w:rsidR="003B453D" w:rsidRPr="0014243A" w:rsidRDefault="003B453D" w:rsidP="0014243A">
      <w:pPr>
        <w:rPr>
          <w:b/>
          <w:bCs/>
        </w:rPr>
      </w:pPr>
      <w:r w:rsidRPr="0014243A">
        <w:rPr>
          <w:b/>
          <w:bCs/>
        </w:rPr>
        <w:t>Introductory Statement</w:t>
      </w:r>
    </w:p>
    <w:p w14:paraId="2E414D6E" w14:textId="0762BD74" w:rsidR="003B453D" w:rsidRPr="00DD477A" w:rsidRDefault="003B1B53" w:rsidP="00975C3C">
      <w:pPr>
        <w:rPr>
          <w:rFonts w:cs="Calibri"/>
          <w:b/>
          <w:u w:val="single"/>
        </w:rPr>
      </w:pPr>
      <w:r>
        <w:rPr>
          <w:rFonts w:cs="Calibri"/>
        </w:rPr>
        <w:t>This is a</w:t>
      </w:r>
      <w:r w:rsidR="0066795C" w:rsidRPr="00DD477A">
        <w:rPr>
          <w:rFonts w:cs="Calibri"/>
        </w:rPr>
        <w:t xml:space="preserve"> short paragraph </w:t>
      </w:r>
      <w:r w:rsidR="00010F01" w:rsidRPr="00DD477A">
        <w:rPr>
          <w:rFonts w:cs="Calibri"/>
        </w:rPr>
        <w:t xml:space="preserve">broadly </w:t>
      </w:r>
      <w:r w:rsidR="008D541E" w:rsidRPr="00DD477A">
        <w:rPr>
          <w:rFonts w:cs="Calibri"/>
        </w:rPr>
        <w:t>explaining</w:t>
      </w:r>
      <w:r w:rsidR="00010F01" w:rsidRPr="00DD477A">
        <w:rPr>
          <w:rFonts w:cs="Calibri"/>
        </w:rPr>
        <w:t xml:space="preserve"> what Table 2.X.3</w:t>
      </w:r>
      <w:r w:rsidR="008D541E" w:rsidRPr="00DD477A">
        <w:rPr>
          <w:rFonts w:cs="Calibri"/>
        </w:rPr>
        <w:t xml:space="preserve"> outlines.</w:t>
      </w:r>
    </w:p>
    <w:p w14:paraId="469B6B51" w14:textId="77777777" w:rsidR="002158CB" w:rsidRPr="00DD477A" w:rsidRDefault="002158CB" w:rsidP="002158CB">
      <w:pPr>
        <w:pStyle w:val="TableHeading"/>
        <w:rPr>
          <w:lang w:val="en-AU"/>
        </w:rPr>
      </w:pPr>
      <w:r w:rsidRPr="00DD477A">
        <w:rPr>
          <w:lang w:val="en-AU"/>
        </w:rPr>
        <w:t>Table 2.X.3: Performance measure for Outcome X</w:t>
      </w:r>
    </w:p>
    <w:p w14:paraId="1B6B2CF1" w14:textId="1FDBB74E" w:rsidR="009E0F9D" w:rsidRDefault="002158CB" w:rsidP="001B298A">
      <w:r w:rsidRPr="00DD477A">
        <w:t>Table 2.X.3 details the performance measures for each program associated with Outcome X. It is used by entities to describe the results they plan to achieve and the related key activities, as detailed in the current corporate plan</w:t>
      </w:r>
      <w:r w:rsidR="00E90E44">
        <w:t xml:space="preserve"> (i.e. 202</w:t>
      </w:r>
      <w:r w:rsidR="0071144A">
        <w:t>5</w:t>
      </w:r>
      <w:r w:rsidR="00E90E44">
        <w:t>–2</w:t>
      </w:r>
      <w:r w:rsidR="0071144A">
        <w:t>6</w:t>
      </w:r>
      <w:r w:rsidR="00E90E44">
        <w:t>)</w:t>
      </w:r>
      <w:r w:rsidRPr="00DD477A">
        <w:t xml:space="preserve">, the context in which these activities are delivered, and how the performance of these activities will be measured. Where relevant, details of the </w:t>
      </w:r>
      <w:r w:rsidR="00BD15BE">
        <w:t>202</w:t>
      </w:r>
      <w:r w:rsidR="0071144A">
        <w:t>6</w:t>
      </w:r>
      <w:r w:rsidR="00E90E44">
        <w:t>–</w:t>
      </w:r>
      <w:r w:rsidR="00BD15BE">
        <w:t>2</w:t>
      </w:r>
      <w:r w:rsidR="0071144A">
        <w:t>7</w:t>
      </w:r>
      <w:r w:rsidRPr="00DD477A">
        <w:t xml:space="preserve"> Budget measures that have created new programs or materially changed existing programs are </w:t>
      </w:r>
      <w:r w:rsidR="0071144A">
        <w:t xml:space="preserve">to be </w:t>
      </w:r>
      <w:r w:rsidRPr="00DD477A">
        <w:t xml:space="preserve">provided. </w:t>
      </w:r>
    </w:p>
    <w:p w14:paraId="62E2AA7F" w14:textId="1F97BE45" w:rsidR="00975C3C" w:rsidRDefault="002158CB" w:rsidP="00892E30">
      <w:pPr>
        <w:spacing w:after="240"/>
        <w:rPr>
          <w:iCs/>
          <w:color w:val="FF0000"/>
        </w:rPr>
      </w:pPr>
      <w:r w:rsidRPr="00DD477A">
        <w:rPr>
          <w:i/>
          <w:color w:val="FF0000"/>
        </w:rPr>
        <w:t>Repeat the following table for each program in the Outcome. The “Outcome X” row is only required for the first program table for that outcome.</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732656" w:rsidRPr="00FC7ED1" w14:paraId="76BAF250" w14:textId="77777777" w:rsidTr="00A229D0">
        <w:trPr>
          <w:cantSplit/>
          <w:trHeight w:val="261"/>
          <w:tblHeader/>
        </w:trPr>
        <w:tc>
          <w:tcPr>
            <w:tcW w:w="7796" w:type="dxa"/>
            <w:gridSpan w:val="3"/>
            <w:shd w:val="clear" w:color="auto" w:fill="F2F2F2"/>
          </w:tcPr>
          <w:p w14:paraId="335FA147" w14:textId="77777777" w:rsidR="00AF3B83" w:rsidRPr="00FC7ED1" w:rsidRDefault="00AF3B83" w:rsidP="00A02EF9">
            <w:pPr>
              <w:spacing w:before="40" w:after="40" w:line="240" w:lineRule="auto"/>
              <w:rPr>
                <w:rFonts w:ascii="Arial Bold" w:hAnsi="Arial Bold" w:cs="Arial"/>
                <w:bCs/>
                <w:sz w:val="16"/>
                <w:szCs w:val="16"/>
              </w:rPr>
            </w:pPr>
            <w:r w:rsidRPr="00FC7ED1">
              <w:rPr>
                <w:rFonts w:ascii="Arial" w:hAnsi="Arial" w:cs="Arial"/>
                <w:b/>
                <w:sz w:val="16"/>
                <w:szCs w:val="16"/>
              </w:rPr>
              <w:t>Outcome X</w:t>
            </w:r>
            <w:r w:rsidRPr="00FC7ED1">
              <w:rPr>
                <w:rFonts w:ascii="Arial Bold" w:hAnsi="Arial Bold" w:cs="Arial"/>
                <w:bCs/>
                <w:sz w:val="16"/>
                <w:szCs w:val="16"/>
              </w:rPr>
              <w:t xml:space="preserve"> </w:t>
            </w:r>
            <w:r w:rsidRPr="00FC7ED1">
              <w:rPr>
                <w:rFonts w:ascii="Arial Bold" w:hAnsi="Arial Bold" w:cs="Arial"/>
                <w:b/>
                <w:sz w:val="16"/>
                <w:szCs w:val="16"/>
              </w:rPr>
              <w:t xml:space="preserve">– </w:t>
            </w:r>
            <w:r w:rsidRPr="00FC7ED1">
              <w:rPr>
                <w:rFonts w:ascii="Arial Bold" w:hAnsi="Arial Bold" w:cs="Arial"/>
                <w:b/>
                <w:color w:val="FF0000"/>
                <w:sz w:val="16"/>
                <w:szCs w:val="16"/>
              </w:rPr>
              <w:t>Repeat relevant outcome statement for Outcome X</w:t>
            </w:r>
          </w:p>
        </w:tc>
      </w:tr>
      <w:tr w:rsidR="00732656" w:rsidRPr="00FC7ED1" w14:paraId="7914CA33" w14:textId="77777777" w:rsidTr="00A229D0">
        <w:trPr>
          <w:cantSplit/>
          <w:trHeight w:val="522"/>
          <w:tblHeader/>
        </w:trPr>
        <w:tc>
          <w:tcPr>
            <w:tcW w:w="7796" w:type="dxa"/>
            <w:gridSpan w:val="3"/>
            <w:shd w:val="clear" w:color="auto" w:fill="F2F2F2"/>
          </w:tcPr>
          <w:p w14:paraId="7CEED8E0" w14:textId="77777777" w:rsidR="00AF3B83" w:rsidRPr="00FC7ED1" w:rsidRDefault="00AF3B83" w:rsidP="00A02EF9">
            <w:pPr>
              <w:spacing w:before="40" w:after="40" w:line="240" w:lineRule="auto"/>
              <w:rPr>
                <w:rFonts w:ascii="Arial" w:eastAsia="Arial" w:hAnsi="Arial" w:cs="Arial"/>
                <w:b/>
                <w:sz w:val="16"/>
                <w:szCs w:val="16"/>
              </w:rPr>
            </w:pPr>
            <w:r w:rsidRPr="00FC7ED1">
              <w:rPr>
                <w:rFonts w:ascii="Arial" w:hAnsi="Arial" w:cs="Arial"/>
                <w:b/>
                <w:sz w:val="16"/>
                <w:szCs w:val="16"/>
              </w:rPr>
              <w:t xml:space="preserve">Program X.X – </w:t>
            </w:r>
            <w:r w:rsidRPr="00FC7ED1">
              <w:rPr>
                <w:rFonts w:ascii="Arial" w:eastAsia="Arial" w:hAnsi="Arial" w:cs="Arial"/>
                <w:b/>
                <w:color w:val="FF0000"/>
                <w:sz w:val="16"/>
                <w:szCs w:val="16"/>
              </w:rPr>
              <w:t>Program name</w:t>
            </w:r>
          </w:p>
          <w:p w14:paraId="72030647" w14:textId="77777777" w:rsidR="00AF3B83" w:rsidRPr="00FC7ED1" w:rsidRDefault="00AF3B83" w:rsidP="00A02EF9">
            <w:pPr>
              <w:spacing w:before="40" w:after="40" w:line="240" w:lineRule="auto"/>
              <w:rPr>
                <w:rFonts w:ascii="Arial" w:hAnsi="Arial" w:cs="Arial"/>
                <w:sz w:val="16"/>
                <w:szCs w:val="16"/>
              </w:rPr>
            </w:pPr>
            <w:r w:rsidRPr="00FC7ED1">
              <w:rPr>
                <w:rFonts w:ascii="Arial" w:hAnsi="Arial" w:cs="Arial"/>
                <w:color w:val="FF0000"/>
                <w:sz w:val="16"/>
                <w:szCs w:val="16"/>
              </w:rPr>
              <w:t xml:space="preserve">Brief description of Program X.X (i.e. </w:t>
            </w:r>
            <w:r>
              <w:rPr>
                <w:rFonts w:ascii="Arial" w:hAnsi="Arial" w:cs="Arial"/>
                <w:color w:val="FF0000"/>
                <w:sz w:val="16"/>
                <w:szCs w:val="16"/>
              </w:rPr>
              <w:t xml:space="preserve">one to </w:t>
            </w:r>
            <w:r w:rsidRPr="00FC7ED1">
              <w:rPr>
                <w:rFonts w:ascii="Arial" w:hAnsi="Arial" w:cs="Arial"/>
                <w:color w:val="FF0000"/>
                <w:sz w:val="16"/>
                <w:szCs w:val="16"/>
              </w:rPr>
              <w:t>2 sentences outlining the program objective and how it contributes to delivering Outcome X)</w:t>
            </w:r>
          </w:p>
        </w:tc>
      </w:tr>
      <w:tr w:rsidR="00C84C01" w:rsidRPr="00FC7ED1" w14:paraId="181A4242" w14:textId="77777777" w:rsidTr="00A229D0">
        <w:trPr>
          <w:cantSplit/>
          <w:trHeight w:val="261"/>
        </w:trPr>
        <w:tc>
          <w:tcPr>
            <w:tcW w:w="1560" w:type="dxa"/>
            <w:tcBorders>
              <w:bottom w:val="double" w:sz="4" w:space="0" w:color="auto"/>
            </w:tcBorders>
          </w:tcPr>
          <w:p w14:paraId="2D9E02D6" w14:textId="77777777" w:rsidR="00AF3B83" w:rsidRPr="00FC7ED1" w:rsidRDefault="00AF3B83" w:rsidP="00A02EF9">
            <w:pPr>
              <w:tabs>
                <w:tab w:val="left" w:pos="709"/>
              </w:tabs>
              <w:spacing w:before="40" w:after="40" w:line="240" w:lineRule="auto"/>
              <w:rPr>
                <w:rFonts w:ascii="Arial" w:hAnsi="Arial" w:cs="Arial"/>
                <w:b/>
                <w:sz w:val="16"/>
                <w:szCs w:val="16"/>
              </w:rPr>
            </w:pPr>
            <w:r w:rsidRPr="00FC7ED1">
              <w:rPr>
                <w:rFonts w:ascii="Arial" w:hAnsi="Arial" w:cs="Arial"/>
                <w:b/>
                <w:sz w:val="16"/>
                <w:szCs w:val="16"/>
              </w:rPr>
              <w:t>Key activities (a)</w:t>
            </w:r>
          </w:p>
        </w:tc>
        <w:tc>
          <w:tcPr>
            <w:tcW w:w="6236" w:type="dxa"/>
            <w:gridSpan w:val="2"/>
            <w:tcBorders>
              <w:bottom w:val="double" w:sz="4" w:space="0" w:color="auto"/>
            </w:tcBorders>
          </w:tcPr>
          <w:p w14:paraId="21DF8C68" w14:textId="77777777" w:rsidR="00AF3B83" w:rsidRPr="00FC7ED1" w:rsidRDefault="00AF3B83" w:rsidP="00A02EF9">
            <w:pPr>
              <w:tabs>
                <w:tab w:val="left" w:pos="709"/>
              </w:tabs>
              <w:spacing w:before="40" w:after="40" w:line="240" w:lineRule="auto"/>
              <w:rPr>
                <w:rFonts w:ascii="Arial" w:hAnsi="Arial" w:cs="Arial"/>
                <w:sz w:val="16"/>
                <w:szCs w:val="16"/>
              </w:rPr>
            </w:pPr>
            <w:r>
              <w:rPr>
                <w:rFonts w:ascii="Arial" w:hAnsi="Arial" w:cs="Arial"/>
                <w:bCs/>
                <w:color w:val="FF0000"/>
                <w:sz w:val="16"/>
                <w:szCs w:val="16"/>
              </w:rPr>
              <w:t>List the k</w:t>
            </w:r>
            <w:r w:rsidRPr="00FC7ED1">
              <w:rPr>
                <w:rFonts w:ascii="Arial" w:hAnsi="Arial" w:cs="Arial"/>
                <w:bCs/>
                <w:color w:val="FF0000"/>
                <w:sz w:val="16"/>
                <w:szCs w:val="16"/>
              </w:rPr>
              <w:t xml:space="preserve">ey activities reported in the current corporate plan </w:t>
            </w:r>
            <w:r>
              <w:rPr>
                <w:rFonts w:ascii="Arial" w:hAnsi="Arial" w:cs="Arial"/>
                <w:bCs/>
                <w:color w:val="FF0000"/>
                <w:sz w:val="16"/>
                <w:szCs w:val="16"/>
              </w:rPr>
              <w:t xml:space="preserve">(e.g. 2025–26) </w:t>
            </w:r>
            <w:r w:rsidRPr="00FC7ED1">
              <w:rPr>
                <w:rFonts w:ascii="Arial" w:hAnsi="Arial" w:cs="Arial"/>
                <w:bCs/>
                <w:color w:val="FF0000"/>
                <w:sz w:val="16"/>
                <w:szCs w:val="16"/>
              </w:rPr>
              <w:t>that relate to this program</w:t>
            </w:r>
            <w:r>
              <w:rPr>
                <w:rFonts w:ascii="Arial" w:hAnsi="Arial" w:cs="Arial"/>
                <w:bCs/>
                <w:color w:val="FF0000"/>
                <w:sz w:val="16"/>
                <w:szCs w:val="16"/>
              </w:rPr>
              <w:t>. T</w:t>
            </w:r>
            <w:r w:rsidRPr="00FC7ED1">
              <w:rPr>
                <w:rFonts w:ascii="Arial" w:hAnsi="Arial" w:cs="Arial"/>
                <w:bCs/>
                <w:color w:val="FF0000"/>
                <w:sz w:val="16"/>
                <w:szCs w:val="16"/>
              </w:rPr>
              <w:t>he title of the key activities will suffice</w:t>
            </w:r>
            <w:r>
              <w:rPr>
                <w:rFonts w:ascii="Arial" w:hAnsi="Arial" w:cs="Arial"/>
                <w:bCs/>
                <w:color w:val="FF0000"/>
                <w:sz w:val="16"/>
                <w:szCs w:val="16"/>
              </w:rPr>
              <w:t>.</w:t>
            </w:r>
          </w:p>
        </w:tc>
      </w:tr>
      <w:tr w:rsidR="00851C63" w:rsidRPr="00FC7ED1" w14:paraId="1BA19DC5" w14:textId="77777777" w:rsidTr="00A229D0">
        <w:trPr>
          <w:cantSplit/>
          <w:trHeight w:val="258"/>
        </w:trPr>
        <w:tc>
          <w:tcPr>
            <w:tcW w:w="1560" w:type="dxa"/>
            <w:tcBorders>
              <w:top w:val="double" w:sz="4" w:space="0" w:color="auto"/>
              <w:bottom w:val="single" w:sz="4" w:space="0" w:color="auto"/>
              <w:right w:val="single" w:sz="4" w:space="0" w:color="auto"/>
            </w:tcBorders>
          </w:tcPr>
          <w:p w14:paraId="426C9499" w14:textId="77777777" w:rsidR="00AF3B83" w:rsidRPr="00FC7ED1" w:rsidRDefault="00AF3B83" w:rsidP="00A02EF9">
            <w:pPr>
              <w:spacing w:before="40" w:after="40" w:line="240" w:lineRule="auto"/>
              <w:rPr>
                <w:rFonts w:ascii="Arial" w:hAnsi="Arial" w:cs="Arial"/>
                <w:b/>
                <w:sz w:val="16"/>
                <w:szCs w:val="16"/>
              </w:rPr>
            </w:pPr>
            <w:r w:rsidRPr="00FC7ED1">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tcPr>
          <w:p w14:paraId="5A8D9B61" w14:textId="77777777" w:rsidR="00AF3B83" w:rsidRPr="00FC7ED1" w:rsidRDefault="00AF3B83" w:rsidP="00A02EF9">
            <w:pPr>
              <w:spacing w:before="40" w:after="40" w:line="240" w:lineRule="auto"/>
              <w:rPr>
                <w:rFonts w:ascii="Arial" w:hAnsi="Arial" w:cs="Arial"/>
                <w:b/>
                <w:sz w:val="16"/>
                <w:szCs w:val="16"/>
              </w:rPr>
            </w:pPr>
            <w:r w:rsidRPr="00FC7ED1">
              <w:rPr>
                <w:rFonts w:ascii="Arial" w:hAnsi="Arial" w:cs="Arial"/>
                <w:b/>
                <w:sz w:val="16"/>
                <w:szCs w:val="16"/>
              </w:rPr>
              <w:t>Performance measures (b)</w:t>
            </w:r>
          </w:p>
        </w:tc>
        <w:tc>
          <w:tcPr>
            <w:tcW w:w="3118" w:type="dxa"/>
            <w:tcBorders>
              <w:top w:val="double" w:sz="4" w:space="0" w:color="auto"/>
              <w:left w:val="single" w:sz="4" w:space="0" w:color="auto"/>
              <w:bottom w:val="single" w:sz="4" w:space="0" w:color="auto"/>
            </w:tcBorders>
          </w:tcPr>
          <w:p w14:paraId="058EC45D" w14:textId="77777777" w:rsidR="00AF3B83" w:rsidRPr="00FC7ED1" w:rsidRDefault="00AF3B83" w:rsidP="00A02EF9">
            <w:pPr>
              <w:spacing w:before="40" w:after="40" w:line="240" w:lineRule="auto"/>
              <w:rPr>
                <w:rFonts w:ascii="Arial" w:hAnsi="Arial" w:cs="Arial"/>
                <w:b/>
                <w:sz w:val="16"/>
                <w:szCs w:val="16"/>
              </w:rPr>
            </w:pPr>
            <w:r w:rsidRPr="00FC7ED1">
              <w:rPr>
                <w:rFonts w:ascii="Arial" w:hAnsi="Arial" w:cs="Arial"/>
                <w:b/>
                <w:sz w:val="16"/>
                <w:szCs w:val="16"/>
              </w:rPr>
              <w:t>Expected performance results</w:t>
            </w:r>
          </w:p>
        </w:tc>
      </w:tr>
      <w:tr w:rsidR="00851C63" w:rsidRPr="00FC7ED1" w14:paraId="4AB64F93" w14:textId="77777777" w:rsidTr="00A229D0">
        <w:trPr>
          <w:cantSplit/>
          <w:trHeight w:val="642"/>
        </w:trPr>
        <w:tc>
          <w:tcPr>
            <w:tcW w:w="1560" w:type="dxa"/>
            <w:tcBorders>
              <w:top w:val="single" w:sz="4" w:space="0" w:color="auto"/>
              <w:bottom w:val="dotted" w:sz="4" w:space="0" w:color="auto"/>
              <w:right w:val="single" w:sz="4" w:space="0" w:color="auto"/>
            </w:tcBorders>
          </w:tcPr>
          <w:p w14:paraId="68600FE6" w14:textId="77777777" w:rsidR="00AF3B83" w:rsidRPr="00FC7ED1" w:rsidRDefault="00AF3B83" w:rsidP="00A02EF9">
            <w:pPr>
              <w:spacing w:before="40" w:after="40" w:line="240" w:lineRule="auto"/>
              <w:rPr>
                <w:rFonts w:ascii="Arial" w:hAnsi="Arial" w:cs="Arial"/>
                <w:sz w:val="16"/>
                <w:szCs w:val="16"/>
              </w:rPr>
            </w:pPr>
            <w:r w:rsidRPr="00FC7ED1">
              <w:rPr>
                <w:rFonts w:ascii="Arial" w:hAnsi="Arial" w:cs="Arial"/>
                <w:sz w:val="16"/>
                <w:szCs w:val="16"/>
              </w:rPr>
              <w:t xml:space="preserve">Current Year </w:t>
            </w:r>
          </w:p>
          <w:p w14:paraId="484EC777" w14:textId="77777777" w:rsidR="00AF3B83" w:rsidRPr="00FC7ED1" w:rsidRDefault="00AF3B83" w:rsidP="00A02EF9">
            <w:pPr>
              <w:spacing w:before="40" w:after="40" w:line="240" w:lineRule="auto"/>
              <w:rPr>
                <w:rFonts w:ascii="Arial" w:hAnsi="Arial" w:cs="Arial"/>
                <w:sz w:val="16"/>
                <w:szCs w:val="16"/>
              </w:rPr>
            </w:pPr>
            <w:r w:rsidRPr="00FC7ED1">
              <w:rPr>
                <w:rFonts w:ascii="Arial" w:hAnsi="Arial" w:cs="Arial"/>
                <w:sz w:val="16"/>
                <w:szCs w:val="16"/>
              </w:rPr>
              <w:t>202</w:t>
            </w:r>
            <w:r>
              <w:rPr>
                <w:rFonts w:ascii="Arial" w:hAnsi="Arial" w:cs="Arial"/>
                <w:sz w:val="16"/>
                <w:szCs w:val="16"/>
              </w:rPr>
              <w:t>5</w:t>
            </w:r>
            <w:r w:rsidRPr="00FC7ED1">
              <w:rPr>
                <w:rFonts w:ascii="Arial" w:hAnsi="Arial" w:cs="Arial"/>
                <w:sz w:val="16"/>
                <w:szCs w:val="16"/>
              </w:rPr>
              <w:t>–2</w:t>
            </w:r>
            <w:r>
              <w:rPr>
                <w:rFonts w:ascii="Arial" w:hAnsi="Arial" w:cs="Arial"/>
                <w:sz w:val="16"/>
                <w:szCs w:val="16"/>
              </w:rPr>
              <w:t>6</w:t>
            </w:r>
          </w:p>
        </w:tc>
        <w:tc>
          <w:tcPr>
            <w:tcW w:w="3118" w:type="dxa"/>
            <w:tcBorders>
              <w:top w:val="single" w:sz="4" w:space="0" w:color="auto"/>
              <w:left w:val="single" w:sz="4" w:space="0" w:color="auto"/>
              <w:bottom w:val="dotted" w:sz="4" w:space="0" w:color="auto"/>
              <w:right w:val="single" w:sz="4" w:space="0" w:color="auto"/>
            </w:tcBorders>
          </w:tcPr>
          <w:p w14:paraId="11470310" w14:textId="77777777" w:rsidR="00AF3B83" w:rsidRPr="00FC7ED1" w:rsidRDefault="00AF3B83" w:rsidP="00A02EF9">
            <w:pPr>
              <w:spacing w:before="40" w:after="40" w:line="240" w:lineRule="auto"/>
              <w:rPr>
                <w:rFonts w:ascii="Arial" w:hAnsi="Arial" w:cs="Arial"/>
                <w:color w:val="FF0000"/>
                <w:sz w:val="16"/>
                <w:szCs w:val="16"/>
              </w:rPr>
            </w:pPr>
            <w:r w:rsidRPr="00FC7ED1">
              <w:rPr>
                <w:rFonts w:ascii="Arial" w:hAnsi="Arial" w:cs="Arial"/>
                <w:color w:val="FF0000"/>
                <w:sz w:val="16"/>
                <w:szCs w:val="16"/>
              </w:rPr>
              <w:t>Performance measures for 202</w:t>
            </w:r>
            <w:r>
              <w:rPr>
                <w:rFonts w:ascii="Arial" w:hAnsi="Arial" w:cs="Arial"/>
                <w:color w:val="FF0000"/>
                <w:sz w:val="16"/>
                <w:szCs w:val="16"/>
              </w:rPr>
              <w:t>5</w:t>
            </w:r>
            <w:r w:rsidRPr="00FC7ED1">
              <w:rPr>
                <w:rFonts w:ascii="Arial" w:hAnsi="Arial" w:cs="Arial"/>
                <w:color w:val="FF0000"/>
                <w:sz w:val="16"/>
                <w:szCs w:val="16"/>
              </w:rPr>
              <w:t>–2</w:t>
            </w:r>
            <w:r>
              <w:rPr>
                <w:rFonts w:ascii="Arial" w:hAnsi="Arial" w:cs="Arial"/>
                <w:color w:val="FF0000"/>
                <w:sz w:val="16"/>
                <w:szCs w:val="16"/>
              </w:rPr>
              <w:t>6</w:t>
            </w:r>
            <w:r w:rsidRPr="00FC7ED1">
              <w:rPr>
                <w:rFonts w:ascii="Arial" w:hAnsi="Arial" w:cs="Arial"/>
                <w:color w:val="FF0000"/>
                <w:sz w:val="16"/>
                <w:szCs w:val="16"/>
              </w:rPr>
              <w:t xml:space="preserve"> described in the 202</w:t>
            </w:r>
            <w:r>
              <w:rPr>
                <w:rFonts w:ascii="Arial" w:hAnsi="Arial" w:cs="Arial"/>
                <w:color w:val="FF0000"/>
                <w:sz w:val="16"/>
                <w:szCs w:val="16"/>
              </w:rPr>
              <w:t>5</w:t>
            </w:r>
            <w:r w:rsidRPr="00FC7ED1">
              <w:rPr>
                <w:rFonts w:ascii="Arial" w:hAnsi="Arial" w:cs="Arial"/>
                <w:color w:val="FF0000"/>
                <w:sz w:val="16"/>
                <w:szCs w:val="16"/>
              </w:rPr>
              <w:t>–2</w:t>
            </w:r>
            <w:r>
              <w:rPr>
                <w:rFonts w:ascii="Arial" w:hAnsi="Arial" w:cs="Arial"/>
                <w:color w:val="FF0000"/>
                <w:sz w:val="16"/>
                <w:szCs w:val="16"/>
              </w:rPr>
              <w:t>6</w:t>
            </w:r>
            <w:r w:rsidRPr="00FC7ED1">
              <w:rPr>
                <w:rFonts w:ascii="Arial" w:hAnsi="Arial" w:cs="Arial"/>
                <w:color w:val="FF0000"/>
                <w:sz w:val="16"/>
                <w:szCs w:val="16"/>
              </w:rPr>
              <w:t xml:space="preserve"> Portfolio Budget Statements</w:t>
            </w:r>
          </w:p>
          <w:p w14:paraId="6C4D46B0" w14:textId="77777777" w:rsidR="00AF3B83" w:rsidRPr="00FC7ED1" w:rsidRDefault="00AF3B83" w:rsidP="00A02EF9">
            <w:pPr>
              <w:spacing w:before="40" w:after="40" w:line="240" w:lineRule="auto"/>
              <w:rPr>
                <w:rFonts w:ascii="Arial" w:hAnsi="Arial" w:cs="Arial"/>
                <w:color w:val="FF0000"/>
                <w:sz w:val="16"/>
                <w:szCs w:val="16"/>
              </w:rPr>
            </w:pPr>
          </w:p>
          <w:p w14:paraId="6B9DD1E2" w14:textId="77777777" w:rsidR="00AF3B83" w:rsidRPr="00FC7ED1" w:rsidRDefault="00AF3B83" w:rsidP="00A02EF9">
            <w:pPr>
              <w:spacing w:before="40" w:after="40" w:line="240" w:lineRule="auto"/>
              <w:rPr>
                <w:rFonts w:ascii="Arial" w:hAnsi="Arial" w:cs="Arial"/>
                <w:color w:val="FF0000"/>
                <w:sz w:val="16"/>
                <w:szCs w:val="16"/>
              </w:rPr>
            </w:pPr>
            <w:r w:rsidRPr="00FC7ED1">
              <w:rPr>
                <w:rFonts w:ascii="Arial" w:hAnsi="Arial" w:cs="Arial"/>
                <w:color w:val="0070C0"/>
                <w:sz w:val="16"/>
                <w:szCs w:val="16"/>
              </w:rPr>
              <w:t>[</w:t>
            </w:r>
            <w:r w:rsidRPr="00FC7ED1">
              <w:rPr>
                <w:rFonts w:ascii="Arial" w:hAnsi="Arial" w:cs="Arial"/>
                <w:b/>
                <w:color w:val="0070C0"/>
                <w:sz w:val="16"/>
                <w:szCs w:val="16"/>
              </w:rPr>
              <w:t>Note</w:t>
            </w:r>
            <w:r w:rsidRPr="00FC7ED1">
              <w:rPr>
                <w:rFonts w:ascii="Arial" w:hAnsi="Arial" w:cs="Arial"/>
                <w:color w:val="0070C0"/>
                <w:sz w:val="16"/>
                <w:szCs w:val="16"/>
              </w:rPr>
              <w:t xml:space="preserve"> – insert each performance measure on a separate row]</w:t>
            </w:r>
          </w:p>
        </w:tc>
        <w:tc>
          <w:tcPr>
            <w:tcW w:w="3118" w:type="dxa"/>
            <w:tcBorders>
              <w:top w:val="single" w:sz="4" w:space="0" w:color="auto"/>
              <w:left w:val="single" w:sz="4" w:space="0" w:color="auto"/>
              <w:bottom w:val="dotted" w:sz="4" w:space="0" w:color="auto"/>
            </w:tcBorders>
          </w:tcPr>
          <w:p w14:paraId="2089C65C" w14:textId="77777777" w:rsidR="00AF3B83" w:rsidRPr="00FC7ED1" w:rsidRDefault="00AF3B83" w:rsidP="00A02EF9">
            <w:pPr>
              <w:spacing w:before="40" w:after="40" w:line="240" w:lineRule="auto"/>
              <w:rPr>
                <w:rFonts w:ascii="Arial" w:hAnsi="Arial" w:cs="Arial"/>
                <w:color w:val="FF0000"/>
                <w:sz w:val="16"/>
                <w:szCs w:val="16"/>
              </w:rPr>
            </w:pPr>
            <w:r w:rsidRPr="00FC7ED1">
              <w:rPr>
                <w:rFonts w:ascii="Arial" w:hAnsi="Arial" w:cs="Arial"/>
                <w:color w:val="FF0000"/>
                <w:sz w:val="16"/>
                <w:szCs w:val="16"/>
              </w:rPr>
              <w:t>Expected performance results against performance measures for 202</w:t>
            </w:r>
            <w:r>
              <w:rPr>
                <w:rFonts w:ascii="Arial" w:hAnsi="Arial" w:cs="Arial"/>
                <w:color w:val="FF0000"/>
                <w:sz w:val="16"/>
                <w:szCs w:val="16"/>
              </w:rPr>
              <w:t>5</w:t>
            </w:r>
            <w:r w:rsidRPr="00FC7ED1">
              <w:rPr>
                <w:rFonts w:ascii="Arial" w:hAnsi="Arial" w:cs="Arial"/>
                <w:color w:val="FF0000"/>
                <w:sz w:val="16"/>
                <w:szCs w:val="16"/>
              </w:rPr>
              <w:t>–2</w:t>
            </w:r>
            <w:r>
              <w:rPr>
                <w:rFonts w:ascii="Arial" w:hAnsi="Arial" w:cs="Arial"/>
                <w:color w:val="FF0000"/>
                <w:sz w:val="16"/>
                <w:szCs w:val="16"/>
              </w:rPr>
              <w:t>6</w:t>
            </w:r>
            <w:r w:rsidRPr="00FC7ED1">
              <w:rPr>
                <w:rFonts w:ascii="Arial" w:hAnsi="Arial" w:cs="Arial"/>
                <w:color w:val="FF0000"/>
                <w:sz w:val="16"/>
                <w:szCs w:val="16"/>
              </w:rPr>
              <w:t xml:space="preserve"> as described in the 202</w:t>
            </w:r>
            <w:r>
              <w:rPr>
                <w:rFonts w:ascii="Arial" w:hAnsi="Arial" w:cs="Arial"/>
                <w:color w:val="FF0000"/>
                <w:sz w:val="16"/>
                <w:szCs w:val="16"/>
              </w:rPr>
              <w:t>5</w:t>
            </w:r>
            <w:r w:rsidRPr="00FC7ED1">
              <w:rPr>
                <w:rFonts w:ascii="Arial" w:hAnsi="Arial" w:cs="Arial"/>
                <w:color w:val="FF0000"/>
                <w:sz w:val="16"/>
                <w:szCs w:val="16"/>
              </w:rPr>
              <w:t>–2</w:t>
            </w:r>
            <w:r>
              <w:rPr>
                <w:rFonts w:ascii="Arial" w:hAnsi="Arial" w:cs="Arial"/>
                <w:color w:val="FF0000"/>
                <w:sz w:val="16"/>
                <w:szCs w:val="16"/>
              </w:rPr>
              <w:t>6</w:t>
            </w:r>
            <w:r w:rsidRPr="00FC7ED1">
              <w:rPr>
                <w:rFonts w:ascii="Arial" w:hAnsi="Arial" w:cs="Arial"/>
                <w:color w:val="FF0000"/>
                <w:sz w:val="16"/>
                <w:szCs w:val="16"/>
              </w:rPr>
              <w:t xml:space="preserve"> Portfolio Budget Statements</w:t>
            </w:r>
          </w:p>
          <w:p w14:paraId="608B899E" w14:textId="77777777" w:rsidR="00AF3B83" w:rsidRPr="00FC7ED1" w:rsidRDefault="00AF3B83" w:rsidP="00A02EF9">
            <w:pPr>
              <w:spacing w:before="40" w:after="40" w:line="240" w:lineRule="auto"/>
              <w:rPr>
                <w:rFonts w:ascii="Arial" w:hAnsi="Arial" w:cs="Arial"/>
                <w:color w:val="FF0000"/>
                <w:sz w:val="16"/>
                <w:szCs w:val="16"/>
              </w:rPr>
            </w:pPr>
          </w:p>
          <w:p w14:paraId="642B5633" w14:textId="3C19A418" w:rsidR="00AF3B83" w:rsidRPr="00FC7ED1" w:rsidRDefault="00AF3B83" w:rsidP="00A02EF9">
            <w:pPr>
              <w:spacing w:before="40" w:after="40" w:line="240" w:lineRule="auto"/>
              <w:rPr>
                <w:rFonts w:ascii="Arial" w:hAnsi="Arial" w:cs="Arial"/>
                <w:color w:val="FF0000"/>
                <w:sz w:val="16"/>
                <w:szCs w:val="16"/>
              </w:rPr>
            </w:pPr>
            <w:r w:rsidRPr="00FC7ED1">
              <w:rPr>
                <w:rFonts w:ascii="Arial" w:hAnsi="Arial" w:cs="Arial"/>
                <w:color w:val="0070C0"/>
                <w:sz w:val="16"/>
                <w:szCs w:val="16"/>
              </w:rPr>
              <w:t>[</w:t>
            </w:r>
            <w:r w:rsidRPr="00FC7ED1">
              <w:rPr>
                <w:rFonts w:ascii="Arial" w:hAnsi="Arial" w:cs="Arial"/>
                <w:b/>
                <w:bCs/>
                <w:color w:val="0070C0"/>
                <w:sz w:val="16"/>
                <w:szCs w:val="16"/>
              </w:rPr>
              <w:t>Note</w:t>
            </w:r>
            <w:r w:rsidRPr="00FC7ED1">
              <w:rPr>
                <w:rFonts w:ascii="Arial" w:hAnsi="Arial" w:cs="Arial"/>
                <w:color w:val="0070C0"/>
                <w:sz w:val="16"/>
                <w:szCs w:val="16"/>
              </w:rPr>
              <w:t xml:space="preserve"> – for each performance measure, include the target (if any), expected performance result (if known) and an indicator of the expected result such as ‘On track’ or ‘At risk’].</w:t>
            </w:r>
          </w:p>
        </w:tc>
      </w:tr>
      <w:tr w:rsidR="00851C63" w:rsidRPr="00FC7ED1" w14:paraId="63C2203D" w14:textId="77777777" w:rsidTr="00A229D0">
        <w:trPr>
          <w:cantSplit/>
          <w:trHeight w:val="100"/>
        </w:trPr>
        <w:tc>
          <w:tcPr>
            <w:tcW w:w="1560" w:type="dxa"/>
            <w:tcBorders>
              <w:top w:val="single" w:sz="4" w:space="0" w:color="auto"/>
              <w:bottom w:val="dotted" w:sz="4" w:space="0" w:color="auto"/>
              <w:right w:val="single" w:sz="4" w:space="0" w:color="auto"/>
            </w:tcBorders>
          </w:tcPr>
          <w:p w14:paraId="5034753A" w14:textId="77777777" w:rsidR="00AF3B83" w:rsidRPr="00FC7ED1" w:rsidRDefault="00AF3B83" w:rsidP="00A02EF9">
            <w:pPr>
              <w:spacing w:before="40" w:after="40" w:line="240" w:lineRule="auto"/>
              <w:rPr>
                <w:rFonts w:ascii="Arial" w:hAnsi="Arial" w:cs="Arial"/>
                <w:b/>
                <w:sz w:val="16"/>
                <w:szCs w:val="16"/>
              </w:rPr>
            </w:pPr>
            <w:r w:rsidRPr="00FC7ED1">
              <w:rPr>
                <w:rFonts w:ascii="Arial" w:hAnsi="Arial" w:cs="Arial"/>
                <w:b/>
                <w:sz w:val="16"/>
                <w:szCs w:val="16"/>
              </w:rPr>
              <w:t>Year</w:t>
            </w:r>
          </w:p>
        </w:tc>
        <w:tc>
          <w:tcPr>
            <w:tcW w:w="3118" w:type="dxa"/>
            <w:tcBorders>
              <w:top w:val="single" w:sz="4" w:space="0" w:color="auto"/>
              <w:left w:val="single" w:sz="4" w:space="0" w:color="auto"/>
              <w:bottom w:val="dotted" w:sz="4" w:space="0" w:color="auto"/>
              <w:right w:val="single" w:sz="4" w:space="0" w:color="auto"/>
            </w:tcBorders>
          </w:tcPr>
          <w:p w14:paraId="07820BEA" w14:textId="77777777" w:rsidR="00AF3B83" w:rsidRPr="00FC7ED1" w:rsidRDefault="00AF3B83" w:rsidP="00A02EF9">
            <w:pPr>
              <w:spacing w:before="40" w:after="40" w:line="240" w:lineRule="auto"/>
              <w:rPr>
                <w:rFonts w:ascii="Arial" w:hAnsi="Arial" w:cs="Arial"/>
                <w:b/>
                <w:sz w:val="16"/>
                <w:szCs w:val="16"/>
              </w:rPr>
            </w:pPr>
            <w:r w:rsidRPr="00FC7ED1">
              <w:rPr>
                <w:rFonts w:ascii="Arial" w:hAnsi="Arial" w:cs="Arial"/>
                <w:b/>
                <w:sz w:val="16"/>
                <w:szCs w:val="16"/>
              </w:rPr>
              <w:t>Performance measures (c)</w:t>
            </w:r>
          </w:p>
        </w:tc>
        <w:tc>
          <w:tcPr>
            <w:tcW w:w="3118" w:type="dxa"/>
            <w:tcBorders>
              <w:top w:val="single" w:sz="4" w:space="0" w:color="auto"/>
              <w:left w:val="single" w:sz="4" w:space="0" w:color="auto"/>
              <w:bottom w:val="dotted" w:sz="4" w:space="0" w:color="auto"/>
            </w:tcBorders>
          </w:tcPr>
          <w:p w14:paraId="230FBB52" w14:textId="77777777" w:rsidR="00AF3B83" w:rsidRPr="00FC7ED1" w:rsidRDefault="00AF3B83" w:rsidP="00A02EF9">
            <w:pPr>
              <w:spacing w:before="40" w:after="40" w:line="240" w:lineRule="auto"/>
              <w:rPr>
                <w:rFonts w:ascii="Arial" w:hAnsi="Arial" w:cs="Arial"/>
                <w:b/>
                <w:sz w:val="16"/>
                <w:szCs w:val="16"/>
              </w:rPr>
            </w:pPr>
            <w:r w:rsidRPr="00FC7ED1">
              <w:rPr>
                <w:rFonts w:ascii="Arial" w:hAnsi="Arial" w:cs="Arial"/>
                <w:b/>
                <w:sz w:val="16"/>
                <w:szCs w:val="16"/>
              </w:rPr>
              <w:t>Planned performance results (d)</w:t>
            </w:r>
          </w:p>
        </w:tc>
      </w:tr>
      <w:tr w:rsidR="00851C63" w:rsidRPr="00FC7ED1" w14:paraId="63614972" w14:textId="77777777" w:rsidTr="00A229D0">
        <w:trPr>
          <w:cantSplit/>
          <w:trHeight w:val="782"/>
        </w:trPr>
        <w:tc>
          <w:tcPr>
            <w:tcW w:w="1560" w:type="dxa"/>
            <w:tcBorders>
              <w:top w:val="single" w:sz="4" w:space="0" w:color="auto"/>
              <w:bottom w:val="dotted" w:sz="4" w:space="0" w:color="auto"/>
              <w:right w:val="single" w:sz="4" w:space="0" w:color="auto"/>
            </w:tcBorders>
          </w:tcPr>
          <w:p w14:paraId="52107F26" w14:textId="77777777" w:rsidR="00AF3B83" w:rsidRPr="00FC7ED1" w:rsidRDefault="00AF3B83" w:rsidP="00A02EF9">
            <w:pPr>
              <w:spacing w:before="40" w:after="40" w:line="240" w:lineRule="auto"/>
              <w:rPr>
                <w:rFonts w:ascii="Arial" w:hAnsi="Arial" w:cs="Arial"/>
                <w:sz w:val="16"/>
                <w:szCs w:val="16"/>
              </w:rPr>
            </w:pPr>
            <w:r w:rsidRPr="00FC7ED1">
              <w:rPr>
                <w:rFonts w:ascii="Arial" w:hAnsi="Arial" w:cs="Arial"/>
                <w:sz w:val="16"/>
                <w:szCs w:val="16"/>
              </w:rPr>
              <w:t xml:space="preserve">Budget Year </w:t>
            </w:r>
          </w:p>
          <w:p w14:paraId="5DEAC6EB" w14:textId="77777777" w:rsidR="00AF3B83" w:rsidRPr="00FC7ED1" w:rsidRDefault="00AF3B83" w:rsidP="00A02EF9">
            <w:pPr>
              <w:spacing w:before="40" w:after="40" w:line="240" w:lineRule="auto"/>
              <w:rPr>
                <w:rFonts w:ascii="Arial" w:hAnsi="Arial" w:cs="Arial"/>
                <w:sz w:val="16"/>
                <w:szCs w:val="16"/>
              </w:rPr>
            </w:pPr>
            <w:r w:rsidRPr="00FC7ED1">
              <w:rPr>
                <w:rFonts w:ascii="Arial" w:hAnsi="Arial" w:cs="Arial"/>
                <w:sz w:val="16"/>
                <w:szCs w:val="16"/>
              </w:rPr>
              <w:t>202</w:t>
            </w:r>
            <w:r>
              <w:rPr>
                <w:rFonts w:ascii="Arial" w:hAnsi="Arial" w:cs="Arial"/>
                <w:sz w:val="16"/>
                <w:szCs w:val="16"/>
              </w:rPr>
              <w:t>6</w:t>
            </w:r>
            <w:r w:rsidRPr="00FC7ED1">
              <w:rPr>
                <w:rFonts w:ascii="Arial" w:hAnsi="Arial" w:cs="Arial"/>
                <w:sz w:val="16"/>
                <w:szCs w:val="16"/>
              </w:rPr>
              <w:t>–2</w:t>
            </w:r>
            <w:r>
              <w:rPr>
                <w:rFonts w:ascii="Arial" w:hAnsi="Arial" w:cs="Arial"/>
                <w:sz w:val="16"/>
                <w:szCs w:val="16"/>
              </w:rPr>
              <w:t>7</w:t>
            </w:r>
          </w:p>
        </w:tc>
        <w:tc>
          <w:tcPr>
            <w:tcW w:w="3118" w:type="dxa"/>
            <w:tcBorders>
              <w:top w:val="single" w:sz="4" w:space="0" w:color="auto"/>
              <w:left w:val="single" w:sz="4" w:space="0" w:color="auto"/>
              <w:bottom w:val="dotted" w:sz="4" w:space="0" w:color="auto"/>
              <w:right w:val="single" w:sz="4" w:space="0" w:color="auto"/>
            </w:tcBorders>
          </w:tcPr>
          <w:p w14:paraId="12DE17B7" w14:textId="77777777" w:rsidR="00AF3B83" w:rsidRPr="00FC7ED1" w:rsidRDefault="00AF3B83" w:rsidP="00A02EF9">
            <w:pPr>
              <w:spacing w:before="40" w:after="40" w:line="240" w:lineRule="auto"/>
              <w:rPr>
                <w:rFonts w:ascii="Arial" w:hAnsi="Arial" w:cs="Arial"/>
                <w:color w:val="FF0000"/>
                <w:sz w:val="16"/>
                <w:szCs w:val="16"/>
              </w:rPr>
            </w:pPr>
            <w:r w:rsidRPr="00FC7ED1">
              <w:rPr>
                <w:rFonts w:ascii="Arial" w:hAnsi="Arial" w:cs="Arial"/>
                <w:color w:val="FF0000"/>
                <w:sz w:val="16"/>
                <w:szCs w:val="16"/>
              </w:rPr>
              <w:t>Performance measures for assessing performance in 202</w:t>
            </w:r>
            <w:r>
              <w:rPr>
                <w:rFonts w:ascii="Arial" w:hAnsi="Arial" w:cs="Arial"/>
                <w:color w:val="FF0000"/>
                <w:sz w:val="16"/>
                <w:szCs w:val="16"/>
              </w:rPr>
              <w:t>6</w:t>
            </w:r>
            <w:r w:rsidRPr="00FC7ED1">
              <w:rPr>
                <w:rFonts w:ascii="Arial" w:hAnsi="Arial" w:cs="Arial"/>
                <w:color w:val="FF0000"/>
                <w:sz w:val="16"/>
                <w:szCs w:val="16"/>
              </w:rPr>
              <w:t>–2</w:t>
            </w:r>
            <w:r>
              <w:rPr>
                <w:rFonts w:ascii="Arial" w:hAnsi="Arial" w:cs="Arial"/>
                <w:color w:val="FF0000"/>
                <w:sz w:val="16"/>
                <w:szCs w:val="16"/>
              </w:rPr>
              <w:t>7</w:t>
            </w:r>
          </w:p>
        </w:tc>
        <w:tc>
          <w:tcPr>
            <w:tcW w:w="3118" w:type="dxa"/>
            <w:tcBorders>
              <w:top w:val="single" w:sz="4" w:space="0" w:color="auto"/>
              <w:left w:val="single" w:sz="4" w:space="0" w:color="auto"/>
              <w:bottom w:val="dotted" w:sz="4" w:space="0" w:color="auto"/>
            </w:tcBorders>
          </w:tcPr>
          <w:p w14:paraId="6D4081FF" w14:textId="77777777" w:rsidR="00AF3B83" w:rsidRPr="00FC7ED1" w:rsidRDefault="00AF3B83" w:rsidP="00A02EF9">
            <w:pPr>
              <w:spacing w:before="40" w:after="40" w:line="240" w:lineRule="auto"/>
              <w:rPr>
                <w:rFonts w:ascii="Arial" w:hAnsi="Arial" w:cs="Arial"/>
                <w:color w:val="FF0000"/>
                <w:sz w:val="16"/>
                <w:szCs w:val="16"/>
              </w:rPr>
            </w:pPr>
            <w:r w:rsidRPr="00FC7ED1">
              <w:rPr>
                <w:rFonts w:ascii="Arial" w:hAnsi="Arial" w:cs="Arial"/>
                <w:color w:val="FF0000"/>
                <w:sz w:val="16"/>
                <w:szCs w:val="16"/>
              </w:rPr>
              <w:t>Insert description of planned performance results in 202</w:t>
            </w:r>
            <w:r>
              <w:rPr>
                <w:rFonts w:ascii="Arial" w:hAnsi="Arial" w:cs="Arial"/>
                <w:color w:val="FF0000"/>
                <w:sz w:val="16"/>
                <w:szCs w:val="16"/>
              </w:rPr>
              <w:t>6</w:t>
            </w:r>
            <w:r w:rsidRPr="00FC7ED1">
              <w:rPr>
                <w:rFonts w:ascii="Arial" w:hAnsi="Arial" w:cs="Arial"/>
                <w:color w:val="FF0000"/>
                <w:sz w:val="16"/>
                <w:szCs w:val="16"/>
              </w:rPr>
              <w:t>–2</w:t>
            </w:r>
            <w:r>
              <w:rPr>
                <w:rFonts w:ascii="Arial" w:hAnsi="Arial" w:cs="Arial"/>
                <w:color w:val="FF0000"/>
                <w:sz w:val="16"/>
                <w:szCs w:val="16"/>
              </w:rPr>
              <w:t>7</w:t>
            </w:r>
          </w:p>
        </w:tc>
      </w:tr>
      <w:tr w:rsidR="00FA6DC9" w:rsidRPr="00FC7ED1" w14:paraId="0797EB12" w14:textId="77777777" w:rsidTr="00A229D0">
        <w:trPr>
          <w:cantSplit/>
          <w:trHeight w:val="491"/>
        </w:trPr>
        <w:tc>
          <w:tcPr>
            <w:tcW w:w="1560" w:type="dxa"/>
            <w:tcBorders>
              <w:top w:val="dotted" w:sz="4" w:space="0" w:color="auto"/>
              <w:bottom w:val="dotted" w:sz="4" w:space="0" w:color="auto"/>
              <w:right w:val="single" w:sz="4" w:space="0" w:color="auto"/>
            </w:tcBorders>
          </w:tcPr>
          <w:p w14:paraId="3BE1D9F6" w14:textId="77777777" w:rsidR="00AF3B83" w:rsidRPr="00FC7ED1" w:rsidRDefault="00AF3B83" w:rsidP="00A02EF9">
            <w:pPr>
              <w:spacing w:before="40" w:after="40" w:line="240" w:lineRule="auto"/>
              <w:rPr>
                <w:rFonts w:ascii="Arial" w:hAnsi="Arial" w:cs="Arial"/>
                <w:sz w:val="16"/>
                <w:szCs w:val="16"/>
              </w:rPr>
            </w:pPr>
            <w:r w:rsidRPr="00FC7ED1">
              <w:rPr>
                <w:rFonts w:ascii="Arial" w:hAnsi="Arial" w:cs="Arial"/>
                <w:sz w:val="16"/>
                <w:szCs w:val="16"/>
              </w:rPr>
              <w:t xml:space="preserve">Forward Estimates </w:t>
            </w:r>
          </w:p>
          <w:p w14:paraId="62737D72" w14:textId="77777777" w:rsidR="00AF3B83" w:rsidRPr="00FC7ED1" w:rsidRDefault="00AF3B83" w:rsidP="00A02EF9">
            <w:pPr>
              <w:spacing w:before="40" w:after="40" w:line="240" w:lineRule="auto"/>
              <w:rPr>
                <w:rFonts w:ascii="Arial" w:hAnsi="Arial" w:cs="Arial"/>
                <w:b/>
                <w:sz w:val="16"/>
                <w:szCs w:val="16"/>
              </w:rPr>
            </w:pPr>
            <w:r w:rsidRPr="00FC7ED1">
              <w:rPr>
                <w:rFonts w:ascii="Arial" w:hAnsi="Arial" w:cs="Arial"/>
                <w:sz w:val="16"/>
                <w:szCs w:val="16"/>
              </w:rPr>
              <w:t>202</w:t>
            </w:r>
            <w:r>
              <w:rPr>
                <w:rFonts w:ascii="Arial" w:hAnsi="Arial" w:cs="Arial"/>
                <w:sz w:val="16"/>
                <w:szCs w:val="16"/>
              </w:rPr>
              <w:t>7</w:t>
            </w:r>
            <w:r w:rsidRPr="00FC7ED1">
              <w:rPr>
                <w:rFonts w:ascii="Arial" w:hAnsi="Arial" w:cs="Arial"/>
                <w:sz w:val="16"/>
                <w:szCs w:val="16"/>
              </w:rPr>
              <w:t>–</w:t>
            </w:r>
            <w:r>
              <w:rPr>
                <w:rFonts w:ascii="Arial" w:hAnsi="Arial" w:cs="Arial"/>
                <w:sz w:val="16"/>
                <w:szCs w:val="16"/>
              </w:rPr>
              <w:t>30</w:t>
            </w:r>
          </w:p>
        </w:tc>
        <w:tc>
          <w:tcPr>
            <w:tcW w:w="3118" w:type="dxa"/>
            <w:tcBorders>
              <w:top w:val="dotted" w:sz="4" w:space="0" w:color="auto"/>
              <w:left w:val="single" w:sz="4" w:space="0" w:color="auto"/>
              <w:bottom w:val="dotted" w:sz="4" w:space="0" w:color="auto"/>
              <w:right w:val="single" w:sz="4" w:space="0" w:color="auto"/>
            </w:tcBorders>
          </w:tcPr>
          <w:p w14:paraId="03A05868" w14:textId="77777777" w:rsidR="00AF3B83" w:rsidRPr="00FC7ED1" w:rsidRDefault="00AF3B83" w:rsidP="00A02EF9">
            <w:pPr>
              <w:spacing w:before="40" w:after="40" w:line="240" w:lineRule="auto"/>
              <w:rPr>
                <w:rFonts w:ascii="Arial" w:hAnsi="Arial" w:cs="Arial"/>
                <w:color w:val="FF0000"/>
                <w:sz w:val="16"/>
                <w:szCs w:val="16"/>
              </w:rPr>
            </w:pPr>
            <w:r w:rsidRPr="00FC7ED1">
              <w:rPr>
                <w:rFonts w:ascii="Arial" w:hAnsi="Arial" w:cs="Arial"/>
                <w:color w:val="FF0000"/>
                <w:sz w:val="16"/>
                <w:szCs w:val="16"/>
              </w:rPr>
              <w:t>Performance measures for assessing performance over the forward estimates</w:t>
            </w:r>
          </w:p>
          <w:p w14:paraId="396C4707" w14:textId="77777777" w:rsidR="00AF3B83" w:rsidRPr="00FC7ED1" w:rsidRDefault="00AF3B83" w:rsidP="00A02EF9">
            <w:pPr>
              <w:spacing w:before="40" w:after="40" w:line="240" w:lineRule="auto"/>
              <w:rPr>
                <w:rFonts w:ascii="Arial" w:hAnsi="Arial" w:cs="Arial"/>
                <w:color w:val="FF0000"/>
                <w:sz w:val="16"/>
                <w:szCs w:val="16"/>
              </w:rPr>
            </w:pPr>
          </w:p>
          <w:p w14:paraId="09EDA8B2" w14:textId="77777777" w:rsidR="00AF3B83" w:rsidRPr="00FC7ED1" w:rsidRDefault="00AF3B83" w:rsidP="00A02EF9">
            <w:pPr>
              <w:spacing w:before="40" w:after="40" w:line="240" w:lineRule="auto"/>
              <w:rPr>
                <w:rFonts w:ascii="Arial" w:hAnsi="Arial" w:cs="Arial"/>
                <w:b/>
                <w:color w:val="FF0000"/>
                <w:sz w:val="16"/>
                <w:szCs w:val="16"/>
              </w:rPr>
            </w:pPr>
            <w:r w:rsidRPr="00FC7ED1">
              <w:rPr>
                <w:rFonts w:ascii="Arial" w:hAnsi="Arial" w:cs="Arial"/>
                <w:color w:val="0070C0"/>
                <w:sz w:val="16"/>
                <w:szCs w:val="16"/>
              </w:rPr>
              <w:t>[</w:t>
            </w:r>
            <w:r w:rsidRPr="00FC7ED1">
              <w:rPr>
                <w:rFonts w:ascii="Arial" w:hAnsi="Arial" w:cs="Arial"/>
                <w:b/>
                <w:color w:val="0070C0"/>
                <w:sz w:val="16"/>
                <w:szCs w:val="16"/>
              </w:rPr>
              <w:t>Note</w:t>
            </w:r>
            <w:r w:rsidRPr="00FC7ED1">
              <w:rPr>
                <w:rFonts w:ascii="Arial" w:hAnsi="Arial" w:cs="Arial"/>
                <w:color w:val="0070C0"/>
                <w:sz w:val="16"/>
                <w:szCs w:val="16"/>
              </w:rPr>
              <w:t xml:space="preserve"> – if the same measures as </w:t>
            </w:r>
            <w:r w:rsidRPr="00FC7ED1">
              <w:rPr>
                <w:rFonts w:ascii="Arial" w:hAnsi="Arial" w:cs="Arial"/>
                <w:color w:val="0070C0"/>
                <w:sz w:val="16"/>
                <w:szCs w:val="16"/>
              </w:rPr>
              <w:br/>
              <w:t>202</w:t>
            </w:r>
            <w:r>
              <w:rPr>
                <w:rFonts w:ascii="Arial" w:hAnsi="Arial" w:cs="Arial"/>
                <w:color w:val="0070C0"/>
                <w:sz w:val="16"/>
                <w:szCs w:val="16"/>
              </w:rPr>
              <w:t>6</w:t>
            </w:r>
            <w:r w:rsidRPr="00FC7ED1">
              <w:rPr>
                <w:rFonts w:ascii="Arial" w:hAnsi="Arial" w:cs="Arial"/>
                <w:color w:val="0070C0"/>
                <w:sz w:val="16"/>
                <w:szCs w:val="16"/>
              </w:rPr>
              <w:t>–2</w:t>
            </w:r>
            <w:r>
              <w:rPr>
                <w:rFonts w:ascii="Arial" w:hAnsi="Arial" w:cs="Arial"/>
                <w:color w:val="0070C0"/>
                <w:sz w:val="16"/>
                <w:szCs w:val="16"/>
              </w:rPr>
              <w:t>7</w:t>
            </w:r>
            <w:r w:rsidRPr="00FC7ED1">
              <w:rPr>
                <w:rFonts w:ascii="Arial" w:hAnsi="Arial" w:cs="Arial"/>
                <w:color w:val="0070C0"/>
                <w:sz w:val="16"/>
                <w:szCs w:val="16"/>
              </w:rPr>
              <w:t>, use ‘As per 202</w:t>
            </w:r>
            <w:r>
              <w:rPr>
                <w:rFonts w:ascii="Arial" w:hAnsi="Arial" w:cs="Arial"/>
                <w:color w:val="0070C0"/>
                <w:sz w:val="16"/>
                <w:szCs w:val="16"/>
              </w:rPr>
              <w:t>6</w:t>
            </w:r>
            <w:r w:rsidRPr="00FC7ED1">
              <w:rPr>
                <w:rFonts w:ascii="Arial" w:hAnsi="Arial" w:cs="Arial"/>
                <w:color w:val="0070C0"/>
                <w:sz w:val="16"/>
                <w:szCs w:val="16"/>
              </w:rPr>
              <w:t>–2</w:t>
            </w:r>
            <w:r>
              <w:rPr>
                <w:rFonts w:ascii="Arial" w:hAnsi="Arial" w:cs="Arial"/>
                <w:color w:val="0070C0"/>
                <w:sz w:val="16"/>
                <w:szCs w:val="16"/>
              </w:rPr>
              <w:t>7</w:t>
            </w:r>
            <w:r w:rsidRPr="00FC7ED1">
              <w:rPr>
                <w:rFonts w:ascii="Arial" w:hAnsi="Arial" w:cs="Arial"/>
                <w:color w:val="0070C0"/>
                <w:sz w:val="16"/>
                <w:szCs w:val="16"/>
              </w:rPr>
              <w:t>’]</w:t>
            </w:r>
          </w:p>
        </w:tc>
        <w:tc>
          <w:tcPr>
            <w:tcW w:w="3118" w:type="dxa"/>
            <w:tcBorders>
              <w:top w:val="dotted" w:sz="4" w:space="0" w:color="auto"/>
              <w:left w:val="single" w:sz="4" w:space="0" w:color="auto"/>
              <w:bottom w:val="dotted" w:sz="4" w:space="0" w:color="auto"/>
            </w:tcBorders>
          </w:tcPr>
          <w:p w14:paraId="7D6D5D46" w14:textId="77777777" w:rsidR="00AF3B83" w:rsidRDefault="00AF3B83" w:rsidP="00A02EF9">
            <w:pPr>
              <w:spacing w:before="40" w:after="40" w:line="240" w:lineRule="auto"/>
              <w:rPr>
                <w:rFonts w:ascii="Arial" w:hAnsi="Arial" w:cs="Arial"/>
                <w:color w:val="FF0000"/>
                <w:sz w:val="16"/>
                <w:szCs w:val="16"/>
              </w:rPr>
            </w:pPr>
            <w:r w:rsidRPr="00FC7ED1">
              <w:rPr>
                <w:rFonts w:ascii="Arial" w:hAnsi="Arial" w:cs="Arial"/>
                <w:color w:val="FF0000"/>
                <w:sz w:val="16"/>
                <w:szCs w:val="16"/>
              </w:rPr>
              <w:t>Insert description of planned performance results over the forward estimates</w:t>
            </w:r>
          </w:p>
          <w:p w14:paraId="67A03180" w14:textId="77777777" w:rsidR="00AF3B83" w:rsidRPr="00FC7ED1" w:rsidRDefault="00AF3B83" w:rsidP="00A02EF9">
            <w:pPr>
              <w:spacing w:before="40" w:after="40" w:line="240" w:lineRule="auto"/>
              <w:rPr>
                <w:rFonts w:ascii="Arial" w:hAnsi="Arial" w:cs="Arial"/>
                <w:b/>
                <w:color w:val="FF0000"/>
                <w:sz w:val="16"/>
                <w:szCs w:val="16"/>
              </w:rPr>
            </w:pPr>
            <w:r w:rsidRPr="00FC7ED1">
              <w:rPr>
                <w:rFonts w:ascii="Arial" w:hAnsi="Arial" w:cs="Arial"/>
                <w:color w:val="0070C0"/>
                <w:sz w:val="16"/>
                <w:szCs w:val="16"/>
              </w:rPr>
              <w:t>[</w:t>
            </w:r>
            <w:r w:rsidRPr="00FC7ED1">
              <w:rPr>
                <w:rFonts w:ascii="Arial" w:hAnsi="Arial" w:cs="Arial"/>
                <w:b/>
                <w:color w:val="0070C0"/>
                <w:sz w:val="16"/>
                <w:szCs w:val="16"/>
              </w:rPr>
              <w:t>Note</w:t>
            </w:r>
            <w:r w:rsidRPr="00FC7ED1">
              <w:rPr>
                <w:rFonts w:ascii="Arial" w:hAnsi="Arial" w:cs="Arial"/>
                <w:color w:val="0070C0"/>
                <w:sz w:val="16"/>
                <w:szCs w:val="16"/>
              </w:rPr>
              <w:t xml:space="preserve"> – if the same as 202</w:t>
            </w:r>
            <w:r>
              <w:rPr>
                <w:rFonts w:ascii="Arial" w:hAnsi="Arial" w:cs="Arial"/>
                <w:color w:val="0070C0"/>
                <w:sz w:val="16"/>
                <w:szCs w:val="16"/>
              </w:rPr>
              <w:t>6</w:t>
            </w:r>
            <w:r w:rsidRPr="00FC7ED1">
              <w:rPr>
                <w:rFonts w:ascii="Arial" w:hAnsi="Arial" w:cs="Arial"/>
                <w:color w:val="0070C0"/>
                <w:sz w:val="16"/>
                <w:szCs w:val="16"/>
              </w:rPr>
              <w:t>–2</w:t>
            </w:r>
            <w:r>
              <w:rPr>
                <w:rFonts w:ascii="Arial" w:hAnsi="Arial" w:cs="Arial"/>
                <w:color w:val="0070C0"/>
                <w:sz w:val="16"/>
                <w:szCs w:val="16"/>
              </w:rPr>
              <w:t>7</w:t>
            </w:r>
            <w:r w:rsidRPr="00FC7ED1">
              <w:rPr>
                <w:rFonts w:ascii="Arial" w:hAnsi="Arial" w:cs="Arial"/>
                <w:color w:val="0070C0"/>
                <w:sz w:val="16"/>
                <w:szCs w:val="16"/>
              </w:rPr>
              <w:t xml:space="preserve">, use </w:t>
            </w:r>
            <w:r>
              <w:rPr>
                <w:rFonts w:ascii="Arial" w:hAnsi="Arial" w:cs="Arial"/>
                <w:color w:val="0070C0"/>
                <w:sz w:val="16"/>
                <w:szCs w:val="16"/>
              </w:rPr>
              <w:br/>
            </w:r>
            <w:r w:rsidRPr="00FC7ED1">
              <w:rPr>
                <w:rFonts w:ascii="Arial" w:hAnsi="Arial" w:cs="Arial"/>
                <w:color w:val="0070C0"/>
                <w:sz w:val="16"/>
                <w:szCs w:val="16"/>
              </w:rPr>
              <w:t>‘As per 202</w:t>
            </w:r>
            <w:r>
              <w:rPr>
                <w:rFonts w:ascii="Arial" w:hAnsi="Arial" w:cs="Arial"/>
                <w:color w:val="0070C0"/>
                <w:sz w:val="16"/>
                <w:szCs w:val="16"/>
              </w:rPr>
              <w:t>6</w:t>
            </w:r>
            <w:r w:rsidRPr="00FC7ED1">
              <w:rPr>
                <w:rFonts w:ascii="Arial" w:hAnsi="Arial" w:cs="Arial"/>
                <w:color w:val="0070C0"/>
                <w:sz w:val="16"/>
                <w:szCs w:val="16"/>
              </w:rPr>
              <w:t>–2</w:t>
            </w:r>
            <w:r>
              <w:rPr>
                <w:rFonts w:ascii="Arial" w:hAnsi="Arial" w:cs="Arial"/>
                <w:color w:val="0070C0"/>
                <w:sz w:val="16"/>
                <w:szCs w:val="16"/>
              </w:rPr>
              <w:t>7</w:t>
            </w:r>
            <w:r w:rsidRPr="00FC7ED1">
              <w:rPr>
                <w:rFonts w:ascii="Arial" w:hAnsi="Arial" w:cs="Arial"/>
                <w:color w:val="0070C0"/>
                <w:sz w:val="16"/>
                <w:szCs w:val="16"/>
              </w:rPr>
              <w:t>’]</w:t>
            </w:r>
          </w:p>
        </w:tc>
      </w:tr>
      <w:tr w:rsidR="00D34182" w:rsidRPr="00FC7ED1" w14:paraId="2F393D7A" w14:textId="77777777" w:rsidTr="00A229D0">
        <w:trPr>
          <w:cantSplit/>
          <w:trHeight w:val="261"/>
        </w:trPr>
        <w:tc>
          <w:tcPr>
            <w:tcW w:w="7796" w:type="dxa"/>
            <w:gridSpan w:val="3"/>
          </w:tcPr>
          <w:p w14:paraId="6A21D6C5" w14:textId="77777777" w:rsidR="00AF3B83" w:rsidRPr="00FC7ED1" w:rsidRDefault="00AF3B83" w:rsidP="00A02EF9">
            <w:pPr>
              <w:spacing w:before="40" w:after="40" w:line="240" w:lineRule="auto"/>
              <w:rPr>
                <w:rFonts w:ascii="Arial" w:eastAsia="Cambria" w:hAnsi="Arial" w:cs="Arial"/>
                <w:spacing w:val="-6"/>
                <w:sz w:val="16"/>
                <w:szCs w:val="16"/>
              </w:rPr>
            </w:pPr>
            <w:r w:rsidRPr="00FC7ED1">
              <w:rPr>
                <w:rFonts w:ascii="Arial" w:hAnsi="Arial" w:cs="Arial"/>
                <w:sz w:val="16"/>
                <w:szCs w:val="16"/>
              </w:rPr>
              <w:t>Material changes to Program X.X resulting from 202</w:t>
            </w:r>
            <w:r>
              <w:rPr>
                <w:rFonts w:ascii="Arial" w:hAnsi="Arial" w:cs="Arial"/>
                <w:sz w:val="16"/>
                <w:szCs w:val="16"/>
              </w:rPr>
              <w:t>6</w:t>
            </w:r>
            <w:r w:rsidRPr="00FC7ED1">
              <w:rPr>
                <w:rFonts w:ascii="Arial" w:hAnsi="Arial" w:cs="Arial"/>
                <w:sz w:val="16"/>
                <w:szCs w:val="16"/>
              </w:rPr>
              <w:t>–2</w:t>
            </w:r>
            <w:r>
              <w:rPr>
                <w:rFonts w:ascii="Arial" w:hAnsi="Arial" w:cs="Arial"/>
                <w:sz w:val="16"/>
                <w:szCs w:val="16"/>
              </w:rPr>
              <w:t>7</w:t>
            </w:r>
            <w:r w:rsidRPr="00FC7ED1">
              <w:rPr>
                <w:rFonts w:ascii="Arial" w:hAnsi="Arial" w:cs="Arial"/>
                <w:sz w:val="16"/>
                <w:szCs w:val="16"/>
              </w:rPr>
              <w:t xml:space="preserve"> Budget Measures:</w:t>
            </w:r>
            <w:r w:rsidRPr="00FC7ED1">
              <w:rPr>
                <w:rFonts w:ascii="Arial" w:eastAsia="Cambria" w:hAnsi="Arial" w:cs="Arial"/>
                <w:spacing w:val="-6"/>
                <w:sz w:val="16"/>
                <w:szCs w:val="16"/>
              </w:rPr>
              <w:t xml:space="preserve"> </w:t>
            </w:r>
            <w:r w:rsidRPr="00FC7ED1">
              <w:rPr>
                <w:rFonts w:ascii="Arial" w:eastAsia="Cambria" w:hAnsi="Arial" w:cs="Arial"/>
                <w:color w:val="FF0000"/>
                <w:spacing w:val="-6"/>
                <w:sz w:val="16"/>
                <w:szCs w:val="16"/>
              </w:rPr>
              <w:t>If none, use ‘Nil’</w:t>
            </w:r>
          </w:p>
        </w:tc>
      </w:tr>
    </w:tbl>
    <w:p w14:paraId="41F8391A" w14:textId="77777777" w:rsidR="00AF3B83" w:rsidRPr="00FC7ED1" w:rsidRDefault="00AF3B83" w:rsidP="00AF3B83">
      <w:pPr>
        <w:numPr>
          <w:ilvl w:val="0"/>
          <w:numId w:val="77"/>
        </w:numPr>
        <w:suppressAutoHyphens w:val="0"/>
        <w:spacing w:before="120" w:after="0" w:line="240" w:lineRule="auto"/>
        <w:rPr>
          <w:rFonts w:ascii="Arial" w:hAnsi="Arial"/>
          <w:color w:val="000000"/>
          <w:sz w:val="16"/>
        </w:rPr>
      </w:pPr>
      <w:r w:rsidRPr="00FC7ED1">
        <w:rPr>
          <w:rFonts w:ascii="Arial" w:hAnsi="Arial"/>
          <w:color w:val="000000"/>
          <w:sz w:val="16"/>
        </w:rPr>
        <w:t>Insert a footnote if key activities have been updated since the 202</w:t>
      </w:r>
      <w:r>
        <w:rPr>
          <w:rFonts w:ascii="Arial" w:hAnsi="Arial"/>
          <w:color w:val="000000"/>
          <w:sz w:val="16"/>
        </w:rPr>
        <w:t>5</w:t>
      </w:r>
      <w:r w:rsidRPr="00FC7ED1">
        <w:rPr>
          <w:rFonts w:ascii="Arial" w:hAnsi="Arial"/>
          <w:color w:val="000000"/>
          <w:sz w:val="16"/>
        </w:rPr>
        <w:t>–2</w:t>
      </w:r>
      <w:r>
        <w:rPr>
          <w:rFonts w:ascii="Arial" w:hAnsi="Arial"/>
          <w:color w:val="000000"/>
          <w:sz w:val="16"/>
        </w:rPr>
        <w:t>6</w:t>
      </w:r>
      <w:r w:rsidRPr="00FC7ED1">
        <w:rPr>
          <w:rFonts w:ascii="Arial" w:hAnsi="Arial"/>
          <w:color w:val="000000"/>
          <w:sz w:val="16"/>
        </w:rPr>
        <w:t xml:space="preserve"> Corporate Plan (for example, a form of words similar to ‘Refers to updated key activities that will be reflected in the 202</w:t>
      </w:r>
      <w:r>
        <w:rPr>
          <w:rFonts w:ascii="Arial" w:hAnsi="Arial"/>
          <w:color w:val="000000"/>
          <w:sz w:val="16"/>
        </w:rPr>
        <w:t>6</w:t>
      </w:r>
      <w:r w:rsidRPr="00FC7ED1">
        <w:rPr>
          <w:rFonts w:ascii="Arial" w:hAnsi="Arial"/>
          <w:color w:val="000000"/>
          <w:sz w:val="16"/>
        </w:rPr>
        <w:t>–2</w:t>
      </w:r>
      <w:r>
        <w:rPr>
          <w:rFonts w:ascii="Arial" w:hAnsi="Arial"/>
          <w:color w:val="000000"/>
          <w:sz w:val="16"/>
        </w:rPr>
        <w:t>7</w:t>
      </w:r>
      <w:r w:rsidRPr="00FC7ED1">
        <w:rPr>
          <w:rFonts w:ascii="Arial" w:hAnsi="Arial"/>
          <w:color w:val="000000"/>
          <w:sz w:val="16"/>
        </w:rPr>
        <w:t xml:space="preserve"> corporate plan’).</w:t>
      </w:r>
    </w:p>
    <w:p w14:paraId="6AB374BB" w14:textId="5F89D38B" w:rsidR="00AF3B83" w:rsidRPr="00FC7ED1" w:rsidRDefault="00AF3B83" w:rsidP="00AF3B83">
      <w:pPr>
        <w:numPr>
          <w:ilvl w:val="0"/>
          <w:numId w:val="77"/>
        </w:numPr>
        <w:suppressAutoHyphens w:val="0"/>
        <w:spacing w:before="30" w:after="0" w:line="240" w:lineRule="auto"/>
        <w:rPr>
          <w:rFonts w:ascii="Arial" w:hAnsi="Arial"/>
          <w:color w:val="000000"/>
          <w:sz w:val="16"/>
        </w:rPr>
      </w:pPr>
      <w:r w:rsidRPr="00FC7ED1">
        <w:rPr>
          <w:rFonts w:ascii="Arial" w:hAnsi="Arial"/>
          <w:color w:val="000000"/>
          <w:sz w:val="16"/>
        </w:rPr>
        <w:t>Use a footnote to briefly outline any changes to performance information and the rationale for each change. Note, your entity will be able to outline more details in its 202</w:t>
      </w:r>
      <w:r>
        <w:rPr>
          <w:rFonts w:ascii="Arial" w:hAnsi="Arial"/>
          <w:color w:val="000000"/>
          <w:sz w:val="16"/>
        </w:rPr>
        <w:t>6</w:t>
      </w:r>
      <w:r w:rsidRPr="00FC7ED1">
        <w:rPr>
          <w:rFonts w:ascii="Arial" w:hAnsi="Arial"/>
          <w:color w:val="000000"/>
          <w:sz w:val="16"/>
        </w:rPr>
        <w:t>–2</w:t>
      </w:r>
      <w:r>
        <w:rPr>
          <w:rFonts w:ascii="Arial" w:hAnsi="Arial"/>
          <w:color w:val="000000"/>
          <w:sz w:val="16"/>
        </w:rPr>
        <w:t>7</w:t>
      </w:r>
      <w:r w:rsidRPr="00FC7ED1">
        <w:rPr>
          <w:rFonts w:ascii="Arial" w:hAnsi="Arial"/>
          <w:color w:val="000000"/>
          <w:sz w:val="16"/>
        </w:rPr>
        <w:t xml:space="preserve"> corporate plan and 202</w:t>
      </w:r>
      <w:r>
        <w:rPr>
          <w:rFonts w:ascii="Arial" w:hAnsi="Arial"/>
          <w:color w:val="000000"/>
          <w:sz w:val="16"/>
        </w:rPr>
        <w:t>5</w:t>
      </w:r>
      <w:r w:rsidRPr="00FC7ED1">
        <w:rPr>
          <w:rFonts w:ascii="Arial" w:hAnsi="Arial"/>
          <w:color w:val="000000"/>
          <w:sz w:val="16"/>
        </w:rPr>
        <w:t>–2</w:t>
      </w:r>
      <w:r>
        <w:rPr>
          <w:rFonts w:ascii="Arial" w:hAnsi="Arial"/>
          <w:color w:val="000000"/>
          <w:sz w:val="16"/>
        </w:rPr>
        <w:t>6</w:t>
      </w:r>
      <w:r w:rsidRPr="00FC7ED1">
        <w:rPr>
          <w:rFonts w:ascii="Arial" w:hAnsi="Arial"/>
          <w:color w:val="000000"/>
          <w:sz w:val="16"/>
        </w:rPr>
        <w:t xml:space="preserve"> annual performance statements.</w:t>
      </w:r>
    </w:p>
    <w:p w14:paraId="0192256B" w14:textId="77777777" w:rsidR="00AF3B83" w:rsidRPr="00FC7ED1" w:rsidRDefault="00AF3B83" w:rsidP="00AF3B83">
      <w:pPr>
        <w:numPr>
          <w:ilvl w:val="0"/>
          <w:numId w:val="77"/>
        </w:numPr>
        <w:suppressAutoHyphens w:val="0"/>
        <w:spacing w:before="30" w:after="0" w:line="240" w:lineRule="auto"/>
        <w:rPr>
          <w:rFonts w:ascii="Arial" w:hAnsi="Arial"/>
          <w:color w:val="000000"/>
          <w:sz w:val="16"/>
        </w:rPr>
      </w:pPr>
      <w:r w:rsidRPr="00FC7ED1">
        <w:rPr>
          <w:rFonts w:ascii="Arial" w:hAnsi="Arial"/>
          <w:color w:val="000000"/>
          <w:sz w:val="16"/>
        </w:rPr>
        <w:t>Where new programs are established in the 202</w:t>
      </w:r>
      <w:r>
        <w:rPr>
          <w:rFonts w:ascii="Arial" w:hAnsi="Arial"/>
          <w:color w:val="000000"/>
          <w:sz w:val="16"/>
        </w:rPr>
        <w:t>6</w:t>
      </w:r>
      <w:r w:rsidRPr="00FC7ED1">
        <w:rPr>
          <w:rFonts w:ascii="Arial" w:hAnsi="Arial"/>
          <w:color w:val="000000"/>
          <w:sz w:val="16"/>
        </w:rPr>
        <w:t>–2</w:t>
      </w:r>
      <w:r>
        <w:rPr>
          <w:rFonts w:ascii="Arial" w:hAnsi="Arial"/>
          <w:color w:val="000000"/>
          <w:sz w:val="16"/>
        </w:rPr>
        <w:t>7</w:t>
      </w:r>
      <w:r w:rsidRPr="00FC7ED1">
        <w:rPr>
          <w:rFonts w:ascii="Arial" w:hAnsi="Arial"/>
          <w:color w:val="000000"/>
          <w:sz w:val="16"/>
        </w:rPr>
        <w:t xml:space="preserve"> Budget, all of the performance measures related to that new program need to be </w:t>
      </w:r>
      <w:r>
        <w:rPr>
          <w:rFonts w:ascii="Arial" w:hAnsi="Arial"/>
          <w:color w:val="000000"/>
          <w:sz w:val="16"/>
        </w:rPr>
        <w:t>reported</w:t>
      </w:r>
      <w:r w:rsidRPr="00FC7ED1">
        <w:rPr>
          <w:rFonts w:ascii="Arial" w:hAnsi="Arial"/>
          <w:color w:val="000000"/>
          <w:sz w:val="16"/>
        </w:rPr>
        <w:t xml:space="preserve"> as outlined in the </w:t>
      </w:r>
      <w:hyperlink r:id="rId161" w:history="1">
        <w:r w:rsidRPr="00FC7ED1">
          <w:rPr>
            <w:rFonts w:ascii="Arial" w:hAnsi="Arial"/>
            <w:sz w:val="16"/>
            <w:u w:val="single"/>
          </w:rPr>
          <w:t>Finance Secretary Direction</w:t>
        </w:r>
      </w:hyperlink>
      <w:r w:rsidRPr="00FC7ED1">
        <w:rPr>
          <w:rFonts w:ascii="Arial" w:hAnsi="Arial"/>
          <w:color w:val="000000"/>
          <w:sz w:val="16"/>
        </w:rPr>
        <w:t>.</w:t>
      </w:r>
    </w:p>
    <w:p w14:paraId="5EB23A88" w14:textId="77777777" w:rsidR="00AF3B83" w:rsidRPr="00FC7ED1" w:rsidRDefault="00AF3B83" w:rsidP="00AF3B83">
      <w:pPr>
        <w:numPr>
          <w:ilvl w:val="0"/>
          <w:numId w:val="77"/>
        </w:numPr>
        <w:suppressAutoHyphens w:val="0"/>
        <w:spacing w:before="30" w:after="0" w:line="240" w:lineRule="auto"/>
        <w:rPr>
          <w:rFonts w:ascii="Arial" w:hAnsi="Arial"/>
          <w:color w:val="000000"/>
          <w:sz w:val="16"/>
        </w:rPr>
      </w:pPr>
      <w:r w:rsidRPr="00FC7ED1">
        <w:rPr>
          <w:rFonts w:ascii="Arial" w:hAnsi="Arial"/>
          <w:color w:val="000000"/>
          <w:sz w:val="16"/>
        </w:rPr>
        <w:t>Use a footnote to briefly explain why it may not be reasonably practicable to set a target for a performance measure.</w:t>
      </w:r>
    </w:p>
    <w:p w14:paraId="44B9CFA4" w14:textId="3240D015" w:rsidR="00FA0945" w:rsidRPr="00DD477A" w:rsidRDefault="53BF0693" w:rsidP="003D6589">
      <w:pPr>
        <w:pStyle w:val="Heading3"/>
      </w:pPr>
      <w:bookmarkStart w:id="1077" w:name="_Toc222148034"/>
      <w:bookmarkStart w:id="1078" w:name="_Toc222148296"/>
      <w:bookmarkStart w:id="1079" w:name="_Toc222148522"/>
      <w:bookmarkStart w:id="1080" w:name="_Toc222148750"/>
      <w:bookmarkStart w:id="1081" w:name="_Toc222148978"/>
      <w:bookmarkStart w:id="1082" w:name="_Toc222149206"/>
      <w:bookmarkStart w:id="1083" w:name="_Toc222149434"/>
      <w:bookmarkStart w:id="1084" w:name="_Toc222149663"/>
      <w:bookmarkStart w:id="1085" w:name="_Toc222150128"/>
      <w:bookmarkStart w:id="1086" w:name="_Toc222150354"/>
      <w:bookmarkStart w:id="1087" w:name="_Toc188528253"/>
      <w:bookmarkStart w:id="1088" w:name="_Toc188529777"/>
      <w:bookmarkStart w:id="1089" w:name="_Toc188530336"/>
      <w:bookmarkStart w:id="1090" w:name="_Toc188530577"/>
      <w:bookmarkStart w:id="1091" w:name="_Toc188530815"/>
      <w:bookmarkStart w:id="1092" w:name="_Toc188531053"/>
      <w:bookmarkStart w:id="1093" w:name="_Toc188531290"/>
      <w:bookmarkStart w:id="1094" w:name="_Toc188956786"/>
      <w:bookmarkStart w:id="1095" w:name="_Toc188957023"/>
      <w:bookmarkStart w:id="1096" w:name="_Toc188528290"/>
      <w:bookmarkStart w:id="1097" w:name="_Toc188529814"/>
      <w:bookmarkStart w:id="1098" w:name="_Toc188530373"/>
      <w:bookmarkStart w:id="1099" w:name="_Toc188530614"/>
      <w:bookmarkStart w:id="1100" w:name="_Toc188530852"/>
      <w:bookmarkStart w:id="1101" w:name="_Toc188531090"/>
      <w:bookmarkStart w:id="1102" w:name="_Toc188531327"/>
      <w:bookmarkStart w:id="1103" w:name="_Toc188956823"/>
      <w:bookmarkStart w:id="1104" w:name="_Toc188957060"/>
      <w:bookmarkStart w:id="1105" w:name="_Toc188528291"/>
      <w:bookmarkStart w:id="1106" w:name="_Toc188529815"/>
      <w:bookmarkStart w:id="1107" w:name="_Toc188530374"/>
      <w:bookmarkStart w:id="1108" w:name="_Toc188530615"/>
      <w:bookmarkStart w:id="1109" w:name="_Toc188530853"/>
      <w:bookmarkStart w:id="1110" w:name="_Toc188531091"/>
      <w:bookmarkStart w:id="1111" w:name="_Toc188531328"/>
      <w:bookmarkStart w:id="1112" w:name="_Toc188956824"/>
      <w:bookmarkStart w:id="1113" w:name="_Toc188957061"/>
      <w:bookmarkStart w:id="1114" w:name="_Toc534458887"/>
      <w:bookmarkStart w:id="1115" w:name="_Toc534459676"/>
      <w:bookmarkStart w:id="1116" w:name="_Toc534519171"/>
      <w:bookmarkStart w:id="1117" w:name="_Toc534520081"/>
      <w:bookmarkStart w:id="1118" w:name="_Toc534520351"/>
      <w:bookmarkStart w:id="1119" w:name="_Toc534527563"/>
      <w:bookmarkStart w:id="1120" w:name="_Toc534528293"/>
      <w:bookmarkStart w:id="1121" w:name="_Toc534803514"/>
      <w:bookmarkStart w:id="1122" w:name="_Toc534814205"/>
      <w:bookmarkStart w:id="1123" w:name="_Toc536108578"/>
      <w:bookmarkStart w:id="1124" w:name="_Toc536802125"/>
      <w:bookmarkStart w:id="1125" w:name="_Toc422724"/>
      <w:bookmarkStart w:id="1126" w:name="_Toc534382567"/>
      <w:bookmarkStart w:id="1127" w:name="_Toc63347720"/>
      <w:bookmarkStart w:id="1128" w:name="_Toc227749052"/>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sidRPr="00DD477A">
        <w:t>Program title and brief description</w:t>
      </w:r>
      <w:bookmarkEnd w:id="1126"/>
      <w:bookmarkEnd w:id="1127"/>
      <w:bookmarkEnd w:id="1128"/>
    </w:p>
    <w:p w14:paraId="275FA18B" w14:textId="3572BFCF" w:rsidR="00FA0945" w:rsidRPr="00DD477A" w:rsidRDefault="53BF0693" w:rsidP="000A7DEC">
      <w:pPr>
        <w:rPr>
          <w:rFonts w:cs="Calibri"/>
        </w:rPr>
      </w:pPr>
      <w:r w:rsidRPr="00DD477A">
        <w:rPr>
          <w:rFonts w:cs="Calibri"/>
        </w:rPr>
        <w:t xml:space="preserve">The program titles inserted in Table 2.X.3 should </w:t>
      </w:r>
      <w:r w:rsidR="004D4A17" w:rsidRPr="00DD477A">
        <w:rPr>
          <w:rFonts w:cs="Calibri"/>
        </w:rPr>
        <w:t>mirror</w:t>
      </w:r>
      <w:r w:rsidRPr="00DD477A">
        <w:rPr>
          <w:rFonts w:cs="Calibri"/>
        </w:rPr>
        <w:t xml:space="preserve"> the </w:t>
      </w:r>
      <w:r w:rsidR="005A5D4C" w:rsidRPr="00DD477A">
        <w:rPr>
          <w:rFonts w:cs="Calibri"/>
        </w:rPr>
        <w:t>program name</w:t>
      </w:r>
      <w:r w:rsidRPr="00DD477A">
        <w:rPr>
          <w:rFonts w:cs="Calibri"/>
        </w:rPr>
        <w:t xml:space="preserve"> in CBMS.</w:t>
      </w:r>
    </w:p>
    <w:p w14:paraId="1AC5189B" w14:textId="3C1BEFB7" w:rsidR="00FA0945" w:rsidRPr="00DD477A" w:rsidRDefault="00AF6BB3" w:rsidP="000A7DEC">
      <w:pPr>
        <w:rPr>
          <w:rFonts w:cs="Calibri"/>
        </w:rPr>
      </w:pPr>
      <w:r w:rsidRPr="00DD477A">
        <w:rPr>
          <w:rFonts w:cs="Calibri"/>
        </w:rPr>
        <w:t>The</w:t>
      </w:r>
      <w:r w:rsidR="53BF0693" w:rsidRPr="00DD477A">
        <w:rPr>
          <w:rFonts w:cs="Calibri"/>
        </w:rPr>
        <w:t xml:space="preserve"> brief</w:t>
      </w:r>
      <w:r w:rsidR="00C87C67" w:rsidRPr="00DD477A">
        <w:rPr>
          <w:rFonts w:cs="Calibri"/>
        </w:rPr>
        <w:t>, conci</w:t>
      </w:r>
      <w:r w:rsidR="00031B8A" w:rsidRPr="00DD477A">
        <w:rPr>
          <w:rFonts w:cs="Calibri"/>
        </w:rPr>
        <w:t>se</w:t>
      </w:r>
      <w:r w:rsidR="53BF0693" w:rsidRPr="00DD477A">
        <w:rPr>
          <w:rFonts w:cs="Calibri"/>
        </w:rPr>
        <w:t xml:space="preserve"> description that </w:t>
      </w:r>
      <w:r w:rsidRPr="00DD477A">
        <w:rPr>
          <w:rFonts w:cs="Calibri"/>
        </w:rPr>
        <w:t xml:space="preserve">follows should </w:t>
      </w:r>
      <w:r w:rsidR="006873D7" w:rsidRPr="00DD477A">
        <w:rPr>
          <w:rFonts w:cs="Calibri"/>
        </w:rPr>
        <w:t xml:space="preserve">clearly outline </w:t>
      </w:r>
      <w:r w:rsidR="53BF0693" w:rsidRPr="00DD477A">
        <w:rPr>
          <w:rFonts w:cs="Calibri"/>
        </w:rPr>
        <w:t>the:</w:t>
      </w:r>
    </w:p>
    <w:p w14:paraId="164DB440" w14:textId="51BA385A" w:rsidR="00FA0945" w:rsidRPr="00DD477A" w:rsidRDefault="53BF0693" w:rsidP="00B54999">
      <w:pPr>
        <w:pStyle w:val="Bullet1"/>
      </w:pPr>
      <w:r w:rsidRPr="00DD477A">
        <w:t>objective of the program (i.e.</w:t>
      </w:r>
      <w:r w:rsidR="7129F99C" w:rsidRPr="00DD477A">
        <w:t>,</w:t>
      </w:r>
      <w:r w:rsidRPr="00DD477A">
        <w:t xml:space="preserve"> the difference it aims to make, the intended results etc</w:t>
      </w:r>
      <w:r w:rsidR="46C105EC" w:rsidRPr="00DD477A">
        <w:t>.</w:t>
      </w:r>
      <w:r w:rsidRPr="00DD477A">
        <w:t>)</w:t>
      </w:r>
      <w:r w:rsidR="00213814" w:rsidRPr="00DD477A">
        <w:t>, and the</w:t>
      </w:r>
    </w:p>
    <w:p w14:paraId="3E08A8BB" w14:textId="77777777" w:rsidR="00FA0945" w:rsidRPr="00DD477A" w:rsidRDefault="53BF0693" w:rsidP="00B54999">
      <w:pPr>
        <w:pStyle w:val="Bullet1"/>
      </w:pPr>
      <w:r w:rsidRPr="00DD477A">
        <w:t>contribution it makes to achieving Outcome X (or why Outcome X cannot be delivered successfully without the program).</w:t>
      </w:r>
    </w:p>
    <w:p w14:paraId="763632EB" w14:textId="62476EEF" w:rsidR="000D5300" w:rsidRDefault="000D5300" w:rsidP="00B54999">
      <w:pPr>
        <w:pStyle w:val="Bullet1"/>
        <w:numPr>
          <w:ilvl w:val="0"/>
          <w:numId w:val="0"/>
        </w:numPr>
      </w:pPr>
      <w:r w:rsidRPr="00DD477A">
        <w:t>The below e</w:t>
      </w:r>
      <w:r w:rsidR="005F1063" w:rsidRPr="00DD477A">
        <w:t>xample</w:t>
      </w:r>
      <w:r w:rsidRPr="00DD477A">
        <w:t xml:space="preserve"> </w:t>
      </w:r>
      <w:r w:rsidR="006676D6" w:rsidRPr="00DD477A">
        <w:t xml:space="preserve">from the Department of </w:t>
      </w:r>
      <w:r w:rsidR="00DD60AC">
        <w:t>the Treasury</w:t>
      </w:r>
      <w:r w:rsidR="006676D6" w:rsidRPr="00DD477A">
        <w:t xml:space="preserve"> 202</w:t>
      </w:r>
      <w:r w:rsidR="00DE395A">
        <w:t>5</w:t>
      </w:r>
      <w:r w:rsidR="00DD60AC">
        <w:t>–</w:t>
      </w:r>
      <w:r w:rsidR="006676D6" w:rsidRPr="00DD477A">
        <w:t>2</w:t>
      </w:r>
      <w:r w:rsidR="00DE395A">
        <w:t>6</w:t>
      </w:r>
      <w:r w:rsidR="006676D6" w:rsidRPr="00DD477A">
        <w:t xml:space="preserve"> PB Statements </w:t>
      </w:r>
      <w:r w:rsidRPr="00DD477A">
        <w:t xml:space="preserve">clearly </w:t>
      </w:r>
      <w:r w:rsidR="006676D6" w:rsidRPr="00DD477A">
        <w:t xml:space="preserve">and concisely </w:t>
      </w:r>
      <w:r w:rsidR="00BF0E30" w:rsidRPr="00DD477A">
        <w:t>articulates</w:t>
      </w:r>
      <w:r w:rsidRPr="00DD477A">
        <w:t xml:space="preserve"> </w:t>
      </w:r>
      <w:r w:rsidR="001172F2" w:rsidRPr="00DD477A">
        <w:t xml:space="preserve">the </w:t>
      </w:r>
      <w:r w:rsidR="00BF0E30" w:rsidRPr="00DD477A">
        <w:t xml:space="preserve">program’s objective </w:t>
      </w:r>
      <w:r w:rsidR="00EC7046" w:rsidRPr="00DD477A">
        <w:t xml:space="preserve">and how it </w:t>
      </w:r>
      <w:r w:rsidR="001172F2" w:rsidRPr="00DD477A">
        <w:t>contributes to the outcome</w:t>
      </w:r>
      <w:r w:rsidR="00EC7046" w:rsidRPr="00DD477A">
        <w:t xml:space="preserve"> of the entity</w:t>
      </w:r>
      <w:r w:rsidR="001172F2" w:rsidRPr="00DD477A">
        <w:t>.</w:t>
      </w:r>
    </w:p>
    <w:tbl>
      <w:tblPr>
        <w:tblStyle w:val="TableGrid"/>
        <w:tblW w:w="0" w:type="auto"/>
        <w:tblLook w:val="04A0" w:firstRow="1" w:lastRow="0" w:firstColumn="1" w:lastColumn="0" w:noHBand="0" w:noVBand="1"/>
      </w:tblPr>
      <w:tblGrid>
        <w:gridCol w:w="9621"/>
      </w:tblGrid>
      <w:tr w:rsidR="00684D79" w14:paraId="5F09B5EF" w14:textId="77777777" w:rsidTr="00684D79">
        <w:tc>
          <w:tcPr>
            <w:tcW w:w="9621" w:type="dxa"/>
          </w:tcPr>
          <w:p w14:paraId="17CAED99" w14:textId="1803479E" w:rsidR="00684D79" w:rsidRPr="00684D79" w:rsidRDefault="00D21A92" w:rsidP="00B54999">
            <w:pPr>
              <w:pStyle w:val="Bullet1"/>
              <w:numPr>
                <w:ilvl w:val="0"/>
                <w:numId w:val="0"/>
              </w:numPr>
            </w:pPr>
            <w:r w:rsidRPr="00D21A92">
              <w:t>Outcome 1 – Supporting and implementing informed decisions on policies for the good of the Australian people, including for achieving strong, sustainable economic growth, through the provision of advice to Treasury Ministers and the efficient administration of Treasury’s functions</w:t>
            </w:r>
          </w:p>
        </w:tc>
      </w:tr>
      <w:tr w:rsidR="00684D79" w14:paraId="0DE4F5AB" w14:textId="77777777" w:rsidTr="00684D79">
        <w:tc>
          <w:tcPr>
            <w:tcW w:w="9621" w:type="dxa"/>
          </w:tcPr>
          <w:p w14:paraId="5689782D" w14:textId="77777777" w:rsidR="0011639D" w:rsidRDefault="0011639D" w:rsidP="00B54999">
            <w:pPr>
              <w:pStyle w:val="Bullet1"/>
              <w:numPr>
                <w:ilvl w:val="0"/>
                <w:numId w:val="0"/>
              </w:numPr>
            </w:pPr>
            <w:r w:rsidRPr="0011639D">
              <w:t xml:space="preserve">Program 1.3 – Support for Markets and Business </w:t>
            </w:r>
          </w:p>
          <w:p w14:paraId="12958A3D" w14:textId="5040870A" w:rsidR="00684D79" w:rsidRPr="0011639D" w:rsidRDefault="0011639D" w:rsidP="00B54999">
            <w:pPr>
              <w:pStyle w:val="Bullet1"/>
              <w:numPr>
                <w:ilvl w:val="0"/>
                <w:numId w:val="0"/>
              </w:numPr>
            </w:pPr>
            <w:r w:rsidRPr="00892E30">
              <w:t>The objective of this program is to support economic competition by developing well-functioning markets that support small to medium businesses, investor and consumer confidence.</w:t>
            </w:r>
          </w:p>
        </w:tc>
      </w:tr>
    </w:tbl>
    <w:p w14:paraId="0924588A" w14:textId="5489B0B5" w:rsidR="00FA0945" w:rsidRPr="00DD477A" w:rsidRDefault="003B453D" w:rsidP="003D6589">
      <w:pPr>
        <w:pStyle w:val="Heading3"/>
      </w:pPr>
      <w:bookmarkStart w:id="1129" w:name="_Toc188528293"/>
      <w:bookmarkStart w:id="1130" w:name="_Toc188529817"/>
      <w:bookmarkStart w:id="1131" w:name="_Toc188530376"/>
      <w:bookmarkStart w:id="1132" w:name="_Toc188530617"/>
      <w:bookmarkStart w:id="1133" w:name="_Toc188530855"/>
      <w:bookmarkStart w:id="1134" w:name="_Toc188531093"/>
      <w:bookmarkStart w:id="1135" w:name="_Toc188531330"/>
      <w:bookmarkStart w:id="1136" w:name="_Toc188956826"/>
      <w:bookmarkStart w:id="1137" w:name="_Toc188957063"/>
      <w:bookmarkStart w:id="1138" w:name="_Toc126678521"/>
      <w:bookmarkStart w:id="1139" w:name="_Toc126772096"/>
      <w:bookmarkStart w:id="1140" w:name="_Toc128665504"/>
      <w:bookmarkStart w:id="1141" w:name="_Toc129015740"/>
      <w:bookmarkStart w:id="1142" w:name="_Toc129017895"/>
      <w:bookmarkStart w:id="1143" w:name="_Toc129163704"/>
      <w:bookmarkStart w:id="1144" w:name="_Toc129166947"/>
      <w:bookmarkStart w:id="1145" w:name="_Toc126678522"/>
      <w:bookmarkStart w:id="1146" w:name="_Toc126772097"/>
      <w:bookmarkStart w:id="1147" w:name="_Toc128665505"/>
      <w:bookmarkStart w:id="1148" w:name="_Toc129015741"/>
      <w:bookmarkStart w:id="1149" w:name="_Toc129017896"/>
      <w:bookmarkStart w:id="1150" w:name="_Toc129163705"/>
      <w:bookmarkStart w:id="1151" w:name="_Toc129166948"/>
      <w:bookmarkStart w:id="1152" w:name="_Toc126678523"/>
      <w:bookmarkStart w:id="1153" w:name="_Toc126772098"/>
      <w:bookmarkStart w:id="1154" w:name="_Toc128665506"/>
      <w:bookmarkStart w:id="1155" w:name="_Toc129015742"/>
      <w:bookmarkStart w:id="1156" w:name="_Toc129017897"/>
      <w:bookmarkStart w:id="1157" w:name="_Toc129163706"/>
      <w:bookmarkStart w:id="1158" w:name="_Toc129166949"/>
      <w:bookmarkStart w:id="1159" w:name="_Toc126678524"/>
      <w:bookmarkStart w:id="1160" w:name="_Toc126772099"/>
      <w:bookmarkStart w:id="1161" w:name="_Toc128665507"/>
      <w:bookmarkStart w:id="1162" w:name="_Toc129015743"/>
      <w:bookmarkStart w:id="1163" w:name="_Toc129017898"/>
      <w:bookmarkStart w:id="1164" w:name="_Toc129163707"/>
      <w:bookmarkStart w:id="1165" w:name="_Toc129166950"/>
      <w:bookmarkStart w:id="1166" w:name="_Toc126678525"/>
      <w:bookmarkStart w:id="1167" w:name="_Toc126772100"/>
      <w:bookmarkStart w:id="1168" w:name="_Toc128665508"/>
      <w:bookmarkStart w:id="1169" w:name="_Toc129015744"/>
      <w:bookmarkStart w:id="1170" w:name="_Toc129017899"/>
      <w:bookmarkStart w:id="1171" w:name="_Toc129163708"/>
      <w:bookmarkStart w:id="1172" w:name="_Toc129166951"/>
      <w:bookmarkStart w:id="1173" w:name="_Toc126678526"/>
      <w:bookmarkStart w:id="1174" w:name="_Toc126772101"/>
      <w:bookmarkStart w:id="1175" w:name="_Toc128665509"/>
      <w:bookmarkStart w:id="1176" w:name="_Toc129015745"/>
      <w:bookmarkStart w:id="1177" w:name="_Toc129017900"/>
      <w:bookmarkStart w:id="1178" w:name="_Toc129163709"/>
      <w:bookmarkStart w:id="1179" w:name="_Toc129166952"/>
      <w:bookmarkStart w:id="1180" w:name="_Toc126678527"/>
      <w:bookmarkStart w:id="1181" w:name="_Toc126772102"/>
      <w:bookmarkStart w:id="1182" w:name="_Toc128665510"/>
      <w:bookmarkStart w:id="1183" w:name="_Toc129015746"/>
      <w:bookmarkStart w:id="1184" w:name="_Toc129017901"/>
      <w:bookmarkStart w:id="1185" w:name="_Toc129163710"/>
      <w:bookmarkStart w:id="1186" w:name="_Toc129166953"/>
      <w:bookmarkStart w:id="1187" w:name="_Toc126678528"/>
      <w:bookmarkStart w:id="1188" w:name="_Toc126772103"/>
      <w:bookmarkStart w:id="1189" w:name="_Toc128665511"/>
      <w:bookmarkStart w:id="1190" w:name="_Toc129015747"/>
      <w:bookmarkStart w:id="1191" w:name="_Toc129017902"/>
      <w:bookmarkStart w:id="1192" w:name="_Toc129163711"/>
      <w:bookmarkStart w:id="1193" w:name="_Toc129166954"/>
      <w:bookmarkStart w:id="1194" w:name="_Ref92377011"/>
      <w:bookmarkStart w:id="1195" w:name="_Ref92377019"/>
      <w:bookmarkStart w:id="1196" w:name="_Toc227749053"/>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r w:rsidRPr="00DD477A">
        <w:t>Key Activities</w:t>
      </w:r>
      <w:bookmarkEnd w:id="1194"/>
      <w:bookmarkEnd w:id="1195"/>
      <w:bookmarkEnd w:id="1196"/>
    </w:p>
    <w:p w14:paraId="7C8C8A9C" w14:textId="204918B2" w:rsidR="006676D6" w:rsidRPr="00DD477A" w:rsidRDefault="00A411FA" w:rsidP="006676D6">
      <w:pPr>
        <w:rPr>
          <w:rFonts w:cs="Calibri"/>
        </w:rPr>
      </w:pPr>
      <w:r w:rsidRPr="00DD477A">
        <w:rPr>
          <w:rFonts w:cs="Calibri"/>
        </w:rPr>
        <w:t xml:space="preserve">The </w:t>
      </w:r>
      <w:r w:rsidR="000D04F3" w:rsidRPr="00DD477A">
        <w:rPr>
          <w:rFonts w:cs="Calibri"/>
        </w:rPr>
        <w:t xml:space="preserve">Key Activities reported in the </w:t>
      </w:r>
      <w:r w:rsidR="00A15E76" w:rsidRPr="00DD477A">
        <w:rPr>
          <w:rFonts w:cs="Calibri"/>
        </w:rPr>
        <w:t xml:space="preserve">current </w:t>
      </w:r>
      <w:r w:rsidR="000D04F3" w:rsidRPr="00DD477A">
        <w:rPr>
          <w:rFonts w:cs="Calibri"/>
        </w:rPr>
        <w:t xml:space="preserve">corporate plan </w:t>
      </w:r>
      <w:r w:rsidR="003D6367" w:rsidRPr="00DD477A">
        <w:rPr>
          <w:rFonts w:cs="Calibri"/>
        </w:rPr>
        <w:t>(</w:t>
      </w:r>
      <w:r w:rsidR="0095585E">
        <w:rPr>
          <w:rFonts w:cs="Calibri"/>
        </w:rPr>
        <w:t>2025</w:t>
      </w:r>
      <w:r w:rsidR="009B4E17">
        <w:rPr>
          <w:rFonts w:cs="Calibri"/>
        </w:rPr>
        <w:t>–</w:t>
      </w:r>
      <w:r w:rsidR="0095585E">
        <w:rPr>
          <w:rFonts w:cs="Calibri"/>
        </w:rPr>
        <w:t>26</w:t>
      </w:r>
      <w:r w:rsidR="003D6367" w:rsidRPr="00DD477A">
        <w:rPr>
          <w:rFonts w:cs="Calibri"/>
        </w:rPr>
        <w:t xml:space="preserve"> corporate plan) </w:t>
      </w:r>
      <w:r w:rsidR="00901D2A" w:rsidRPr="00DD477A">
        <w:rPr>
          <w:rFonts w:cs="Calibri"/>
        </w:rPr>
        <w:t>associated with</w:t>
      </w:r>
      <w:r w:rsidR="00113BE2" w:rsidRPr="00DD477A">
        <w:rPr>
          <w:rFonts w:cs="Calibri"/>
        </w:rPr>
        <w:t xml:space="preserve"> </w:t>
      </w:r>
      <w:r w:rsidR="000D04F3" w:rsidRPr="00DD477A">
        <w:rPr>
          <w:rFonts w:cs="Calibri"/>
        </w:rPr>
        <w:t xml:space="preserve">each program </w:t>
      </w:r>
      <w:r w:rsidR="00D07FDE" w:rsidRPr="00DD477A">
        <w:rPr>
          <w:rFonts w:cs="Calibri"/>
        </w:rPr>
        <w:t>should be detailed in Table</w:t>
      </w:r>
      <w:r w:rsidR="00396356" w:rsidRPr="00DD477A">
        <w:rPr>
          <w:rFonts w:cs="Calibri"/>
        </w:rPr>
        <w:t xml:space="preserve"> 2.X.3</w:t>
      </w:r>
      <w:r w:rsidR="000D04F3" w:rsidRPr="00DD477A">
        <w:rPr>
          <w:rFonts w:cs="Calibri"/>
        </w:rPr>
        <w:t>.</w:t>
      </w:r>
      <w:r w:rsidR="00127076" w:rsidRPr="00DD477A">
        <w:rPr>
          <w:rFonts w:cs="Calibri"/>
        </w:rPr>
        <w:t xml:space="preserve"> This provides a clear read between the </w:t>
      </w:r>
      <w:r w:rsidR="00C14A6F" w:rsidRPr="00DD477A">
        <w:rPr>
          <w:rFonts w:cs="Calibri"/>
        </w:rPr>
        <w:t>PB </w:t>
      </w:r>
      <w:r w:rsidR="00127076" w:rsidRPr="00DD477A">
        <w:rPr>
          <w:rFonts w:cs="Calibri"/>
        </w:rPr>
        <w:t>S</w:t>
      </w:r>
      <w:r w:rsidR="00A261E1" w:rsidRPr="00DD477A">
        <w:rPr>
          <w:rFonts w:cs="Calibri"/>
        </w:rPr>
        <w:t>tatement</w:t>
      </w:r>
      <w:r w:rsidR="00127076" w:rsidRPr="00DD477A">
        <w:rPr>
          <w:rFonts w:cs="Calibri"/>
        </w:rPr>
        <w:t xml:space="preserve"> and the corporate plan.</w:t>
      </w:r>
      <w:r w:rsidR="00714A82" w:rsidRPr="00DD477A" w:rsidDel="00901D2A">
        <w:rPr>
          <w:rFonts w:cs="Calibri"/>
        </w:rPr>
        <w:t xml:space="preserve"> There is no need to provide full detail</w:t>
      </w:r>
      <w:r w:rsidR="00223219">
        <w:rPr>
          <w:rFonts w:cs="Calibri"/>
        </w:rPr>
        <w:t>s</w:t>
      </w:r>
      <w:r w:rsidR="00714A82" w:rsidRPr="00DD477A" w:rsidDel="00901D2A">
        <w:rPr>
          <w:rFonts w:cs="Calibri"/>
        </w:rPr>
        <w:t xml:space="preserve"> of the key activities in the PB</w:t>
      </w:r>
      <w:r w:rsidR="00A261E1" w:rsidRPr="00DD477A" w:rsidDel="00901D2A">
        <w:rPr>
          <w:rFonts w:cs="Calibri"/>
        </w:rPr>
        <w:t xml:space="preserve"> </w:t>
      </w:r>
      <w:r w:rsidR="00714A82" w:rsidRPr="00DD477A" w:rsidDel="00901D2A">
        <w:rPr>
          <w:rFonts w:cs="Calibri"/>
        </w:rPr>
        <w:t>S</w:t>
      </w:r>
      <w:r w:rsidR="00A261E1" w:rsidRPr="00DD477A" w:rsidDel="00901D2A">
        <w:rPr>
          <w:rFonts w:cs="Calibri"/>
        </w:rPr>
        <w:t>tatement</w:t>
      </w:r>
      <w:r w:rsidR="00714A82" w:rsidRPr="00DD477A" w:rsidDel="00901D2A">
        <w:rPr>
          <w:rFonts w:cs="Calibri"/>
        </w:rPr>
        <w:t>, the title of the key activities will suffice.</w:t>
      </w:r>
    </w:p>
    <w:p w14:paraId="64EACC26" w14:textId="54766206" w:rsidR="00541FE5" w:rsidRPr="00DD477A" w:rsidRDefault="00127076" w:rsidP="000A7DEC">
      <w:pPr>
        <w:rPr>
          <w:rFonts w:cs="Calibri"/>
        </w:rPr>
      </w:pPr>
      <w:r w:rsidRPr="00DD477A">
        <w:rPr>
          <w:rFonts w:cs="Calibri"/>
        </w:rPr>
        <w:t xml:space="preserve">Where entities report new or materially changed programs resulting from </w:t>
      </w:r>
      <w:r w:rsidR="0081371C">
        <w:rPr>
          <w:rFonts w:cs="Calibri"/>
        </w:rPr>
        <w:t>2026</w:t>
      </w:r>
      <w:r w:rsidR="009B4E17">
        <w:rPr>
          <w:rFonts w:cs="Calibri"/>
        </w:rPr>
        <w:t>–</w:t>
      </w:r>
      <w:r w:rsidR="0081371C">
        <w:rPr>
          <w:rFonts w:cs="Calibri"/>
        </w:rPr>
        <w:t>27</w:t>
      </w:r>
      <w:r w:rsidRPr="00DD477A">
        <w:rPr>
          <w:rFonts w:cs="Calibri"/>
        </w:rPr>
        <w:t xml:space="preserve"> Budget measures, </w:t>
      </w:r>
      <w:r w:rsidR="00B92832" w:rsidRPr="00DD477A">
        <w:rPr>
          <w:rFonts w:cs="Calibri"/>
        </w:rPr>
        <w:t xml:space="preserve">related key activities </w:t>
      </w:r>
      <w:r w:rsidRPr="00DD477A">
        <w:rPr>
          <w:rFonts w:cs="Calibri"/>
        </w:rPr>
        <w:t xml:space="preserve">may need to </w:t>
      </w:r>
      <w:r w:rsidR="00A90B01" w:rsidRPr="00DD477A">
        <w:rPr>
          <w:rFonts w:cs="Calibri"/>
        </w:rPr>
        <w:t xml:space="preserve">be </w:t>
      </w:r>
      <w:r w:rsidRPr="00DD477A">
        <w:rPr>
          <w:rFonts w:cs="Calibri"/>
        </w:rPr>
        <w:t>update</w:t>
      </w:r>
      <w:r w:rsidR="00A90B01" w:rsidRPr="00DD477A">
        <w:rPr>
          <w:rFonts w:cs="Calibri"/>
        </w:rPr>
        <w:t>d</w:t>
      </w:r>
      <w:r w:rsidRPr="00DD477A">
        <w:rPr>
          <w:rFonts w:cs="Calibri"/>
        </w:rPr>
        <w:t xml:space="preserve"> or create</w:t>
      </w:r>
      <w:r w:rsidR="00A90B01" w:rsidRPr="00DD477A">
        <w:rPr>
          <w:rFonts w:cs="Calibri"/>
        </w:rPr>
        <w:t>d</w:t>
      </w:r>
      <w:r w:rsidRPr="00DD477A">
        <w:rPr>
          <w:rFonts w:cs="Calibri"/>
        </w:rPr>
        <w:t xml:space="preserve">. </w:t>
      </w:r>
      <w:r w:rsidRPr="00DD477A" w:rsidDel="00756EA6">
        <w:rPr>
          <w:rFonts w:cs="Calibri"/>
        </w:rPr>
        <w:t xml:space="preserve">If key activities are introduced or altered in the </w:t>
      </w:r>
      <w:r w:rsidR="0081371C">
        <w:rPr>
          <w:rFonts w:cs="Calibri"/>
        </w:rPr>
        <w:t>2026</w:t>
      </w:r>
      <w:r w:rsidR="009B4E17">
        <w:rPr>
          <w:rFonts w:cs="Calibri"/>
        </w:rPr>
        <w:t>–</w:t>
      </w:r>
      <w:r w:rsidR="0081371C">
        <w:rPr>
          <w:rFonts w:cs="Calibri"/>
        </w:rPr>
        <w:t>27</w:t>
      </w:r>
      <w:r w:rsidR="006676D6" w:rsidRPr="00DD477A">
        <w:rPr>
          <w:rFonts w:cs="Calibri"/>
        </w:rPr>
        <w:t> </w:t>
      </w:r>
      <w:r w:rsidRPr="00DD477A" w:rsidDel="00756EA6">
        <w:rPr>
          <w:rFonts w:cs="Calibri"/>
        </w:rPr>
        <w:t>PB</w:t>
      </w:r>
      <w:r w:rsidR="00A261E1" w:rsidRPr="00DD477A" w:rsidDel="00756EA6">
        <w:rPr>
          <w:rFonts w:cs="Calibri"/>
        </w:rPr>
        <w:t xml:space="preserve"> </w:t>
      </w:r>
      <w:r w:rsidRPr="00DD477A" w:rsidDel="00756EA6">
        <w:rPr>
          <w:rFonts w:cs="Calibri"/>
        </w:rPr>
        <w:t>S</w:t>
      </w:r>
      <w:r w:rsidR="00A261E1" w:rsidRPr="00DD477A" w:rsidDel="00756EA6">
        <w:rPr>
          <w:rFonts w:cs="Calibri"/>
        </w:rPr>
        <w:t>tatement</w:t>
      </w:r>
      <w:r w:rsidRPr="00DD477A" w:rsidDel="00756EA6">
        <w:rPr>
          <w:rFonts w:cs="Calibri"/>
        </w:rPr>
        <w:t>,</w:t>
      </w:r>
      <w:r w:rsidRPr="00DD477A">
        <w:rPr>
          <w:rFonts w:cs="Calibri"/>
        </w:rPr>
        <w:t xml:space="preserve"> a footnote to the table </w:t>
      </w:r>
      <w:r w:rsidR="006676D6" w:rsidRPr="00DD477A">
        <w:rPr>
          <w:rFonts w:cs="Calibri"/>
        </w:rPr>
        <w:t xml:space="preserve">should </w:t>
      </w:r>
      <w:r w:rsidRPr="00DD477A">
        <w:rPr>
          <w:rFonts w:cs="Calibri"/>
        </w:rPr>
        <w:t xml:space="preserve">explain this </w:t>
      </w:r>
      <w:r w:rsidRPr="00DD477A" w:rsidDel="00451CD3">
        <w:rPr>
          <w:rFonts w:cs="Calibri"/>
        </w:rPr>
        <w:t>and</w:t>
      </w:r>
      <w:r w:rsidRPr="00DD477A">
        <w:rPr>
          <w:rFonts w:cs="Calibri"/>
        </w:rPr>
        <w:t xml:space="preserve"> the </w:t>
      </w:r>
      <w:r w:rsidR="0081371C">
        <w:rPr>
          <w:rFonts w:cs="Calibri"/>
        </w:rPr>
        <w:t>2026</w:t>
      </w:r>
      <w:r w:rsidR="009B4E17">
        <w:rPr>
          <w:rFonts w:cs="Calibri"/>
        </w:rPr>
        <w:t>–</w:t>
      </w:r>
      <w:r w:rsidR="0081371C">
        <w:rPr>
          <w:rFonts w:cs="Calibri"/>
        </w:rPr>
        <w:t>27</w:t>
      </w:r>
      <w:r w:rsidR="003D6367" w:rsidRPr="00DD477A">
        <w:rPr>
          <w:rFonts w:cs="Calibri"/>
        </w:rPr>
        <w:t> </w:t>
      </w:r>
      <w:r w:rsidRPr="00DD477A">
        <w:rPr>
          <w:rFonts w:cs="Calibri"/>
        </w:rPr>
        <w:t xml:space="preserve">corporate plan </w:t>
      </w:r>
      <w:r w:rsidR="006437D6" w:rsidRPr="00DD477A">
        <w:rPr>
          <w:rFonts w:cs="Calibri"/>
        </w:rPr>
        <w:t>sh</w:t>
      </w:r>
      <w:r w:rsidRPr="00DD477A">
        <w:rPr>
          <w:rFonts w:cs="Calibri"/>
        </w:rPr>
        <w:t xml:space="preserve">ould </w:t>
      </w:r>
      <w:r w:rsidRPr="00DD477A" w:rsidDel="00451CD3">
        <w:rPr>
          <w:rFonts w:cs="Calibri"/>
        </w:rPr>
        <w:t>reflect the new or altered key activities.</w:t>
      </w:r>
    </w:p>
    <w:p w14:paraId="5B21AA26" w14:textId="12B62B58" w:rsidR="004D48BB" w:rsidRPr="00DD477A" w:rsidRDefault="00541FE5" w:rsidP="00F611EB">
      <w:pPr>
        <w:rPr>
          <w:rFonts w:cs="Calibri"/>
        </w:rPr>
      </w:pPr>
      <w:r w:rsidRPr="00DD477A">
        <w:rPr>
          <w:rFonts w:cs="Calibri"/>
        </w:rPr>
        <w:t>For further information on key activities refer to</w:t>
      </w:r>
      <w:r w:rsidRPr="00DD477A">
        <w:rPr>
          <w:rFonts w:cs="Calibri"/>
          <w:i/>
          <w:iCs/>
        </w:rPr>
        <w:t xml:space="preserve"> </w:t>
      </w:r>
      <w:hyperlink r:id="rId162">
        <w:r w:rsidR="004545D7">
          <w:rPr>
            <w:rStyle w:val="Hyperlink"/>
          </w:rPr>
          <w:t>RMG 132 Corporate plans for Commonwealth entities</w:t>
        </w:r>
      </w:hyperlink>
      <w:r w:rsidRPr="00DD477A">
        <w:rPr>
          <w:rFonts w:cs="Calibri"/>
        </w:rPr>
        <w:t>.</w:t>
      </w:r>
    </w:p>
    <w:tbl>
      <w:tblPr>
        <w:tblW w:w="0" w:type="auto"/>
        <w:tblInd w:w="-3" w:type="dxa"/>
        <w:tblBorders>
          <w:top w:val="single" w:sz="2" w:space="0" w:color="A7B4BE"/>
          <w:left w:val="single" w:sz="2" w:space="0" w:color="A7B4BE"/>
          <w:bottom w:val="single" w:sz="2" w:space="0" w:color="A7B4BE"/>
          <w:right w:val="single" w:sz="2" w:space="0" w:color="A7B4BE"/>
        </w:tblBorders>
        <w:tblCellMar>
          <w:left w:w="0" w:type="dxa"/>
          <w:right w:w="0" w:type="dxa"/>
        </w:tblCellMar>
        <w:tblLook w:val="04A0" w:firstRow="1" w:lastRow="0" w:firstColumn="1" w:lastColumn="0" w:noHBand="0" w:noVBand="1"/>
      </w:tblPr>
      <w:tblGrid>
        <w:gridCol w:w="8691"/>
      </w:tblGrid>
      <w:tr w:rsidR="006437D6" w:rsidRPr="00DD477A" w14:paraId="7074591A" w14:textId="77777777" w:rsidTr="000A77C7">
        <w:trPr>
          <w:trHeight w:val="350"/>
        </w:trPr>
        <w:tc>
          <w:tcPr>
            <w:tcW w:w="8691" w:type="dxa"/>
            <w:tcBorders>
              <w:bottom w:val="nil"/>
            </w:tcBorders>
            <w:shd w:val="clear" w:color="auto" w:fill="DDF3FA"/>
          </w:tcPr>
          <w:p w14:paraId="35895450" w14:textId="77777777" w:rsidR="006437D6" w:rsidRPr="00DD477A" w:rsidRDefault="006437D6" w:rsidP="000A77C7">
            <w:pPr>
              <w:pStyle w:val="TableText-Normal"/>
              <w:rPr>
                <w:rFonts w:cs="Calibri"/>
              </w:rPr>
            </w:pPr>
            <w:r w:rsidRPr="00DD477A">
              <w:rPr>
                <w:rFonts w:cs="Calibri"/>
              </w:rPr>
              <w:t>Identifying material changes</w:t>
            </w:r>
          </w:p>
        </w:tc>
      </w:tr>
      <w:tr w:rsidR="006437D6" w:rsidRPr="00DD477A" w14:paraId="755D3B03" w14:textId="77777777" w:rsidTr="00A85E0D">
        <w:trPr>
          <w:trHeight w:val="2286"/>
        </w:trPr>
        <w:tc>
          <w:tcPr>
            <w:tcW w:w="8691" w:type="dxa"/>
            <w:tcBorders>
              <w:top w:val="nil"/>
              <w:bottom w:val="single" w:sz="2" w:space="0" w:color="A7B4BE"/>
            </w:tcBorders>
          </w:tcPr>
          <w:p w14:paraId="070B8A06" w14:textId="77777777" w:rsidR="006437D6" w:rsidRPr="00DD477A" w:rsidRDefault="006437D6" w:rsidP="000A77C7">
            <w:pPr>
              <w:pStyle w:val="TableText-Normal"/>
              <w:rPr>
                <w:rFonts w:cs="Calibri"/>
              </w:rPr>
            </w:pPr>
            <w:r w:rsidRPr="00DD477A">
              <w:rPr>
                <w:rFonts w:cs="Calibri"/>
              </w:rPr>
              <w:t>Considerations as to whether a material change to program delivery has occurred should include:</w:t>
            </w:r>
          </w:p>
          <w:p w14:paraId="75BE1936" w14:textId="69B634D7" w:rsidR="006437D6" w:rsidRDefault="006437D6" w:rsidP="006437D6">
            <w:pPr>
              <w:pStyle w:val="TableText-Normal-DotPoint"/>
              <w:spacing w:line="220" w:lineRule="atLeast"/>
              <w:rPr>
                <w:rFonts w:cs="Calibri"/>
              </w:rPr>
            </w:pPr>
            <w:r w:rsidRPr="00DD477A">
              <w:rPr>
                <w:rFonts w:cs="Calibri"/>
              </w:rPr>
              <w:t>have the activities through which the program is delivered substantially changed</w:t>
            </w:r>
          </w:p>
          <w:p w14:paraId="589D539A" w14:textId="77777777" w:rsidR="00637B09" w:rsidRPr="00DD477A" w:rsidRDefault="00637B09" w:rsidP="00637B09">
            <w:pPr>
              <w:pStyle w:val="TableText-Normal-DotPoint"/>
              <w:spacing w:line="220" w:lineRule="atLeast"/>
              <w:rPr>
                <w:rFonts w:cs="Calibri"/>
              </w:rPr>
            </w:pPr>
            <w:r w:rsidRPr="00DD477A">
              <w:rPr>
                <w:rFonts w:cs="Calibri"/>
              </w:rPr>
              <w:t>has the objective or intended impact of the program changed</w:t>
            </w:r>
          </w:p>
          <w:p w14:paraId="18DA1B84" w14:textId="77777777" w:rsidR="006437D6" w:rsidRPr="00DD477A" w:rsidRDefault="006437D6" w:rsidP="006437D6">
            <w:pPr>
              <w:pStyle w:val="TableText-Normal-DotPoint"/>
              <w:spacing w:line="220" w:lineRule="atLeast"/>
              <w:rPr>
                <w:rFonts w:cs="Calibri"/>
              </w:rPr>
            </w:pPr>
            <w:r w:rsidRPr="00DD477A">
              <w:rPr>
                <w:rFonts w:cs="Calibri"/>
              </w:rPr>
              <w:t>has the target group changed.</w:t>
            </w:r>
          </w:p>
          <w:p w14:paraId="025E43D7" w14:textId="77777777" w:rsidR="006437D6" w:rsidRPr="00DD477A" w:rsidRDefault="006437D6" w:rsidP="000A77C7">
            <w:pPr>
              <w:pStyle w:val="TableText-Normal"/>
              <w:rPr>
                <w:rFonts w:cs="Calibri"/>
              </w:rPr>
            </w:pPr>
            <w:r w:rsidRPr="00DD477A">
              <w:rPr>
                <w:rFonts w:cs="Calibri"/>
              </w:rPr>
              <w:t>Changes in funding for a program alone do not constitute a material change for the delivery and related performance information.</w:t>
            </w:r>
          </w:p>
        </w:tc>
      </w:tr>
      <w:tr w:rsidR="006437D6" w:rsidRPr="00DD477A" w14:paraId="1F230F7B" w14:textId="77777777" w:rsidTr="000A77C7">
        <w:trPr>
          <w:trHeight w:val="2560"/>
        </w:trPr>
        <w:tc>
          <w:tcPr>
            <w:tcW w:w="8691" w:type="dxa"/>
            <w:tcBorders>
              <w:top w:val="single" w:sz="2" w:space="0" w:color="A7B4BE"/>
            </w:tcBorders>
          </w:tcPr>
          <w:p w14:paraId="14ADCCDE" w14:textId="77777777" w:rsidR="006437D6" w:rsidRPr="00DD477A" w:rsidRDefault="006437D6" w:rsidP="000A77C7">
            <w:pPr>
              <w:pStyle w:val="TableText-Normal"/>
              <w:rPr>
                <w:rFonts w:cs="Calibri"/>
              </w:rPr>
            </w:pPr>
            <w:r w:rsidRPr="00DD477A">
              <w:rPr>
                <w:rFonts w:cs="Calibri"/>
              </w:rPr>
              <w:t>Example:</w:t>
            </w:r>
          </w:p>
          <w:p w14:paraId="6A9924E8" w14:textId="54C04FB9" w:rsidR="006437D6" w:rsidRPr="00DD477A" w:rsidRDefault="006437D6" w:rsidP="000A77C7">
            <w:pPr>
              <w:pStyle w:val="TableText-Normal-DotPoint"/>
              <w:numPr>
                <w:ilvl w:val="0"/>
                <w:numId w:val="0"/>
              </w:numPr>
              <w:ind w:left="142"/>
              <w:rPr>
                <w:rFonts w:cs="Calibri"/>
              </w:rPr>
            </w:pPr>
            <w:r w:rsidRPr="00DD477A">
              <w:rPr>
                <w:rFonts w:cs="Calibri"/>
              </w:rPr>
              <w:t xml:space="preserve">If a program to </w:t>
            </w:r>
            <w:r w:rsidR="00124CAA">
              <w:rPr>
                <w:rFonts w:cs="Calibri"/>
              </w:rPr>
              <w:t>discourage</w:t>
            </w:r>
            <w:r w:rsidR="00124CAA" w:rsidRPr="00DD477A">
              <w:rPr>
                <w:rFonts w:cs="Calibri"/>
              </w:rPr>
              <w:t xml:space="preserve"> </w:t>
            </w:r>
            <w:r w:rsidRPr="00DD477A">
              <w:rPr>
                <w:rFonts w:cs="Calibri"/>
              </w:rPr>
              <w:t>young people from smoking:</w:t>
            </w:r>
          </w:p>
          <w:p w14:paraId="1029C455" w14:textId="368B0427" w:rsidR="006437D6" w:rsidRPr="00DD477A" w:rsidRDefault="006437D6" w:rsidP="006437D6">
            <w:pPr>
              <w:pStyle w:val="TableText-Normal-DotPoint"/>
              <w:spacing w:line="220" w:lineRule="atLeast"/>
              <w:rPr>
                <w:rFonts w:cs="Calibri"/>
              </w:rPr>
            </w:pPr>
            <w:r w:rsidRPr="00DD477A">
              <w:rPr>
                <w:rFonts w:cs="Calibri"/>
              </w:rPr>
              <w:t xml:space="preserve">receives increased funding for an anti-smoking advertising campaign that targets school-aged children, </w:t>
            </w:r>
            <w:r w:rsidR="00C2646A">
              <w:rPr>
                <w:rFonts w:cs="Calibri"/>
              </w:rPr>
              <w:t>however</w:t>
            </w:r>
            <w:r w:rsidR="003C2336">
              <w:rPr>
                <w:rFonts w:cs="Calibri"/>
              </w:rPr>
              <w:t>,</w:t>
            </w:r>
            <w:r w:rsidRPr="00DD477A">
              <w:rPr>
                <w:rFonts w:cs="Calibri"/>
              </w:rPr>
              <w:t xml:space="preserve"> the mode of delivery</w:t>
            </w:r>
            <w:r w:rsidR="003C2336">
              <w:rPr>
                <w:rFonts w:cs="Calibri"/>
              </w:rPr>
              <w:t>, program objective</w:t>
            </w:r>
            <w:r w:rsidR="003A2423">
              <w:rPr>
                <w:rFonts w:cs="Calibri"/>
              </w:rPr>
              <w:t xml:space="preserve"> </w:t>
            </w:r>
            <w:r w:rsidR="003C2336">
              <w:rPr>
                <w:rFonts w:cs="Calibri"/>
              </w:rPr>
              <w:t>and</w:t>
            </w:r>
            <w:r w:rsidRPr="00DD477A">
              <w:rPr>
                <w:rFonts w:cs="Calibri"/>
              </w:rPr>
              <w:t xml:space="preserve"> the target group</w:t>
            </w:r>
            <w:r w:rsidR="003C2336">
              <w:rPr>
                <w:rFonts w:cs="Calibri"/>
              </w:rPr>
              <w:t xml:space="preserve"> remains the same</w:t>
            </w:r>
            <w:r w:rsidRPr="00DD477A">
              <w:rPr>
                <w:rFonts w:cs="Calibri"/>
              </w:rPr>
              <w:t xml:space="preserve">, </w:t>
            </w:r>
            <w:r w:rsidR="003C2336">
              <w:rPr>
                <w:rFonts w:cs="Calibri"/>
              </w:rPr>
              <w:t xml:space="preserve">this would not be considered </w:t>
            </w:r>
            <w:r w:rsidRPr="00DD477A">
              <w:rPr>
                <w:rFonts w:cs="Calibri"/>
              </w:rPr>
              <w:t xml:space="preserve">a material program change </w:t>
            </w:r>
            <w:r w:rsidR="003C2336">
              <w:rPr>
                <w:rFonts w:cs="Calibri"/>
              </w:rPr>
              <w:t>to the program</w:t>
            </w:r>
            <w:r w:rsidRPr="00DD477A">
              <w:rPr>
                <w:rFonts w:cs="Calibri"/>
              </w:rPr>
              <w:t xml:space="preserve">. </w:t>
            </w:r>
          </w:p>
          <w:p w14:paraId="7C09CDA4" w14:textId="77777777" w:rsidR="006437D6" w:rsidRPr="00DD477A" w:rsidRDefault="006437D6" w:rsidP="006437D6">
            <w:pPr>
              <w:pStyle w:val="TableText-Normal-DotPoint"/>
              <w:spacing w:line="220" w:lineRule="atLeast"/>
              <w:rPr>
                <w:rFonts w:cs="Calibri"/>
              </w:rPr>
            </w:pPr>
            <w:r w:rsidRPr="00DD477A">
              <w:rPr>
                <w:rFonts w:cs="Calibri"/>
              </w:rPr>
              <w:t>However, a material program change would be deemed to have occurred if the advertising campaign is substituted with an anti-smoking unit within the school curriculum because the delivery mechanism has changed.</w:t>
            </w:r>
          </w:p>
        </w:tc>
      </w:tr>
    </w:tbl>
    <w:p w14:paraId="00580208" w14:textId="1056C6CE" w:rsidR="00FA0945" w:rsidRPr="00DD477A" w:rsidRDefault="53BF0693" w:rsidP="003D6589">
      <w:pPr>
        <w:pStyle w:val="Heading3"/>
      </w:pPr>
      <w:bookmarkStart w:id="1197" w:name="_Toc94873677"/>
      <w:bookmarkStart w:id="1198" w:name="_Toc94873678"/>
      <w:bookmarkStart w:id="1199" w:name="_Toc94873679"/>
      <w:bookmarkStart w:id="1200" w:name="_Toc94873680"/>
      <w:bookmarkStart w:id="1201" w:name="_Toc94873681"/>
      <w:bookmarkStart w:id="1202" w:name="_Toc94873682"/>
      <w:bookmarkStart w:id="1203" w:name="_Toc94873683"/>
      <w:bookmarkStart w:id="1204" w:name="_Toc94873684"/>
      <w:bookmarkStart w:id="1205" w:name="_Toc534382569"/>
      <w:bookmarkStart w:id="1206" w:name="_Ref62052309"/>
      <w:bookmarkStart w:id="1207" w:name="_Ref62052762"/>
      <w:bookmarkStart w:id="1208" w:name="_Toc63347722"/>
      <w:bookmarkStart w:id="1209" w:name="_Toc227749054"/>
      <w:bookmarkEnd w:id="1197"/>
      <w:bookmarkEnd w:id="1198"/>
      <w:bookmarkEnd w:id="1199"/>
      <w:bookmarkEnd w:id="1200"/>
      <w:bookmarkEnd w:id="1201"/>
      <w:bookmarkEnd w:id="1202"/>
      <w:bookmarkEnd w:id="1203"/>
      <w:bookmarkEnd w:id="1204"/>
      <w:r w:rsidRPr="00DD477A">
        <w:t>Performance measures</w:t>
      </w:r>
      <w:bookmarkEnd w:id="1205"/>
      <w:bookmarkEnd w:id="1206"/>
      <w:bookmarkEnd w:id="1207"/>
      <w:bookmarkEnd w:id="1208"/>
      <w:bookmarkEnd w:id="1209"/>
    </w:p>
    <w:p w14:paraId="4B52AC72" w14:textId="39002BCA" w:rsidR="00CF269C" w:rsidRPr="00DD477A" w:rsidRDefault="005F2C95" w:rsidP="000A7DEC">
      <w:pPr>
        <w:rPr>
          <w:rFonts w:cs="Calibri"/>
        </w:rPr>
      </w:pPr>
      <w:r w:rsidRPr="00DD477A">
        <w:rPr>
          <w:rFonts w:cs="Calibri"/>
        </w:rPr>
        <w:t>P</w:t>
      </w:r>
      <w:r w:rsidR="53BF0693" w:rsidRPr="00DD477A">
        <w:rPr>
          <w:rFonts w:cs="Calibri"/>
        </w:rPr>
        <w:t>erformance measures for each program associated with each Outcome X</w:t>
      </w:r>
      <w:r w:rsidRPr="00DD477A">
        <w:rPr>
          <w:rFonts w:cs="Calibri"/>
        </w:rPr>
        <w:t xml:space="preserve"> </w:t>
      </w:r>
      <w:r w:rsidR="00A9306A" w:rsidRPr="00DD477A">
        <w:rPr>
          <w:rFonts w:cs="Calibri"/>
        </w:rPr>
        <w:t>require inclusion in Table 2.X.3</w:t>
      </w:r>
      <w:r w:rsidR="53BF0693" w:rsidRPr="00DD477A">
        <w:rPr>
          <w:rFonts w:cs="Calibri"/>
        </w:rPr>
        <w:t>.</w:t>
      </w:r>
    </w:p>
    <w:p w14:paraId="3DAE6C74" w14:textId="63DC5D9C" w:rsidR="00CF269C" w:rsidRPr="00DD477A" w:rsidRDefault="53BF0693" w:rsidP="000A7DEC">
      <w:pPr>
        <w:pStyle w:val="Boxed2Text"/>
        <w:rPr>
          <w:rFonts w:cs="Calibri"/>
        </w:rPr>
      </w:pPr>
      <w:r w:rsidRPr="00DD477A">
        <w:rPr>
          <w:rFonts w:cs="Calibri"/>
        </w:rPr>
        <w:t xml:space="preserve">The Finance Secretary Direction under subsection 36(3) of the PGPA Act requires there to be at </w:t>
      </w:r>
      <w:r w:rsidRPr="00DD477A">
        <w:rPr>
          <w:rFonts w:cs="Calibri"/>
          <w:b/>
          <w:bCs/>
        </w:rPr>
        <w:t xml:space="preserve">least one </w:t>
      </w:r>
      <w:r w:rsidR="00DD4D9E">
        <w:rPr>
          <w:rFonts w:cs="Calibri"/>
          <w:b/>
          <w:bCs/>
        </w:rPr>
        <w:t>high</w:t>
      </w:r>
      <w:r w:rsidR="00821642">
        <w:rPr>
          <w:rFonts w:cs="Calibri"/>
          <w:b/>
          <w:bCs/>
        </w:rPr>
        <w:t xml:space="preserve"> </w:t>
      </w:r>
      <w:r w:rsidR="00DD4D9E">
        <w:rPr>
          <w:rFonts w:cs="Calibri"/>
          <w:b/>
          <w:bCs/>
        </w:rPr>
        <w:t xml:space="preserve">level </w:t>
      </w:r>
      <w:r w:rsidRPr="00DD477A">
        <w:rPr>
          <w:rFonts w:cs="Calibri"/>
          <w:b/>
          <w:bCs/>
        </w:rPr>
        <w:t xml:space="preserve">performance </w:t>
      </w:r>
      <w:r w:rsidR="008B1914">
        <w:rPr>
          <w:rFonts w:cs="Calibri"/>
          <w:b/>
          <w:bCs/>
        </w:rPr>
        <w:t>measure</w:t>
      </w:r>
      <w:r w:rsidR="008B1914" w:rsidRPr="00DD477A">
        <w:rPr>
          <w:rFonts w:cs="Calibri"/>
        </w:rPr>
        <w:t xml:space="preserve"> </w:t>
      </w:r>
      <w:r w:rsidRPr="00DD477A">
        <w:rPr>
          <w:rFonts w:cs="Calibri"/>
        </w:rPr>
        <w:t>for each</w:t>
      </w:r>
      <w:r w:rsidR="00073C8F">
        <w:rPr>
          <w:rFonts w:cs="Calibri"/>
        </w:rPr>
        <w:t xml:space="preserve"> existing</w:t>
      </w:r>
      <w:r w:rsidRPr="00DD477A">
        <w:rPr>
          <w:rFonts w:cs="Calibri"/>
        </w:rPr>
        <w:t xml:space="preserve"> program.</w:t>
      </w:r>
    </w:p>
    <w:p w14:paraId="67837A9A" w14:textId="0E2B1587" w:rsidR="00FA0945" w:rsidRPr="00DD477A" w:rsidRDefault="00BB6B5E" w:rsidP="000A7DEC">
      <w:pPr>
        <w:rPr>
          <w:rFonts w:cs="Calibri"/>
        </w:rPr>
      </w:pPr>
      <w:r w:rsidRPr="00DD477A">
        <w:rPr>
          <w:rFonts w:cs="Calibri"/>
        </w:rPr>
        <w:t>The p</w:t>
      </w:r>
      <w:r w:rsidR="00FA0945" w:rsidRPr="00DD477A">
        <w:rPr>
          <w:rFonts w:cs="Calibri"/>
        </w:rPr>
        <w:t xml:space="preserve">erformance </w:t>
      </w:r>
      <w:r w:rsidR="0057288F" w:rsidRPr="00DD477A">
        <w:rPr>
          <w:rFonts w:cs="Calibri"/>
        </w:rPr>
        <w:t>measures</w:t>
      </w:r>
      <w:r w:rsidR="00583082" w:rsidRPr="00DD477A">
        <w:rPr>
          <w:rFonts w:cs="Calibri"/>
        </w:rPr>
        <w:t>,</w:t>
      </w:r>
      <w:r w:rsidR="00907A92" w:rsidRPr="00DD477A">
        <w:rPr>
          <w:rFonts w:cs="Calibri"/>
        </w:rPr>
        <w:t xml:space="preserve"> </w:t>
      </w:r>
      <w:r w:rsidR="004A506D">
        <w:rPr>
          <w:rFonts w:cs="Calibri"/>
        </w:rPr>
        <w:t>planne</w:t>
      </w:r>
      <w:r w:rsidR="001946A1">
        <w:rPr>
          <w:rFonts w:cs="Calibri"/>
        </w:rPr>
        <w:t>d</w:t>
      </w:r>
      <w:r w:rsidR="004C53F0">
        <w:rPr>
          <w:rFonts w:cs="Calibri"/>
        </w:rPr>
        <w:t xml:space="preserve"> </w:t>
      </w:r>
      <w:r w:rsidR="00430AD5">
        <w:rPr>
          <w:rFonts w:cs="Calibri"/>
        </w:rPr>
        <w:t xml:space="preserve">or expected </w:t>
      </w:r>
      <w:r w:rsidR="004C53F0">
        <w:rPr>
          <w:rFonts w:cs="Calibri"/>
        </w:rPr>
        <w:t>performance results</w:t>
      </w:r>
      <w:r w:rsidR="00430AD5">
        <w:rPr>
          <w:rFonts w:cs="Calibri"/>
        </w:rPr>
        <w:t xml:space="preserve">, </w:t>
      </w:r>
      <w:r w:rsidR="00907A92" w:rsidRPr="00DD477A">
        <w:rPr>
          <w:rFonts w:cs="Calibri"/>
        </w:rPr>
        <w:t xml:space="preserve">associated targets </w:t>
      </w:r>
      <w:r w:rsidR="00FD6F89" w:rsidRPr="00DD477A">
        <w:rPr>
          <w:rFonts w:cs="Calibri"/>
        </w:rPr>
        <w:t xml:space="preserve">(where </w:t>
      </w:r>
      <w:r w:rsidR="00CA66F6" w:rsidRPr="00DD477A">
        <w:rPr>
          <w:rFonts w:cs="Calibri"/>
        </w:rPr>
        <w:t>it is reasonably practicable to set a target</w:t>
      </w:r>
      <w:r w:rsidR="00FD6F89" w:rsidRPr="00DD477A">
        <w:rPr>
          <w:rFonts w:cs="Calibri"/>
        </w:rPr>
        <w:t xml:space="preserve">) </w:t>
      </w:r>
      <w:r w:rsidR="00AF5766" w:rsidRPr="00DD477A">
        <w:rPr>
          <w:rFonts w:cs="Calibri"/>
        </w:rPr>
        <w:t xml:space="preserve">and expected date of achievement </w:t>
      </w:r>
      <w:r w:rsidR="00FD6F89" w:rsidRPr="00DD477A">
        <w:rPr>
          <w:rFonts w:cs="Calibri"/>
        </w:rPr>
        <w:t xml:space="preserve">(where </w:t>
      </w:r>
      <w:r w:rsidR="00CA66F6" w:rsidRPr="00DD477A">
        <w:rPr>
          <w:rFonts w:cs="Calibri"/>
        </w:rPr>
        <w:t>relevant</w:t>
      </w:r>
      <w:r w:rsidR="00FD6F89" w:rsidRPr="00DD477A">
        <w:rPr>
          <w:rFonts w:cs="Calibri"/>
        </w:rPr>
        <w:t xml:space="preserve">) </w:t>
      </w:r>
      <w:r w:rsidR="00FA0945" w:rsidRPr="00DD477A">
        <w:rPr>
          <w:rFonts w:cs="Calibri"/>
        </w:rPr>
        <w:t xml:space="preserve">included in Table 2.X.3 indicate how an entity will </w:t>
      </w:r>
      <w:r w:rsidR="00FC3963" w:rsidRPr="00DD477A">
        <w:rPr>
          <w:rFonts w:cs="Calibri"/>
        </w:rPr>
        <w:t xml:space="preserve">measure and </w:t>
      </w:r>
      <w:r w:rsidR="00FA0945" w:rsidRPr="00DD477A">
        <w:rPr>
          <w:rFonts w:cs="Calibri"/>
        </w:rPr>
        <w:t xml:space="preserve">assess </w:t>
      </w:r>
      <w:r w:rsidR="00FC3963" w:rsidRPr="00DD477A">
        <w:rPr>
          <w:rFonts w:cs="Calibri"/>
        </w:rPr>
        <w:t>progress towards achieving a program’s objectives.</w:t>
      </w:r>
      <w:r w:rsidR="00FA0945" w:rsidRPr="00DD477A">
        <w:rPr>
          <w:rFonts w:cs="Calibri"/>
        </w:rPr>
        <w:t xml:space="preserve"> </w:t>
      </w:r>
      <w:r w:rsidR="002F07C3">
        <w:rPr>
          <w:rFonts w:cs="Calibri"/>
        </w:rPr>
        <w:t xml:space="preserve">Each performance measure should be reported </w:t>
      </w:r>
      <w:r w:rsidR="008D0455">
        <w:rPr>
          <w:rFonts w:cs="Calibri"/>
        </w:rPr>
        <w:t xml:space="preserve">in separate boxes or </w:t>
      </w:r>
      <w:r w:rsidR="00583025">
        <w:rPr>
          <w:rFonts w:cs="Calibri"/>
        </w:rPr>
        <w:t>on</w:t>
      </w:r>
      <w:r w:rsidR="002F07C3">
        <w:rPr>
          <w:rFonts w:cs="Calibri"/>
        </w:rPr>
        <w:t xml:space="preserve"> separate </w:t>
      </w:r>
      <w:r w:rsidR="00583025">
        <w:rPr>
          <w:rFonts w:cs="Calibri"/>
        </w:rPr>
        <w:t>row</w:t>
      </w:r>
      <w:r w:rsidR="008D0455">
        <w:rPr>
          <w:rFonts w:cs="Calibri"/>
        </w:rPr>
        <w:t>s</w:t>
      </w:r>
      <w:r w:rsidR="00126C0C">
        <w:rPr>
          <w:rFonts w:cs="Calibri"/>
        </w:rPr>
        <w:t xml:space="preserve"> to enable a clear read </w:t>
      </w:r>
      <w:r w:rsidR="00136B5F">
        <w:rPr>
          <w:rFonts w:cs="Calibri"/>
        </w:rPr>
        <w:t xml:space="preserve">of the measure and associated </w:t>
      </w:r>
      <w:r w:rsidR="005407CB">
        <w:rPr>
          <w:rFonts w:cs="Calibri"/>
        </w:rPr>
        <w:t>performance result</w:t>
      </w:r>
      <w:r w:rsidR="002F07C3">
        <w:rPr>
          <w:rFonts w:cs="Calibri"/>
        </w:rPr>
        <w:t>.</w:t>
      </w:r>
    </w:p>
    <w:p w14:paraId="3A034554" w14:textId="5640221F" w:rsidR="00FA0945" w:rsidRPr="00DD477A" w:rsidRDefault="53BF0693" w:rsidP="000A7DEC">
      <w:pPr>
        <w:rPr>
          <w:rFonts w:cs="Calibri"/>
        </w:rPr>
      </w:pPr>
      <w:r w:rsidRPr="00DD477A">
        <w:rPr>
          <w:rFonts w:cs="Calibri"/>
        </w:rPr>
        <w:t xml:space="preserve">Entities should include the following performance information for the </w:t>
      </w:r>
      <w:r w:rsidR="007D3D44" w:rsidRPr="00DD477A">
        <w:rPr>
          <w:rFonts w:cs="Calibri"/>
        </w:rPr>
        <w:t>specific</w:t>
      </w:r>
      <w:r w:rsidRPr="00DD477A">
        <w:rPr>
          <w:rFonts w:cs="Calibri"/>
        </w:rPr>
        <w:t xml:space="preserve"> reporting periods:</w:t>
      </w:r>
    </w:p>
    <w:p w14:paraId="2A878A1F" w14:textId="1F3FCEAA" w:rsidR="00FA0945" w:rsidRPr="00DD477A" w:rsidRDefault="008B0413" w:rsidP="00B54999">
      <w:pPr>
        <w:pStyle w:val="Bullet1"/>
      </w:pPr>
      <w:r>
        <w:rPr>
          <w:b/>
          <w:bCs/>
        </w:rPr>
        <w:t>Current Year</w:t>
      </w:r>
      <w:r w:rsidR="00995509">
        <w:rPr>
          <w:b/>
          <w:bCs/>
        </w:rPr>
        <w:t xml:space="preserve"> </w:t>
      </w:r>
      <w:r w:rsidR="00B11749" w:rsidRPr="00DD477A">
        <w:rPr>
          <w:b/>
          <w:bCs/>
        </w:rPr>
        <w:t>202</w:t>
      </w:r>
      <w:r w:rsidR="001D1AEF">
        <w:rPr>
          <w:b/>
          <w:bCs/>
        </w:rPr>
        <w:t>5</w:t>
      </w:r>
      <w:r w:rsidR="00255757">
        <w:rPr>
          <w:b/>
          <w:bCs/>
        </w:rPr>
        <w:t>–</w:t>
      </w:r>
      <w:r w:rsidR="00B11749" w:rsidRPr="00DD477A">
        <w:rPr>
          <w:b/>
          <w:bCs/>
        </w:rPr>
        <w:t>2</w:t>
      </w:r>
      <w:r w:rsidR="001D1AEF">
        <w:rPr>
          <w:b/>
          <w:bCs/>
        </w:rPr>
        <w:t>6</w:t>
      </w:r>
      <w:r w:rsidR="53BF0693" w:rsidRPr="00DD477A">
        <w:t xml:space="preserve"> </w:t>
      </w:r>
      <w:r w:rsidR="00EB2611" w:rsidRPr="00DD477A">
        <w:t>–</w:t>
      </w:r>
      <w:r w:rsidR="53BF0693" w:rsidRPr="00DD477A">
        <w:t xml:space="preserve"> </w:t>
      </w:r>
      <w:r w:rsidR="00E821A3" w:rsidRPr="00892E30">
        <w:rPr>
          <w:rFonts w:cs="Arial"/>
          <w:szCs w:val="16"/>
        </w:rPr>
        <w:t>Performance measures for 202</w:t>
      </w:r>
      <w:r w:rsidR="001D1AEF">
        <w:rPr>
          <w:rFonts w:cs="Arial"/>
          <w:szCs w:val="16"/>
        </w:rPr>
        <w:t>5</w:t>
      </w:r>
      <w:r w:rsidR="00E821A3" w:rsidRPr="00892E30">
        <w:rPr>
          <w:rFonts w:cs="Arial"/>
          <w:szCs w:val="16"/>
        </w:rPr>
        <w:t>–2</w:t>
      </w:r>
      <w:r w:rsidR="001D1AEF">
        <w:rPr>
          <w:rFonts w:cs="Arial"/>
          <w:szCs w:val="16"/>
        </w:rPr>
        <w:t>6</w:t>
      </w:r>
      <w:r w:rsidR="00E821A3" w:rsidRPr="00892E30">
        <w:rPr>
          <w:rFonts w:cs="Arial"/>
          <w:szCs w:val="16"/>
        </w:rPr>
        <w:t xml:space="preserve"> described in the 202</w:t>
      </w:r>
      <w:r w:rsidR="001D1AEF">
        <w:rPr>
          <w:rFonts w:cs="Arial"/>
          <w:szCs w:val="16"/>
        </w:rPr>
        <w:t>5</w:t>
      </w:r>
      <w:r w:rsidR="00E821A3" w:rsidRPr="00892E30">
        <w:rPr>
          <w:rFonts w:cs="Arial"/>
          <w:szCs w:val="16"/>
        </w:rPr>
        <w:t>–2</w:t>
      </w:r>
      <w:r w:rsidR="001D1AEF">
        <w:rPr>
          <w:rFonts w:cs="Arial"/>
          <w:szCs w:val="16"/>
        </w:rPr>
        <w:t>6</w:t>
      </w:r>
      <w:r w:rsidR="00E821A3" w:rsidRPr="00892E30">
        <w:rPr>
          <w:rFonts w:cs="Arial"/>
          <w:szCs w:val="16"/>
        </w:rPr>
        <w:t xml:space="preserve"> Portfolio Budget Statements</w:t>
      </w:r>
      <w:r w:rsidR="00B40D79" w:rsidRPr="00995509">
        <w:t xml:space="preserve"> and </w:t>
      </w:r>
      <w:r w:rsidR="00995509">
        <w:t>e</w:t>
      </w:r>
      <w:r w:rsidR="00301235" w:rsidRPr="00995509">
        <w:t xml:space="preserve">xpected </w:t>
      </w:r>
      <w:r w:rsidR="53BF0693" w:rsidRPr="00DD477A">
        <w:t xml:space="preserve">performance </w:t>
      </w:r>
      <w:r w:rsidR="00FD6F89" w:rsidRPr="00DD477A">
        <w:t xml:space="preserve">results </w:t>
      </w:r>
      <w:r w:rsidR="53BF0693" w:rsidRPr="00DD477A" w:rsidDel="00C35786">
        <w:t xml:space="preserve">against </w:t>
      </w:r>
      <w:r w:rsidR="00A951C8">
        <w:t xml:space="preserve">each </w:t>
      </w:r>
      <w:r w:rsidR="007B7A13">
        <w:t xml:space="preserve">performance </w:t>
      </w:r>
      <w:r w:rsidR="53BF0693" w:rsidRPr="00DD477A" w:rsidDel="00C35786">
        <w:t xml:space="preserve">measure for </w:t>
      </w:r>
      <w:r w:rsidR="0095585E">
        <w:t>2025</w:t>
      </w:r>
      <w:r w:rsidR="00D84410">
        <w:t>–</w:t>
      </w:r>
      <w:r w:rsidR="0095585E">
        <w:t>26</w:t>
      </w:r>
      <w:r w:rsidR="00C35786" w:rsidRPr="00DD477A">
        <w:t xml:space="preserve"> </w:t>
      </w:r>
      <w:r>
        <w:t xml:space="preserve">as </w:t>
      </w:r>
      <w:r w:rsidR="53BF0693" w:rsidRPr="00DD477A">
        <w:t>described in</w:t>
      </w:r>
      <w:r w:rsidR="000A2153">
        <w:t xml:space="preserve"> the</w:t>
      </w:r>
      <w:r w:rsidR="53BF0693" w:rsidRPr="00DD477A">
        <w:t xml:space="preserve"> </w:t>
      </w:r>
      <w:r w:rsidR="0095585E">
        <w:t>2025</w:t>
      </w:r>
      <w:r w:rsidR="00D84410">
        <w:t>–</w:t>
      </w:r>
      <w:r w:rsidR="0095585E">
        <w:t>26</w:t>
      </w:r>
      <w:r w:rsidR="0007613A" w:rsidRPr="00DD477A">
        <w:t xml:space="preserve"> </w:t>
      </w:r>
      <w:r w:rsidR="53BF0693" w:rsidRPr="00DD477A">
        <w:t>PB Statements</w:t>
      </w:r>
      <w:r w:rsidR="00FD6F89" w:rsidRPr="00DD477A">
        <w:t>. Associated targets and expected dates of achievement are report</w:t>
      </w:r>
      <w:r w:rsidR="00CA66F6" w:rsidRPr="00DD477A">
        <w:t>ed</w:t>
      </w:r>
      <w:r w:rsidR="00FD6F89" w:rsidRPr="00DD477A" w:rsidDel="008876A6">
        <w:t xml:space="preserve"> where these are relevant</w:t>
      </w:r>
      <w:r w:rsidR="00992E23" w:rsidRPr="00DD477A">
        <w:t>.</w:t>
      </w:r>
      <w:r w:rsidR="002F07C3">
        <w:t xml:space="preserve"> </w:t>
      </w:r>
    </w:p>
    <w:p w14:paraId="2CCAA29A" w14:textId="088EA59A" w:rsidR="00FA0945" w:rsidRPr="00DD477A" w:rsidRDefault="00422EAB" w:rsidP="00B54999">
      <w:pPr>
        <w:pStyle w:val="Bullet1"/>
      </w:pPr>
      <w:r>
        <w:rPr>
          <w:b/>
          <w:bCs/>
        </w:rPr>
        <w:t>Budget Year</w:t>
      </w:r>
      <w:r w:rsidR="00900B9D">
        <w:rPr>
          <w:b/>
          <w:bCs/>
        </w:rPr>
        <w:t xml:space="preserve"> </w:t>
      </w:r>
      <w:r w:rsidR="00B11749" w:rsidRPr="00DD477A">
        <w:rPr>
          <w:b/>
          <w:bCs/>
        </w:rPr>
        <w:t>202</w:t>
      </w:r>
      <w:r w:rsidR="008D6299">
        <w:rPr>
          <w:b/>
          <w:bCs/>
        </w:rPr>
        <w:t>6</w:t>
      </w:r>
      <w:r w:rsidR="00255757">
        <w:rPr>
          <w:b/>
          <w:bCs/>
        </w:rPr>
        <w:t>–</w:t>
      </w:r>
      <w:r w:rsidR="00B11749" w:rsidRPr="00DD477A">
        <w:rPr>
          <w:b/>
          <w:bCs/>
        </w:rPr>
        <w:t>2</w:t>
      </w:r>
      <w:r w:rsidR="008D6299">
        <w:rPr>
          <w:b/>
          <w:bCs/>
        </w:rPr>
        <w:t>7</w:t>
      </w:r>
      <w:r w:rsidR="53BF0693" w:rsidRPr="00DD477A">
        <w:t xml:space="preserve"> </w:t>
      </w:r>
      <w:r w:rsidR="00D9483E">
        <w:t xml:space="preserve">– </w:t>
      </w:r>
      <w:r w:rsidR="00B87369" w:rsidRPr="004B3498">
        <w:rPr>
          <w:rFonts w:cs="Arial"/>
          <w:szCs w:val="16"/>
        </w:rPr>
        <w:t xml:space="preserve">Performance </w:t>
      </w:r>
      <w:r w:rsidR="00B87369" w:rsidRPr="00892E30">
        <w:rPr>
          <w:rFonts w:cs="Arial"/>
          <w:szCs w:val="16"/>
        </w:rPr>
        <w:t>measures for assessing performance in 202</w:t>
      </w:r>
      <w:r w:rsidR="008D6299">
        <w:rPr>
          <w:rFonts w:cs="Arial"/>
          <w:szCs w:val="16"/>
        </w:rPr>
        <w:t>6</w:t>
      </w:r>
      <w:r w:rsidR="00B87369" w:rsidRPr="00892E30">
        <w:rPr>
          <w:rFonts w:cs="Arial"/>
          <w:szCs w:val="16"/>
        </w:rPr>
        <w:t>–2</w:t>
      </w:r>
      <w:r w:rsidR="008D6299">
        <w:rPr>
          <w:rFonts w:cs="Arial"/>
          <w:szCs w:val="16"/>
        </w:rPr>
        <w:t>7</w:t>
      </w:r>
      <w:r w:rsidR="00971BF4" w:rsidRPr="00892E30">
        <w:rPr>
          <w:rFonts w:cs="Arial"/>
          <w:szCs w:val="16"/>
        </w:rPr>
        <w:t xml:space="preserve"> and </w:t>
      </w:r>
      <w:r w:rsidR="004B3CC9">
        <w:rPr>
          <w:rFonts w:cs="Arial"/>
          <w:szCs w:val="16"/>
        </w:rPr>
        <w:t xml:space="preserve">a description of </w:t>
      </w:r>
      <w:r w:rsidR="00971BF4" w:rsidRPr="00383D31">
        <w:t>p</w:t>
      </w:r>
      <w:r w:rsidR="00FD6F89" w:rsidRPr="00383D31">
        <w:t xml:space="preserve">lanned </w:t>
      </w:r>
      <w:r w:rsidR="00971BF4" w:rsidRPr="00383D31">
        <w:t>p</w:t>
      </w:r>
      <w:r w:rsidR="00FD6F89" w:rsidRPr="00383D31">
        <w:t xml:space="preserve">erformance </w:t>
      </w:r>
      <w:r w:rsidR="00971BF4" w:rsidRPr="00383D31">
        <w:t>r</w:t>
      </w:r>
      <w:r w:rsidR="00FD6F89" w:rsidRPr="00383D31">
        <w:t>esults</w:t>
      </w:r>
      <w:r w:rsidR="004B3CC9">
        <w:t xml:space="preserve"> </w:t>
      </w:r>
      <w:r w:rsidR="53BF0693" w:rsidRPr="00DD477A">
        <w:t xml:space="preserve">in </w:t>
      </w:r>
      <w:r w:rsidR="0081371C">
        <w:t>2026</w:t>
      </w:r>
      <w:r w:rsidR="008D6299">
        <w:t>–</w:t>
      </w:r>
      <w:r w:rsidR="0081371C">
        <w:t>27</w:t>
      </w:r>
      <w:r w:rsidR="00FD6F89" w:rsidRPr="00DD477A">
        <w:t>. Associated targets and expected dates of achievement are report</w:t>
      </w:r>
      <w:r w:rsidR="00CA66F6" w:rsidRPr="00DD477A">
        <w:t>ed</w:t>
      </w:r>
      <w:r w:rsidR="00FD6F89" w:rsidRPr="00DD477A" w:rsidDel="008876A6">
        <w:t xml:space="preserve"> where these are relevant</w:t>
      </w:r>
      <w:r w:rsidR="00992E23" w:rsidRPr="00DD477A" w:rsidDel="008876A6">
        <w:t>.</w:t>
      </w:r>
    </w:p>
    <w:p w14:paraId="74CCB187" w14:textId="60EB1C0B" w:rsidR="00FA0945" w:rsidRPr="00DD477A" w:rsidRDefault="00065798" w:rsidP="00B54999">
      <w:pPr>
        <w:pStyle w:val="Bullet1"/>
      </w:pPr>
      <w:r w:rsidRPr="004B3CC9">
        <w:rPr>
          <w:b/>
          <w:bCs/>
        </w:rPr>
        <w:t xml:space="preserve">Forward Estimates </w:t>
      </w:r>
      <w:r w:rsidR="00525DB3" w:rsidRPr="004B3CC9">
        <w:rPr>
          <w:b/>
          <w:bCs/>
        </w:rPr>
        <w:t>202</w:t>
      </w:r>
      <w:r w:rsidR="00BA4A70">
        <w:rPr>
          <w:b/>
          <w:bCs/>
        </w:rPr>
        <w:t>7</w:t>
      </w:r>
      <w:r w:rsidR="00255757" w:rsidRPr="004B3CC9">
        <w:rPr>
          <w:b/>
          <w:bCs/>
        </w:rPr>
        <w:t>–</w:t>
      </w:r>
      <w:r w:rsidR="00BA4A70">
        <w:rPr>
          <w:b/>
          <w:bCs/>
        </w:rPr>
        <w:t>30</w:t>
      </w:r>
      <w:r w:rsidR="00525DB3" w:rsidRPr="00892E30">
        <w:t xml:space="preserve"> </w:t>
      </w:r>
      <w:r w:rsidR="00D9483E" w:rsidRPr="004B3CC9">
        <w:rPr>
          <w:b/>
          <w:bCs/>
        </w:rPr>
        <w:t>–</w:t>
      </w:r>
      <w:r w:rsidR="00FD6F89" w:rsidRPr="00DD477A">
        <w:t xml:space="preserve"> </w:t>
      </w:r>
      <w:r w:rsidR="00567460" w:rsidRPr="00567460">
        <w:t>Performance measures for assessing performance over the forward estimates</w:t>
      </w:r>
      <w:r w:rsidR="00567460">
        <w:t xml:space="preserve"> and </w:t>
      </w:r>
      <w:r w:rsidR="004B3CC9">
        <w:t>a description of p</w:t>
      </w:r>
      <w:r w:rsidR="00FD6F89" w:rsidRPr="00DD477A">
        <w:t xml:space="preserve">lanned </w:t>
      </w:r>
      <w:r w:rsidR="001A6088">
        <w:t>p</w:t>
      </w:r>
      <w:r w:rsidR="00FD6F89" w:rsidRPr="00DD477A">
        <w:t xml:space="preserve">erformance </w:t>
      </w:r>
      <w:r w:rsidR="001A6088">
        <w:t>r</w:t>
      </w:r>
      <w:r w:rsidR="00FD6F89" w:rsidRPr="00DD477A">
        <w:t>esults</w:t>
      </w:r>
      <w:r w:rsidR="53BF0693" w:rsidRPr="00DD477A">
        <w:t xml:space="preserve"> </w:t>
      </w:r>
      <w:r w:rsidR="001A6088">
        <w:t>over the forward estimates</w:t>
      </w:r>
      <w:r w:rsidR="00527C65">
        <w:t xml:space="preserve"> </w:t>
      </w:r>
      <w:r w:rsidR="53BF0693" w:rsidRPr="00DD477A">
        <w:t>(</w:t>
      </w:r>
      <w:r w:rsidR="007027C8" w:rsidRPr="00DD477A">
        <w:t>i.e.</w:t>
      </w:r>
      <w:r w:rsidR="53BF0693" w:rsidRPr="00DD477A">
        <w:t xml:space="preserve"> </w:t>
      </w:r>
      <w:r w:rsidR="00B11749" w:rsidRPr="00DD477A">
        <w:t>202</w:t>
      </w:r>
      <w:r w:rsidR="006B5C34">
        <w:t>7</w:t>
      </w:r>
      <w:r w:rsidR="00527C65">
        <w:t>–</w:t>
      </w:r>
      <w:r w:rsidR="00B11749" w:rsidRPr="00DD477A">
        <w:t>2</w:t>
      </w:r>
      <w:r w:rsidR="006B5C34">
        <w:t>8</w:t>
      </w:r>
      <w:r w:rsidR="00803FF3">
        <w:t>,</w:t>
      </w:r>
      <w:r w:rsidR="0007613A" w:rsidRPr="00DD477A">
        <w:t xml:space="preserve"> </w:t>
      </w:r>
      <w:r w:rsidR="00B11749" w:rsidRPr="00DD477A">
        <w:t>202</w:t>
      </w:r>
      <w:r w:rsidR="006B5C34">
        <w:t>8</w:t>
      </w:r>
      <w:r w:rsidR="00527C65">
        <w:t>–</w:t>
      </w:r>
      <w:r w:rsidR="00B11749" w:rsidRPr="00DD477A">
        <w:t>2</w:t>
      </w:r>
      <w:r w:rsidR="006B5C34">
        <w:t>9</w:t>
      </w:r>
      <w:r w:rsidR="00803FF3">
        <w:t xml:space="preserve"> and 202</w:t>
      </w:r>
      <w:r w:rsidR="006B5C34">
        <w:t>9</w:t>
      </w:r>
      <w:r w:rsidR="00527C65">
        <w:t>–</w:t>
      </w:r>
      <w:r w:rsidR="006B5C34">
        <w:t>30</w:t>
      </w:r>
      <w:r w:rsidR="53BF0693" w:rsidRPr="00DD477A">
        <w:t>).</w:t>
      </w:r>
      <w:r w:rsidR="00FD6F89" w:rsidRPr="00DD477A">
        <w:t xml:space="preserve"> Associated targets and expected dates of achievement are report</w:t>
      </w:r>
      <w:r w:rsidR="00CA66F6" w:rsidRPr="00DD477A">
        <w:t>ed</w:t>
      </w:r>
      <w:r w:rsidR="00FD6F89" w:rsidRPr="00DD477A" w:rsidDel="008876A6">
        <w:t xml:space="preserve"> where these are relevant</w:t>
      </w:r>
      <w:r w:rsidR="00FD6F89" w:rsidRPr="00DD477A">
        <w:t>.</w:t>
      </w:r>
    </w:p>
    <w:p w14:paraId="6BC38219" w14:textId="28676D35" w:rsidR="00FA0945" w:rsidRPr="00DD477A" w:rsidRDefault="00AB3CBE" w:rsidP="00580008">
      <w:pPr>
        <w:pStyle w:val="Boxed2Text"/>
        <w:rPr>
          <w:rFonts w:cs="Calibri"/>
        </w:rPr>
      </w:pPr>
      <w:r>
        <w:rPr>
          <w:rFonts w:cs="Calibri"/>
          <w:bCs/>
        </w:rPr>
        <w:t>Where</w:t>
      </w:r>
      <w:r w:rsidRPr="00DD477A">
        <w:rPr>
          <w:rFonts w:cs="Calibri"/>
        </w:rPr>
        <w:t xml:space="preserve"> </w:t>
      </w:r>
      <w:r w:rsidR="53BF0693" w:rsidRPr="00DD477A">
        <w:rPr>
          <w:rFonts w:cs="Calibri"/>
        </w:rPr>
        <w:t>the performance measures and</w:t>
      </w:r>
      <w:r w:rsidR="00EE607C">
        <w:rPr>
          <w:rFonts w:cs="Calibri"/>
        </w:rPr>
        <w:t>/or</w:t>
      </w:r>
      <w:r w:rsidR="53BF0693" w:rsidRPr="00DD477A">
        <w:rPr>
          <w:rFonts w:cs="Calibri"/>
        </w:rPr>
        <w:t xml:space="preserve"> associated </w:t>
      </w:r>
      <w:r w:rsidR="00E31513">
        <w:rPr>
          <w:rFonts w:cs="Calibri"/>
        </w:rPr>
        <w:t xml:space="preserve">planned </w:t>
      </w:r>
      <w:r w:rsidR="002C7A97">
        <w:rPr>
          <w:rFonts w:cs="Calibri"/>
        </w:rPr>
        <w:t>performance results</w:t>
      </w:r>
      <w:r w:rsidR="002C7A97" w:rsidRPr="00DD477A">
        <w:rPr>
          <w:rFonts w:cs="Calibri"/>
        </w:rPr>
        <w:t xml:space="preserve"> </w:t>
      </w:r>
      <w:r w:rsidR="53BF0693" w:rsidRPr="00DD477A" w:rsidDel="00072122">
        <w:rPr>
          <w:rFonts w:cs="Calibri"/>
        </w:rPr>
        <w:t>are the same</w:t>
      </w:r>
      <w:r w:rsidR="00B541BD">
        <w:rPr>
          <w:rFonts w:cs="Calibri"/>
        </w:rPr>
        <w:t xml:space="preserve"> </w:t>
      </w:r>
      <w:r w:rsidR="00EA67EA">
        <w:rPr>
          <w:rFonts w:cs="Calibri"/>
        </w:rPr>
        <w:t>for</w:t>
      </w:r>
      <w:r w:rsidR="00EC0952">
        <w:rPr>
          <w:rFonts w:cs="Calibri"/>
        </w:rPr>
        <w:t xml:space="preserve"> the Budget Year and Forward Estimates, </w:t>
      </w:r>
      <w:r w:rsidR="53BF0693" w:rsidRPr="00DD477A">
        <w:rPr>
          <w:rFonts w:cs="Calibri"/>
        </w:rPr>
        <w:t xml:space="preserve">entities may </w:t>
      </w:r>
      <w:r w:rsidR="53BF0693" w:rsidRPr="00DD477A" w:rsidDel="00072122">
        <w:rPr>
          <w:rFonts w:cs="Calibri"/>
        </w:rPr>
        <w:t xml:space="preserve">wish to </w:t>
      </w:r>
      <w:r w:rsidR="00B71DDF">
        <w:rPr>
          <w:rFonts w:cs="Calibri"/>
        </w:rPr>
        <w:t>use</w:t>
      </w:r>
      <w:r w:rsidR="005F154D">
        <w:rPr>
          <w:rFonts w:cs="Calibri"/>
        </w:rPr>
        <w:t>:</w:t>
      </w:r>
      <w:r w:rsidR="008A2C12" w:rsidRPr="00DD477A" w:rsidDel="00894C4D">
        <w:rPr>
          <w:rFonts w:cs="Calibri"/>
        </w:rPr>
        <w:t xml:space="preserve"> </w:t>
      </w:r>
      <w:r w:rsidR="006714EB" w:rsidRPr="00DD477A">
        <w:rPr>
          <w:rFonts w:cs="Calibri"/>
        </w:rPr>
        <w:t>‘</w:t>
      </w:r>
      <w:r w:rsidR="005F154D">
        <w:rPr>
          <w:rFonts w:cs="Calibri"/>
        </w:rPr>
        <w:t>A</w:t>
      </w:r>
      <w:r w:rsidR="53BF0693" w:rsidRPr="00DD477A">
        <w:rPr>
          <w:rFonts w:cs="Calibri"/>
        </w:rPr>
        <w:t xml:space="preserve">s per </w:t>
      </w:r>
      <w:r w:rsidR="00B11749" w:rsidRPr="00DD477A">
        <w:rPr>
          <w:rFonts w:cs="Calibri"/>
        </w:rPr>
        <w:t>202</w:t>
      </w:r>
      <w:r w:rsidR="006B5C34">
        <w:rPr>
          <w:rFonts w:cs="Calibri"/>
        </w:rPr>
        <w:t>6</w:t>
      </w:r>
      <w:r w:rsidR="00C91BD2">
        <w:rPr>
          <w:rFonts w:cs="Calibri"/>
        </w:rPr>
        <w:t>–</w:t>
      </w:r>
      <w:r w:rsidR="00B11749" w:rsidRPr="00DD477A">
        <w:rPr>
          <w:rFonts w:cs="Calibri"/>
        </w:rPr>
        <w:t>2</w:t>
      </w:r>
      <w:r w:rsidR="006B5C34">
        <w:rPr>
          <w:rFonts w:cs="Calibri"/>
        </w:rPr>
        <w:t>7</w:t>
      </w:r>
      <w:r w:rsidR="006714EB" w:rsidRPr="00DD477A">
        <w:rPr>
          <w:rFonts w:cs="Calibri"/>
        </w:rPr>
        <w:t>’</w:t>
      </w:r>
      <w:r w:rsidR="53BF0693" w:rsidRPr="00DD477A">
        <w:rPr>
          <w:rFonts w:cs="Calibri"/>
        </w:rPr>
        <w:t xml:space="preserve"> in the </w:t>
      </w:r>
      <w:r w:rsidR="00B116BD">
        <w:rPr>
          <w:rFonts w:cs="Calibri"/>
        </w:rPr>
        <w:t>F</w:t>
      </w:r>
      <w:r w:rsidR="53BF0693" w:rsidRPr="00DD477A">
        <w:rPr>
          <w:rFonts w:cs="Calibri"/>
        </w:rPr>
        <w:t xml:space="preserve">orward </w:t>
      </w:r>
      <w:r w:rsidR="00B116BD">
        <w:rPr>
          <w:rFonts w:cs="Calibri"/>
        </w:rPr>
        <w:t>Estimates</w:t>
      </w:r>
      <w:r w:rsidR="00B116BD" w:rsidRPr="00DD477A">
        <w:rPr>
          <w:rFonts w:cs="Calibri"/>
        </w:rPr>
        <w:t xml:space="preserve"> </w:t>
      </w:r>
      <w:r w:rsidR="53BF0693" w:rsidRPr="00DD477A">
        <w:rPr>
          <w:rFonts w:cs="Calibri"/>
        </w:rPr>
        <w:t>columns to avoid duplicating text.</w:t>
      </w:r>
    </w:p>
    <w:p w14:paraId="4662F53D" w14:textId="77777777" w:rsidR="00907A92" w:rsidRPr="00DD477A" w:rsidRDefault="53BF0693" w:rsidP="003D6589">
      <w:pPr>
        <w:pStyle w:val="Heading3"/>
      </w:pPr>
      <w:bookmarkStart w:id="1210" w:name="_Toc227749055"/>
      <w:r w:rsidRPr="00DD477A">
        <w:t>Associated targets</w:t>
      </w:r>
      <w:bookmarkEnd w:id="1210"/>
    </w:p>
    <w:p w14:paraId="5D66FE40" w14:textId="726AFB28" w:rsidR="00907A92" w:rsidRPr="00DD477A" w:rsidRDefault="53BF0693" w:rsidP="000A7DEC">
      <w:pPr>
        <w:rPr>
          <w:rFonts w:cs="Calibri"/>
        </w:rPr>
      </w:pPr>
      <w:r w:rsidRPr="00DD477A">
        <w:rPr>
          <w:rFonts w:cs="Calibri"/>
        </w:rPr>
        <w:t xml:space="preserve">The </w:t>
      </w:r>
      <w:r w:rsidRPr="00DD477A">
        <w:rPr>
          <w:rFonts w:cs="Calibri"/>
          <w:i/>
        </w:rPr>
        <w:t xml:space="preserve">PGPA Rule </w:t>
      </w:r>
      <w:r w:rsidR="0087087B" w:rsidRPr="00DD477A">
        <w:rPr>
          <w:rFonts w:cs="Calibri"/>
          <w:i/>
        </w:rPr>
        <w:t>2014</w:t>
      </w:r>
      <w:r w:rsidR="00F1268C" w:rsidRPr="00DD477A">
        <w:rPr>
          <w:rFonts w:cs="Calibri"/>
          <w:i/>
        </w:rPr>
        <w:t xml:space="preserve"> </w:t>
      </w:r>
      <w:r w:rsidRPr="00DD477A">
        <w:rPr>
          <w:rFonts w:cs="Calibri"/>
        </w:rPr>
        <w:t>(subsection 16</w:t>
      </w:r>
      <w:r w:rsidR="00CB784D">
        <w:rPr>
          <w:rFonts w:cs="Calibri"/>
        </w:rPr>
        <w:t>E</w:t>
      </w:r>
      <w:r w:rsidRPr="00DD477A">
        <w:rPr>
          <w:rFonts w:cs="Calibri"/>
        </w:rPr>
        <w:t xml:space="preserve">(2) Item 5) requires performance </w:t>
      </w:r>
      <w:r w:rsidR="00A34D3D">
        <w:rPr>
          <w:rFonts w:cs="Calibri"/>
        </w:rPr>
        <w:t>measures</w:t>
      </w:r>
      <w:r w:rsidR="00A34D3D" w:rsidRPr="00DD477A">
        <w:rPr>
          <w:rFonts w:cs="Calibri"/>
        </w:rPr>
        <w:t xml:space="preserve"> </w:t>
      </w:r>
      <w:r w:rsidRPr="00DD477A">
        <w:rPr>
          <w:rFonts w:cs="Calibri"/>
        </w:rPr>
        <w:t xml:space="preserve">to </w:t>
      </w:r>
      <w:r w:rsidR="00B90E4F">
        <w:rPr>
          <w:rFonts w:cs="Calibri"/>
        </w:rPr>
        <w:t>specify</w:t>
      </w:r>
      <w:r w:rsidR="00B90E4F" w:rsidRPr="00DD477A">
        <w:rPr>
          <w:rFonts w:cs="Calibri"/>
        </w:rPr>
        <w:t xml:space="preserve"> </w:t>
      </w:r>
      <w:r w:rsidR="00900DF8" w:rsidRPr="00DD477A">
        <w:rPr>
          <w:rFonts w:cs="Calibri"/>
        </w:rPr>
        <w:t>targets</w:t>
      </w:r>
      <w:r w:rsidRPr="00DD477A">
        <w:rPr>
          <w:rFonts w:cs="Calibri"/>
        </w:rPr>
        <w:t xml:space="preserve"> </w:t>
      </w:r>
      <w:r w:rsidR="00E854D2">
        <w:rPr>
          <w:rFonts w:cs="Calibri"/>
        </w:rPr>
        <w:t xml:space="preserve">for each </w:t>
      </w:r>
      <w:r w:rsidR="00323104">
        <w:rPr>
          <w:rFonts w:cs="Calibri"/>
        </w:rPr>
        <w:t xml:space="preserve">performance measures </w:t>
      </w:r>
      <w:r w:rsidR="00752C0D">
        <w:rPr>
          <w:rFonts w:cs="Calibri"/>
        </w:rPr>
        <w:t xml:space="preserve">for which </w:t>
      </w:r>
      <w:r w:rsidRPr="00DD477A">
        <w:rPr>
          <w:rFonts w:cs="Calibri"/>
        </w:rPr>
        <w:t xml:space="preserve">it is reasonably practicable to set a target. </w:t>
      </w:r>
      <w:r w:rsidR="005B2761" w:rsidRPr="00DD477A">
        <w:rPr>
          <w:rFonts w:cs="Calibri"/>
        </w:rPr>
        <w:t xml:space="preserve">An explanatory note, </w:t>
      </w:r>
      <w:r w:rsidR="00463BDC" w:rsidRPr="00DD477A">
        <w:rPr>
          <w:rFonts w:cs="Calibri"/>
        </w:rPr>
        <w:t xml:space="preserve">either </w:t>
      </w:r>
      <w:r w:rsidR="009D4A74" w:rsidRPr="00DD477A">
        <w:rPr>
          <w:rFonts w:cs="Calibri"/>
        </w:rPr>
        <w:t xml:space="preserve">in the body of Table 2.X.3 or as </w:t>
      </w:r>
      <w:r w:rsidR="0028285D" w:rsidRPr="00DD477A">
        <w:rPr>
          <w:rFonts w:cs="Calibri"/>
        </w:rPr>
        <w:t xml:space="preserve">a </w:t>
      </w:r>
      <w:r w:rsidR="009D4A74" w:rsidRPr="00DD477A">
        <w:rPr>
          <w:rFonts w:cs="Calibri"/>
        </w:rPr>
        <w:t xml:space="preserve">footnote, </w:t>
      </w:r>
      <w:r w:rsidR="0028285D" w:rsidRPr="00DD477A">
        <w:rPr>
          <w:rFonts w:cs="Calibri"/>
        </w:rPr>
        <w:t xml:space="preserve">detailing the </w:t>
      </w:r>
      <w:r w:rsidR="00914CD1" w:rsidRPr="00DD477A">
        <w:rPr>
          <w:rFonts w:cs="Calibri"/>
        </w:rPr>
        <w:t xml:space="preserve">reason </w:t>
      </w:r>
      <w:r w:rsidR="009D4A74" w:rsidRPr="00DD477A">
        <w:rPr>
          <w:rFonts w:cs="Calibri"/>
        </w:rPr>
        <w:t>for</w:t>
      </w:r>
      <w:r w:rsidR="002145B7" w:rsidRPr="00DD477A">
        <w:rPr>
          <w:rFonts w:cs="Calibri"/>
        </w:rPr>
        <w:t xml:space="preserve"> </w:t>
      </w:r>
      <w:r w:rsidR="00914CD1" w:rsidRPr="00DD477A">
        <w:rPr>
          <w:rFonts w:cs="Calibri"/>
        </w:rPr>
        <w:t xml:space="preserve">any </w:t>
      </w:r>
      <w:r w:rsidR="00CF1806" w:rsidRPr="00DD477A">
        <w:rPr>
          <w:rFonts w:cs="Calibri"/>
        </w:rPr>
        <w:t xml:space="preserve">performance measures that </w:t>
      </w:r>
      <w:r w:rsidR="00F56B00">
        <w:rPr>
          <w:rFonts w:cs="Calibri"/>
        </w:rPr>
        <w:t>do not specify</w:t>
      </w:r>
      <w:r w:rsidR="00621645">
        <w:rPr>
          <w:rFonts w:cs="Calibri"/>
        </w:rPr>
        <w:t xml:space="preserve"> a</w:t>
      </w:r>
      <w:r w:rsidR="00F56B00" w:rsidRPr="00DD477A">
        <w:rPr>
          <w:rFonts w:cs="Calibri"/>
        </w:rPr>
        <w:t xml:space="preserve"> </w:t>
      </w:r>
      <w:r w:rsidR="002145B7" w:rsidRPr="00DD477A">
        <w:rPr>
          <w:rFonts w:cs="Calibri"/>
        </w:rPr>
        <w:t>target</w:t>
      </w:r>
      <w:r w:rsidR="00621645">
        <w:rPr>
          <w:rFonts w:cs="Calibri"/>
        </w:rPr>
        <w:t xml:space="preserve"> </w:t>
      </w:r>
      <w:r w:rsidR="00CF1806" w:rsidRPr="00DD477A">
        <w:rPr>
          <w:rFonts w:cs="Calibri"/>
        </w:rPr>
        <w:t>should be included</w:t>
      </w:r>
      <w:r w:rsidR="00914CD1" w:rsidRPr="00DD477A">
        <w:rPr>
          <w:rFonts w:cs="Calibri"/>
        </w:rPr>
        <w:t>.</w:t>
      </w:r>
    </w:p>
    <w:p w14:paraId="5334B5F7" w14:textId="77777777" w:rsidR="00907A92" w:rsidRPr="00DD477A" w:rsidRDefault="53BF0693" w:rsidP="003D6589">
      <w:pPr>
        <w:pStyle w:val="Heading3"/>
      </w:pPr>
      <w:bookmarkStart w:id="1211" w:name="_Toc227749056"/>
      <w:r w:rsidRPr="00DD477A">
        <w:t>Expected date of achievement</w:t>
      </w:r>
      <w:bookmarkEnd w:id="1211"/>
    </w:p>
    <w:p w14:paraId="2835A0F8" w14:textId="263706E7" w:rsidR="0040713F" w:rsidRPr="00DD477A" w:rsidRDefault="00B75AB9" w:rsidP="53BF0693">
      <w:pPr>
        <w:rPr>
          <w:rFonts w:cs="Calibri"/>
          <w:b/>
          <w:bCs/>
        </w:rPr>
      </w:pPr>
      <w:r w:rsidRPr="00DD477A">
        <w:rPr>
          <w:rFonts w:cs="Calibri"/>
        </w:rPr>
        <w:t xml:space="preserve">Where </w:t>
      </w:r>
      <w:r w:rsidR="0035072D" w:rsidRPr="00DD477A">
        <w:rPr>
          <w:rFonts w:cs="Calibri"/>
        </w:rPr>
        <w:t xml:space="preserve">a </w:t>
      </w:r>
      <w:r w:rsidR="53BF0693" w:rsidRPr="00DD477A">
        <w:rPr>
          <w:rFonts w:cs="Calibri"/>
        </w:rPr>
        <w:t>program</w:t>
      </w:r>
      <w:r w:rsidRPr="00DD477A">
        <w:rPr>
          <w:rFonts w:cs="Calibri"/>
        </w:rPr>
        <w:t xml:space="preserve"> is</w:t>
      </w:r>
      <w:r w:rsidR="00994760" w:rsidRPr="00DD477A">
        <w:rPr>
          <w:rFonts w:cs="Calibri"/>
        </w:rPr>
        <w:t xml:space="preserve"> </w:t>
      </w:r>
      <w:r w:rsidR="53BF0693" w:rsidRPr="00DD477A">
        <w:rPr>
          <w:rFonts w:cs="Calibri"/>
        </w:rPr>
        <w:t>ongoing</w:t>
      </w:r>
      <w:r w:rsidR="002D0ACC" w:rsidRPr="00DD477A">
        <w:rPr>
          <w:rFonts w:cs="Calibri"/>
        </w:rPr>
        <w:t xml:space="preserve"> and</w:t>
      </w:r>
      <w:r w:rsidR="53BF0693" w:rsidRPr="00DD477A">
        <w:rPr>
          <w:rFonts w:cs="Calibri"/>
        </w:rPr>
        <w:t xml:space="preserve"> it is not practicable to report an expected date of achievement</w:t>
      </w:r>
      <w:r w:rsidR="002D0ACC" w:rsidRPr="00DD477A">
        <w:rPr>
          <w:rFonts w:cs="Calibri"/>
        </w:rPr>
        <w:t xml:space="preserve">, an explanatory </w:t>
      </w:r>
      <w:r w:rsidR="002B5225" w:rsidRPr="00DD477A">
        <w:rPr>
          <w:rFonts w:cs="Calibri"/>
        </w:rPr>
        <w:t>note</w:t>
      </w:r>
      <w:r w:rsidR="007A7BF0" w:rsidRPr="00DD477A">
        <w:rPr>
          <w:rFonts w:cs="Calibri"/>
        </w:rPr>
        <w:t xml:space="preserve"> </w:t>
      </w:r>
      <w:r w:rsidR="53BF0693" w:rsidRPr="00DD477A">
        <w:rPr>
          <w:rFonts w:cs="Calibri"/>
        </w:rPr>
        <w:t>in the body of Table 2.X.3 or as footnote to the table</w:t>
      </w:r>
      <w:r w:rsidR="007A7BF0" w:rsidRPr="00DD477A">
        <w:rPr>
          <w:rFonts w:cs="Calibri"/>
        </w:rPr>
        <w:t xml:space="preserve"> should be included</w:t>
      </w:r>
      <w:r w:rsidR="53BF0693" w:rsidRPr="00DD477A">
        <w:rPr>
          <w:rFonts w:cs="Calibri"/>
        </w:rPr>
        <w:t xml:space="preserve">. </w:t>
      </w:r>
    </w:p>
    <w:p w14:paraId="2C6D1493" w14:textId="0D3227F8" w:rsidR="00C07FC8" w:rsidRPr="00DD477A" w:rsidRDefault="00B24510" w:rsidP="003D6589">
      <w:pPr>
        <w:pStyle w:val="Heading3"/>
      </w:pPr>
      <w:bookmarkStart w:id="1212" w:name="_Toc227749057"/>
      <w:r>
        <w:t>P</w:t>
      </w:r>
      <w:r w:rsidR="53BF0693" w:rsidRPr="00DD477A">
        <w:t>erformance measures</w:t>
      </w:r>
      <w:r>
        <w:t xml:space="preserve"> for Commonwealth entities</w:t>
      </w:r>
      <w:bookmarkEnd w:id="1212"/>
    </w:p>
    <w:p w14:paraId="76FB6AF0" w14:textId="5E915369" w:rsidR="00C07FC8" w:rsidRPr="00DD477A" w:rsidRDefault="0062098A" w:rsidP="00C07FC8">
      <w:pPr>
        <w:rPr>
          <w:rFonts w:cs="Calibri"/>
        </w:rPr>
      </w:pPr>
      <w:r w:rsidRPr="00DD477A">
        <w:rPr>
          <w:rFonts w:cs="Calibri"/>
        </w:rPr>
        <w:t xml:space="preserve">The </w:t>
      </w:r>
      <w:r w:rsidR="00B24510">
        <w:rPr>
          <w:rFonts w:cs="Calibri"/>
        </w:rPr>
        <w:t>requirements</w:t>
      </w:r>
      <w:r w:rsidR="00B24510" w:rsidRPr="00DD477A">
        <w:rPr>
          <w:rFonts w:cs="Calibri"/>
        </w:rPr>
        <w:t xml:space="preserve"> </w:t>
      </w:r>
      <w:r w:rsidR="00111274">
        <w:rPr>
          <w:rFonts w:cs="Calibri"/>
        </w:rPr>
        <w:t>for</w:t>
      </w:r>
      <w:r w:rsidR="00111274" w:rsidRPr="00DD477A">
        <w:rPr>
          <w:rFonts w:cs="Calibri"/>
        </w:rPr>
        <w:t xml:space="preserve"> </w:t>
      </w:r>
      <w:r w:rsidR="003D40E2">
        <w:rPr>
          <w:rFonts w:cs="Calibri"/>
        </w:rPr>
        <w:t xml:space="preserve">each </w:t>
      </w:r>
      <w:r w:rsidRPr="00DD477A">
        <w:rPr>
          <w:rFonts w:cs="Calibri"/>
        </w:rPr>
        <w:t xml:space="preserve">performance measure </w:t>
      </w:r>
      <w:r w:rsidR="00012D27">
        <w:rPr>
          <w:rFonts w:cs="Calibri"/>
        </w:rPr>
        <w:t xml:space="preserve">for Commonwealth entities </w:t>
      </w:r>
      <w:r w:rsidRPr="00DD477A">
        <w:rPr>
          <w:rFonts w:cs="Calibri"/>
        </w:rPr>
        <w:t>are set out in s</w:t>
      </w:r>
      <w:r w:rsidR="53BF0693" w:rsidRPr="00DD477A">
        <w:rPr>
          <w:rFonts w:cs="Calibri"/>
        </w:rPr>
        <w:t xml:space="preserve">ubsection 16EA of the </w:t>
      </w:r>
      <w:r w:rsidR="53BF0693" w:rsidRPr="00DD477A">
        <w:rPr>
          <w:rFonts w:cs="Calibri"/>
          <w:i/>
        </w:rPr>
        <w:t xml:space="preserve">PGPA Rule </w:t>
      </w:r>
      <w:r w:rsidR="0087087B" w:rsidRPr="00DD477A">
        <w:rPr>
          <w:rFonts w:cs="Calibri"/>
          <w:i/>
        </w:rPr>
        <w:t>2014</w:t>
      </w:r>
      <w:r w:rsidRPr="00DD477A">
        <w:rPr>
          <w:rFonts w:cs="Calibri"/>
        </w:rPr>
        <w:t xml:space="preserve">, with supplementary guidance </w:t>
      </w:r>
      <w:r w:rsidR="00CD5200" w:rsidRPr="00DD477A">
        <w:rPr>
          <w:rFonts w:cs="Calibri"/>
        </w:rPr>
        <w:t xml:space="preserve">on developing performance measures </w:t>
      </w:r>
      <w:r w:rsidRPr="00DD477A">
        <w:rPr>
          <w:rFonts w:cs="Calibri"/>
        </w:rPr>
        <w:t xml:space="preserve">provided </w:t>
      </w:r>
      <w:r w:rsidR="53BF0693" w:rsidRPr="00DD477A">
        <w:rPr>
          <w:rFonts w:cs="Calibri"/>
        </w:rPr>
        <w:t xml:space="preserve">in </w:t>
      </w:r>
      <w:hyperlink r:id="rId163">
        <w:r w:rsidR="001A6F0A">
          <w:rPr>
            <w:rStyle w:val="Hyperlink"/>
          </w:rPr>
          <w:t>RMG 131 Developing performance measures</w:t>
        </w:r>
      </w:hyperlink>
      <w:r w:rsidR="00CD5200" w:rsidRPr="00DD477A">
        <w:rPr>
          <w:rFonts w:cs="Calibri"/>
        </w:rPr>
        <w:t>.</w:t>
      </w:r>
    </w:p>
    <w:p w14:paraId="26426DB4" w14:textId="01AF4898" w:rsidR="00C07FC8" w:rsidRPr="00DD477A" w:rsidRDefault="53BF0693" w:rsidP="003D6589">
      <w:pPr>
        <w:pStyle w:val="Heading3"/>
      </w:pPr>
      <w:bookmarkStart w:id="1213" w:name="_Toc227749058"/>
      <w:r w:rsidRPr="00DD477A">
        <w:t xml:space="preserve">Achieving a </w:t>
      </w:r>
      <w:r w:rsidR="006714EB" w:rsidRPr="00DD477A">
        <w:t>‘</w:t>
      </w:r>
      <w:r w:rsidRPr="00DD477A">
        <w:t>clear read</w:t>
      </w:r>
      <w:r w:rsidR="006714EB" w:rsidRPr="00DD477A">
        <w:t>’</w:t>
      </w:r>
      <w:bookmarkEnd w:id="1213"/>
      <w:r w:rsidRPr="00DD477A">
        <w:t xml:space="preserve"> </w:t>
      </w:r>
    </w:p>
    <w:p w14:paraId="288D7249" w14:textId="58DDD82C" w:rsidR="009C73C7" w:rsidRPr="00DD477A" w:rsidRDefault="009C73C7" w:rsidP="009C73C7">
      <w:pPr>
        <w:rPr>
          <w:rFonts w:eastAsiaTheme="majorEastAsia" w:cs="Calibri"/>
          <w:bCs/>
          <w:color w:val="1C1C1C" w:themeColor="text2"/>
          <w:sz w:val="30"/>
          <w:szCs w:val="22"/>
        </w:rPr>
      </w:pPr>
      <w:r w:rsidRPr="00DD477A">
        <w:rPr>
          <w:rFonts w:cs="Calibri"/>
        </w:rPr>
        <w:t>A clear read across reporting documents allows performance information in different places</w:t>
      </w:r>
      <w:r w:rsidR="00580099" w:rsidRPr="00DD477A">
        <w:rPr>
          <w:rFonts w:cs="Calibri"/>
        </w:rPr>
        <w:t>,</w:t>
      </w:r>
      <w:r w:rsidRPr="00DD477A">
        <w:rPr>
          <w:rFonts w:cs="Calibri"/>
        </w:rPr>
        <w:t xml:space="preserve"> and at different levels of granularity</w:t>
      </w:r>
      <w:r w:rsidR="00580099" w:rsidRPr="00DD477A">
        <w:rPr>
          <w:rFonts w:cs="Calibri"/>
        </w:rPr>
        <w:t>,</w:t>
      </w:r>
      <w:r w:rsidRPr="00DD477A">
        <w:rPr>
          <w:rFonts w:cs="Calibri"/>
        </w:rPr>
        <w:t xml:space="preserve"> to be co</w:t>
      </w:r>
      <w:r w:rsidR="00580099" w:rsidRPr="00DD477A">
        <w:rPr>
          <w:rFonts w:cs="Calibri"/>
        </w:rPr>
        <w:t xml:space="preserve">nsidered in a </w:t>
      </w:r>
      <w:r w:rsidR="00643523" w:rsidRPr="00DD477A">
        <w:rPr>
          <w:rFonts w:cs="Calibri"/>
        </w:rPr>
        <w:t>holistic and con</w:t>
      </w:r>
      <w:r w:rsidR="00463391" w:rsidRPr="00DD477A">
        <w:rPr>
          <w:rFonts w:cs="Calibri"/>
        </w:rPr>
        <w:t>current</w:t>
      </w:r>
      <w:r w:rsidR="00643523" w:rsidRPr="00DD477A">
        <w:rPr>
          <w:rFonts w:cs="Calibri"/>
        </w:rPr>
        <w:t xml:space="preserve"> manner </w:t>
      </w:r>
      <w:r w:rsidRPr="00DD477A">
        <w:rPr>
          <w:rFonts w:cs="Calibri"/>
        </w:rPr>
        <w:t>to provide a reader with a</w:t>
      </w:r>
      <w:r w:rsidR="00D86F9E" w:rsidRPr="00DD477A">
        <w:rPr>
          <w:rFonts w:cs="Calibri"/>
        </w:rPr>
        <w:t>n improved</w:t>
      </w:r>
      <w:r w:rsidRPr="00DD477A">
        <w:rPr>
          <w:rFonts w:cs="Calibri"/>
        </w:rPr>
        <w:t xml:space="preserve"> understanding of an entity’s </w:t>
      </w:r>
      <w:r w:rsidR="00C72582">
        <w:rPr>
          <w:rFonts w:cs="Calibri"/>
        </w:rPr>
        <w:t xml:space="preserve">expected, </w:t>
      </w:r>
      <w:r w:rsidRPr="00DD477A">
        <w:rPr>
          <w:rFonts w:cs="Calibri"/>
        </w:rPr>
        <w:t>planned and actual performance.</w:t>
      </w:r>
    </w:p>
    <w:p w14:paraId="5D775740" w14:textId="12C1800E" w:rsidR="00B97B84" w:rsidRPr="00DD477A" w:rsidRDefault="53BF0693" w:rsidP="000A7DEC">
      <w:pPr>
        <w:rPr>
          <w:rFonts w:cs="Calibri"/>
        </w:rPr>
      </w:pPr>
      <w:r w:rsidRPr="00DD477A">
        <w:rPr>
          <w:rFonts w:cs="Calibri"/>
        </w:rPr>
        <w:t xml:space="preserve">The performance measures reported in Table 2.X.3 should be developed </w:t>
      </w:r>
      <w:r w:rsidR="00C267B9" w:rsidRPr="00DD477A">
        <w:rPr>
          <w:rFonts w:cs="Calibri"/>
        </w:rPr>
        <w:t xml:space="preserve">in </w:t>
      </w:r>
      <w:r w:rsidRPr="00DD477A">
        <w:rPr>
          <w:rFonts w:cs="Calibri"/>
        </w:rPr>
        <w:t>the</w:t>
      </w:r>
      <w:r w:rsidRPr="00DD477A" w:rsidDel="00187A9E">
        <w:rPr>
          <w:rFonts w:cs="Calibri"/>
        </w:rPr>
        <w:t xml:space="preserve"> context of</w:t>
      </w:r>
      <w:r w:rsidRPr="00DD477A" w:rsidDel="00D73FEB">
        <w:rPr>
          <w:rFonts w:cs="Calibri"/>
        </w:rPr>
        <w:t xml:space="preserve"> </w:t>
      </w:r>
      <w:r w:rsidRPr="00DD477A">
        <w:rPr>
          <w:rFonts w:cs="Calibri"/>
        </w:rPr>
        <w:t xml:space="preserve">performance </w:t>
      </w:r>
      <w:r w:rsidR="00347122">
        <w:rPr>
          <w:rFonts w:cs="Calibri"/>
        </w:rPr>
        <w:t>measures</w:t>
      </w:r>
      <w:r w:rsidR="00347122" w:rsidRPr="00DD477A">
        <w:rPr>
          <w:rFonts w:cs="Calibri"/>
        </w:rPr>
        <w:t xml:space="preserve"> </w:t>
      </w:r>
      <w:r w:rsidRPr="00DD477A">
        <w:rPr>
          <w:rFonts w:cs="Calibri"/>
        </w:rPr>
        <w:t xml:space="preserve">in corporate plans, annual performance statements and any other public reporting under legislation or required by </w:t>
      </w:r>
      <w:r w:rsidR="00EE6AC5">
        <w:rPr>
          <w:rFonts w:cs="Calibri"/>
        </w:rPr>
        <w:t>g</w:t>
      </w:r>
      <w:r w:rsidRPr="00DD477A">
        <w:rPr>
          <w:rFonts w:cs="Calibri"/>
        </w:rPr>
        <w:t>overnment.</w:t>
      </w:r>
      <w:r w:rsidR="00541FE5" w:rsidRPr="00DD477A">
        <w:rPr>
          <w:rFonts w:cs="Calibri"/>
        </w:rPr>
        <w:t xml:space="preserve"> </w:t>
      </w:r>
      <w:r w:rsidR="00B7730B">
        <w:rPr>
          <w:rStyle w:val="ui-provider"/>
        </w:rPr>
        <w:t>The requirement to report key activities as expressed in the current corporate plan in the PB Statement performance measures table will assist in achieving a clear read</w:t>
      </w:r>
      <w:r w:rsidR="00541FE5" w:rsidRPr="00DD477A">
        <w:rPr>
          <w:rFonts w:cs="Calibri"/>
        </w:rPr>
        <w:t>.</w:t>
      </w:r>
    </w:p>
    <w:p w14:paraId="2D8144D0" w14:textId="72713A69" w:rsidR="00FA0945" w:rsidRPr="00DD477A" w:rsidRDefault="001E2BE4" w:rsidP="003D6589">
      <w:pPr>
        <w:pStyle w:val="Heading3"/>
      </w:pPr>
      <w:bookmarkStart w:id="1214" w:name="_Ref94874397"/>
      <w:bookmarkStart w:id="1215" w:name="_Ref94874409"/>
      <w:bookmarkStart w:id="1216" w:name="_Toc227749059"/>
      <w:bookmarkStart w:id="1217" w:name="_Toc534382570"/>
      <w:bookmarkStart w:id="1218" w:name="_Ref62052375"/>
      <w:bookmarkStart w:id="1219" w:name="_Ref62052777"/>
      <w:bookmarkStart w:id="1220" w:name="_Toc63347723"/>
      <w:r>
        <w:t>N</w:t>
      </w:r>
      <w:r w:rsidR="53BF0693" w:rsidRPr="00DD477A">
        <w:t xml:space="preserve">ew or </w:t>
      </w:r>
      <w:r>
        <w:t>materially changed</w:t>
      </w:r>
      <w:r w:rsidRPr="00DD477A">
        <w:t xml:space="preserve"> </w:t>
      </w:r>
      <w:r>
        <w:t>programs</w:t>
      </w:r>
      <w:bookmarkEnd w:id="1214"/>
      <w:bookmarkEnd w:id="1215"/>
      <w:bookmarkEnd w:id="1216"/>
      <w:r w:rsidR="53BF0693" w:rsidRPr="00DD477A">
        <w:t xml:space="preserve"> </w:t>
      </w:r>
      <w:bookmarkEnd w:id="1217"/>
      <w:bookmarkEnd w:id="1218"/>
      <w:bookmarkEnd w:id="1219"/>
      <w:bookmarkEnd w:id="1220"/>
    </w:p>
    <w:p w14:paraId="5339B7FA" w14:textId="6484A958" w:rsidR="00CD5D5F" w:rsidRPr="00DD477A" w:rsidRDefault="0025628F" w:rsidP="000A7DEC">
      <w:pPr>
        <w:rPr>
          <w:rFonts w:cs="Calibri"/>
        </w:rPr>
      </w:pPr>
      <w:r w:rsidRPr="00DD477A">
        <w:rPr>
          <w:rFonts w:cs="Calibri"/>
        </w:rPr>
        <w:t xml:space="preserve">Where the </w:t>
      </w:r>
      <w:r w:rsidR="0081371C">
        <w:rPr>
          <w:rFonts w:cs="Calibri"/>
        </w:rPr>
        <w:t>2026</w:t>
      </w:r>
      <w:r w:rsidR="00916734">
        <w:rPr>
          <w:rFonts w:cs="Calibri"/>
        </w:rPr>
        <w:t>–</w:t>
      </w:r>
      <w:r w:rsidR="0081371C">
        <w:rPr>
          <w:rFonts w:cs="Calibri"/>
        </w:rPr>
        <w:t>27</w:t>
      </w:r>
      <w:r w:rsidRPr="00DD477A">
        <w:rPr>
          <w:rFonts w:cs="Calibri"/>
        </w:rPr>
        <w:t xml:space="preserve"> Budget </w:t>
      </w:r>
      <w:r w:rsidR="003C0F5E" w:rsidRPr="00DD477A">
        <w:rPr>
          <w:rFonts w:cs="Calibri"/>
        </w:rPr>
        <w:t>establish</w:t>
      </w:r>
      <w:r w:rsidR="00B37849" w:rsidRPr="00DD477A">
        <w:rPr>
          <w:rFonts w:cs="Calibri"/>
        </w:rPr>
        <w:t>es</w:t>
      </w:r>
      <w:r w:rsidR="53BF0693" w:rsidRPr="00DD477A">
        <w:rPr>
          <w:rFonts w:cs="Calibri"/>
        </w:rPr>
        <w:t xml:space="preserve"> a new program</w:t>
      </w:r>
      <w:r w:rsidR="009532D0" w:rsidRPr="00DD477A">
        <w:rPr>
          <w:rFonts w:cs="Calibri"/>
        </w:rPr>
        <w:t>,</w:t>
      </w:r>
      <w:r w:rsidR="53BF0693" w:rsidRPr="00DD477A">
        <w:rPr>
          <w:rFonts w:cs="Calibri"/>
        </w:rPr>
        <w:t xml:space="preserve"> or material</w:t>
      </w:r>
      <w:r w:rsidR="003C0F5E" w:rsidRPr="00DD477A">
        <w:rPr>
          <w:rFonts w:cs="Calibri"/>
        </w:rPr>
        <w:t>ly</w:t>
      </w:r>
      <w:r w:rsidR="53BF0693" w:rsidRPr="00DD477A">
        <w:rPr>
          <w:rFonts w:cs="Calibri"/>
        </w:rPr>
        <w:t xml:space="preserve"> change</w:t>
      </w:r>
      <w:r w:rsidR="00CC770F">
        <w:rPr>
          <w:rFonts w:cs="Calibri"/>
        </w:rPr>
        <w:t>s</w:t>
      </w:r>
      <w:r w:rsidR="003C0F5E" w:rsidRPr="00DD477A">
        <w:rPr>
          <w:rFonts w:cs="Calibri"/>
        </w:rPr>
        <w:t xml:space="preserve"> an</w:t>
      </w:r>
      <w:r w:rsidR="53BF0693" w:rsidRPr="00DD477A">
        <w:rPr>
          <w:rFonts w:cs="Calibri"/>
        </w:rPr>
        <w:t xml:space="preserve"> existing program</w:t>
      </w:r>
      <w:r w:rsidR="00A1506B" w:rsidRPr="00DD477A">
        <w:rPr>
          <w:rFonts w:cs="Calibri"/>
        </w:rPr>
        <w:t>,</w:t>
      </w:r>
      <w:r w:rsidR="53BF0693" w:rsidRPr="00DD477A">
        <w:rPr>
          <w:rFonts w:cs="Calibri"/>
        </w:rPr>
        <w:t xml:space="preserve"> two references need to be included in Table 2.X.3:</w:t>
      </w:r>
    </w:p>
    <w:p w14:paraId="6853D88B" w14:textId="518854B2" w:rsidR="00FA0945" w:rsidRPr="00DD477A" w:rsidRDefault="009C48FA" w:rsidP="007737BB">
      <w:pPr>
        <w:pStyle w:val="Numbered"/>
        <w:numPr>
          <w:ilvl w:val="0"/>
          <w:numId w:val="51"/>
        </w:numPr>
      </w:pPr>
      <w:r w:rsidRPr="00DD477A">
        <w:t xml:space="preserve">Performance </w:t>
      </w:r>
      <w:r w:rsidR="00A00479">
        <w:t>m</w:t>
      </w:r>
      <w:r w:rsidRPr="00DD477A">
        <w:t xml:space="preserve">easures section </w:t>
      </w:r>
      <w:r w:rsidR="007E2392">
        <w:t>–</w:t>
      </w:r>
      <w:r w:rsidRPr="00DD477A">
        <w:t xml:space="preserve"> </w:t>
      </w:r>
      <w:r w:rsidR="007E2392">
        <w:t>report all performance measures and planned performance results</w:t>
      </w:r>
      <w:r w:rsidR="00F27BAA">
        <w:t>, including targets where it is reasonably practicable to set a target</w:t>
      </w:r>
      <w:r w:rsidR="000061DD">
        <w:t>. Where applicable, report the estimated date of ac</w:t>
      </w:r>
      <w:r w:rsidR="00AB645B">
        <w:t xml:space="preserve">hievement of the program objectives. </w:t>
      </w:r>
    </w:p>
    <w:p w14:paraId="032AF80C" w14:textId="47A7ED0F" w:rsidR="000D6117" w:rsidRPr="00DD477A" w:rsidRDefault="003B3311" w:rsidP="007737BB">
      <w:pPr>
        <w:pStyle w:val="Numbered"/>
      </w:pPr>
      <w:r w:rsidRPr="00DD477A">
        <w:t>Material change</w:t>
      </w:r>
      <w:r w:rsidR="009162C8">
        <w:t>s</w:t>
      </w:r>
      <w:r w:rsidRPr="00DD477A">
        <w:t xml:space="preserve"> </w:t>
      </w:r>
      <w:r w:rsidR="00C0093C">
        <w:t xml:space="preserve">to Program X.X </w:t>
      </w:r>
      <w:r w:rsidR="00FA5E6B">
        <w:t>resulting from 202</w:t>
      </w:r>
      <w:r w:rsidR="00916734">
        <w:t>6</w:t>
      </w:r>
      <w:r w:rsidR="00FA5E6B">
        <w:t>–2</w:t>
      </w:r>
      <w:r w:rsidR="00916734">
        <w:t>7</w:t>
      </w:r>
      <w:r w:rsidR="00FA5E6B">
        <w:t xml:space="preserve"> Budget Measures </w:t>
      </w:r>
      <w:r w:rsidRPr="00DD477A">
        <w:t xml:space="preserve">section </w:t>
      </w:r>
      <w:r w:rsidR="00E93406" w:rsidRPr="00DD477A">
        <w:t xml:space="preserve">- </w:t>
      </w:r>
      <w:r w:rsidR="00CD5D5F" w:rsidRPr="00DD477A">
        <w:t>reference should be made to the budget measure that has materially changed the program</w:t>
      </w:r>
      <w:r w:rsidR="00487465">
        <w:t xml:space="preserve">. </w:t>
      </w:r>
      <w:r w:rsidR="00414422">
        <w:t>Alternatively, u</w:t>
      </w:r>
      <w:r w:rsidR="00C84B20">
        <w:t>se ‘Nil’ to indicate no material changes</w:t>
      </w:r>
      <w:r w:rsidR="00866FEC" w:rsidRPr="00DD477A">
        <w:t>.</w:t>
      </w:r>
      <w:bookmarkStart w:id="1221" w:name="_Toc61875035"/>
      <w:bookmarkStart w:id="1222" w:name="_Toc62648887"/>
      <w:bookmarkEnd w:id="1221"/>
      <w:bookmarkEnd w:id="1222"/>
      <w:r w:rsidR="000D6117" w:rsidRPr="00DD477A">
        <w:br w:type="page"/>
      </w:r>
    </w:p>
    <w:p w14:paraId="0FCC106A" w14:textId="68FF1D9B" w:rsidR="00FA0945" w:rsidRPr="00DD477A" w:rsidRDefault="004C1431" w:rsidP="003D6589">
      <w:pPr>
        <w:pStyle w:val="Heading1"/>
      </w:pPr>
      <w:bookmarkStart w:id="1223" w:name="_Toc47369902"/>
      <w:bookmarkStart w:id="1224" w:name="_Toc534519177"/>
      <w:bookmarkStart w:id="1225" w:name="_Toc534520087"/>
      <w:bookmarkStart w:id="1226" w:name="_Toc534520357"/>
      <w:bookmarkStart w:id="1227" w:name="_Toc534527569"/>
      <w:bookmarkStart w:id="1228" w:name="_Toc534528299"/>
      <w:bookmarkStart w:id="1229" w:name="_Toc534803520"/>
      <w:bookmarkStart w:id="1230" w:name="_Toc534814211"/>
      <w:bookmarkStart w:id="1231" w:name="_Toc536108584"/>
      <w:bookmarkStart w:id="1232" w:name="_Toc534519178"/>
      <w:bookmarkStart w:id="1233" w:name="_Toc534520088"/>
      <w:bookmarkStart w:id="1234" w:name="_Toc534520358"/>
      <w:bookmarkStart w:id="1235" w:name="_Toc534527570"/>
      <w:bookmarkStart w:id="1236" w:name="_Toc534528300"/>
      <w:bookmarkStart w:id="1237" w:name="_Toc534803521"/>
      <w:bookmarkStart w:id="1238" w:name="_Toc534814212"/>
      <w:bookmarkStart w:id="1239" w:name="_Toc536108585"/>
      <w:bookmarkStart w:id="1240" w:name="_Toc29980701"/>
      <w:bookmarkStart w:id="1241" w:name="_Toc30405589"/>
      <w:bookmarkStart w:id="1242" w:name="_Toc30581330"/>
      <w:bookmarkStart w:id="1243" w:name="_Toc32829992"/>
      <w:bookmarkStart w:id="1244" w:name="_Toc32917499"/>
      <w:bookmarkStart w:id="1245" w:name="_Toc32918305"/>
      <w:bookmarkStart w:id="1246" w:name="_Toc32999688"/>
      <w:bookmarkStart w:id="1247" w:name="_Toc33099412"/>
      <w:bookmarkStart w:id="1248" w:name="_Toc33196037"/>
      <w:bookmarkStart w:id="1249" w:name="_Toc33196339"/>
      <w:bookmarkStart w:id="1250" w:name="_Toc29980702"/>
      <w:bookmarkStart w:id="1251" w:name="_Toc30405590"/>
      <w:bookmarkStart w:id="1252" w:name="_Toc30581331"/>
      <w:bookmarkStart w:id="1253" w:name="_Toc32829993"/>
      <w:bookmarkStart w:id="1254" w:name="_Toc32917500"/>
      <w:bookmarkStart w:id="1255" w:name="_Toc32918306"/>
      <w:bookmarkStart w:id="1256" w:name="_Toc32999689"/>
      <w:bookmarkStart w:id="1257" w:name="_Toc33099413"/>
      <w:bookmarkStart w:id="1258" w:name="_Toc33196038"/>
      <w:bookmarkStart w:id="1259" w:name="_Toc33196340"/>
      <w:bookmarkStart w:id="1260" w:name="_Toc29980703"/>
      <w:bookmarkStart w:id="1261" w:name="_Toc30405591"/>
      <w:bookmarkStart w:id="1262" w:name="_Toc30581332"/>
      <w:bookmarkStart w:id="1263" w:name="_Toc32829994"/>
      <w:bookmarkStart w:id="1264" w:name="_Toc32917501"/>
      <w:bookmarkStart w:id="1265" w:name="_Toc32918307"/>
      <w:bookmarkStart w:id="1266" w:name="_Toc32999690"/>
      <w:bookmarkStart w:id="1267" w:name="_Toc33099414"/>
      <w:bookmarkStart w:id="1268" w:name="_Toc33196039"/>
      <w:bookmarkStart w:id="1269" w:name="_Toc33196341"/>
      <w:bookmarkStart w:id="1270" w:name="_Toc29980704"/>
      <w:bookmarkStart w:id="1271" w:name="_Toc30405592"/>
      <w:bookmarkStart w:id="1272" w:name="_Toc30581333"/>
      <w:bookmarkStart w:id="1273" w:name="_Toc32829995"/>
      <w:bookmarkStart w:id="1274" w:name="_Toc32917502"/>
      <w:bookmarkStart w:id="1275" w:name="_Toc32918308"/>
      <w:bookmarkStart w:id="1276" w:name="_Toc32999691"/>
      <w:bookmarkStart w:id="1277" w:name="_Toc33099415"/>
      <w:bookmarkStart w:id="1278" w:name="_Toc33196040"/>
      <w:bookmarkStart w:id="1279" w:name="_Toc33196342"/>
      <w:bookmarkStart w:id="1280" w:name="_Toc29980705"/>
      <w:bookmarkStart w:id="1281" w:name="_Toc30405593"/>
      <w:bookmarkStart w:id="1282" w:name="_Toc30581334"/>
      <w:bookmarkStart w:id="1283" w:name="_Toc32829996"/>
      <w:bookmarkStart w:id="1284" w:name="_Toc32917503"/>
      <w:bookmarkStart w:id="1285" w:name="_Toc32918309"/>
      <w:bookmarkStart w:id="1286" w:name="_Toc32999692"/>
      <w:bookmarkStart w:id="1287" w:name="_Toc33099416"/>
      <w:bookmarkStart w:id="1288" w:name="_Toc33196041"/>
      <w:bookmarkStart w:id="1289" w:name="_Toc33196343"/>
      <w:bookmarkStart w:id="1290" w:name="_Toc29980706"/>
      <w:bookmarkStart w:id="1291" w:name="_Toc30405594"/>
      <w:bookmarkStart w:id="1292" w:name="_Toc30581335"/>
      <w:bookmarkStart w:id="1293" w:name="_Toc32829997"/>
      <w:bookmarkStart w:id="1294" w:name="_Toc32917504"/>
      <w:bookmarkStart w:id="1295" w:name="_Toc32918310"/>
      <w:bookmarkStart w:id="1296" w:name="_Toc32999693"/>
      <w:bookmarkStart w:id="1297" w:name="_Toc33099417"/>
      <w:bookmarkStart w:id="1298" w:name="_Toc33196042"/>
      <w:bookmarkStart w:id="1299" w:name="_Toc33196344"/>
      <w:bookmarkStart w:id="1300" w:name="_Toc29980707"/>
      <w:bookmarkStart w:id="1301" w:name="_Toc30405595"/>
      <w:bookmarkStart w:id="1302" w:name="_Toc30581336"/>
      <w:bookmarkStart w:id="1303" w:name="_Toc32829998"/>
      <w:bookmarkStart w:id="1304" w:name="_Toc32917505"/>
      <w:bookmarkStart w:id="1305" w:name="_Toc32918311"/>
      <w:bookmarkStart w:id="1306" w:name="_Toc32999694"/>
      <w:bookmarkStart w:id="1307" w:name="_Toc33099418"/>
      <w:bookmarkStart w:id="1308" w:name="_Toc33196043"/>
      <w:bookmarkStart w:id="1309" w:name="_Toc33196345"/>
      <w:bookmarkStart w:id="1310" w:name="_Toc29980708"/>
      <w:bookmarkStart w:id="1311" w:name="_Toc30405596"/>
      <w:bookmarkStart w:id="1312" w:name="_Toc30581337"/>
      <w:bookmarkStart w:id="1313" w:name="_Toc32829999"/>
      <w:bookmarkStart w:id="1314" w:name="_Toc32917506"/>
      <w:bookmarkStart w:id="1315" w:name="_Toc32918312"/>
      <w:bookmarkStart w:id="1316" w:name="_Toc32999695"/>
      <w:bookmarkStart w:id="1317" w:name="_Toc33099419"/>
      <w:bookmarkStart w:id="1318" w:name="_Toc33196044"/>
      <w:bookmarkStart w:id="1319" w:name="_Toc33196346"/>
      <w:bookmarkStart w:id="1320" w:name="_Toc29980709"/>
      <w:bookmarkStart w:id="1321" w:name="_Toc30405597"/>
      <w:bookmarkStart w:id="1322" w:name="_Toc30581338"/>
      <w:bookmarkStart w:id="1323" w:name="_Toc32830000"/>
      <w:bookmarkStart w:id="1324" w:name="_Toc32917507"/>
      <w:bookmarkStart w:id="1325" w:name="_Toc32918313"/>
      <w:bookmarkStart w:id="1326" w:name="_Toc32999696"/>
      <w:bookmarkStart w:id="1327" w:name="_Toc33099420"/>
      <w:bookmarkStart w:id="1328" w:name="_Toc33196045"/>
      <w:bookmarkStart w:id="1329" w:name="_Toc33196347"/>
      <w:bookmarkStart w:id="1330" w:name="_Toc29980710"/>
      <w:bookmarkStart w:id="1331" w:name="_Toc30405598"/>
      <w:bookmarkStart w:id="1332" w:name="_Toc30581339"/>
      <w:bookmarkStart w:id="1333" w:name="_Toc32830001"/>
      <w:bookmarkStart w:id="1334" w:name="_Toc32917508"/>
      <w:bookmarkStart w:id="1335" w:name="_Toc32918314"/>
      <w:bookmarkStart w:id="1336" w:name="_Toc32999697"/>
      <w:bookmarkStart w:id="1337" w:name="_Toc33099421"/>
      <w:bookmarkStart w:id="1338" w:name="_Toc33196046"/>
      <w:bookmarkStart w:id="1339" w:name="_Toc33196348"/>
      <w:bookmarkStart w:id="1340" w:name="_Toc29980711"/>
      <w:bookmarkStart w:id="1341" w:name="_Toc30405599"/>
      <w:bookmarkStart w:id="1342" w:name="_Toc30581340"/>
      <w:bookmarkStart w:id="1343" w:name="_Toc32830002"/>
      <w:bookmarkStart w:id="1344" w:name="_Toc32917509"/>
      <w:bookmarkStart w:id="1345" w:name="_Toc32918315"/>
      <w:bookmarkStart w:id="1346" w:name="_Toc32999698"/>
      <w:bookmarkStart w:id="1347" w:name="_Toc33099422"/>
      <w:bookmarkStart w:id="1348" w:name="_Toc33196047"/>
      <w:bookmarkStart w:id="1349" w:name="_Toc33196349"/>
      <w:bookmarkStart w:id="1350" w:name="_Toc29980712"/>
      <w:bookmarkStart w:id="1351" w:name="_Toc30405600"/>
      <w:bookmarkStart w:id="1352" w:name="_Toc30581341"/>
      <w:bookmarkStart w:id="1353" w:name="_Toc32830003"/>
      <w:bookmarkStart w:id="1354" w:name="_Toc32917510"/>
      <w:bookmarkStart w:id="1355" w:name="_Toc32918316"/>
      <w:bookmarkStart w:id="1356" w:name="_Toc32999699"/>
      <w:bookmarkStart w:id="1357" w:name="_Toc33099423"/>
      <w:bookmarkStart w:id="1358" w:name="_Toc33196048"/>
      <w:bookmarkStart w:id="1359" w:name="_Toc33196350"/>
      <w:bookmarkStart w:id="1360" w:name="_Toc29980713"/>
      <w:bookmarkStart w:id="1361" w:name="_Toc30405601"/>
      <w:bookmarkStart w:id="1362" w:name="_Toc30581342"/>
      <w:bookmarkStart w:id="1363" w:name="_Toc32830004"/>
      <w:bookmarkStart w:id="1364" w:name="_Toc32917511"/>
      <w:bookmarkStart w:id="1365" w:name="_Toc32918317"/>
      <w:bookmarkStart w:id="1366" w:name="_Toc32999700"/>
      <w:bookmarkStart w:id="1367" w:name="_Toc33099424"/>
      <w:bookmarkStart w:id="1368" w:name="_Toc33196049"/>
      <w:bookmarkStart w:id="1369" w:name="_Toc33196351"/>
      <w:bookmarkStart w:id="1370" w:name="_Toc29980714"/>
      <w:bookmarkStart w:id="1371" w:name="_Toc30405602"/>
      <w:bookmarkStart w:id="1372" w:name="_Toc30581343"/>
      <w:bookmarkStart w:id="1373" w:name="_Toc32830005"/>
      <w:bookmarkStart w:id="1374" w:name="_Toc32917512"/>
      <w:bookmarkStart w:id="1375" w:name="_Toc32918318"/>
      <w:bookmarkStart w:id="1376" w:name="_Toc32999701"/>
      <w:bookmarkStart w:id="1377" w:name="_Toc33099425"/>
      <w:bookmarkStart w:id="1378" w:name="_Toc33196050"/>
      <w:bookmarkStart w:id="1379" w:name="_Toc33196352"/>
      <w:bookmarkStart w:id="1380" w:name="_Toc29980715"/>
      <w:bookmarkStart w:id="1381" w:name="_Toc30405603"/>
      <w:bookmarkStart w:id="1382" w:name="_Toc30581344"/>
      <w:bookmarkStart w:id="1383" w:name="_Toc32830006"/>
      <w:bookmarkStart w:id="1384" w:name="_Toc32917513"/>
      <w:bookmarkStart w:id="1385" w:name="_Toc32918319"/>
      <w:bookmarkStart w:id="1386" w:name="_Toc32999702"/>
      <w:bookmarkStart w:id="1387" w:name="_Toc33099426"/>
      <w:bookmarkStart w:id="1388" w:name="_Toc33196051"/>
      <w:bookmarkStart w:id="1389" w:name="_Toc33196353"/>
      <w:bookmarkStart w:id="1390" w:name="_Toc29980716"/>
      <w:bookmarkStart w:id="1391" w:name="_Toc30405604"/>
      <w:bookmarkStart w:id="1392" w:name="_Toc30581345"/>
      <w:bookmarkStart w:id="1393" w:name="_Toc32830007"/>
      <w:bookmarkStart w:id="1394" w:name="_Toc32917514"/>
      <w:bookmarkStart w:id="1395" w:name="_Toc32918320"/>
      <w:bookmarkStart w:id="1396" w:name="_Toc32999703"/>
      <w:bookmarkStart w:id="1397" w:name="_Toc33099427"/>
      <w:bookmarkStart w:id="1398" w:name="_Toc33196052"/>
      <w:bookmarkStart w:id="1399" w:name="_Toc33196354"/>
      <w:bookmarkStart w:id="1400" w:name="_Toc29980717"/>
      <w:bookmarkStart w:id="1401" w:name="_Toc30405605"/>
      <w:bookmarkStart w:id="1402" w:name="_Toc30581346"/>
      <w:bookmarkStart w:id="1403" w:name="_Toc32830008"/>
      <w:bookmarkStart w:id="1404" w:name="_Toc32917515"/>
      <w:bookmarkStart w:id="1405" w:name="_Toc32918321"/>
      <w:bookmarkStart w:id="1406" w:name="_Toc32999704"/>
      <w:bookmarkStart w:id="1407" w:name="_Toc33099428"/>
      <w:bookmarkStart w:id="1408" w:name="_Toc33196053"/>
      <w:bookmarkStart w:id="1409" w:name="_Toc33196355"/>
      <w:bookmarkStart w:id="1410" w:name="_Toc29980718"/>
      <w:bookmarkStart w:id="1411" w:name="_Toc30405606"/>
      <w:bookmarkStart w:id="1412" w:name="_Toc30581347"/>
      <w:bookmarkStart w:id="1413" w:name="_Toc32830009"/>
      <w:bookmarkStart w:id="1414" w:name="_Toc32917516"/>
      <w:bookmarkStart w:id="1415" w:name="_Toc32918322"/>
      <w:bookmarkStart w:id="1416" w:name="_Toc32999705"/>
      <w:bookmarkStart w:id="1417" w:name="_Toc33099429"/>
      <w:bookmarkStart w:id="1418" w:name="_Toc33196054"/>
      <w:bookmarkStart w:id="1419" w:name="_Toc33196356"/>
      <w:bookmarkStart w:id="1420" w:name="_Toc29980719"/>
      <w:bookmarkStart w:id="1421" w:name="_Toc30405607"/>
      <w:bookmarkStart w:id="1422" w:name="_Toc30581348"/>
      <w:bookmarkStart w:id="1423" w:name="_Toc32830010"/>
      <w:bookmarkStart w:id="1424" w:name="_Toc32917517"/>
      <w:bookmarkStart w:id="1425" w:name="_Toc32918323"/>
      <w:bookmarkStart w:id="1426" w:name="_Toc32999706"/>
      <w:bookmarkStart w:id="1427" w:name="_Toc33099430"/>
      <w:bookmarkStart w:id="1428" w:name="_Toc33196055"/>
      <w:bookmarkStart w:id="1429" w:name="_Toc33196357"/>
      <w:bookmarkStart w:id="1430" w:name="_Toc29980720"/>
      <w:bookmarkStart w:id="1431" w:name="_Toc30405608"/>
      <w:bookmarkStart w:id="1432" w:name="_Toc30581349"/>
      <w:bookmarkStart w:id="1433" w:name="_Toc32830011"/>
      <w:bookmarkStart w:id="1434" w:name="_Toc32917518"/>
      <w:bookmarkStart w:id="1435" w:name="_Toc32918324"/>
      <w:bookmarkStart w:id="1436" w:name="_Toc32999707"/>
      <w:bookmarkStart w:id="1437" w:name="_Toc33099431"/>
      <w:bookmarkStart w:id="1438" w:name="_Toc33196056"/>
      <w:bookmarkStart w:id="1439" w:name="_Toc33196358"/>
      <w:bookmarkStart w:id="1440" w:name="_Toc29980721"/>
      <w:bookmarkStart w:id="1441" w:name="_Toc30405609"/>
      <w:bookmarkStart w:id="1442" w:name="_Toc30581350"/>
      <w:bookmarkStart w:id="1443" w:name="_Toc32830012"/>
      <w:bookmarkStart w:id="1444" w:name="_Toc32917519"/>
      <w:bookmarkStart w:id="1445" w:name="_Toc32918325"/>
      <w:bookmarkStart w:id="1446" w:name="_Toc32999708"/>
      <w:bookmarkStart w:id="1447" w:name="_Toc33099432"/>
      <w:bookmarkStart w:id="1448" w:name="_Toc33196057"/>
      <w:bookmarkStart w:id="1449" w:name="_Toc33196359"/>
      <w:bookmarkStart w:id="1450" w:name="_Toc29980722"/>
      <w:bookmarkStart w:id="1451" w:name="_Toc30405610"/>
      <w:bookmarkStart w:id="1452" w:name="_Toc30581351"/>
      <w:bookmarkStart w:id="1453" w:name="_Toc32830013"/>
      <w:bookmarkStart w:id="1454" w:name="_Toc32917520"/>
      <w:bookmarkStart w:id="1455" w:name="_Toc32918326"/>
      <w:bookmarkStart w:id="1456" w:name="_Toc32999709"/>
      <w:bookmarkStart w:id="1457" w:name="_Toc33099433"/>
      <w:bookmarkStart w:id="1458" w:name="_Toc33196058"/>
      <w:bookmarkStart w:id="1459" w:name="_Toc33196360"/>
      <w:bookmarkStart w:id="1460" w:name="_Toc29980723"/>
      <w:bookmarkStart w:id="1461" w:name="_Toc30405611"/>
      <w:bookmarkStart w:id="1462" w:name="_Toc30581352"/>
      <w:bookmarkStart w:id="1463" w:name="_Toc32830014"/>
      <w:bookmarkStart w:id="1464" w:name="_Toc32917521"/>
      <w:bookmarkStart w:id="1465" w:name="_Toc32918327"/>
      <w:bookmarkStart w:id="1466" w:name="_Toc32999710"/>
      <w:bookmarkStart w:id="1467" w:name="_Toc33099434"/>
      <w:bookmarkStart w:id="1468" w:name="_Toc33196059"/>
      <w:bookmarkStart w:id="1469" w:name="_Toc33196361"/>
      <w:bookmarkStart w:id="1470" w:name="_Toc29980724"/>
      <w:bookmarkStart w:id="1471" w:name="_Toc30405612"/>
      <w:bookmarkStart w:id="1472" w:name="_Toc30581353"/>
      <w:bookmarkStart w:id="1473" w:name="_Toc32830015"/>
      <w:bookmarkStart w:id="1474" w:name="_Toc32917522"/>
      <w:bookmarkStart w:id="1475" w:name="_Toc32918328"/>
      <w:bookmarkStart w:id="1476" w:name="_Toc32999711"/>
      <w:bookmarkStart w:id="1477" w:name="_Toc33099435"/>
      <w:bookmarkStart w:id="1478" w:name="_Toc33196060"/>
      <w:bookmarkStart w:id="1479" w:name="_Toc33196362"/>
      <w:bookmarkStart w:id="1480" w:name="_Toc534458894"/>
      <w:bookmarkStart w:id="1481" w:name="_Toc534459683"/>
      <w:bookmarkStart w:id="1482" w:name="_Toc534519180"/>
      <w:bookmarkStart w:id="1483" w:name="_Toc534520090"/>
      <w:bookmarkStart w:id="1484" w:name="_Toc534520360"/>
      <w:bookmarkStart w:id="1485" w:name="_Toc534527572"/>
      <w:bookmarkStart w:id="1486" w:name="_Toc534528302"/>
      <w:bookmarkStart w:id="1487" w:name="_Toc534803523"/>
      <w:bookmarkStart w:id="1488" w:name="_Toc534814214"/>
      <w:bookmarkStart w:id="1489" w:name="_Toc536108587"/>
      <w:bookmarkStart w:id="1490" w:name="_Toc536802132"/>
      <w:bookmarkStart w:id="1491" w:name="_Toc422731"/>
      <w:bookmarkStart w:id="1492" w:name="_Toc411852692"/>
      <w:bookmarkStart w:id="1493" w:name="_Toc534382573"/>
      <w:bookmarkStart w:id="1494" w:name="_Toc63347725"/>
      <w:bookmarkStart w:id="1495" w:name="_Toc227749060"/>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rsidRPr="00DD477A">
        <w:t xml:space="preserve">Section </w:t>
      </w:r>
      <w:r w:rsidR="000106DB" w:rsidRPr="00DD477A">
        <w:t>3</w:t>
      </w:r>
      <w:r w:rsidRPr="00DD477A">
        <w:t xml:space="preserve"> - </w:t>
      </w:r>
      <w:r w:rsidR="53BF0693" w:rsidRPr="00DD477A">
        <w:t>Budgeted financial statements</w:t>
      </w:r>
      <w:bookmarkEnd w:id="1492"/>
      <w:bookmarkEnd w:id="1493"/>
      <w:bookmarkEnd w:id="1494"/>
      <w:bookmarkEnd w:id="1495"/>
    </w:p>
    <w:p w14:paraId="76482C05" w14:textId="52AF3080" w:rsidR="00DE38EB" w:rsidRPr="00DD477A" w:rsidRDefault="00DE38EB" w:rsidP="000A7DEC">
      <w:pPr>
        <w:rPr>
          <w:rFonts w:cs="Calibri"/>
        </w:rPr>
      </w:pPr>
      <w:r w:rsidRPr="00DD477A">
        <w:rPr>
          <w:rFonts w:eastAsia="Cambria" w:cs="Calibri"/>
          <w:noProof/>
        </w:rPr>
        <w:drawing>
          <wp:inline distT="0" distB="0" distL="0" distR="0" wp14:anchorId="25E47CD6" wp14:editId="4D1E0401">
            <wp:extent cx="5835650" cy="955170"/>
            <wp:effectExtent l="0" t="0" r="0" b="0"/>
            <wp:docPr id="2129904650" name="Diagram 21299046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4" r:lo="rId165" r:qs="rId166" r:cs="rId167"/>
              </a:graphicData>
            </a:graphic>
          </wp:inline>
        </w:drawing>
      </w:r>
    </w:p>
    <w:p w14:paraId="229E5F9E" w14:textId="103E2182" w:rsidR="00DF675F" w:rsidRPr="00DD477A" w:rsidRDefault="53BF0693" w:rsidP="000A7DEC">
      <w:pPr>
        <w:rPr>
          <w:rFonts w:cs="Calibri"/>
        </w:rPr>
      </w:pPr>
      <w:r w:rsidRPr="00DD477A">
        <w:rPr>
          <w:rFonts w:cs="Calibri"/>
        </w:rPr>
        <w:t xml:space="preserve">The </w:t>
      </w:r>
      <w:r w:rsidR="00FC637C" w:rsidRPr="00DD477A">
        <w:rPr>
          <w:rFonts w:cs="Calibri"/>
        </w:rPr>
        <w:t>b</w:t>
      </w:r>
      <w:r w:rsidR="00584E5D" w:rsidRPr="00DD477A">
        <w:rPr>
          <w:rFonts w:cs="Calibri"/>
        </w:rPr>
        <w:t xml:space="preserve">udgeted </w:t>
      </w:r>
      <w:r w:rsidRPr="00DD477A">
        <w:rPr>
          <w:rFonts w:cs="Calibri"/>
        </w:rPr>
        <w:t xml:space="preserve">financial statements section </w:t>
      </w:r>
      <w:r w:rsidR="00A261F9" w:rsidRPr="00DD477A">
        <w:rPr>
          <w:rFonts w:cs="Calibri"/>
        </w:rPr>
        <w:t>(Section 3</w:t>
      </w:r>
      <w:r w:rsidR="00C72997" w:rsidRPr="00DD477A">
        <w:rPr>
          <w:rFonts w:cs="Calibri"/>
        </w:rPr>
        <w:t>)</w:t>
      </w:r>
      <w:r w:rsidR="00A261F9" w:rsidRPr="00DD477A">
        <w:rPr>
          <w:rFonts w:cs="Calibri"/>
        </w:rPr>
        <w:t xml:space="preserve"> </w:t>
      </w:r>
      <w:r w:rsidRPr="00DD477A">
        <w:rPr>
          <w:rFonts w:cs="Calibri"/>
        </w:rPr>
        <w:t xml:space="preserve">of the PB Statements provides financial information </w:t>
      </w:r>
      <w:r w:rsidR="005369BC" w:rsidRPr="00DD477A">
        <w:rPr>
          <w:rFonts w:cs="Calibri"/>
        </w:rPr>
        <w:t xml:space="preserve">on </w:t>
      </w:r>
      <w:r w:rsidRPr="00DD477A">
        <w:rPr>
          <w:rFonts w:cs="Calibri"/>
        </w:rPr>
        <w:t>the entity’s operations over the budget and three forward years</w:t>
      </w:r>
      <w:r w:rsidR="006C142D" w:rsidRPr="00DD477A">
        <w:rPr>
          <w:rFonts w:cs="Calibri"/>
        </w:rPr>
        <w:t xml:space="preserve"> and </w:t>
      </w:r>
      <w:r w:rsidRPr="00DD477A">
        <w:rPr>
          <w:rFonts w:cs="Calibri"/>
        </w:rPr>
        <w:t>include estimated actual information for the current financial year.</w:t>
      </w:r>
    </w:p>
    <w:p w14:paraId="5B208307" w14:textId="4F892122" w:rsidR="006541D7" w:rsidRPr="00DD477A" w:rsidRDefault="53BF0693" w:rsidP="006541D7">
      <w:pPr>
        <w:rPr>
          <w:rFonts w:cs="Calibri"/>
        </w:rPr>
      </w:pPr>
      <w:r w:rsidRPr="00DD477A">
        <w:rPr>
          <w:rFonts w:cs="Calibri"/>
        </w:rPr>
        <w:t>Section 3 also provides a linkage between an entity’s forecast resources and its forecast expenditure in achieving its outcomes</w:t>
      </w:r>
      <w:r w:rsidR="007E537A" w:rsidRPr="00DD477A">
        <w:rPr>
          <w:rFonts w:cs="Calibri"/>
        </w:rPr>
        <w:t xml:space="preserve"> and allows for comparisons </w:t>
      </w:r>
      <w:r w:rsidRPr="00DD477A">
        <w:rPr>
          <w:rFonts w:cs="Calibri"/>
        </w:rPr>
        <w:t>to the financial statements published in an entity’s annual report to form a view on the financial performance of the entity.</w:t>
      </w:r>
    </w:p>
    <w:p w14:paraId="094F784A" w14:textId="3A982F86" w:rsidR="00FA0945" w:rsidRPr="00DD477A" w:rsidRDefault="53BF0693" w:rsidP="000A7DEC">
      <w:pPr>
        <w:rPr>
          <w:rFonts w:cs="Calibri"/>
        </w:rPr>
      </w:pPr>
      <w:r w:rsidRPr="00DD477A">
        <w:rPr>
          <w:rFonts w:cs="Calibri"/>
        </w:rPr>
        <w:t xml:space="preserve">Entities should, to the extent possible, apply </w:t>
      </w:r>
      <w:r w:rsidR="002268A8" w:rsidRPr="00DD477A">
        <w:rPr>
          <w:rFonts w:cs="Calibri"/>
        </w:rPr>
        <w:t>con</w:t>
      </w:r>
      <w:r w:rsidR="00DD7B32" w:rsidRPr="00DD477A">
        <w:rPr>
          <w:rFonts w:cs="Calibri"/>
        </w:rPr>
        <w:t>sistent</w:t>
      </w:r>
      <w:r w:rsidRPr="00DD477A">
        <w:rPr>
          <w:rFonts w:cs="Calibri"/>
        </w:rPr>
        <w:t xml:space="preserve"> accounting assumptions and processes </w:t>
      </w:r>
      <w:r w:rsidR="00DD7B32" w:rsidRPr="00DD477A">
        <w:rPr>
          <w:rFonts w:cs="Calibri"/>
        </w:rPr>
        <w:t xml:space="preserve">to both </w:t>
      </w:r>
      <w:r w:rsidRPr="00DD477A">
        <w:rPr>
          <w:rFonts w:cs="Calibri"/>
        </w:rPr>
        <w:t xml:space="preserve">their </w:t>
      </w:r>
      <w:r w:rsidR="00FC637C" w:rsidRPr="00DD477A">
        <w:rPr>
          <w:rFonts w:cs="Calibri"/>
        </w:rPr>
        <w:t xml:space="preserve">budgeted </w:t>
      </w:r>
      <w:r w:rsidRPr="00DD477A">
        <w:rPr>
          <w:rFonts w:cs="Calibri"/>
        </w:rPr>
        <w:t xml:space="preserve">financial statements </w:t>
      </w:r>
      <w:r w:rsidR="00DD7B32" w:rsidRPr="00DD477A">
        <w:rPr>
          <w:rFonts w:cs="Calibri"/>
        </w:rPr>
        <w:t>and</w:t>
      </w:r>
      <w:r w:rsidR="00EB40C9" w:rsidRPr="00DD477A">
        <w:rPr>
          <w:rFonts w:cs="Calibri"/>
        </w:rPr>
        <w:t xml:space="preserve"> the</w:t>
      </w:r>
      <w:r w:rsidR="00994760" w:rsidRPr="00DD477A">
        <w:rPr>
          <w:rFonts w:cs="Calibri"/>
        </w:rPr>
        <w:t xml:space="preserve"> </w:t>
      </w:r>
      <w:r w:rsidR="0081371C">
        <w:rPr>
          <w:rFonts w:cs="Calibri"/>
        </w:rPr>
        <w:t>2026</w:t>
      </w:r>
      <w:r w:rsidR="00C917CE">
        <w:rPr>
          <w:rFonts w:cs="Calibri"/>
        </w:rPr>
        <w:t>–</w:t>
      </w:r>
      <w:r w:rsidR="0081371C">
        <w:rPr>
          <w:rFonts w:cs="Calibri"/>
        </w:rPr>
        <w:t>27</w:t>
      </w:r>
      <w:r w:rsidR="00C72997" w:rsidRPr="00DD477A">
        <w:rPr>
          <w:rFonts w:cs="Calibri"/>
        </w:rPr>
        <w:t> </w:t>
      </w:r>
      <w:r w:rsidRPr="00DD477A">
        <w:rPr>
          <w:rFonts w:cs="Calibri"/>
        </w:rPr>
        <w:t>financial statements.</w:t>
      </w:r>
    </w:p>
    <w:p w14:paraId="48C67311" w14:textId="58A6B4F5" w:rsidR="00FA0945" w:rsidRPr="00DD477A" w:rsidRDefault="53BF0693" w:rsidP="000A7DEC">
      <w:pPr>
        <w:rPr>
          <w:rFonts w:cs="Calibri"/>
        </w:rPr>
      </w:pPr>
      <w:r w:rsidRPr="00DD477A">
        <w:rPr>
          <w:rFonts w:cs="Calibri"/>
        </w:rPr>
        <w:t xml:space="preserve">Entities </w:t>
      </w:r>
      <w:r w:rsidR="00507A76" w:rsidRPr="00DD477A">
        <w:rPr>
          <w:rFonts w:cs="Calibri"/>
        </w:rPr>
        <w:t>should</w:t>
      </w:r>
      <w:r w:rsidRPr="00DD477A">
        <w:rPr>
          <w:rFonts w:cs="Calibri"/>
        </w:rPr>
        <w:t xml:space="preserve"> refer to the </w:t>
      </w:r>
      <w:hyperlink r:id="rId169" w:history="1">
        <w:r w:rsidR="001A0595" w:rsidRPr="00DD477A">
          <w:rPr>
            <w:rStyle w:val="Hyperlink"/>
            <w:rFonts w:cs="Calibri"/>
          </w:rPr>
          <w:t>FRR</w:t>
        </w:r>
      </w:hyperlink>
      <w:r w:rsidR="001A0595" w:rsidRPr="00DD477A">
        <w:rPr>
          <w:rFonts w:cs="Calibri"/>
        </w:rPr>
        <w:t xml:space="preserve">, as well as </w:t>
      </w:r>
      <w:hyperlink r:id="rId170">
        <w:r w:rsidR="00D46118" w:rsidRPr="00DD477A">
          <w:rPr>
            <w:rStyle w:val="Hyperlink"/>
          </w:rPr>
          <w:t>RMG 125 and PRIMA</w:t>
        </w:r>
      </w:hyperlink>
      <w:r w:rsidR="00D46118" w:rsidRPr="00DD477A">
        <w:rPr>
          <w:rStyle w:val="Hyperlink"/>
        </w:rPr>
        <w:t xml:space="preserve"> Forms</w:t>
      </w:r>
      <w:r w:rsidRPr="00DD477A">
        <w:rPr>
          <w:rFonts w:cs="Calibri"/>
        </w:rPr>
        <w:t xml:space="preserve"> when preparing their </w:t>
      </w:r>
      <w:r w:rsidR="00FC637C" w:rsidRPr="00DD477A">
        <w:rPr>
          <w:rFonts w:cs="Calibri"/>
        </w:rPr>
        <w:t>b</w:t>
      </w:r>
      <w:r w:rsidR="004F7054" w:rsidRPr="00DD477A">
        <w:rPr>
          <w:rFonts w:cs="Calibri"/>
        </w:rPr>
        <w:t xml:space="preserve">udgeted </w:t>
      </w:r>
      <w:r w:rsidRPr="00DD477A">
        <w:rPr>
          <w:rFonts w:cs="Calibri"/>
        </w:rPr>
        <w:t>financial statements.</w:t>
      </w:r>
    </w:p>
    <w:p w14:paraId="00393842" w14:textId="3C0DBB2B" w:rsidR="00FA0945" w:rsidRPr="00DD477A" w:rsidRDefault="53BF0693" w:rsidP="00580008">
      <w:pPr>
        <w:pStyle w:val="Boxed2Text"/>
        <w:rPr>
          <w:rFonts w:cs="Calibri"/>
        </w:rPr>
      </w:pPr>
      <w:r w:rsidRPr="00DD477A">
        <w:rPr>
          <w:rFonts w:cs="Calibri"/>
        </w:rPr>
        <w:t xml:space="preserve">For administered financial statements, entities </w:t>
      </w:r>
      <w:r w:rsidR="00A720A4" w:rsidRPr="00DD477A">
        <w:rPr>
          <w:rFonts w:cs="Calibri"/>
        </w:rPr>
        <w:t xml:space="preserve">must </w:t>
      </w:r>
      <w:r w:rsidRPr="00DD477A">
        <w:rPr>
          <w:rFonts w:cs="Calibri"/>
        </w:rPr>
        <w:t xml:space="preserve">not report an administered appropriation receivable balance. This is consistent with </w:t>
      </w:r>
      <w:hyperlink r:id="rId171" w:history="1">
        <w:r w:rsidRPr="00DD477A">
          <w:rPr>
            <w:rStyle w:val="Hyperlink"/>
            <w:rFonts w:cs="Calibri"/>
          </w:rPr>
          <w:t xml:space="preserve">Division 4 of the </w:t>
        </w:r>
        <w:r w:rsidR="001A0595" w:rsidRPr="00DD477A">
          <w:rPr>
            <w:rStyle w:val="Hyperlink"/>
            <w:rFonts w:cs="Calibri"/>
          </w:rPr>
          <w:t>FRR</w:t>
        </w:r>
      </w:hyperlink>
      <w:r w:rsidRPr="00DD477A">
        <w:rPr>
          <w:rFonts w:cs="Calibri"/>
        </w:rPr>
        <w:t>.</w:t>
      </w:r>
    </w:p>
    <w:p w14:paraId="3704C37C" w14:textId="21F17DD7" w:rsidR="006541D7" w:rsidRPr="00C65246" w:rsidRDefault="53BF0693" w:rsidP="003D6589">
      <w:pPr>
        <w:pStyle w:val="Heading2"/>
      </w:pPr>
      <w:bookmarkStart w:id="1496" w:name="_Toc63347726"/>
      <w:bookmarkStart w:id="1497" w:name="_Toc227749061"/>
      <w:r w:rsidRPr="00C65246">
        <w:t xml:space="preserve">Tables constituting the </w:t>
      </w:r>
      <w:r w:rsidR="00FC637C" w:rsidRPr="00C65246">
        <w:t>b</w:t>
      </w:r>
      <w:r w:rsidR="0073175E" w:rsidRPr="00C65246">
        <w:t xml:space="preserve">udgeted </w:t>
      </w:r>
      <w:r w:rsidRPr="00C65246">
        <w:t xml:space="preserve">financial </w:t>
      </w:r>
      <w:bookmarkEnd w:id="1496"/>
      <w:r w:rsidR="0073175E" w:rsidRPr="00C65246">
        <w:t>statements</w:t>
      </w:r>
      <w:bookmarkEnd w:id="1497"/>
    </w:p>
    <w:p w14:paraId="4CCC3F11" w14:textId="7B340E42" w:rsidR="006541D7" w:rsidRPr="00DD477A" w:rsidRDefault="53BF0693" w:rsidP="000A7DEC">
      <w:pPr>
        <w:rPr>
          <w:rFonts w:cs="Calibri"/>
        </w:rPr>
      </w:pPr>
      <w:r w:rsidRPr="00DD477A">
        <w:rPr>
          <w:rFonts w:cs="Calibri"/>
        </w:rPr>
        <w:t xml:space="preserve">The following tables form part of the </w:t>
      </w:r>
      <w:r w:rsidR="00FC637C" w:rsidRPr="00DD477A">
        <w:rPr>
          <w:rFonts w:cs="Calibri"/>
        </w:rPr>
        <w:t>b</w:t>
      </w:r>
      <w:r w:rsidR="0073175E" w:rsidRPr="00DD477A">
        <w:rPr>
          <w:rFonts w:cs="Calibri"/>
        </w:rPr>
        <w:t xml:space="preserve">udgeted </w:t>
      </w:r>
      <w:r w:rsidRPr="00DD477A">
        <w:rPr>
          <w:rFonts w:cs="Calibri"/>
        </w:rPr>
        <w:t>financial statements for both Departmental and Administered appropriations.</w:t>
      </w:r>
    </w:p>
    <w:p w14:paraId="529C52E8" w14:textId="77777777" w:rsidR="006541D7" w:rsidRPr="00DD477A" w:rsidRDefault="53BF0693" w:rsidP="53BF0693">
      <w:pPr>
        <w:rPr>
          <w:rFonts w:cs="Calibri"/>
          <w:u w:val="single"/>
        </w:rPr>
      </w:pPr>
      <w:r w:rsidRPr="00DD477A">
        <w:rPr>
          <w:rFonts w:cs="Calibri"/>
          <w:u w:val="single"/>
        </w:rPr>
        <w:t>Departmental</w:t>
      </w:r>
    </w:p>
    <w:p w14:paraId="52255F0E" w14:textId="77777777" w:rsidR="006541D7" w:rsidRPr="00DD477A" w:rsidRDefault="53BF0693" w:rsidP="00B54999">
      <w:pPr>
        <w:pStyle w:val="Bullet1"/>
      </w:pPr>
      <w:r w:rsidRPr="00DD477A">
        <w:t>Table 3.1: Comprehensive income statement (showing net cost of services) for the period ended 30 June</w:t>
      </w:r>
    </w:p>
    <w:p w14:paraId="7EBC6E94" w14:textId="77777777" w:rsidR="006541D7" w:rsidRPr="00DD477A" w:rsidRDefault="53BF0693" w:rsidP="00B54999">
      <w:pPr>
        <w:pStyle w:val="Bullet1"/>
      </w:pPr>
      <w:r w:rsidRPr="00DD477A">
        <w:t>Table 3.2: Budgeted departmental balance sheet (as at 30 June)</w:t>
      </w:r>
    </w:p>
    <w:p w14:paraId="1DEB2372" w14:textId="46E5D9A0" w:rsidR="006541D7" w:rsidRPr="00DD477A" w:rsidRDefault="53BF0693" w:rsidP="00B54999">
      <w:pPr>
        <w:pStyle w:val="Bullet1"/>
      </w:pPr>
      <w:r w:rsidRPr="00DD477A">
        <w:t>Table 3.3: Departmental statement of changes in equity – summary of movement (Budget year</w:t>
      </w:r>
      <w:r w:rsidR="00D9226D">
        <w:t xml:space="preserve"> </w:t>
      </w:r>
      <w:r w:rsidR="0095585E">
        <w:t>202</w:t>
      </w:r>
      <w:r w:rsidR="00E40CFD">
        <w:t>6</w:t>
      </w:r>
      <w:r w:rsidR="00C917CE">
        <w:t>–</w:t>
      </w:r>
      <w:r w:rsidR="004B1B11">
        <w:t>‍</w:t>
      </w:r>
      <w:r w:rsidR="0095585E">
        <w:t>2</w:t>
      </w:r>
      <w:r w:rsidR="00E40CFD">
        <w:t>7</w:t>
      </w:r>
      <w:r w:rsidRPr="00DD477A">
        <w:t>)</w:t>
      </w:r>
    </w:p>
    <w:p w14:paraId="60BB93AB" w14:textId="77777777" w:rsidR="006541D7" w:rsidRPr="00DD477A" w:rsidRDefault="53BF0693" w:rsidP="00B54999">
      <w:pPr>
        <w:pStyle w:val="Bullet1"/>
      </w:pPr>
      <w:r w:rsidRPr="00DD477A">
        <w:t>Table 3.4: Budgeted departmental statement of cash flows (for the period ended 30 June)</w:t>
      </w:r>
    </w:p>
    <w:p w14:paraId="171CFD5C" w14:textId="77777777" w:rsidR="006541D7" w:rsidRPr="00DD477A" w:rsidRDefault="53BF0693" w:rsidP="00B54999">
      <w:pPr>
        <w:pStyle w:val="Bullet1"/>
      </w:pPr>
      <w:r w:rsidRPr="00DD477A">
        <w:t>Table 3.5: Departmental capital budget statement (for the period ended 30 June)</w:t>
      </w:r>
    </w:p>
    <w:p w14:paraId="4E307E06" w14:textId="7ADAB074" w:rsidR="006541D7" w:rsidRPr="00DD477A" w:rsidRDefault="53BF0693" w:rsidP="00B54999">
      <w:pPr>
        <w:pStyle w:val="Bullet1"/>
      </w:pPr>
      <w:r w:rsidRPr="00DD477A">
        <w:t xml:space="preserve">Table 3.6: Statement of departmental asset movements (Budget year </w:t>
      </w:r>
      <w:r w:rsidR="0081371C">
        <w:t>2026</w:t>
      </w:r>
      <w:r w:rsidR="00C917CE">
        <w:t>–</w:t>
      </w:r>
      <w:r w:rsidR="0081371C">
        <w:t>27</w:t>
      </w:r>
      <w:r w:rsidRPr="00DD477A">
        <w:t>).</w:t>
      </w:r>
    </w:p>
    <w:p w14:paraId="355F9096" w14:textId="0F7B96F0" w:rsidR="006541D7" w:rsidRPr="00DD477A" w:rsidRDefault="53BF0693" w:rsidP="00A27DB6">
      <w:pPr>
        <w:suppressAutoHyphens w:val="0"/>
        <w:spacing w:before="0" w:after="120" w:line="440" w:lineRule="atLeast"/>
        <w:rPr>
          <w:rFonts w:cs="Calibri"/>
          <w:u w:val="single"/>
        </w:rPr>
      </w:pPr>
      <w:r w:rsidRPr="00DD477A">
        <w:rPr>
          <w:rFonts w:cs="Calibri"/>
          <w:u w:val="single"/>
        </w:rPr>
        <w:t>Administered (where applicable):</w:t>
      </w:r>
    </w:p>
    <w:p w14:paraId="2E3A8D41" w14:textId="77777777" w:rsidR="006541D7" w:rsidRPr="00DD477A" w:rsidRDefault="53BF0693" w:rsidP="00B54999">
      <w:pPr>
        <w:pStyle w:val="Bullet1"/>
      </w:pPr>
      <w:r w:rsidRPr="00DD477A">
        <w:t xml:space="preserve">Table 3.7: Schedule of budgeted income and expenses administered on behalf of </w:t>
      </w:r>
      <w:r w:rsidR="006418EA" w:rsidRPr="00DD477A">
        <w:t>government</w:t>
      </w:r>
      <w:r w:rsidRPr="00DD477A">
        <w:t xml:space="preserve"> (for the period ended 30 June)</w:t>
      </w:r>
    </w:p>
    <w:p w14:paraId="1749CA63" w14:textId="5682A2E3" w:rsidR="006541D7" w:rsidRPr="00DD477A" w:rsidRDefault="53BF0693" w:rsidP="00B54999">
      <w:pPr>
        <w:pStyle w:val="Bullet1"/>
      </w:pPr>
      <w:r w:rsidRPr="00DD477A">
        <w:t xml:space="preserve">Table 3.8: Schedule of budgeted assets and liabilities administered on behalf of </w:t>
      </w:r>
      <w:r w:rsidR="006418EA" w:rsidRPr="00DD477A">
        <w:t>government</w:t>
      </w:r>
      <w:r w:rsidRPr="00DD477A">
        <w:t xml:space="preserve"> (as at 30</w:t>
      </w:r>
      <w:r w:rsidR="008C5C93" w:rsidRPr="00DD477A">
        <w:t> </w:t>
      </w:r>
      <w:r w:rsidRPr="00DD477A">
        <w:t>June)</w:t>
      </w:r>
    </w:p>
    <w:p w14:paraId="04E5EE4B" w14:textId="77777777" w:rsidR="006541D7" w:rsidRPr="00DD477A" w:rsidRDefault="53BF0693" w:rsidP="00B54999">
      <w:pPr>
        <w:pStyle w:val="Bullet1"/>
      </w:pPr>
      <w:r w:rsidRPr="00DD477A">
        <w:t>Table 3.9: Schedule of budgeted administered cash flows (for the period ended 30 June)</w:t>
      </w:r>
    </w:p>
    <w:p w14:paraId="03F35AD0" w14:textId="77777777" w:rsidR="006541D7" w:rsidRPr="00DD477A" w:rsidRDefault="53BF0693" w:rsidP="00B54999">
      <w:pPr>
        <w:pStyle w:val="Bullet1"/>
      </w:pPr>
      <w:r w:rsidRPr="00DD477A">
        <w:t>Table 3.10: Schedule of administered capital budget statement (for the period ended 30 June)</w:t>
      </w:r>
    </w:p>
    <w:p w14:paraId="29EF8D71" w14:textId="32B05079" w:rsidR="006541D7" w:rsidRPr="00DD477A" w:rsidRDefault="53BF0693" w:rsidP="00B54999">
      <w:pPr>
        <w:pStyle w:val="Bullet1"/>
      </w:pPr>
      <w:r w:rsidRPr="00DD477A">
        <w:t xml:space="preserve">Table 3.11: Statement of administered asset movements (Budget year </w:t>
      </w:r>
      <w:r w:rsidR="0081371C">
        <w:t>2026</w:t>
      </w:r>
      <w:r w:rsidR="00C917CE">
        <w:t>–</w:t>
      </w:r>
      <w:r w:rsidR="0081371C">
        <w:t>27</w:t>
      </w:r>
      <w:r w:rsidRPr="00DD477A">
        <w:t>).</w:t>
      </w:r>
    </w:p>
    <w:p w14:paraId="66120483" w14:textId="310BEF06" w:rsidR="00FA0945" w:rsidRPr="00DD477A" w:rsidRDefault="001F5E0A" w:rsidP="00580008">
      <w:pPr>
        <w:pStyle w:val="Boxed2Text"/>
        <w:rPr>
          <w:rFonts w:cs="Calibri"/>
        </w:rPr>
      </w:pPr>
      <w:r w:rsidRPr="00DD477A">
        <w:rPr>
          <w:rFonts w:cs="Calibri"/>
        </w:rPr>
        <w:t>E</w:t>
      </w:r>
      <w:r w:rsidR="53BF0693" w:rsidRPr="00DD477A">
        <w:rPr>
          <w:rFonts w:cs="Calibri"/>
        </w:rPr>
        <w:t>ntities</w:t>
      </w:r>
      <w:r w:rsidR="00A63EA2" w:rsidRPr="00DD477A">
        <w:rPr>
          <w:rFonts w:cs="Calibri"/>
        </w:rPr>
        <w:t xml:space="preserve"> must</w:t>
      </w:r>
      <w:r w:rsidR="53BF0693" w:rsidRPr="00DD477A">
        <w:rPr>
          <w:rFonts w:cs="Calibri"/>
        </w:rPr>
        <w:t xml:space="preserve"> maintain documentation to substantiate the basis of the estimates included in the PB</w:t>
      </w:r>
      <w:r w:rsidR="008C5C93" w:rsidRPr="00DD477A">
        <w:rPr>
          <w:rFonts w:cs="Calibri"/>
        </w:rPr>
        <w:t> </w:t>
      </w:r>
      <w:r w:rsidR="53BF0693" w:rsidRPr="00DD477A">
        <w:rPr>
          <w:rFonts w:cs="Calibri"/>
        </w:rPr>
        <w:t xml:space="preserve">Statements. </w:t>
      </w:r>
      <w:r w:rsidR="001C70EB" w:rsidRPr="00DD477A">
        <w:rPr>
          <w:rFonts w:cs="Calibri"/>
        </w:rPr>
        <w:t>D</w:t>
      </w:r>
      <w:r w:rsidR="53BF0693" w:rsidRPr="00DD477A">
        <w:rPr>
          <w:rFonts w:cs="Calibri"/>
        </w:rPr>
        <w:t xml:space="preserve">ocumentation </w:t>
      </w:r>
      <w:r w:rsidR="001C70EB" w:rsidRPr="00DD477A">
        <w:rPr>
          <w:rFonts w:cs="Calibri"/>
        </w:rPr>
        <w:t xml:space="preserve">could </w:t>
      </w:r>
      <w:r w:rsidR="53BF0693" w:rsidRPr="00DD477A">
        <w:rPr>
          <w:rFonts w:cs="Calibri"/>
        </w:rPr>
        <w:t xml:space="preserve">include </w:t>
      </w:r>
      <w:r w:rsidR="008C5C93" w:rsidRPr="00DD477A">
        <w:rPr>
          <w:rFonts w:cs="Calibri"/>
        </w:rPr>
        <w:t xml:space="preserve">costing agreements which are consistent with government decisions, </w:t>
      </w:r>
      <w:r w:rsidR="001C70EB" w:rsidRPr="00DD477A">
        <w:rPr>
          <w:rFonts w:cs="Calibri"/>
        </w:rPr>
        <w:t>CBMS </w:t>
      </w:r>
      <w:r w:rsidR="53BF0693" w:rsidRPr="00DD477A">
        <w:rPr>
          <w:rFonts w:cs="Calibri"/>
        </w:rPr>
        <w:t xml:space="preserve">reconciliations, CFO </w:t>
      </w:r>
      <w:r w:rsidR="00022801" w:rsidRPr="00DD477A">
        <w:rPr>
          <w:rFonts w:cs="Calibri"/>
        </w:rPr>
        <w:t>signoffs</w:t>
      </w:r>
      <w:r w:rsidR="53BF0693" w:rsidRPr="00DD477A">
        <w:rPr>
          <w:rFonts w:cs="Calibri"/>
        </w:rPr>
        <w:t xml:space="preserve"> and Budget allocation authority. </w:t>
      </w:r>
      <w:r w:rsidR="00060678" w:rsidRPr="00DD477A">
        <w:rPr>
          <w:rFonts w:cs="Calibri"/>
        </w:rPr>
        <w:t xml:space="preserve">It is also important </w:t>
      </w:r>
      <w:r w:rsidR="53BF0693" w:rsidRPr="00DD477A">
        <w:rPr>
          <w:rFonts w:cs="Calibri"/>
        </w:rPr>
        <w:t>that</w:t>
      </w:r>
      <w:r w:rsidR="00060678" w:rsidRPr="00DD477A">
        <w:rPr>
          <w:rFonts w:cs="Calibri"/>
        </w:rPr>
        <w:t xml:space="preserve"> numbers reported</w:t>
      </w:r>
      <w:r w:rsidR="53BF0693" w:rsidRPr="00DD477A">
        <w:rPr>
          <w:rFonts w:cs="Calibri"/>
        </w:rPr>
        <w:t xml:space="preserve"> </w:t>
      </w:r>
      <w:r w:rsidR="00060678" w:rsidRPr="00DD477A">
        <w:rPr>
          <w:rFonts w:cs="Calibri"/>
        </w:rPr>
        <w:t xml:space="preserve">in </w:t>
      </w:r>
      <w:r w:rsidR="53BF0693" w:rsidRPr="00DD477A">
        <w:rPr>
          <w:rFonts w:cs="Calibri"/>
        </w:rPr>
        <w:t>PB Statement</w:t>
      </w:r>
      <w:r w:rsidR="00060678" w:rsidRPr="00DD477A">
        <w:rPr>
          <w:rFonts w:cs="Calibri"/>
        </w:rPr>
        <w:t>s</w:t>
      </w:r>
      <w:r w:rsidR="53BF0693" w:rsidRPr="00DD477A">
        <w:rPr>
          <w:rFonts w:cs="Calibri"/>
        </w:rPr>
        <w:t xml:space="preserve"> reconcile with those in CBMS.</w:t>
      </w:r>
    </w:p>
    <w:p w14:paraId="4936B408" w14:textId="218E1DFE" w:rsidR="00FF5B29" w:rsidRPr="00DD477A" w:rsidRDefault="00C90222" w:rsidP="00A27DB6">
      <w:pPr>
        <w:rPr>
          <w:rFonts w:cs="Calibri"/>
        </w:rPr>
      </w:pPr>
      <w:r w:rsidRPr="00DD477A">
        <w:rPr>
          <w:rFonts w:cs="Calibri"/>
        </w:rPr>
        <w:t xml:space="preserve">Entities are reminded of </w:t>
      </w:r>
      <w:hyperlink r:id="rId172" w:history="1">
        <w:r w:rsidR="007D6AA1" w:rsidRPr="00DD477A">
          <w:rPr>
            <w:rStyle w:val="Hyperlink"/>
            <w:rFonts w:cs="Calibri"/>
          </w:rPr>
          <w:t xml:space="preserve">AASB 1055 </w:t>
        </w:r>
        <w:r w:rsidR="007D6AA1" w:rsidRPr="00DD477A">
          <w:rPr>
            <w:rStyle w:val="Hyperlink"/>
            <w:rFonts w:cs="Calibri"/>
            <w:i/>
            <w:iCs/>
          </w:rPr>
          <w:t>Budgetary Reporting</w:t>
        </w:r>
      </w:hyperlink>
      <w:r w:rsidR="00FA0945" w:rsidRPr="00DD477A">
        <w:rPr>
          <w:rFonts w:cs="Calibri"/>
        </w:rPr>
        <w:t xml:space="preserve"> requirements, refer to</w:t>
      </w:r>
      <w:r w:rsidRPr="00DD477A">
        <w:rPr>
          <w:rFonts w:cs="Calibri"/>
        </w:rPr>
        <w:t xml:space="preserve"> </w:t>
      </w:r>
      <w:r w:rsidR="00E01DF9" w:rsidRPr="00DD477A">
        <w:rPr>
          <w:rFonts w:cs="Calibri"/>
        </w:rPr>
        <w:t xml:space="preserve">above </w:t>
      </w:r>
      <w:r w:rsidR="005C16F9" w:rsidRPr="00DD477A">
        <w:rPr>
          <w:rFonts w:cs="Calibri"/>
        </w:rPr>
        <w:t>guidance</w:t>
      </w:r>
      <w:r w:rsidRPr="00DD477A">
        <w:rPr>
          <w:rStyle w:val="CrossReferenceChar"/>
        </w:rPr>
        <w:fldChar w:fldCharType="begin"/>
      </w:r>
      <w:r w:rsidRPr="00DD477A">
        <w:rPr>
          <w:rStyle w:val="CrossReferenceChar"/>
        </w:rPr>
        <w:instrText xml:space="preserve"> REF _Ref65232223 \w \h </w:instrText>
      </w:r>
      <w:r w:rsidR="003B47B3" w:rsidRPr="00DD477A">
        <w:rPr>
          <w:rStyle w:val="CrossReferenceChar"/>
        </w:rPr>
        <w:instrText xml:space="preserve"> \* MERGEFORMAT </w:instrText>
      </w:r>
      <w:r w:rsidRPr="00DD477A">
        <w:rPr>
          <w:rStyle w:val="CrossReferenceChar"/>
        </w:rPr>
      </w:r>
      <w:r w:rsidRPr="00DD477A">
        <w:rPr>
          <w:rStyle w:val="CrossReferenceChar"/>
        </w:rPr>
        <w:fldChar w:fldCharType="separate"/>
      </w:r>
      <w:r w:rsidR="009E5625">
        <w:rPr>
          <w:rStyle w:val="CrossReferenceChar"/>
        </w:rPr>
        <w:t>7.4</w:t>
      </w:r>
      <w:r w:rsidRPr="00DD477A">
        <w:rPr>
          <w:rStyle w:val="CrossReferenceChar"/>
        </w:rPr>
        <w:fldChar w:fldCharType="end"/>
      </w:r>
      <w:r w:rsidRPr="00DD477A">
        <w:rPr>
          <w:rStyle w:val="CrossReferenceChar"/>
        </w:rPr>
        <w:fldChar w:fldCharType="begin"/>
      </w:r>
      <w:r w:rsidRPr="00DD477A">
        <w:rPr>
          <w:rStyle w:val="CrossReferenceChar"/>
        </w:rPr>
        <w:instrText xml:space="preserve"> REF _Ref65232223 \h </w:instrText>
      </w:r>
      <w:r w:rsidR="00334F8A" w:rsidRPr="00DD477A">
        <w:rPr>
          <w:rStyle w:val="CrossReferenceChar"/>
        </w:rPr>
        <w:instrText xml:space="preserve"> \* MERGEFORMAT </w:instrText>
      </w:r>
      <w:r w:rsidRPr="00DD477A">
        <w:rPr>
          <w:rStyle w:val="CrossReferenceChar"/>
        </w:rPr>
      </w:r>
      <w:r w:rsidRPr="00DD477A">
        <w:rPr>
          <w:rStyle w:val="CrossReferenceChar"/>
        </w:rPr>
        <w:fldChar w:fldCharType="separate"/>
      </w:r>
      <w:r w:rsidR="009E5625" w:rsidRPr="00DD477A">
        <w:t>AASB 1055 - Link between budgeted and financial statements reporting</w:t>
      </w:r>
      <w:r w:rsidRPr="00DD477A">
        <w:rPr>
          <w:rStyle w:val="CrossReferenceChar"/>
        </w:rPr>
        <w:fldChar w:fldCharType="end"/>
      </w:r>
      <w:r w:rsidR="00F0763F" w:rsidRPr="00DD477A">
        <w:rPr>
          <w:rFonts w:cs="Calibri"/>
        </w:rPr>
        <w:t>.</w:t>
      </w:r>
      <w:r w:rsidR="00CE39BD" w:rsidRPr="00DD477A">
        <w:rPr>
          <w:rFonts w:cs="Calibri"/>
        </w:rPr>
        <w:t xml:space="preserve"> </w:t>
      </w:r>
    </w:p>
    <w:p w14:paraId="1A7E0582" w14:textId="380ED5F6" w:rsidR="006742B5" w:rsidRPr="00DD477A" w:rsidRDefault="53BF0693" w:rsidP="003D6589">
      <w:pPr>
        <w:pStyle w:val="Heading2"/>
      </w:pPr>
      <w:bookmarkStart w:id="1498" w:name="_Toc227749062"/>
      <w:bookmarkStart w:id="1499" w:name="_Ref87952298"/>
      <w:bookmarkStart w:id="1500" w:name="_Ref87952308"/>
      <w:bookmarkStart w:id="1501" w:name="_Toc411852693"/>
      <w:bookmarkStart w:id="1502" w:name="_Toc534382574"/>
      <w:bookmarkStart w:id="1503" w:name="_Ref61531719"/>
      <w:bookmarkStart w:id="1504" w:name="_Toc63347728"/>
      <w:r w:rsidRPr="00DD477A">
        <w:t xml:space="preserve">Departmental </w:t>
      </w:r>
      <w:r w:rsidR="00B13ABF" w:rsidRPr="00DD477A">
        <w:t>f</w:t>
      </w:r>
      <w:r w:rsidR="00F40BC4" w:rsidRPr="00DD477A">
        <w:t xml:space="preserve">inancial </w:t>
      </w:r>
      <w:r w:rsidR="00B13ABF" w:rsidRPr="00DD477A">
        <w:t>statements</w:t>
      </w:r>
      <w:bookmarkEnd w:id="1498"/>
      <w:r w:rsidR="00F40BC4" w:rsidRPr="00DD477A">
        <w:t xml:space="preserve"> </w:t>
      </w:r>
    </w:p>
    <w:p w14:paraId="52A56F9F" w14:textId="2FB03CFA" w:rsidR="00FA0945" w:rsidRPr="00E70B8F" w:rsidRDefault="006742B5" w:rsidP="003D6589">
      <w:pPr>
        <w:pStyle w:val="Heading3"/>
      </w:pPr>
      <w:bookmarkStart w:id="1505" w:name="_Toc227749063"/>
      <w:r w:rsidRPr="00E70B8F">
        <w:t>C</w:t>
      </w:r>
      <w:r w:rsidR="53BF0693" w:rsidRPr="00E70B8F">
        <w:t>omprehensive income statement (showing net cost of services)</w:t>
      </w:r>
      <w:bookmarkEnd w:id="1499"/>
      <w:bookmarkEnd w:id="1500"/>
      <w:bookmarkEnd w:id="1505"/>
      <w:r w:rsidR="53BF0693" w:rsidRPr="00E70B8F">
        <w:t xml:space="preserve"> </w:t>
      </w:r>
      <w:bookmarkEnd w:id="1501"/>
      <w:bookmarkEnd w:id="1502"/>
      <w:bookmarkEnd w:id="1503"/>
      <w:bookmarkEnd w:id="1504"/>
    </w:p>
    <w:p w14:paraId="0B26CAD5" w14:textId="6735DA31" w:rsidR="00837EE6" w:rsidRPr="00DD477A" w:rsidRDefault="00837EE6" w:rsidP="000A7DEC">
      <w:pPr>
        <w:rPr>
          <w:rFonts w:cs="Calibri"/>
        </w:rPr>
      </w:pPr>
      <w:r w:rsidRPr="00DD477A">
        <w:rPr>
          <w:rFonts w:eastAsia="Cambria" w:cs="Calibri"/>
          <w:noProof/>
        </w:rPr>
        <w:drawing>
          <wp:inline distT="0" distB="0" distL="0" distR="0" wp14:anchorId="180077B9" wp14:editId="35FA8B25">
            <wp:extent cx="5835650" cy="955170"/>
            <wp:effectExtent l="0" t="0" r="0" b="0"/>
            <wp:docPr id="1038218733" name="Diagram 10382187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3" r:lo="rId174" r:qs="rId175" r:cs="rId176"/>
              </a:graphicData>
            </a:graphic>
          </wp:inline>
        </w:drawing>
      </w:r>
    </w:p>
    <w:p w14:paraId="4157E17B" w14:textId="77777777" w:rsidR="00396F99" w:rsidRPr="00DD477A" w:rsidRDefault="53BF0693" w:rsidP="000A7DEC">
      <w:pPr>
        <w:rPr>
          <w:rFonts w:cs="Calibri"/>
        </w:rPr>
      </w:pPr>
      <w:r w:rsidRPr="00DD477A">
        <w:rPr>
          <w:rFonts w:cs="Calibri"/>
        </w:rPr>
        <w:t>This statement depicts the entity’s estimated income and expenses in relation to its departmental operations over the financial year.</w:t>
      </w:r>
    </w:p>
    <w:p w14:paraId="186BCECF" w14:textId="1C949609" w:rsidR="003B52E6" w:rsidRPr="00DD477A" w:rsidRDefault="00FC7F1D" w:rsidP="00CF6BE7">
      <w:pPr>
        <w:rPr>
          <w:rFonts w:cs="Calibri"/>
        </w:rPr>
      </w:pPr>
      <w:r w:rsidRPr="00DD477A">
        <w:rPr>
          <w:rFonts w:cs="Calibri"/>
        </w:rPr>
        <w:t>When</w:t>
      </w:r>
      <w:r w:rsidR="53BF0693" w:rsidRPr="00DD477A">
        <w:rPr>
          <w:rFonts w:cs="Calibri"/>
        </w:rPr>
        <w:t xml:space="preserve"> preparing the </w:t>
      </w:r>
      <w:r w:rsidR="007A6549" w:rsidRPr="00DD477A">
        <w:rPr>
          <w:rFonts w:cs="Calibri"/>
        </w:rPr>
        <w:t>note</w:t>
      </w:r>
      <w:r w:rsidR="53BF0693" w:rsidRPr="00DD477A">
        <w:rPr>
          <w:rFonts w:cs="Calibri"/>
        </w:rPr>
        <w:t xml:space="preserve"> </w:t>
      </w:r>
      <w:r w:rsidR="007A6549" w:rsidRPr="00DD477A">
        <w:rPr>
          <w:rFonts w:cs="Calibri"/>
        </w:rPr>
        <w:t>‘</w:t>
      </w:r>
      <w:r w:rsidR="53BF0693" w:rsidRPr="00DD477A">
        <w:rPr>
          <w:rFonts w:cs="Calibri"/>
        </w:rPr>
        <w:t>Impact of Net Cash Appropriation Arrangements</w:t>
      </w:r>
      <w:r w:rsidR="006714EB" w:rsidRPr="00DD477A">
        <w:rPr>
          <w:rFonts w:cs="Calibri"/>
        </w:rPr>
        <w:t>’</w:t>
      </w:r>
      <w:r w:rsidR="53BF0693" w:rsidRPr="00DD477A">
        <w:rPr>
          <w:rFonts w:cs="Calibri"/>
        </w:rPr>
        <w:t xml:space="preserve">, refer to </w:t>
      </w:r>
      <w:hyperlink r:id="rId178">
        <w:r w:rsidR="006D691D">
          <w:rPr>
            <w:rStyle w:val="Hyperlink"/>
          </w:rPr>
          <w:t>RMG</w:t>
        </w:r>
        <w:r w:rsidR="004D784F">
          <w:rPr>
            <w:rStyle w:val="Hyperlink"/>
          </w:rPr>
          <w:t> </w:t>
        </w:r>
        <w:r w:rsidR="006D691D">
          <w:rPr>
            <w:rStyle w:val="Hyperlink"/>
          </w:rPr>
          <w:t>125</w:t>
        </w:r>
        <w:r w:rsidR="004D784F">
          <w:rPr>
            <w:rStyle w:val="Hyperlink"/>
          </w:rPr>
          <w:t> </w:t>
        </w:r>
        <w:r w:rsidR="006D691D">
          <w:rPr>
            <w:rStyle w:val="Hyperlink"/>
          </w:rPr>
          <w:t>Commonwealth entities financial statements guide</w:t>
        </w:r>
      </w:hyperlink>
      <w:r w:rsidR="53BF0693" w:rsidRPr="00DD477A">
        <w:rPr>
          <w:rFonts w:cs="Calibri"/>
        </w:rPr>
        <w:t xml:space="preserve"> from which figures should be shown in the </w:t>
      </w:r>
      <w:r w:rsidR="006714EB" w:rsidRPr="00DD477A">
        <w:rPr>
          <w:rFonts w:cs="Calibri"/>
        </w:rPr>
        <w:t>‘</w:t>
      </w:r>
      <w:r w:rsidR="53BF0693" w:rsidRPr="00DD477A">
        <w:rPr>
          <w:rFonts w:cs="Calibri"/>
        </w:rPr>
        <w:t>Depreciation/amortisation expenses previously funded through revenue appropriations</w:t>
      </w:r>
      <w:r w:rsidR="006714EB" w:rsidRPr="00DD477A">
        <w:rPr>
          <w:rFonts w:cs="Calibri"/>
        </w:rPr>
        <w:t>’</w:t>
      </w:r>
      <w:r w:rsidR="53BF0693" w:rsidRPr="00DD477A">
        <w:rPr>
          <w:rFonts w:cs="Calibri"/>
        </w:rPr>
        <w:t xml:space="preserve"> line.</w:t>
      </w:r>
      <w:bookmarkStart w:id="1506" w:name="_Toc411852694"/>
      <w:bookmarkStart w:id="1507" w:name="_Toc534382575"/>
      <w:bookmarkStart w:id="1508" w:name="_Toc63347729"/>
    </w:p>
    <w:p w14:paraId="7AE99F15" w14:textId="7CB7C0D4" w:rsidR="00FA0945" w:rsidRPr="00DD477A" w:rsidRDefault="53BF0693" w:rsidP="003D6589">
      <w:pPr>
        <w:pStyle w:val="Heading3"/>
        <w:rPr>
          <w:rFonts w:eastAsiaTheme="minorEastAsia"/>
        </w:rPr>
      </w:pPr>
      <w:bookmarkStart w:id="1509" w:name="_Toc227749064"/>
      <w:r w:rsidRPr="00DD477A">
        <w:t>Budgeted departmental balance sheet</w:t>
      </w:r>
      <w:bookmarkEnd w:id="1506"/>
      <w:bookmarkEnd w:id="1507"/>
      <w:bookmarkEnd w:id="1508"/>
      <w:bookmarkEnd w:id="1509"/>
    </w:p>
    <w:p w14:paraId="271D4F30" w14:textId="065FD754" w:rsidR="002C70B4" w:rsidRPr="00DD477A" w:rsidRDefault="002C70B4" w:rsidP="000A7DEC">
      <w:pPr>
        <w:rPr>
          <w:rFonts w:cs="Calibri"/>
        </w:rPr>
      </w:pPr>
      <w:r w:rsidRPr="00DD477A">
        <w:rPr>
          <w:rFonts w:eastAsia="Cambria" w:cs="Calibri"/>
          <w:noProof/>
        </w:rPr>
        <w:drawing>
          <wp:inline distT="0" distB="0" distL="0" distR="0" wp14:anchorId="25D45363" wp14:editId="12033364">
            <wp:extent cx="5835650" cy="955170"/>
            <wp:effectExtent l="0" t="0" r="0" b="0"/>
            <wp:docPr id="1270060956" name="Diagram 12700609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9" r:lo="rId180" r:qs="rId181" r:cs="rId182"/>
              </a:graphicData>
            </a:graphic>
          </wp:inline>
        </w:drawing>
      </w:r>
    </w:p>
    <w:p w14:paraId="3B16A955" w14:textId="24715745" w:rsidR="00FA0945" w:rsidRPr="00DD477A" w:rsidRDefault="53BF0693" w:rsidP="000A7DEC">
      <w:pPr>
        <w:rPr>
          <w:rFonts w:cs="Calibri"/>
        </w:rPr>
      </w:pPr>
      <w:r w:rsidRPr="00DD477A">
        <w:rPr>
          <w:rFonts w:cs="Calibri"/>
        </w:rPr>
        <w:t>This statement depicts the entity’s estimated assets and liabilities in relation to its departmental operations at the end of the financial year.</w:t>
      </w:r>
    </w:p>
    <w:p w14:paraId="7A0BC73F" w14:textId="196BDEE1" w:rsidR="00FA0945" w:rsidRPr="00DD477A" w:rsidRDefault="53BF0693" w:rsidP="003D6589">
      <w:pPr>
        <w:pStyle w:val="Heading3"/>
      </w:pPr>
      <w:bookmarkStart w:id="1510" w:name="_Toc411852695"/>
      <w:bookmarkStart w:id="1511" w:name="_Toc534382576"/>
      <w:bookmarkStart w:id="1512" w:name="_Toc63347730"/>
      <w:bookmarkStart w:id="1513" w:name="_Toc227749065"/>
      <w:r w:rsidRPr="00DD477A">
        <w:t>Departmental statement of changes in equity</w:t>
      </w:r>
      <w:bookmarkEnd w:id="1510"/>
      <w:bookmarkEnd w:id="1511"/>
      <w:bookmarkEnd w:id="1512"/>
      <w:bookmarkEnd w:id="1513"/>
    </w:p>
    <w:p w14:paraId="39E4A185" w14:textId="6A228C52" w:rsidR="00483F48" w:rsidRPr="00DD477A" w:rsidRDefault="00483F48" w:rsidP="000A7DEC">
      <w:pPr>
        <w:rPr>
          <w:rFonts w:cs="Calibri"/>
        </w:rPr>
      </w:pPr>
      <w:r w:rsidRPr="00DD477A">
        <w:rPr>
          <w:rFonts w:eastAsia="Cambria" w:cs="Calibri"/>
          <w:noProof/>
        </w:rPr>
        <w:drawing>
          <wp:inline distT="0" distB="0" distL="0" distR="0" wp14:anchorId="4A6E1D60" wp14:editId="7D38EADA">
            <wp:extent cx="5835650" cy="955170"/>
            <wp:effectExtent l="0" t="0" r="0" b="0"/>
            <wp:docPr id="41637155" name="Diagram 416371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4" r:lo="rId185" r:qs="rId186" r:cs="rId187"/>
              </a:graphicData>
            </a:graphic>
          </wp:inline>
        </w:drawing>
      </w:r>
    </w:p>
    <w:p w14:paraId="454FCE4B" w14:textId="5ECC4C48" w:rsidR="00FA0945" w:rsidRPr="00DD477A" w:rsidRDefault="53BF0693" w:rsidP="000A7DEC">
      <w:pPr>
        <w:rPr>
          <w:rFonts w:cs="Calibri"/>
        </w:rPr>
      </w:pPr>
      <w:r w:rsidRPr="00DD477A">
        <w:rPr>
          <w:rFonts w:cs="Calibri"/>
        </w:rPr>
        <w:t>This statement depicts the forecast movement in the entity’s equity position over the financial year (i.e.</w:t>
      </w:r>
      <w:r w:rsidR="7AA82F52" w:rsidRPr="00DD477A">
        <w:rPr>
          <w:rFonts w:cs="Calibri"/>
        </w:rPr>
        <w:t>,</w:t>
      </w:r>
      <w:r w:rsidRPr="00DD477A">
        <w:rPr>
          <w:rFonts w:cs="Calibri"/>
        </w:rPr>
        <w:t xml:space="preserve"> the change in the </w:t>
      </w:r>
      <w:r w:rsidR="006418EA" w:rsidRPr="00DD477A">
        <w:rPr>
          <w:rFonts w:cs="Calibri"/>
        </w:rPr>
        <w:t>government</w:t>
      </w:r>
      <w:r w:rsidRPr="00DD477A">
        <w:rPr>
          <w:rFonts w:cs="Calibri"/>
        </w:rPr>
        <w:t>’s ownership interests in the entity).</w:t>
      </w:r>
    </w:p>
    <w:p w14:paraId="4AC2DB8F" w14:textId="40774D77" w:rsidR="00FA0945" w:rsidRPr="00DD477A" w:rsidRDefault="53BF0693" w:rsidP="003D6589">
      <w:pPr>
        <w:pStyle w:val="Heading3"/>
      </w:pPr>
      <w:bookmarkStart w:id="1514" w:name="_Toc411852696"/>
      <w:bookmarkStart w:id="1515" w:name="_Toc534382577"/>
      <w:bookmarkStart w:id="1516" w:name="_Toc63347731"/>
      <w:bookmarkStart w:id="1517" w:name="_Toc227749066"/>
      <w:r w:rsidRPr="00DD477A">
        <w:t>Budgeted departmental statement of cash flows</w:t>
      </w:r>
      <w:bookmarkEnd w:id="1514"/>
      <w:bookmarkEnd w:id="1515"/>
      <w:bookmarkEnd w:id="1516"/>
      <w:bookmarkEnd w:id="1517"/>
    </w:p>
    <w:p w14:paraId="2047AD7A" w14:textId="50524FBF" w:rsidR="00024A49" w:rsidRPr="00DD477A" w:rsidRDefault="00024A49" w:rsidP="000A7DEC">
      <w:pPr>
        <w:rPr>
          <w:rFonts w:cs="Calibri"/>
        </w:rPr>
      </w:pPr>
      <w:r w:rsidRPr="00DD477A">
        <w:rPr>
          <w:rFonts w:eastAsia="Cambria" w:cs="Calibri"/>
          <w:noProof/>
        </w:rPr>
        <w:drawing>
          <wp:inline distT="0" distB="0" distL="0" distR="0" wp14:anchorId="00CA300D" wp14:editId="19FA196E">
            <wp:extent cx="5835650" cy="955170"/>
            <wp:effectExtent l="0" t="0" r="0" b="0"/>
            <wp:docPr id="1717426764" name="Diagram 17174267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9" r:lo="rId190" r:qs="rId191" r:cs="rId192"/>
              </a:graphicData>
            </a:graphic>
          </wp:inline>
        </w:drawing>
      </w:r>
    </w:p>
    <w:p w14:paraId="039EB4FC" w14:textId="77777777" w:rsidR="00FA0945" w:rsidRPr="00DD477A" w:rsidRDefault="53BF0693" w:rsidP="000A7DEC">
      <w:pPr>
        <w:rPr>
          <w:rFonts w:cs="Calibri"/>
        </w:rPr>
      </w:pPr>
      <w:r w:rsidRPr="00DD477A">
        <w:rPr>
          <w:rFonts w:cs="Calibri"/>
        </w:rPr>
        <w:t>This statement depicts the entity’s estimated cash flows over the financial year.</w:t>
      </w:r>
    </w:p>
    <w:p w14:paraId="701D486D" w14:textId="0D222DEC" w:rsidR="00FA0945" w:rsidRPr="00DD477A" w:rsidRDefault="53BF0693" w:rsidP="003D6589">
      <w:pPr>
        <w:pStyle w:val="Heading3"/>
      </w:pPr>
      <w:bookmarkStart w:id="1518" w:name="_Toc534458900"/>
      <w:bookmarkStart w:id="1519" w:name="_Toc534459689"/>
      <w:bookmarkStart w:id="1520" w:name="_Toc534519186"/>
      <w:bookmarkStart w:id="1521" w:name="_Toc534520096"/>
      <w:bookmarkStart w:id="1522" w:name="_Toc534520366"/>
      <w:bookmarkStart w:id="1523" w:name="_Toc534527578"/>
      <w:bookmarkStart w:id="1524" w:name="_Toc534528308"/>
      <w:bookmarkStart w:id="1525" w:name="_Toc534803529"/>
      <w:bookmarkStart w:id="1526" w:name="_Toc534814220"/>
      <w:bookmarkStart w:id="1527" w:name="_Toc536108593"/>
      <w:bookmarkStart w:id="1528" w:name="_Toc536802138"/>
      <w:bookmarkStart w:id="1529" w:name="_Toc411852697"/>
      <w:bookmarkStart w:id="1530" w:name="_Toc534382578"/>
      <w:bookmarkStart w:id="1531" w:name="_Toc63347732"/>
      <w:bookmarkStart w:id="1532" w:name="_Toc227749067"/>
      <w:bookmarkStart w:id="1533" w:name="_Hlk158303834"/>
      <w:bookmarkEnd w:id="1518"/>
      <w:bookmarkEnd w:id="1519"/>
      <w:bookmarkEnd w:id="1520"/>
      <w:bookmarkEnd w:id="1521"/>
      <w:bookmarkEnd w:id="1522"/>
      <w:bookmarkEnd w:id="1523"/>
      <w:bookmarkEnd w:id="1524"/>
      <w:bookmarkEnd w:id="1525"/>
      <w:bookmarkEnd w:id="1526"/>
      <w:bookmarkEnd w:id="1527"/>
      <w:bookmarkEnd w:id="1528"/>
      <w:r w:rsidRPr="00DD477A">
        <w:t>Departmental capital budget statement</w:t>
      </w:r>
      <w:bookmarkEnd w:id="1529"/>
      <w:bookmarkEnd w:id="1530"/>
      <w:bookmarkEnd w:id="1531"/>
      <w:bookmarkEnd w:id="1532"/>
    </w:p>
    <w:bookmarkEnd w:id="1533"/>
    <w:p w14:paraId="5A750181" w14:textId="3DFEF7CF" w:rsidR="007B6808" w:rsidRPr="00DD477A" w:rsidRDefault="007B6808" w:rsidP="00580008">
      <w:pPr>
        <w:rPr>
          <w:rFonts w:cs="Calibri"/>
        </w:rPr>
      </w:pPr>
      <w:r w:rsidRPr="00DD477A">
        <w:rPr>
          <w:rFonts w:eastAsia="Cambria" w:cs="Calibri"/>
          <w:noProof/>
        </w:rPr>
        <w:drawing>
          <wp:inline distT="0" distB="0" distL="0" distR="0" wp14:anchorId="797588CD" wp14:editId="79705E8E">
            <wp:extent cx="5835650" cy="955170"/>
            <wp:effectExtent l="0" t="0" r="0" b="0"/>
            <wp:docPr id="1891181504" name="Diagram 18911815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4" r:lo="rId195" r:qs="rId196" r:cs="rId197"/>
              </a:graphicData>
            </a:graphic>
          </wp:inline>
        </w:drawing>
      </w:r>
    </w:p>
    <w:p w14:paraId="291EBB42" w14:textId="16211E15" w:rsidR="00FA0945" w:rsidRPr="00DD477A" w:rsidRDefault="53BF0693" w:rsidP="000A7DEC">
      <w:pPr>
        <w:rPr>
          <w:rFonts w:cs="Calibri"/>
        </w:rPr>
      </w:pPr>
      <w:r w:rsidRPr="00DD477A">
        <w:rPr>
          <w:rFonts w:cs="Calibri"/>
        </w:rPr>
        <w:t xml:space="preserve">This statement outlines the entity’s capital appropriations </w:t>
      </w:r>
      <w:r w:rsidR="00450735">
        <w:rPr>
          <w:rFonts w:cs="Calibri"/>
        </w:rPr>
        <w:t xml:space="preserve">to be </w:t>
      </w:r>
      <w:r w:rsidRPr="00DD477A">
        <w:rPr>
          <w:rFonts w:cs="Calibri"/>
        </w:rPr>
        <w:t>provided through Appropriation Bills (</w:t>
      </w:r>
      <w:r w:rsidR="001675A8" w:rsidRPr="00DD477A">
        <w:rPr>
          <w:rFonts w:cs="Calibri"/>
        </w:rPr>
        <w:t>No.</w:t>
      </w:r>
      <w:r w:rsidR="008A6209" w:rsidRPr="00DD477A">
        <w:rPr>
          <w:rFonts w:cs="Calibri"/>
        </w:rPr>
        <w:t xml:space="preserve"> </w:t>
      </w:r>
      <w:r w:rsidRPr="00DD477A">
        <w:rPr>
          <w:rFonts w:cs="Calibri"/>
        </w:rPr>
        <w:t xml:space="preserve">1 and 2) and the purpose for which </w:t>
      </w:r>
      <w:r w:rsidR="007E04DD" w:rsidRPr="00DD477A">
        <w:rPr>
          <w:rFonts w:cs="Calibri"/>
        </w:rPr>
        <w:t xml:space="preserve">the funds </w:t>
      </w:r>
      <w:r w:rsidR="00F42810">
        <w:rPr>
          <w:rFonts w:cs="Calibri"/>
        </w:rPr>
        <w:t>will be</w:t>
      </w:r>
      <w:r w:rsidR="00F42810" w:rsidRPr="00DD477A">
        <w:rPr>
          <w:rFonts w:cs="Calibri"/>
        </w:rPr>
        <w:t xml:space="preserve"> </w:t>
      </w:r>
      <w:r w:rsidRPr="00DD477A">
        <w:rPr>
          <w:rFonts w:cs="Calibri"/>
        </w:rPr>
        <w:t xml:space="preserve">provided (either to purchase assets, or for </w:t>
      </w:r>
      <w:r w:rsidR="007E04DD" w:rsidRPr="00DD477A">
        <w:rPr>
          <w:rFonts w:cs="Calibri"/>
        </w:rPr>
        <w:t>other purposes such as discharging liabilities</w:t>
      </w:r>
      <w:r w:rsidRPr="00DD477A">
        <w:rPr>
          <w:rFonts w:cs="Calibri"/>
        </w:rPr>
        <w:t>), compared to their forecast capital expenditure.</w:t>
      </w:r>
    </w:p>
    <w:p w14:paraId="5347775A" w14:textId="04D0554A" w:rsidR="00FA0945" w:rsidRDefault="53BF0693" w:rsidP="000A7DEC">
      <w:pPr>
        <w:rPr>
          <w:rFonts w:cs="Calibri"/>
        </w:rPr>
      </w:pPr>
      <w:r w:rsidRPr="00DD477A">
        <w:rPr>
          <w:rFonts w:cs="Calibri"/>
        </w:rPr>
        <w:t xml:space="preserve">Information to be included in the </w:t>
      </w:r>
      <w:r w:rsidR="006714EB" w:rsidRPr="00DD477A">
        <w:rPr>
          <w:rFonts w:cs="Calibri"/>
        </w:rPr>
        <w:t>‘</w:t>
      </w:r>
      <w:r w:rsidRPr="00DD477A">
        <w:rPr>
          <w:rFonts w:cs="Calibri"/>
        </w:rPr>
        <w:t>Reconciliation of cash used to acquire assets to Asset Movement Table</w:t>
      </w:r>
      <w:r w:rsidR="006714EB" w:rsidRPr="00DD477A">
        <w:rPr>
          <w:rFonts w:cs="Calibri"/>
        </w:rPr>
        <w:t>’</w:t>
      </w:r>
      <w:r w:rsidRPr="00DD477A">
        <w:rPr>
          <w:rFonts w:cs="Calibri"/>
        </w:rPr>
        <w:t xml:space="preserve"> should be sourced from the cash flow statement (Table 3.4) and the entity’s FMIS. </w:t>
      </w:r>
    </w:p>
    <w:p w14:paraId="03AF4171" w14:textId="5740DC48" w:rsidR="004A798F" w:rsidRPr="00DD477A" w:rsidRDefault="00ED3A37" w:rsidP="000A7DEC">
      <w:pPr>
        <w:rPr>
          <w:rFonts w:cs="Calibri"/>
        </w:rPr>
      </w:pPr>
      <w:r w:rsidRPr="006D67DA">
        <w:rPr>
          <w:rFonts w:cs="Calibri"/>
        </w:rPr>
        <w:t>Entities should complete th</w:t>
      </w:r>
      <w:r w:rsidR="008A1060" w:rsidRPr="006D67DA">
        <w:rPr>
          <w:rFonts w:cs="Calibri"/>
        </w:rPr>
        <w:t>e</w:t>
      </w:r>
      <w:r w:rsidRPr="006D67DA">
        <w:rPr>
          <w:rFonts w:cs="Calibri"/>
        </w:rPr>
        <w:t xml:space="preserve"> table </w:t>
      </w:r>
      <w:r w:rsidR="00D65BAF" w:rsidRPr="006D67DA">
        <w:rPr>
          <w:rFonts w:cs="Calibri"/>
        </w:rPr>
        <w:t xml:space="preserve">where </w:t>
      </w:r>
      <w:r w:rsidRPr="006D67DA">
        <w:rPr>
          <w:rFonts w:cs="Calibri"/>
        </w:rPr>
        <w:t xml:space="preserve">they receive capital appropriations </w:t>
      </w:r>
      <w:r w:rsidR="003A1A81" w:rsidRPr="0014243A">
        <w:rPr>
          <w:rFonts w:cs="Calibri"/>
        </w:rPr>
        <w:t xml:space="preserve">for the Purchases of the Non-Financial assets </w:t>
      </w:r>
      <w:r w:rsidRPr="006D67DA">
        <w:rPr>
          <w:rFonts w:cs="Calibri"/>
        </w:rPr>
        <w:t xml:space="preserve">either </w:t>
      </w:r>
      <w:r w:rsidR="004B3612" w:rsidRPr="006D67DA">
        <w:rPr>
          <w:rFonts w:cs="Calibri"/>
        </w:rPr>
        <w:t xml:space="preserve">through </w:t>
      </w:r>
      <w:r w:rsidR="00D65BAF" w:rsidRPr="006D67DA">
        <w:rPr>
          <w:rFonts w:cs="Calibri"/>
        </w:rPr>
        <w:t>Appropriation Bill (No. 1</w:t>
      </w:r>
      <w:r w:rsidR="00805EAE" w:rsidRPr="0014243A">
        <w:rPr>
          <w:rFonts w:cs="Calibri"/>
        </w:rPr>
        <w:t xml:space="preserve">) DCB and Appropriation Bill (No. 2) – Equity Injections; </w:t>
      </w:r>
      <w:r w:rsidR="00EC59C0" w:rsidRPr="0014243A">
        <w:rPr>
          <w:rFonts w:cs="Calibri"/>
        </w:rPr>
        <w:t xml:space="preserve">or </w:t>
      </w:r>
      <w:r w:rsidR="003F21EE" w:rsidRPr="006D67DA">
        <w:rPr>
          <w:rFonts w:cs="Calibri"/>
        </w:rPr>
        <w:t xml:space="preserve">through </w:t>
      </w:r>
      <w:r w:rsidR="00D65BAF" w:rsidRPr="006D67DA">
        <w:rPr>
          <w:rFonts w:cs="Calibri"/>
        </w:rPr>
        <w:t xml:space="preserve">other sources </w:t>
      </w:r>
      <w:r w:rsidR="00EC59C0" w:rsidRPr="0014243A">
        <w:rPr>
          <w:rFonts w:cs="Calibri"/>
        </w:rPr>
        <w:t xml:space="preserve">such </w:t>
      </w:r>
      <w:r w:rsidR="00D36A7D" w:rsidRPr="0014243A">
        <w:rPr>
          <w:rFonts w:cs="Calibri"/>
        </w:rPr>
        <w:t>their s</w:t>
      </w:r>
      <w:r w:rsidR="00EC59C0" w:rsidRPr="0014243A">
        <w:rPr>
          <w:rFonts w:cs="Calibri"/>
        </w:rPr>
        <w:t xml:space="preserve">74 External </w:t>
      </w:r>
      <w:r w:rsidR="00B54BEE" w:rsidRPr="0014243A">
        <w:rPr>
          <w:rFonts w:cs="Calibri"/>
        </w:rPr>
        <w:t>R</w:t>
      </w:r>
      <w:r w:rsidR="00EC59C0" w:rsidRPr="0014243A">
        <w:rPr>
          <w:rFonts w:cs="Calibri"/>
        </w:rPr>
        <w:t>evenue.</w:t>
      </w:r>
      <w:r w:rsidR="00D65BAF" w:rsidRPr="006D67DA">
        <w:rPr>
          <w:rFonts w:cs="Calibri"/>
        </w:rPr>
        <w:t xml:space="preserve"> </w:t>
      </w:r>
    </w:p>
    <w:p w14:paraId="77BA894A" w14:textId="78756F31" w:rsidR="00FA0945" w:rsidRPr="00DD477A" w:rsidRDefault="53BF0693" w:rsidP="003D6589">
      <w:pPr>
        <w:pStyle w:val="Heading3"/>
      </w:pPr>
      <w:bookmarkStart w:id="1534" w:name="_Toc411852698"/>
      <w:bookmarkStart w:id="1535" w:name="_Toc534382579"/>
      <w:bookmarkStart w:id="1536" w:name="_Ref61531741"/>
      <w:bookmarkStart w:id="1537" w:name="_Ref61874726"/>
      <w:bookmarkStart w:id="1538" w:name="_Toc63347733"/>
      <w:bookmarkStart w:id="1539" w:name="_Toc227749068"/>
      <w:bookmarkStart w:id="1540" w:name="_Hlk158303937"/>
      <w:r w:rsidRPr="00DD477A">
        <w:t>Departmental statement of asset movements</w:t>
      </w:r>
      <w:bookmarkEnd w:id="1534"/>
      <w:bookmarkEnd w:id="1535"/>
      <w:bookmarkEnd w:id="1536"/>
      <w:bookmarkEnd w:id="1537"/>
      <w:bookmarkEnd w:id="1538"/>
      <w:bookmarkEnd w:id="1539"/>
    </w:p>
    <w:bookmarkEnd w:id="1540"/>
    <w:p w14:paraId="5220E1C0" w14:textId="66C90DD0" w:rsidR="00775773" w:rsidRPr="00DD477A" w:rsidRDefault="00775773" w:rsidP="000A7DEC">
      <w:pPr>
        <w:rPr>
          <w:rFonts w:cs="Calibri"/>
        </w:rPr>
      </w:pPr>
      <w:r w:rsidRPr="00DD477A">
        <w:rPr>
          <w:rFonts w:eastAsia="Cambria" w:cs="Calibri"/>
          <w:noProof/>
        </w:rPr>
        <w:drawing>
          <wp:inline distT="0" distB="0" distL="0" distR="0" wp14:anchorId="4A23C3DF" wp14:editId="2AAE61CF">
            <wp:extent cx="5835650" cy="955170"/>
            <wp:effectExtent l="0" t="0" r="0" b="0"/>
            <wp:docPr id="714201418" name="Diagram 7142014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9" r:lo="rId200" r:qs="rId201" r:cs="rId202"/>
              </a:graphicData>
            </a:graphic>
          </wp:inline>
        </w:drawing>
      </w:r>
    </w:p>
    <w:p w14:paraId="74B87677" w14:textId="77777777" w:rsidR="00FA0945" w:rsidRPr="00DD477A" w:rsidRDefault="53BF0693" w:rsidP="000A7DEC">
      <w:pPr>
        <w:rPr>
          <w:rFonts w:cs="Calibri"/>
        </w:rPr>
      </w:pPr>
      <w:r w:rsidRPr="00DD477A">
        <w:rPr>
          <w:rFonts w:cs="Calibri"/>
        </w:rPr>
        <w:t xml:space="preserve">This statement outlines the movements in the entity’s asset holdings, such as the acquisition of new or replacement assets, disposals, revaluations or depreciation. </w:t>
      </w:r>
    </w:p>
    <w:p w14:paraId="63A5A4F8" w14:textId="073EB423" w:rsidR="006D1908" w:rsidRPr="00DD477A" w:rsidRDefault="6B6EE5C4" w:rsidP="000A7DEC">
      <w:pPr>
        <w:rPr>
          <w:rFonts w:cs="Calibri"/>
        </w:rPr>
      </w:pPr>
      <w:r w:rsidRPr="00DD477A">
        <w:rPr>
          <w:rFonts w:cs="Calibri"/>
        </w:rPr>
        <w:t xml:space="preserve">This </w:t>
      </w:r>
      <w:r w:rsidR="00D77823" w:rsidRPr="00DD477A">
        <w:rPr>
          <w:rFonts w:cs="Calibri"/>
        </w:rPr>
        <w:t xml:space="preserve">statement includes line </w:t>
      </w:r>
      <w:r w:rsidRPr="00DD477A">
        <w:rPr>
          <w:rFonts w:cs="Calibri"/>
        </w:rPr>
        <w:t xml:space="preserve">items dealing with </w:t>
      </w:r>
      <w:hyperlink r:id="rId204" w:history="1">
        <w:r w:rsidRPr="00DD477A">
          <w:rPr>
            <w:rStyle w:val="Hyperlink"/>
            <w:rFonts w:cs="Calibri"/>
          </w:rPr>
          <w:t xml:space="preserve">AASB 16 </w:t>
        </w:r>
        <w:r w:rsidRPr="00DD477A">
          <w:rPr>
            <w:rStyle w:val="Hyperlink"/>
            <w:rFonts w:cs="Calibri"/>
            <w:i/>
            <w:iCs/>
          </w:rPr>
          <w:t>Leases</w:t>
        </w:r>
      </w:hyperlink>
      <w:r w:rsidRPr="00DD477A">
        <w:rPr>
          <w:rFonts w:cs="Calibri"/>
        </w:rPr>
        <w:t xml:space="preserve"> (RoU Assets).</w:t>
      </w:r>
    </w:p>
    <w:p w14:paraId="6A23D48F" w14:textId="1113ADDE" w:rsidR="007B5CC5" w:rsidRPr="00DD477A" w:rsidRDefault="53BF0693" w:rsidP="000A7DEC">
      <w:pPr>
        <w:rPr>
          <w:rFonts w:cs="Calibri"/>
        </w:rPr>
      </w:pPr>
      <w:r w:rsidRPr="00DD477A">
        <w:rPr>
          <w:rFonts w:cs="Calibri"/>
        </w:rPr>
        <w:t xml:space="preserve">Information to be included in the </w:t>
      </w:r>
      <w:r w:rsidR="006714EB" w:rsidRPr="00DD477A">
        <w:rPr>
          <w:rFonts w:cs="Calibri"/>
        </w:rPr>
        <w:t>‘</w:t>
      </w:r>
      <w:r w:rsidRPr="00DD477A">
        <w:rPr>
          <w:rFonts w:cs="Calibri"/>
        </w:rPr>
        <w:t>Estimated expenditure on new or replacement assets</w:t>
      </w:r>
      <w:r w:rsidR="006714EB" w:rsidRPr="00DD477A">
        <w:rPr>
          <w:rFonts w:cs="Calibri"/>
        </w:rPr>
        <w:t>’</w:t>
      </w:r>
      <w:r w:rsidRPr="00DD477A">
        <w:rPr>
          <w:rFonts w:cs="Calibri"/>
        </w:rPr>
        <w:t xml:space="preserve"> should be consistent with information included in an entity’s Departmental Capital Management Plan and information contained in their FMIS.</w:t>
      </w:r>
      <w:bookmarkStart w:id="1541" w:name="_Toc411852699"/>
      <w:bookmarkStart w:id="1542" w:name="_Toc534382580"/>
    </w:p>
    <w:p w14:paraId="7B9E6616" w14:textId="3C834594" w:rsidR="00FA0945" w:rsidRPr="00DD477A" w:rsidRDefault="53BF0693" w:rsidP="003D6589">
      <w:pPr>
        <w:pStyle w:val="Heading3"/>
      </w:pPr>
      <w:bookmarkStart w:id="1543" w:name="_Toc227749069"/>
      <w:bookmarkStart w:id="1544" w:name="_Toc63347734"/>
      <w:bookmarkStart w:id="1545" w:name="_Ref87952391"/>
      <w:bookmarkStart w:id="1546" w:name="_Ref109038689"/>
      <w:r w:rsidRPr="00DD477A">
        <w:t>Administered financial statements</w:t>
      </w:r>
      <w:bookmarkEnd w:id="1543"/>
      <w:r w:rsidRPr="00DD477A">
        <w:t xml:space="preserve"> </w:t>
      </w:r>
      <w:bookmarkEnd w:id="1541"/>
      <w:bookmarkEnd w:id="1542"/>
      <w:bookmarkEnd w:id="1544"/>
      <w:bookmarkEnd w:id="1545"/>
      <w:bookmarkEnd w:id="1546"/>
    </w:p>
    <w:p w14:paraId="7AEB1D28" w14:textId="4515EC9F" w:rsidR="002D3CBF" w:rsidRPr="00DD477A" w:rsidRDefault="002D3CBF" w:rsidP="000A7DEC">
      <w:pPr>
        <w:rPr>
          <w:rFonts w:cs="Calibri"/>
        </w:rPr>
      </w:pPr>
      <w:r w:rsidRPr="00DD477A">
        <w:rPr>
          <w:rFonts w:eastAsia="Cambria" w:cs="Calibri"/>
          <w:noProof/>
        </w:rPr>
        <w:drawing>
          <wp:inline distT="0" distB="0" distL="0" distR="0" wp14:anchorId="7523645A" wp14:editId="7EEB1BA9">
            <wp:extent cx="5835650" cy="955170"/>
            <wp:effectExtent l="0" t="0" r="0" b="0"/>
            <wp:docPr id="385445806" name="Diagram 3854458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5" r:lo="rId206" r:qs="rId207" r:cs="rId208"/>
              </a:graphicData>
            </a:graphic>
          </wp:inline>
        </w:drawing>
      </w:r>
    </w:p>
    <w:p w14:paraId="7353602C" w14:textId="35503452" w:rsidR="00FA0945" w:rsidRPr="00DD477A" w:rsidRDefault="53BF0693" w:rsidP="000A7DEC">
      <w:pPr>
        <w:rPr>
          <w:rFonts w:cs="Calibri"/>
        </w:rPr>
      </w:pPr>
      <w:r w:rsidRPr="00DD477A">
        <w:rPr>
          <w:rFonts w:cs="Calibri"/>
        </w:rPr>
        <w:t xml:space="preserve">These statements describe the resources managed by the entity on behalf of the </w:t>
      </w:r>
      <w:r w:rsidR="007E04DD" w:rsidRPr="00DD477A">
        <w:rPr>
          <w:rFonts w:cs="Calibri"/>
        </w:rPr>
        <w:t xml:space="preserve">Government </w:t>
      </w:r>
      <w:r w:rsidRPr="00DD477A">
        <w:rPr>
          <w:rFonts w:cs="Calibri"/>
        </w:rPr>
        <w:t xml:space="preserve">and the public. </w:t>
      </w:r>
      <w:r w:rsidR="00BC41DF" w:rsidRPr="00DD477A">
        <w:rPr>
          <w:rFonts w:cs="Calibri"/>
        </w:rPr>
        <w:t xml:space="preserve">Please see the Finance guidance on the </w:t>
      </w:r>
      <w:r w:rsidR="00BC41DF" w:rsidRPr="00DD477A">
        <w:rPr>
          <w:rFonts w:cs="Calibri"/>
          <w:i/>
          <w:iCs/>
        </w:rPr>
        <w:t>Classification of Administered and Departmental Items</w:t>
      </w:r>
      <w:r w:rsidR="00BC41DF" w:rsidRPr="00DD477A">
        <w:rPr>
          <w:rFonts w:cs="Calibri"/>
        </w:rPr>
        <w:t xml:space="preserve"> or </w:t>
      </w:r>
      <w:hyperlink r:id="rId210" w:history="1">
        <w:r w:rsidR="00BD2125">
          <w:rPr>
            <w:rStyle w:val="Hyperlink"/>
            <w:rFonts w:cs="Calibri"/>
          </w:rPr>
          <w:t>RMG 125 Commonwealth entities financial statements guide</w:t>
        </w:r>
      </w:hyperlink>
      <w:r w:rsidR="00BC41DF" w:rsidRPr="00DD477A">
        <w:rPr>
          <w:rFonts w:cs="Calibri"/>
        </w:rPr>
        <w:t xml:space="preserve"> for information on what is considered an administered activity.</w:t>
      </w:r>
    </w:p>
    <w:p w14:paraId="212E212D" w14:textId="739C93B3" w:rsidR="00BC41DF" w:rsidRPr="00DD477A" w:rsidRDefault="53BF0693" w:rsidP="00913329">
      <w:pPr>
        <w:rPr>
          <w:rFonts w:cs="Calibri"/>
        </w:rPr>
      </w:pPr>
      <w:r w:rsidRPr="00DD477A">
        <w:rPr>
          <w:rFonts w:cs="Calibri"/>
        </w:rPr>
        <w:t xml:space="preserve">The </w:t>
      </w:r>
      <w:r w:rsidR="006714EB" w:rsidRPr="00DD477A">
        <w:rPr>
          <w:rFonts w:cs="Calibri"/>
        </w:rPr>
        <w:t>‘</w:t>
      </w:r>
      <w:r w:rsidR="00A11D89" w:rsidRPr="00DD477A">
        <w:rPr>
          <w:rFonts w:cs="Calibri"/>
        </w:rPr>
        <w:t>Net Cash Appropriation A</w:t>
      </w:r>
      <w:r w:rsidRPr="00DD477A">
        <w:rPr>
          <w:rFonts w:cs="Calibri"/>
        </w:rPr>
        <w:t>rrangements</w:t>
      </w:r>
      <w:r w:rsidR="006714EB" w:rsidRPr="00DD477A">
        <w:rPr>
          <w:rFonts w:cs="Calibri"/>
        </w:rPr>
        <w:t>’</w:t>
      </w:r>
      <w:r w:rsidRPr="00DD477A">
        <w:rPr>
          <w:rFonts w:cs="Calibri"/>
        </w:rPr>
        <w:t xml:space="preserve"> note does not apply to Table 3.7 Schedule of budgeted income and expenses administered on behalf of </w:t>
      </w:r>
      <w:r w:rsidR="006418EA" w:rsidRPr="00DD477A">
        <w:rPr>
          <w:rFonts w:cs="Calibri"/>
        </w:rPr>
        <w:t>government</w:t>
      </w:r>
      <w:r w:rsidRPr="00DD477A">
        <w:rPr>
          <w:rFonts w:cs="Calibri"/>
        </w:rPr>
        <w:t xml:space="preserve">, </w:t>
      </w:r>
      <w:r w:rsidR="0053783A" w:rsidRPr="00DD477A">
        <w:rPr>
          <w:rFonts w:cs="Calibri"/>
        </w:rPr>
        <w:t xml:space="preserve">regardless </w:t>
      </w:r>
      <w:r w:rsidR="008D58A7" w:rsidRPr="00DD477A">
        <w:rPr>
          <w:rFonts w:cs="Calibri"/>
        </w:rPr>
        <w:t>of</w:t>
      </w:r>
      <w:r w:rsidRPr="00DD477A">
        <w:rPr>
          <w:rFonts w:cs="Calibri"/>
        </w:rPr>
        <w:t xml:space="preserve"> it appear</w:t>
      </w:r>
      <w:r w:rsidR="008D58A7" w:rsidRPr="00DD477A">
        <w:rPr>
          <w:rFonts w:cs="Calibri"/>
        </w:rPr>
        <w:t>ing</w:t>
      </w:r>
      <w:r w:rsidRPr="00DD477A">
        <w:rPr>
          <w:rFonts w:cs="Calibri"/>
        </w:rPr>
        <w:t xml:space="preserve"> on the CBMS report.</w:t>
      </w:r>
    </w:p>
    <w:p w14:paraId="7BE2DC8D" w14:textId="682838F0" w:rsidR="00FA0945" w:rsidRPr="00DD477A" w:rsidRDefault="53BF0693" w:rsidP="003D6589">
      <w:pPr>
        <w:pStyle w:val="Heading1"/>
      </w:pPr>
      <w:bookmarkStart w:id="1547" w:name="_Toc227749070"/>
      <w:r w:rsidRPr="00DD477A">
        <w:t>Related issues</w:t>
      </w:r>
      <w:bookmarkStart w:id="1548" w:name="_Toc411852704"/>
      <w:bookmarkStart w:id="1549" w:name="_Toc534382581"/>
      <w:bookmarkStart w:id="1550" w:name="_Toc63347735"/>
      <w:bookmarkEnd w:id="1547"/>
      <w:bookmarkEnd w:id="1548"/>
      <w:bookmarkEnd w:id="1549"/>
      <w:bookmarkEnd w:id="1550"/>
    </w:p>
    <w:p w14:paraId="493415E4" w14:textId="0829A81C" w:rsidR="00FA0945" w:rsidRPr="00DD477A" w:rsidRDefault="53BF0693" w:rsidP="003D6589">
      <w:pPr>
        <w:pStyle w:val="Heading2"/>
      </w:pPr>
      <w:bookmarkStart w:id="1551" w:name="_Machinery_of_Government"/>
      <w:bookmarkStart w:id="1552" w:name="_Toc411852705"/>
      <w:bookmarkStart w:id="1553" w:name="_Toc534382582"/>
      <w:bookmarkStart w:id="1554" w:name="_Ref29395814"/>
      <w:bookmarkStart w:id="1555" w:name="_Ref29395943"/>
      <w:bookmarkStart w:id="1556" w:name="_Ref29395998"/>
      <w:bookmarkStart w:id="1557" w:name="_Ref29396029"/>
      <w:bookmarkStart w:id="1558" w:name="_Ref29396037"/>
      <w:bookmarkStart w:id="1559" w:name="_Toc63347736"/>
      <w:bookmarkStart w:id="1560" w:name="_Ref126160338"/>
      <w:bookmarkStart w:id="1561" w:name="_Ref126160349"/>
      <w:bookmarkStart w:id="1562" w:name="_Ref126160363"/>
      <w:bookmarkStart w:id="1563" w:name="_Ref126160392"/>
      <w:bookmarkStart w:id="1564" w:name="_Ref126160397"/>
      <w:bookmarkStart w:id="1565" w:name="_Toc227749071"/>
      <w:bookmarkEnd w:id="1551"/>
      <w:r w:rsidRPr="00DD477A">
        <w:t xml:space="preserve">Machinery of </w:t>
      </w:r>
      <w:r w:rsidR="0048258F" w:rsidRPr="00DD477A">
        <w:t>g</w:t>
      </w:r>
      <w:r w:rsidRPr="00DD477A">
        <w:t>overnment changes</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14:paraId="6E38B1A7" w14:textId="4C9850DC" w:rsidR="00FA0945" w:rsidRPr="00DD477A" w:rsidRDefault="008E57D7" w:rsidP="000A7DEC">
      <w:pPr>
        <w:rPr>
          <w:rFonts w:cs="Calibri"/>
        </w:rPr>
      </w:pPr>
      <w:r w:rsidRPr="00DD477A">
        <w:rPr>
          <w:rFonts w:cs="Calibri"/>
        </w:rPr>
        <w:t>PGPA Act S</w:t>
      </w:r>
      <w:r w:rsidR="6B6EE5C4" w:rsidRPr="00DD477A">
        <w:rPr>
          <w:rFonts w:cs="Calibri"/>
        </w:rPr>
        <w:t xml:space="preserve">ection 75 </w:t>
      </w:r>
      <w:r w:rsidRPr="00DD477A">
        <w:rPr>
          <w:rFonts w:cs="Calibri"/>
        </w:rPr>
        <w:t>appropriation transfers</w:t>
      </w:r>
      <w:r w:rsidR="00FA5552" w:rsidRPr="00DD477A">
        <w:rPr>
          <w:rFonts w:cs="Calibri"/>
        </w:rPr>
        <w:t xml:space="preserve"> </w:t>
      </w:r>
      <w:r w:rsidR="00BC41DF" w:rsidRPr="00DD477A">
        <w:rPr>
          <w:rFonts w:cs="Calibri"/>
        </w:rPr>
        <w:t>made</w:t>
      </w:r>
      <w:r w:rsidR="00FA5552" w:rsidRPr="00DD477A">
        <w:rPr>
          <w:rFonts w:cs="Calibri"/>
        </w:rPr>
        <w:t xml:space="preserve"> due to</w:t>
      </w:r>
      <w:r w:rsidR="6B6EE5C4" w:rsidRPr="00DD477A">
        <w:rPr>
          <w:rFonts w:cs="Calibri"/>
        </w:rPr>
        <w:t xml:space="preserve"> MoG changes must be reported in PB Statements and/or PAES.</w:t>
      </w:r>
    </w:p>
    <w:p w14:paraId="221133A6" w14:textId="77777777" w:rsidR="007819C6" w:rsidRPr="00DD477A" w:rsidRDefault="007819C6" w:rsidP="007819C6">
      <w:pPr>
        <w:rPr>
          <w:rFonts w:cs="Calibri"/>
        </w:rPr>
      </w:pPr>
      <w:r w:rsidRPr="00DD477A">
        <w:rPr>
          <w:rFonts w:cs="Calibri"/>
        </w:rPr>
        <w:t xml:space="preserve">Affected entities should use explanatory footnotes to provide more detail and context wherever MoG changes apply. </w:t>
      </w:r>
    </w:p>
    <w:p w14:paraId="10044E1B" w14:textId="0DF43FF9" w:rsidR="00FA0945" w:rsidRPr="00DD477A" w:rsidRDefault="6B6EE5C4" w:rsidP="000A7DEC">
      <w:pPr>
        <w:rPr>
          <w:rFonts w:cs="Calibri"/>
        </w:rPr>
      </w:pPr>
      <w:r w:rsidRPr="00DD477A">
        <w:rPr>
          <w:rFonts w:cs="Calibri"/>
        </w:rPr>
        <w:t xml:space="preserve">Where </w:t>
      </w:r>
      <w:r w:rsidR="00A051C6" w:rsidRPr="00DD477A">
        <w:rPr>
          <w:rFonts w:cs="Calibri"/>
        </w:rPr>
        <w:t xml:space="preserve">entities are still awaiting </w:t>
      </w:r>
      <w:r w:rsidR="00BC41DF" w:rsidRPr="00DD477A">
        <w:rPr>
          <w:rFonts w:cs="Calibri"/>
        </w:rPr>
        <w:t xml:space="preserve">the Finance delegate’s sign off on the </w:t>
      </w:r>
      <w:r w:rsidRPr="00DD477A">
        <w:rPr>
          <w:rFonts w:cs="Calibri"/>
        </w:rPr>
        <w:t xml:space="preserve">section 75 transfers </w:t>
      </w:r>
      <w:r w:rsidR="006C3A1E" w:rsidRPr="00DD477A">
        <w:rPr>
          <w:rFonts w:cs="Calibri"/>
        </w:rPr>
        <w:t xml:space="preserve">at the time </w:t>
      </w:r>
      <w:r w:rsidR="00BC41DF" w:rsidRPr="00DD477A">
        <w:rPr>
          <w:rFonts w:cs="Calibri"/>
        </w:rPr>
        <w:t xml:space="preserve">the </w:t>
      </w:r>
      <w:r w:rsidRPr="00DD477A">
        <w:rPr>
          <w:rFonts w:cs="Calibri"/>
        </w:rPr>
        <w:t>PB Statements</w:t>
      </w:r>
      <w:r w:rsidR="00BC41DF" w:rsidRPr="00DD477A">
        <w:rPr>
          <w:rFonts w:cs="Calibri"/>
        </w:rPr>
        <w:t xml:space="preserve"> are being finalised</w:t>
      </w:r>
      <w:r w:rsidRPr="00DD477A">
        <w:rPr>
          <w:rFonts w:cs="Calibri"/>
        </w:rPr>
        <w:t xml:space="preserve">, </w:t>
      </w:r>
      <w:r w:rsidR="005F6763" w:rsidRPr="00DD477A">
        <w:rPr>
          <w:rFonts w:cs="Calibri"/>
        </w:rPr>
        <w:t>a</w:t>
      </w:r>
      <w:r w:rsidRPr="00DD477A">
        <w:rPr>
          <w:rFonts w:cs="Calibri"/>
        </w:rPr>
        <w:t xml:space="preserve"> note </w:t>
      </w:r>
      <w:r w:rsidR="00BE532B">
        <w:rPr>
          <w:rFonts w:cs="Calibri"/>
        </w:rPr>
        <w:t xml:space="preserve">is to be included </w:t>
      </w:r>
      <w:r w:rsidRPr="00DD477A">
        <w:rPr>
          <w:rFonts w:cs="Calibri"/>
        </w:rPr>
        <w:t xml:space="preserve">in their PB Statements </w:t>
      </w:r>
      <w:r w:rsidR="007819C6" w:rsidRPr="00DD477A">
        <w:rPr>
          <w:rFonts w:cs="Calibri"/>
        </w:rPr>
        <w:t xml:space="preserve">advising </w:t>
      </w:r>
      <w:r w:rsidRPr="00DD477A">
        <w:rPr>
          <w:rFonts w:cs="Calibri"/>
        </w:rPr>
        <w:t>that further details of MoG changes will be reported in the next budget statement (i.e. PAES).</w:t>
      </w:r>
    </w:p>
    <w:p w14:paraId="5E5EF01F" w14:textId="0B4C88BA" w:rsidR="00FA0945" w:rsidRPr="00DD477A" w:rsidRDefault="6B6EE5C4" w:rsidP="000A7DEC">
      <w:pPr>
        <w:rPr>
          <w:rFonts w:cs="Calibri"/>
        </w:rPr>
      </w:pPr>
      <w:r w:rsidRPr="00DD477A">
        <w:rPr>
          <w:rFonts w:cs="Calibri"/>
        </w:rPr>
        <w:t xml:space="preserve">Further </w:t>
      </w:r>
      <w:r w:rsidR="007914A0" w:rsidRPr="00DD477A">
        <w:t xml:space="preserve">information </w:t>
      </w:r>
      <w:r w:rsidRPr="00DD477A">
        <w:rPr>
          <w:rFonts w:cs="Calibri"/>
        </w:rPr>
        <w:t xml:space="preserve">can be found </w:t>
      </w:r>
      <w:r w:rsidR="00781649">
        <w:rPr>
          <w:rFonts w:cs="Calibri"/>
        </w:rPr>
        <w:t>in the</w:t>
      </w:r>
      <w:r w:rsidRPr="00DD477A">
        <w:rPr>
          <w:rFonts w:cs="Calibri"/>
        </w:rPr>
        <w:t xml:space="preserve"> </w:t>
      </w:r>
      <w:hyperlink r:id="rId211" w:history="1">
        <w:r w:rsidR="001455E0" w:rsidRPr="001455E0">
          <w:rPr>
            <w:rStyle w:val="Hyperlink"/>
            <w:rFonts w:cs="Calibri"/>
          </w:rPr>
          <w:t>MoG Changes Guide</w:t>
        </w:r>
      </w:hyperlink>
      <w:r w:rsidR="00573BF6" w:rsidRPr="006E4C0F">
        <w:t>, available on Finance’s web</w:t>
      </w:r>
      <w:r w:rsidR="00431ECB" w:rsidRPr="006E4C0F">
        <w:t>site</w:t>
      </w:r>
      <w:r w:rsidR="00B77D6E" w:rsidRPr="006E4C0F">
        <w:t xml:space="preserve">. </w:t>
      </w:r>
      <w:r w:rsidR="00B77D6E" w:rsidRPr="006E4C0F">
        <w:rPr>
          <w:rFonts w:cs="MuseoSans-500"/>
          <w:u w:color="0070C0"/>
        </w:rPr>
        <w:t>The</w:t>
      </w:r>
      <w:r w:rsidR="00B77D6E">
        <w:t xml:space="preserve"> MoG </w:t>
      </w:r>
      <w:r w:rsidR="00A23AC5">
        <w:t xml:space="preserve">Changes </w:t>
      </w:r>
      <w:r w:rsidR="00B77D6E">
        <w:t xml:space="preserve">Guide </w:t>
      </w:r>
      <w:r w:rsidR="00B77D6E" w:rsidRPr="003D0E69">
        <w:t>is published jointly by the Australian Public Service Commission and Finance and provides practical guidance to entities to support the implementation of MoG changes.</w:t>
      </w:r>
      <w:r w:rsidR="00B77D6E">
        <w:t xml:space="preserve"> </w:t>
      </w:r>
      <w:r w:rsidR="00B77D6E" w:rsidRPr="00C04430">
        <w:t xml:space="preserve">Finance’s </w:t>
      </w:r>
      <w:hyperlink r:id="rId212" w:history="1">
        <w:r w:rsidR="00CF3AF8" w:rsidRPr="000A001C">
          <w:rPr>
            <w:rStyle w:val="Hyperlink"/>
          </w:rPr>
          <w:t>RMG 118</w:t>
        </w:r>
        <w:r w:rsidR="00694A56">
          <w:rPr>
            <w:rStyle w:val="Hyperlink"/>
          </w:rPr>
          <w:t> </w:t>
        </w:r>
        <w:r w:rsidR="00CF3AF8" w:rsidRPr="000A001C">
          <w:rPr>
            <w:rStyle w:val="Hyperlink"/>
          </w:rPr>
          <w:t>Accounting for machinery of government changes</w:t>
        </w:r>
      </w:hyperlink>
      <w:r w:rsidR="00B77D6E" w:rsidRPr="00CF3AF8">
        <w:t xml:space="preserve"> </w:t>
      </w:r>
      <w:r w:rsidR="00B77D6E" w:rsidRPr="00C04430">
        <w:t xml:space="preserve">and </w:t>
      </w:r>
      <w:hyperlink r:id="rId213" w:history="1">
        <w:r w:rsidR="00080E7B" w:rsidRPr="000A001C">
          <w:rPr>
            <w:rStyle w:val="Hyperlink"/>
          </w:rPr>
          <w:t>RMG 119 Reporting requirements following machinery of government changes</w:t>
        </w:r>
      </w:hyperlink>
      <w:r w:rsidR="00B77D6E">
        <w:t xml:space="preserve"> provides additional guidance on accounting and reporting requirements for MoG changes</w:t>
      </w:r>
      <w:r w:rsidR="00B77D6E" w:rsidRPr="00C04430">
        <w:t>.</w:t>
      </w:r>
    </w:p>
    <w:p w14:paraId="7B2ECB1F" w14:textId="402580E2" w:rsidR="00FA0945" w:rsidRPr="00DD477A" w:rsidRDefault="53BF0693" w:rsidP="0014243A">
      <w:pPr>
        <w:pStyle w:val="Heading3"/>
      </w:pPr>
      <w:bookmarkStart w:id="1566" w:name="_Toc63347737"/>
      <w:bookmarkStart w:id="1567" w:name="_Toc227749072"/>
      <w:r w:rsidRPr="00DD477A">
        <w:t>Entity resource statement (Table 1.1)</w:t>
      </w:r>
      <w:bookmarkEnd w:id="1566"/>
      <w:bookmarkEnd w:id="1567"/>
    </w:p>
    <w:p w14:paraId="4D3359C0" w14:textId="732E2377" w:rsidR="00FA0945" w:rsidRPr="00DD477A" w:rsidRDefault="00ED5839" w:rsidP="000A7DEC">
      <w:pPr>
        <w:rPr>
          <w:rFonts w:cs="Calibri"/>
        </w:rPr>
      </w:pPr>
      <w:r w:rsidRPr="00DD477A">
        <w:rPr>
          <w:rFonts w:cs="Calibri"/>
        </w:rPr>
        <w:t>F</w:t>
      </w:r>
      <w:r w:rsidR="53BF0693" w:rsidRPr="00DD477A">
        <w:rPr>
          <w:rFonts w:cs="Calibri"/>
        </w:rPr>
        <w:t>ootnote</w:t>
      </w:r>
      <w:r w:rsidRPr="00DD477A">
        <w:rPr>
          <w:rFonts w:cs="Calibri"/>
        </w:rPr>
        <w:t>s to the</w:t>
      </w:r>
      <w:r w:rsidR="53BF0693" w:rsidRPr="00DD477A">
        <w:rPr>
          <w:rFonts w:cs="Calibri"/>
        </w:rPr>
        <w:t xml:space="preserve"> </w:t>
      </w:r>
      <w:r w:rsidRPr="00DD477A">
        <w:rPr>
          <w:rFonts w:cs="Calibri"/>
        </w:rPr>
        <w:t xml:space="preserve">Entity resource statement </w:t>
      </w:r>
      <w:r w:rsidR="53BF0693" w:rsidRPr="00DD477A">
        <w:rPr>
          <w:rFonts w:cs="Calibri"/>
        </w:rPr>
        <w:t>for each affected entity</w:t>
      </w:r>
      <w:r w:rsidR="00735E37" w:rsidRPr="00DD477A">
        <w:rPr>
          <w:rFonts w:cs="Calibri"/>
        </w:rPr>
        <w:t xml:space="preserve"> detail</w:t>
      </w:r>
      <w:r w:rsidR="53BF0693" w:rsidRPr="00DD477A">
        <w:rPr>
          <w:rFonts w:cs="Calibri"/>
        </w:rPr>
        <w:t xml:space="preserve"> the </w:t>
      </w:r>
      <w:r w:rsidR="00735E37" w:rsidRPr="00DD477A">
        <w:rPr>
          <w:rFonts w:cs="Calibri"/>
        </w:rPr>
        <w:t>flow</w:t>
      </w:r>
      <w:r w:rsidR="000B7E42" w:rsidRPr="00DD477A">
        <w:rPr>
          <w:rFonts w:cs="Calibri"/>
        </w:rPr>
        <w:t xml:space="preserve"> and impact of the </w:t>
      </w:r>
      <w:r w:rsidR="00DC73F9" w:rsidRPr="00DD477A">
        <w:rPr>
          <w:rFonts w:cs="Calibri"/>
        </w:rPr>
        <w:t xml:space="preserve">transfer of functions and associated </w:t>
      </w:r>
      <w:r w:rsidR="53BF0693" w:rsidRPr="00DD477A">
        <w:rPr>
          <w:rFonts w:cs="Calibri"/>
        </w:rPr>
        <w:t>resourcing</w:t>
      </w:r>
      <w:r w:rsidR="00930FBD" w:rsidRPr="00DD477A">
        <w:rPr>
          <w:rFonts w:cs="Calibri"/>
        </w:rPr>
        <w:t xml:space="preserve"> as a result of MoG </w:t>
      </w:r>
      <w:r w:rsidR="00BB6F9C" w:rsidRPr="00DD477A">
        <w:rPr>
          <w:rFonts w:cs="Calibri"/>
        </w:rPr>
        <w:t>decisions</w:t>
      </w:r>
      <w:r w:rsidR="00DC73F9" w:rsidRPr="00DD477A">
        <w:rPr>
          <w:rFonts w:cs="Calibri"/>
        </w:rPr>
        <w:t>.</w:t>
      </w:r>
      <w:r w:rsidR="53BF0693" w:rsidRPr="00DD477A">
        <w:rPr>
          <w:rFonts w:cs="Calibri"/>
        </w:rPr>
        <w:t xml:space="preserve"> </w:t>
      </w:r>
    </w:p>
    <w:p w14:paraId="4606ED65" w14:textId="57DD1385" w:rsidR="00FA0945" w:rsidRPr="00DD477A" w:rsidRDefault="53BF0693" w:rsidP="000A7DEC">
      <w:pPr>
        <w:rPr>
          <w:rFonts w:cs="Calibri"/>
        </w:rPr>
      </w:pPr>
      <w:r w:rsidRPr="00DD477A">
        <w:rPr>
          <w:rFonts w:cs="Calibri"/>
        </w:rPr>
        <w:t xml:space="preserve">The </w:t>
      </w:r>
      <w:r w:rsidR="00404EBB">
        <w:rPr>
          <w:rFonts w:cs="Calibri"/>
        </w:rPr>
        <w:t>t</w:t>
      </w:r>
      <w:r w:rsidRPr="00DD477A">
        <w:rPr>
          <w:rFonts w:cs="Calibri"/>
        </w:rPr>
        <w:t xml:space="preserve">hird </w:t>
      </w:r>
      <w:r w:rsidR="00E071D4" w:rsidRPr="00DD477A">
        <w:rPr>
          <w:rFonts w:cs="Calibri"/>
        </w:rPr>
        <w:t xml:space="preserve">party </w:t>
      </w:r>
      <w:r w:rsidRPr="00DD477A">
        <w:rPr>
          <w:rFonts w:cs="Calibri"/>
        </w:rPr>
        <w:t>payments section should also reflect functions transferred between portfolios</w:t>
      </w:r>
      <w:r w:rsidR="00F43B50" w:rsidRPr="00DD477A">
        <w:rPr>
          <w:rFonts w:cs="Calibri"/>
        </w:rPr>
        <w:t>, in</w:t>
      </w:r>
      <w:r w:rsidR="00311A4C" w:rsidRPr="00DD477A">
        <w:rPr>
          <w:rFonts w:cs="Calibri"/>
        </w:rPr>
        <w:t xml:space="preserve">cluding </w:t>
      </w:r>
      <w:r w:rsidRPr="00DD477A">
        <w:rPr>
          <w:rFonts w:cs="Calibri"/>
        </w:rPr>
        <w:t>a footnote de</w:t>
      </w:r>
      <w:r w:rsidR="0041491F" w:rsidRPr="00DD477A">
        <w:rPr>
          <w:rFonts w:cs="Calibri"/>
        </w:rPr>
        <w:t>tailing</w:t>
      </w:r>
      <w:r w:rsidRPr="00DD477A">
        <w:rPr>
          <w:rFonts w:cs="Calibri"/>
        </w:rPr>
        <w:t xml:space="preserve"> the changes and the amounts transferred.</w:t>
      </w:r>
    </w:p>
    <w:p w14:paraId="12CE22F2" w14:textId="0BDE9503" w:rsidR="00FA0945" w:rsidRPr="00DD477A" w:rsidRDefault="00282B62" w:rsidP="0014243A">
      <w:pPr>
        <w:pStyle w:val="Heading4"/>
      </w:pPr>
      <w:r w:rsidRPr="00DD477A">
        <w:t xml:space="preserve">Receiving </w:t>
      </w:r>
      <w:r w:rsidR="53BF0693" w:rsidRPr="00DD477A">
        <w:t>entities</w:t>
      </w:r>
    </w:p>
    <w:p w14:paraId="091F5CEF" w14:textId="1E5AF3A9" w:rsidR="00FA0945" w:rsidRPr="00DD477A" w:rsidRDefault="0020174E" w:rsidP="000A7DEC">
      <w:pPr>
        <w:rPr>
          <w:rFonts w:cs="Calibri"/>
        </w:rPr>
      </w:pPr>
      <w:r w:rsidRPr="00DD477A">
        <w:rPr>
          <w:rFonts w:cs="Calibri"/>
        </w:rPr>
        <w:t>E</w:t>
      </w:r>
      <w:r w:rsidR="6B6EE5C4" w:rsidRPr="00DD477A">
        <w:rPr>
          <w:rFonts w:cs="Calibri"/>
        </w:rPr>
        <w:t xml:space="preserve">ntities that </w:t>
      </w:r>
      <w:r w:rsidR="00282B62" w:rsidRPr="00DD477A">
        <w:rPr>
          <w:rFonts w:cs="Calibri"/>
        </w:rPr>
        <w:t xml:space="preserve">receive </w:t>
      </w:r>
      <w:r w:rsidR="6B6EE5C4" w:rsidRPr="00DD477A">
        <w:rPr>
          <w:rFonts w:cs="Calibri"/>
        </w:rPr>
        <w:t xml:space="preserve">functions </w:t>
      </w:r>
      <w:r w:rsidR="00F24ABB" w:rsidRPr="00DD477A">
        <w:rPr>
          <w:rFonts w:cs="Calibri"/>
        </w:rPr>
        <w:t>through</w:t>
      </w:r>
      <w:r w:rsidR="6B6EE5C4" w:rsidRPr="00DD477A">
        <w:rPr>
          <w:rFonts w:cs="Calibri"/>
        </w:rPr>
        <w:t xml:space="preserve"> MoG</w:t>
      </w:r>
      <w:r w:rsidR="003F1D73" w:rsidRPr="00DD477A">
        <w:rPr>
          <w:rFonts w:cs="Calibri"/>
        </w:rPr>
        <w:t xml:space="preserve"> change</w:t>
      </w:r>
      <w:r w:rsidR="6B6EE5C4" w:rsidRPr="00DD477A">
        <w:rPr>
          <w:rFonts w:cs="Calibri"/>
        </w:rPr>
        <w:t>s</w:t>
      </w:r>
      <w:r w:rsidR="009C4BE3" w:rsidRPr="00DD477A">
        <w:rPr>
          <w:rFonts w:cs="Calibri"/>
        </w:rPr>
        <w:t xml:space="preserve"> </w:t>
      </w:r>
      <w:r w:rsidR="00577B7A" w:rsidRPr="00DD477A">
        <w:rPr>
          <w:rFonts w:cs="Calibri"/>
        </w:rPr>
        <w:t>should</w:t>
      </w:r>
      <w:r w:rsidR="00B37DFC" w:rsidRPr="00DD477A">
        <w:rPr>
          <w:rFonts w:cs="Calibri"/>
        </w:rPr>
        <w:t xml:space="preserve"> </w:t>
      </w:r>
      <w:r w:rsidR="000D5624" w:rsidRPr="00DD477A">
        <w:rPr>
          <w:rFonts w:cs="Calibri"/>
        </w:rPr>
        <w:t>report</w:t>
      </w:r>
      <w:r w:rsidR="009C4BE3" w:rsidRPr="00DD477A">
        <w:rPr>
          <w:rFonts w:cs="Calibri"/>
        </w:rPr>
        <w:t>:</w:t>
      </w:r>
    </w:p>
    <w:p w14:paraId="133CE716" w14:textId="1225F68E" w:rsidR="00FA0945" w:rsidRPr="00DD477A" w:rsidRDefault="00BC41DF" w:rsidP="00B54999">
      <w:pPr>
        <w:pStyle w:val="Bullet1"/>
      </w:pPr>
      <w:r w:rsidRPr="00DD477A">
        <w:t>t</w:t>
      </w:r>
      <w:r w:rsidR="53BF0693" w:rsidRPr="00DD477A">
        <w:t xml:space="preserve">he </w:t>
      </w:r>
      <w:r w:rsidR="00577B7A" w:rsidRPr="00DD477A">
        <w:t xml:space="preserve">associated resourcing </w:t>
      </w:r>
      <w:r w:rsidR="00C079E1" w:rsidRPr="00DD477A">
        <w:t xml:space="preserve">in the </w:t>
      </w:r>
      <w:r w:rsidR="0095585E">
        <w:t>2025</w:t>
      </w:r>
      <w:r w:rsidR="00C917CE">
        <w:t>–</w:t>
      </w:r>
      <w:r w:rsidR="0095585E">
        <w:t>26</w:t>
      </w:r>
      <w:r w:rsidR="008E1BDD" w:rsidRPr="00DD477A">
        <w:rPr>
          <w:b/>
          <w:bCs/>
        </w:rPr>
        <w:t xml:space="preserve"> </w:t>
      </w:r>
      <w:r w:rsidR="006E4C0F">
        <w:rPr>
          <w:b/>
          <w:bCs/>
        </w:rPr>
        <w:t xml:space="preserve">Estimated </w:t>
      </w:r>
      <w:r w:rsidR="53BF0693" w:rsidRPr="00DD477A">
        <w:rPr>
          <w:b/>
          <w:bCs/>
        </w:rPr>
        <w:t>Actual</w:t>
      </w:r>
      <w:r w:rsidR="53BF0693" w:rsidRPr="00DD477A">
        <w:t xml:space="preserve"> column </w:t>
      </w:r>
      <w:r w:rsidR="00E86FFC" w:rsidRPr="00DD477A">
        <w:t xml:space="preserve">as </w:t>
      </w:r>
      <w:r w:rsidR="00F37308" w:rsidRPr="00DD477A">
        <w:t>this figure</w:t>
      </w:r>
      <w:r w:rsidR="53BF0693" w:rsidRPr="00DD477A">
        <w:t xml:space="preserve"> reflect</w:t>
      </w:r>
      <w:r w:rsidR="00F37308" w:rsidRPr="00DD477A">
        <w:t>s</w:t>
      </w:r>
      <w:r w:rsidR="53BF0693" w:rsidRPr="00DD477A">
        <w:t xml:space="preserve"> all resources available to the entity</w:t>
      </w:r>
      <w:r w:rsidR="00EF27CC" w:rsidRPr="00DD477A">
        <w:t>.</w:t>
      </w:r>
    </w:p>
    <w:p w14:paraId="2279FB8E" w14:textId="5A107BEB" w:rsidR="00FA0945" w:rsidRPr="00DD477A" w:rsidRDefault="00CB36FC" w:rsidP="00282B62">
      <w:pPr>
        <w:pStyle w:val="Bullet2"/>
      </w:pPr>
      <w:r w:rsidRPr="00DD477A">
        <w:t>those resources available from the agreed date of effect of the MoG changes onwards</w:t>
      </w:r>
      <w:r w:rsidR="003445B7" w:rsidRPr="00DD477A">
        <w:t>.</w:t>
      </w:r>
    </w:p>
    <w:p w14:paraId="3CB431C8" w14:textId="62160CC8" w:rsidR="00FA0945" w:rsidRPr="00DD477A" w:rsidRDefault="00770A85" w:rsidP="00B54999">
      <w:pPr>
        <w:pStyle w:val="Bullet1"/>
      </w:pPr>
      <w:r w:rsidRPr="00DD477A">
        <w:t xml:space="preserve">details </w:t>
      </w:r>
      <w:r w:rsidR="00F27E62" w:rsidRPr="00DD477A">
        <w:t xml:space="preserve">of the MoG changes in </w:t>
      </w:r>
      <w:r w:rsidR="6B6EE5C4" w:rsidRPr="00DD477A">
        <w:t>a footnote to Table 1.1.</w:t>
      </w:r>
    </w:p>
    <w:p w14:paraId="67E68C29" w14:textId="77777777" w:rsidR="00FA0945" w:rsidRPr="00DD477A" w:rsidRDefault="53BF0693" w:rsidP="0014243A">
      <w:pPr>
        <w:pStyle w:val="Heading4"/>
      </w:pPr>
      <w:r w:rsidRPr="00DD477A">
        <w:t>Transferring entities</w:t>
      </w:r>
    </w:p>
    <w:p w14:paraId="129BFE2D" w14:textId="1DC451EB" w:rsidR="00FA0945" w:rsidRPr="00DD477A" w:rsidRDefault="004D4119" w:rsidP="000A7DEC">
      <w:pPr>
        <w:rPr>
          <w:rFonts w:cs="Calibri"/>
        </w:rPr>
      </w:pPr>
      <w:r w:rsidRPr="00DD477A">
        <w:rPr>
          <w:rFonts w:cs="Calibri"/>
        </w:rPr>
        <w:t>E</w:t>
      </w:r>
      <w:r w:rsidR="6B6EE5C4" w:rsidRPr="00DD477A">
        <w:rPr>
          <w:rFonts w:cs="Calibri"/>
        </w:rPr>
        <w:t xml:space="preserve">ntities that </w:t>
      </w:r>
      <w:r w:rsidR="005529B0" w:rsidRPr="00DD477A">
        <w:rPr>
          <w:rFonts w:cs="Calibri"/>
        </w:rPr>
        <w:t xml:space="preserve">transfer </w:t>
      </w:r>
      <w:r w:rsidR="6B6EE5C4" w:rsidRPr="00DD477A">
        <w:rPr>
          <w:rFonts w:cs="Calibri"/>
        </w:rPr>
        <w:t xml:space="preserve">functions </w:t>
      </w:r>
      <w:r w:rsidR="009B5CB6" w:rsidRPr="00DD477A">
        <w:rPr>
          <w:rFonts w:cs="Calibri"/>
        </w:rPr>
        <w:t xml:space="preserve">outwards </w:t>
      </w:r>
      <w:r w:rsidR="009573DD" w:rsidRPr="00DD477A">
        <w:rPr>
          <w:rFonts w:cs="Calibri"/>
        </w:rPr>
        <w:t>through</w:t>
      </w:r>
      <w:r w:rsidR="6B6EE5C4" w:rsidRPr="00DD477A">
        <w:rPr>
          <w:rFonts w:cs="Calibri"/>
        </w:rPr>
        <w:t xml:space="preserve"> MoG</w:t>
      </w:r>
      <w:r w:rsidR="00B7186B" w:rsidRPr="00DD477A">
        <w:rPr>
          <w:rFonts w:cs="Calibri"/>
        </w:rPr>
        <w:t xml:space="preserve"> changes</w:t>
      </w:r>
      <w:r w:rsidR="000D5624" w:rsidRPr="00DD477A">
        <w:rPr>
          <w:rFonts w:cs="Calibri"/>
        </w:rPr>
        <w:t xml:space="preserve"> should report</w:t>
      </w:r>
      <w:r w:rsidR="00175F5A">
        <w:rPr>
          <w:rFonts w:cs="Calibri"/>
        </w:rPr>
        <w:t>:</w:t>
      </w:r>
    </w:p>
    <w:p w14:paraId="0572D2CD" w14:textId="557054CA" w:rsidR="00FA0945" w:rsidRPr="00DD477A" w:rsidRDefault="00347D8D" w:rsidP="00B54999">
      <w:pPr>
        <w:pStyle w:val="Bullet1"/>
      </w:pPr>
      <w:r w:rsidRPr="00DD477A">
        <w:t xml:space="preserve">all resources available to the entity, </w:t>
      </w:r>
      <w:r w:rsidRPr="00DD477A">
        <w:rPr>
          <w:b/>
        </w:rPr>
        <w:t>excluding</w:t>
      </w:r>
      <w:r w:rsidRPr="00DD477A">
        <w:t xml:space="preserve"> those functions it has transferred, </w:t>
      </w:r>
      <w:r w:rsidR="00036EC8" w:rsidRPr="00DD477A">
        <w:t>in t</w:t>
      </w:r>
      <w:r w:rsidR="53BF0693" w:rsidRPr="00DD477A">
        <w:t xml:space="preserve">he </w:t>
      </w:r>
      <w:r w:rsidR="0095585E">
        <w:t>2025</w:t>
      </w:r>
      <w:r w:rsidR="00C917CE">
        <w:t>–</w:t>
      </w:r>
      <w:r w:rsidR="0095585E">
        <w:t>26</w:t>
      </w:r>
      <w:r w:rsidR="008E1BDD" w:rsidRPr="00DD477A">
        <w:rPr>
          <w:b/>
          <w:bCs/>
        </w:rPr>
        <w:t xml:space="preserve"> </w:t>
      </w:r>
      <w:r w:rsidR="006E4C0F">
        <w:rPr>
          <w:b/>
          <w:bCs/>
        </w:rPr>
        <w:t>Estimated</w:t>
      </w:r>
      <w:r w:rsidR="008E1BDD" w:rsidRPr="00DD477A">
        <w:rPr>
          <w:b/>
          <w:bCs/>
        </w:rPr>
        <w:t xml:space="preserve"> </w:t>
      </w:r>
      <w:r w:rsidR="53BF0693" w:rsidRPr="00DD477A">
        <w:rPr>
          <w:b/>
          <w:bCs/>
        </w:rPr>
        <w:t>Actual</w:t>
      </w:r>
      <w:r w:rsidR="53BF0693" w:rsidRPr="00DD477A">
        <w:t xml:space="preserve"> column </w:t>
      </w:r>
    </w:p>
    <w:p w14:paraId="210DBCC5" w14:textId="3AA53C06" w:rsidR="00FA0945" w:rsidRPr="00DD477A" w:rsidRDefault="00B25E89" w:rsidP="00282B62">
      <w:pPr>
        <w:pStyle w:val="Bullet2"/>
      </w:pPr>
      <w:bookmarkStart w:id="1568" w:name="_Toc411852706"/>
      <w:r w:rsidRPr="00DD477A">
        <w:t xml:space="preserve">those resources available up to the agreed date of effect of the MoG changes </w:t>
      </w:r>
    </w:p>
    <w:p w14:paraId="270F912F" w14:textId="60150AE1" w:rsidR="00FA0945" w:rsidRPr="00DD477A" w:rsidRDefault="00F27E62" w:rsidP="00B54999">
      <w:pPr>
        <w:pStyle w:val="Bullet1"/>
      </w:pPr>
      <w:r w:rsidRPr="00DD477A">
        <w:t xml:space="preserve">details of </w:t>
      </w:r>
      <w:r w:rsidR="00D0240D" w:rsidRPr="00DD477A">
        <w:t xml:space="preserve">the MoG changes </w:t>
      </w:r>
      <w:r w:rsidR="00BA72AE" w:rsidRPr="00DD477A">
        <w:t xml:space="preserve">in </w:t>
      </w:r>
      <w:r w:rsidR="6B6EE5C4" w:rsidRPr="00DD477A">
        <w:t>a footnote to Table 1.1</w:t>
      </w:r>
      <w:r w:rsidR="00BA72AE" w:rsidRPr="00DD477A">
        <w:t>.</w:t>
      </w:r>
      <w:r w:rsidR="6B6EE5C4" w:rsidRPr="00DD477A">
        <w:t xml:space="preserve"> </w:t>
      </w:r>
    </w:p>
    <w:p w14:paraId="1B4173B8" w14:textId="00AF3EBA" w:rsidR="00FA0945" w:rsidRPr="00DD477A" w:rsidRDefault="53BF0693" w:rsidP="0014243A">
      <w:pPr>
        <w:pStyle w:val="Heading3"/>
      </w:pPr>
      <w:bookmarkStart w:id="1569" w:name="_Toc63347738"/>
      <w:bookmarkStart w:id="1570" w:name="_Toc227749073"/>
      <w:r w:rsidRPr="00DD477A">
        <w:t>Outcome information</w:t>
      </w:r>
      <w:bookmarkEnd w:id="1569"/>
      <w:bookmarkEnd w:id="1570"/>
    </w:p>
    <w:p w14:paraId="390123CC" w14:textId="6B5D8EEB" w:rsidR="00FA0945" w:rsidRPr="00DD477A" w:rsidRDefault="00DA1188" w:rsidP="000A7DEC">
      <w:pPr>
        <w:rPr>
          <w:rFonts w:cs="Calibri"/>
        </w:rPr>
      </w:pPr>
      <w:r w:rsidRPr="00DD477A">
        <w:rPr>
          <w:rFonts w:cs="Calibri"/>
        </w:rPr>
        <w:t>C</w:t>
      </w:r>
      <w:r w:rsidR="6B6EE5C4" w:rsidRPr="00DD477A">
        <w:rPr>
          <w:rFonts w:cs="Calibri"/>
        </w:rPr>
        <w:t xml:space="preserve">hanges to outcome and program structures </w:t>
      </w:r>
      <w:r w:rsidR="00D84CCE" w:rsidRPr="00DD477A">
        <w:rPr>
          <w:rFonts w:cs="Calibri"/>
        </w:rPr>
        <w:t xml:space="preserve">as a consequence </w:t>
      </w:r>
      <w:r w:rsidR="00751AA0" w:rsidRPr="00DD477A">
        <w:rPr>
          <w:rFonts w:cs="Calibri"/>
        </w:rPr>
        <w:t>of</w:t>
      </w:r>
      <w:r w:rsidR="6B6EE5C4" w:rsidRPr="00DD477A">
        <w:rPr>
          <w:rFonts w:cs="Calibri"/>
        </w:rPr>
        <w:t xml:space="preserve"> MoG changes </w:t>
      </w:r>
      <w:r w:rsidR="000959DF" w:rsidRPr="00DD477A">
        <w:rPr>
          <w:rFonts w:cs="Calibri"/>
        </w:rPr>
        <w:t>should be rep</w:t>
      </w:r>
      <w:r w:rsidR="00B27328" w:rsidRPr="00DD477A">
        <w:rPr>
          <w:rFonts w:cs="Calibri"/>
        </w:rPr>
        <w:t xml:space="preserve">orted </w:t>
      </w:r>
      <w:r w:rsidR="009F75EA" w:rsidRPr="00DD477A">
        <w:rPr>
          <w:rFonts w:cs="Calibri"/>
        </w:rPr>
        <w:t>in</w:t>
      </w:r>
      <w:r w:rsidR="6B6EE5C4" w:rsidRPr="00DD477A">
        <w:rPr>
          <w:rFonts w:cs="Calibri"/>
        </w:rPr>
        <w:t xml:space="preserve"> Section 2 of PB Statements, including information on functions transferred and to/from whom.</w:t>
      </w:r>
    </w:p>
    <w:p w14:paraId="7BC72DA9" w14:textId="03EC76F9" w:rsidR="00FA0945" w:rsidRPr="00DD477A" w:rsidRDefault="001954FB" w:rsidP="00B54999">
      <w:pPr>
        <w:pStyle w:val="Bullet1"/>
      </w:pPr>
      <w:r w:rsidRPr="00DD477A">
        <w:t>O</w:t>
      </w:r>
      <w:r w:rsidR="53BF0693" w:rsidRPr="00DD477A">
        <w:t xml:space="preserve">utcome statements presented must be those approved by the </w:t>
      </w:r>
      <w:r w:rsidR="009C007F" w:rsidRPr="00DD477A">
        <w:t>Minister for Finance</w:t>
      </w:r>
      <w:r w:rsidR="53BF0693" w:rsidRPr="00DD477A">
        <w:t xml:space="preserve"> and program names/structures must be those approved by Finance and as reported in CBMS</w:t>
      </w:r>
      <w:r w:rsidRPr="00DD477A">
        <w:t>.</w:t>
      </w:r>
    </w:p>
    <w:p w14:paraId="232FA375" w14:textId="451280BA" w:rsidR="00FA0945" w:rsidRPr="00DD477A" w:rsidRDefault="001954FB" w:rsidP="00282B62">
      <w:pPr>
        <w:pStyle w:val="Bullet2"/>
      </w:pPr>
      <w:r w:rsidRPr="00DD477A">
        <w:t xml:space="preserve">An </w:t>
      </w:r>
      <w:r w:rsidR="53BF0693" w:rsidRPr="00DD477A">
        <w:t xml:space="preserve">optional template </w:t>
      </w:r>
      <w:r w:rsidR="00721C67" w:rsidRPr="00DD477A">
        <w:t>to represent</w:t>
      </w:r>
      <w:r w:rsidR="53BF0693" w:rsidRPr="00DD477A">
        <w:t xml:space="preserve"> outcome and program changes is </w:t>
      </w:r>
      <w:r w:rsidR="00721C67" w:rsidRPr="00DD477A">
        <w:t>provided</w:t>
      </w:r>
      <w:r w:rsidR="53BF0693" w:rsidRPr="00DD477A">
        <w:t xml:space="preserve"> in </w:t>
      </w:r>
      <w:r w:rsidR="00453241" w:rsidRPr="001D633C">
        <w:rPr>
          <w:u w:val="single"/>
        </w:rPr>
        <w:t>Attachment B</w:t>
      </w:r>
      <w:r w:rsidR="00385479" w:rsidRPr="00DD477A">
        <w:t xml:space="preserve"> (Excel Tables workbook,</w:t>
      </w:r>
      <w:r w:rsidR="00282B62" w:rsidRPr="00DD477A">
        <w:t xml:space="preserve"> </w:t>
      </w:r>
      <w:r w:rsidR="00385479" w:rsidRPr="00DD477A">
        <w:t>‘Table 2 optional’ tab)</w:t>
      </w:r>
      <w:r w:rsidR="53BF0693" w:rsidRPr="00DD477A">
        <w:t xml:space="preserve">. </w:t>
      </w:r>
      <w:r w:rsidR="00FE5C7A">
        <w:t>E</w:t>
      </w:r>
      <w:r w:rsidR="53BF0693" w:rsidRPr="00DD477A">
        <w:t xml:space="preserve">ntities </w:t>
      </w:r>
      <w:r w:rsidR="00FE5C7A">
        <w:t xml:space="preserve">can </w:t>
      </w:r>
      <w:r w:rsidR="53BF0693" w:rsidRPr="00DD477A">
        <w:t xml:space="preserve">choose an alternative table or pictorial format </w:t>
      </w:r>
      <w:r w:rsidR="00D448AE" w:rsidRPr="00DD477A">
        <w:t xml:space="preserve">that better </w:t>
      </w:r>
      <w:r w:rsidR="00A169E4" w:rsidRPr="00DD477A">
        <w:t xml:space="preserve">suits </w:t>
      </w:r>
      <w:r w:rsidR="53BF0693" w:rsidRPr="00DD477A">
        <w:t>the scope of the</w:t>
      </w:r>
      <w:r w:rsidR="00FE5C7A">
        <w:t>ir</w:t>
      </w:r>
      <w:r w:rsidR="53BF0693" w:rsidRPr="00DD477A">
        <w:t xml:space="preserve"> changes</w:t>
      </w:r>
      <w:r w:rsidR="006C6B52">
        <w:t xml:space="preserve"> in place of using the template provided</w:t>
      </w:r>
      <w:r w:rsidRPr="00DD477A">
        <w:t>.</w:t>
      </w:r>
    </w:p>
    <w:p w14:paraId="759E8B1B" w14:textId="521AD36B" w:rsidR="008C2D38" w:rsidRPr="00DD477A" w:rsidRDefault="001954FB" w:rsidP="00282B62">
      <w:pPr>
        <w:pStyle w:val="Bullet2"/>
      </w:pPr>
      <w:r w:rsidRPr="00DD477A">
        <w:t xml:space="preserve">Further </w:t>
      </w:r>
      <w:r w:rsidR="6B6EE5C4" w:rsidRPr="00DD477A">
        <w:t xml:space="preserve">information on reporting MoG changes in financial statements can be found </w:t>
      </w:r>
      <w:r w:rsidR="00761298" w:rsidRPr="00DD477A">
        <w:t>in</w:t>
      </w:r>
      <w:r w:rsidR="6B6EE5C4" w:rsidRPr="00DD477A">
        <w:t>:</w:t>
      </w:r>
    </w:p>
    <w:p w14:paraId="02200BA9" w14:textId="124179AC" w:rsidR="004E76A4" w:rsidRPr="00DD477A" w:rsidRDefault="001774BB" w:rsidP="00074797">
      <w:pPr>
        <w:pStyle w:val="Bullet3"/>
        <w:rPr>
          <w:rStyle w:val="Hyperlink"/>
        </w:rPr>
      </w:pPr>
      <w:hyperlink r:id="rId214">
        <w:r>
          <w:rPr>
            <w:rStyle w:val="Hyperlink"/>
          </w:rPr>
          <w:t>RMG 125 Commonwealth entities financial statements guide</w:t>
        </w:r>
      </w:hyperlink>
    </w:p>
    <w:p w14:paraId="5E4B6F36" w14:textId="05D22061" w:rsidR="00357C9B" w:rsidRPr="00DD477A" w:rsidRDefault="001774BB" w:rsidP="00074797">
      <w:pPr>
        <w:pStyle w:val="Bullet3"/>
        <w:rPr>
          <w:rStyle w:val="Hyperlink"/>
        </w:rPr>
      </w:pPr>
      <w:hyperlink r:id="rId215" w:tgtFrame="_blank" w:tooltip="https://www.finance.gov.au/publications/resource-management-guides/reporting-requirements-following-machinery-government-changes-rmg-119#key-points" w:history="1">
        <w:r>
          <w:rPr>
            <w:rStyle w:val="Hyperlink"/>
          </w:rPr>
          <w:t>RMG 119 Reporting requirements following machinery of government changes</w:t>
        </w:r>
      </w:hyperlink>
    </w:p>
    <w:p w14:paraId="0EF653BF" w14:textId="130212C6" w:rsidR="00357C9B" w:rsidRPr="00DD477A" w:rsidRDefault="001774BB" w:rsidP="00074797">
      <w:pPr>
        <w:pStyle w:val="Bullet3"/>
      </w:pPr>
      <w:hyperlink r:id="rId216">
        <w:r>
          <w:rPr>
            <w:rStyle w:val="Hyperlink"/>
          </w:rPr>
          <w:t>RMG 118 Accounting for machinery of government changes</w:t>
        </w:r>
      </w:hyperlink>
      <w:r w:rsidR="6B6EE5C4" w:rsidRPr="00DD477A">
        <w:rPr>
          <w:rStyle w:val="Hyperlink"/>
          <w:rFonts w:cs="Calibri"/>
          <w:u w:val="none"/>
        </w:rPr>
        <w:t>.</w:t>
      </w:r>
    </w:p>
    <w:p w14:paraId="1AF773CC" w14:textId="2FABE9B7" w:rsidR="00FA0945" w:rsidRPr="00DD477A" w:rsidRDefault="53BF0693" w:rsidP="003D6589">
      <w:pPr>
        <w:pStyle w:val="Heading2"/>
      </w:pPr>
      <w:bookmarkStart w:id="1571" w:name="_Toc61875051"/>
      <w:bookmarkStart w:id="1572" w:name="_Toc62648903"/>
      <w:bookmarkStart w:id="1573" w:name="_Toc63347739"/>
      <w:bookmarkStart w:id="1574" w:name="_Toc227749074"/>
      <w:bookmarkEnd w:id="1571"/>
      <w:bookmarkEnd w:id="1572"/>
      <w:r w:rsidRPr="00DD477A">
        <w:t>Budgeted financial statements</w:t>
      </w:r>
      <w:bookmarkEnd w:id="1573"/>
      <w:bookmarkEnd w:id="1574"/>
    </w:p>
    <w:p w14:paraId="22220F6F" w14:textId="4B6F7213" w:rsidR="00FA0945" w:rsidRPr="00DD477A" w:rsidRDefault="00A51A57" w:rsidP="000A7DEC">
      <w:pPr>
        <w:rPr>
          <w:rFonts w:cs="Calibri"/>
        </w:rPr>
      </w:pPr>
      <w:r w:rsidRPr="00DD477A">
        <w:rPr>
          <w:rFonts w:cs="Calibri"/>
        </w:rPr>
        <w:t xml:space="preserve">The financial impact of </w:t>
      </w:r>
      <w:r w:rsidR="0063141D" w:rsidRPr="00DD477A">
        <w:rPr>
          <w:rFonts w:cs="Calibri"/>
        </w:rPr>
        <w:t>MoG</w:t>
      </w:r>
      <w:r w:rsidRPr="00DD477A">
        <w:rPr>
          <w:rFonts w:cs="Calibri"/>
        </w:rPr>
        <w:t xml:space="preserve"> transfer</w:t>
      </w:r>
      <w:r w:rsidR="00FE64BF" w:rsidRPr="00DD477A">
        <w:rPr>
          <w:rFonts w:cs="Calibri"/>
        </w:rPr>
        <w:t>s</w:t>
      </w:r>
      <w:r w:rsidRPr="00DD477A">
        <w:rPr>
          <w:rFonts w:cs="Calibri"/>
        </w:rPr>
        <w:t xml:space="preserve"> </w:t>
      </w:r>
      <w:r w:rsidR="004254FC" w:rsidRPr="00DD477A">
        <w:rPr>
          <w:rFonts w:cs="Calibri"/>
        </w:rPr>
        <w:t xml:space="preserve">of </w:t>
      </w:r>
      <w:r w:rsidRPr="00DD477A">
        <w:rPr>
          <w:rFonts w:cs="Calibri"/>
        </w:rPr>
        <w:t xml:space="preserve">functions/activities/programs </w:t>
      </w:r>
      <w:r w:rsidR="00BA08B0" w:rsidRPr="00DD477A">
        <w:rPr>
          <w:rFonts w:cs="Calibri"/>
        </w:rPr>
        <w:t>needs</w:t>
      </w:r>
      <w:r w:rsidR="004254FC" w:rsidRPr="00DD477A">
        <w:rPr>
          <w:rFonts w:cs="Calibri"/>
        </w:rPr>
        <w:t xml:space="preserve"> to be reflected in each e</w:t>
      </w:r>
      <w:r w:rsidR="53BF0693" w:rsidRPr="00DD477A">
        <w:rPr>
          <w:rFonts w:cs="Calibri"/>
        </w:rPr>
        <w:t>ntit</w:t>
      </w:r>
      <w:r w:rsidR="00282B62" w:rsidRPr="00DD477A">
        <w:rPr>
          <w:rFonts w:cs="Calibri"/>
        </w:rPr>
        <w:t>y’</w:t>
      </w:r>
      <w:r w:rsidR="53BF0693" w:rsidRPr="00DD477A">
        <w:rPr>
          <w:rFonts w:cs="Calibri"/>
        </w:rPr>
        <w:t>s financial statements</w:t>
      </w:r>
      <w:r w:rsidR="004254FC" w:rsidRPr="00DD477A">
        <w:rPr>
          <w:rFonts w:cs="Calibri"/>
        </w:rPr>
        <w:t>.</w:t>
      </w:r>
    </w:p>
    <w:p w14:paraId="0FB6E341" w14:textId="033BF58A" w:rsidR="00FA0945" w:rsidRPr="00DD477A" w:rsidRDefault="00282B62" w:rsidP="00B54999">
      <w:pPr>
        <w:pStyle w:val="Bullet1"/>
        <w:numPr>
          <w:ilvl w:val="0"/>
          <w:numId w:val="38"/>
        </w:numPr>
      </w:pPr>
      <w:r w:rsidRPr="00DD477A">
        <w:t xml:space="preserve">receiving </w:t>
      </w:r>
      <w:r w:rsidR="6B6EE5C4" w:rsidRPr="00DD477A">
        <w:t>entities should report the financial impact from the agreed date of transfer onwards</w:t>
      </w:r>
      <w:r w:rsidR="001954FB" w:rsidRPr="00DD477A">
        <w:t>.</w:t>
      </w:r>
    </w:p>
    <w:p w14:paraId="7638E47D" w14:textId="1FDCBEBB" w:rsidR="00FA0945" w:rsidRPr="00DD477A" w:rsidRDefault="00282B62" w:rsidP="00B54999">
      <w:pPr>
        <w:pStyle w:val="Bullet1"/>
        <w:numPr>
          <w:ilvl w:val="0"/>
          <w:numId w:val="38"/>
        </w:numPr>
      </w:pPr>
      <w:r w:rsidRPr="00DD477A">
        <w:t xml:space="preserve">transferring </w:t>
      </w:r>
      <w:r w:rsidR="6B6EE5C4" w:rsidRPr="00DD477A">
        <w:t>entities should report the financial impact up to the agreed date of transfer.</w:t>
      </w:r>
    </w:p>
    <w:p w14:paraId="7FA2923B" w14:textId="2A38D1D8" w:rsidR="00BD51B0" w:rsidRPr="00DD477A" w:rsidRDefault="53BF0693" w:rsidP="003D6589">
      <w:pPr>
        <w:pStyle w:val="Heading2"/>
      </w:pPr>
      <w:bookmarkStart w:id="1575" w:name="_Toc63347740"/>
      <w:bookmarkStart w:id="1576" w:name="_Toc227749075"/>
      <w:r w:rsidRPr="00DD477A">
        <w:t>Other important information</w:t>
      </w:r>
      <w:bookmarkEnd w:id="1575"/>
      <w:bookmarkEnd w:id="1576"/>
    </w:p>
    <w:p w14:paraId="1AD0E755" w14:textId="77777777" w:rsidR="00FA0945" w:rsidRPr="00DD477A" w:rsidRDefault="6B6EE5C4" w:rsidP="003D6589">
      <w:pPr>
        <w:pStyle w:val="Heading3"/>
      </w:pPr>
      <w:bookmarkStart w:id="1577" w:name="_Toc227749076"/>
      <w:r w:rsidRPr="00DD477A">
        <w:t>Subsequent MoG changes following the PB Statements</w:t>
      </w:r>
      <w:bookmarkEnd w:id="1577"/>
    </w:p>
    <w:p w14:paraId="5B477222" w14:textId="38BF8DC4" w:rsidR="00FA0945" w:rsidRPr="00DD477A" w:rsidRDefault="6B6EE5C4" w:rsidP="000A7DEC">
      <w:pPr>
        <w:rPr>
          <w:rFonts w:cs="Calibri"/>
        </w:rPr>
      </w:pPr>
      <w:r w:rsidRPr="00DD477A">
        <w:rPr>
          <w:rFonts w:cs="Calibri"/>
        </w:rPr>
        <w:t>MoG changes can be announced at any time</w:t>
      </w:r>
      <w:r w:rsidR="007D65CE" w:rsidRPr="00DD477A">
        <w:rPr>
          <w:rFonts w:cs="Calibri"/>
        </w:rPr>
        <w:t>, including</w:t>
      </w:r>
      <w:r w:rsidRPr="00DD477A">
        <w:rPr>
          <w:rFonts w:cs="Calibri"/>
        </w:rPr>
        <w:t xml:space="preserve"> after the preparation of the </w:t>
      </w:r>
      <w:r w:rsidR="00F20545" w:rsidRPr="00DD477A">
        <w:rPr>
          <w:rFonts w:cs="Calibri"/>
        </w:rPr>
        <w:t>Appropriation </w:t>
      </w:r>
      <w:r w:rsidRPr="00DD477A">
        <w:rPr>
          <w:rFonts w:cs="Calibri"/>
        </w:rPr>
        <w:t xml:space="preserve">Bills has commenced or </w:t>
      </w:r>
      <w:r w:rsidR="005627D5" w:rsidRPr="00DD477A">
        <w:rPr>
          <w:rFonts w:cs="Calibri"/>
        </w:rPr>
        <w:t xml:space="preserve">the completion of </w:t>
      </w:r>
      <w:r w:rsidRPr="00DD477A">
        <w:rPr>
          <w:rFonts w:cs="Calibri"/>
        </w:rPr>
        <w:t>the PB Statements but not yet tabled in Parliament</w:t>
      </w:r>
      <w:r w:rsidR="007F5C19" w:rsidRPr="00DD477A">
        <w:rPr>
          <w:rFonts w:cs="Calibri"/>
        </w:rPr>
        <w:t xml:space="preserve"> </w:t>
      </w:r>
      <w:r w:rsidR="008D1F62" w:rsidRPr="00DD477A">
        <w:rPr>
          <w:rFonts w:cs="Calibri"/>
        </w:rPr>
        <w:t>through</w:t>
      </w:r>
      <w:r w:rsidR="007F5C19" w:rsidRPr="00DD477A">
        <w:rPr>
          <w:rFonts w:cs="Calibri"/>
        </w:rPr>
        <w:t xml:space="preserve"> the Senate</w:t>
      </w:r>
      <w:r w:rsidRPr="00DD477A">
        <w:rPr>
          <w:rFonts w:cs="Calibri"/>
        </w:rPr>
        <w:t>.</w:t>
      </w:r>
    </w:p>
    <w:p w14:paraId="5EF25C6A" w14:textId="4750DB79" w:rsidR="004215DD" w:rsidRPr="00DD477A" w:rsidRDefault="00CF0ACA" w:rsidP="53BF0693">
      <w:pPr>
        <w:rPr>
          <w:rFonts w:eastAsia="Cambria" w:cs="Calibri"/>
        </w:rPr>
      </w:pPr>
      <w:r w:rsidRPr="00DD477A">
        <w:rPr>
          <w:rFonts w:cs="Calibri"/>
        </w:rPr>
        <w:t>Where</w:t>
      </w:r>
      <w:r w:rsidR="53BF0693" w:rsidRPr="00DD477A">
        <w:rPr>
          <w:rFonts w:cs="Calibri"/>
        </w:rPr>
        <w:t xml:space="preserve"> </w:t>
      </w:r>
      <w:r w:rsidR="00FA2922" w:rsidRPr="00DD477A">
        <w:rPr>
          <w:rFonts w:cs="Calibri"/>
        </w:rPr>
        <w:t xml:space="preserve">announced </w:t>
      </w:r>
      <w:r w:rsidR="53BF0693" w:rsidRPr="00DD477A">
        <w:rPr>
          <w:rFonts w:cs="Calibri"/>
        </w:rPr>
        <w:t>changes are</w:t>
      </w:r>
      <w:r w:rsidR="00FA2922" w:rsidRPr="00DD477A">
        <w:rPr>
          <w:rFonts w:cs="Calibri"/>
        </w:rPr>
        <w:t xml:space="preserve"> unable</w:t>
      </w:r>
      <w:r w:rsidR="008E4D2B" w:rsidRPr="00DD477A">
        <w:rPr>
          <w:rFonts w:cs="Calibri"/>
        </w:rPr>
        <w:t xml:space="preserve"> to be reflected in</w:t>
      </w:r>
      <w:r w:rsidR="00B2453C" w:rsidRPr="00DD477A">
        <w:rPr>
          <w:rFonts w:cs="Calibri"/>
        </w:rPr>
        <w:t xml:space="preserve"> </w:t>
      </w:r>
      <w:r w:rsidR="53BF0693" w:rsidRPr="00DD477A">
        <w:rPr>
          <w:rFonts w:cs="Calibri"/>
        </w:rPr>
        <w:t xml:space="preserve">the </w:t>
      </w:r>
      <w:r w:rsidR="00F20545" w:rsidRPr="00DD477A">
        <w:rPr>
          <w:rFonts w:cs="Calibri"/>
        </w:rPr>
        <w:t xml:space="preserve">Appropriation </w:t>
      </w:r>
      <w:r w:rsidR="53BF0693" w:rsidRPr="00DD477A">
        <w:rPr>
          <w:rFonts w:cs="Calibri"/>
        </w:rPr>
        <w:t>Bills or the budget statements</w:t>
      </w:r>
      <w:r w:rsidR="00B2453C" w:rsidRPr="00DD477A">
        <w:rPr>
          <w:rFonts w:cs="Calibri"/>
        </w:rPr>
        <w:t>,</w:t>
      </w:r>
      <w:r w:rsidRPr="00DD477A">
        <w:rPr>
          <w:rFonts w:cs="Calibri"/>
        </w:rPr>
        <w:t xml:space="preserve"> an </w:t>
      </w:r>
      <w:r w:rsidR="53BF0693" w:rsidRPr="00DD477A">
        <w:rPr>
          <w:rFonts w:cs="Calibri"/>
        </w:rPr>
        <w:t>expla</w:t>
      </w:r>
      <w:r w:rsidRPr="00DD477A">
        <w:rPr>
          <w:rFonts w:cs="Calibri"/>
        </w:rPr>
        <w:t>nation</w:t>
      </w:r>
      <w:r w:rsidR="53BF0693" w:rsidRPr="00DD477A">
        <w:rPr>
          <w:rFonts w:cs="Calibri"/>
        </w:rPr>
        <w:t xml:space="preserve"> in the next budget statements (i.e.</w:t>
      </w:r>
      <w:r w:rsidR="157A32BF" w:rsidRPr="00DD477A">
        <w:rPr>
          <w:rFonts w:cs="Calibri"/>
        </w:rPr>
        <w:t>,</w:t>
      </w:r>
      <w:r w:rsidR="53BF0693" w:rsidRPr="00DD477A">
        <w:rPr>
          <w:rFonts w:cs="Calibri"/>
        </w:rPr>
        <w:t xml:space="preserve"> PAES) and subsequently in the entity’s annual report</w:t>
      </w:r>
      <w:r w:rsidR="00F64ADC" w:rsidRPr="00DD477A">
        <w:rPr>
          <w:rFonts w:cs="Calibri"/>
        </w:rPr>
        <w:t xml:space="preserve"> should be included</w:t>
      </w:r>
      <w:r w:rsidR="53BF0693" w:rsidRPr="00DD477A">
        <w:rPr>
          <w:rFonts w:cs="Calibri"/>
        </w:rPr>
        <w:t>.</w:t>
      </w:r>
    </w:p>
    <w:p w14:paraId="12D03516" w14:textId="44AA3246" w:rsidR="00FA0945" w:rsidRPr="00DD477A" w:rsidRDefault="53BF0693" w:rsidP="003D6589">
      <w:pPr>
        <w:pStyle w:val="Heading3"/>
      </w:pPr>
      <w:bookmarkStart w:id="1578" w:name="_Toc536108599"/>
      <w:bookmarkStart w:id="1579" w:name="_Toc534382583"/>
      <w:bookmarkStart w:id="1580" w:name="_Toc227749077"/>
      <w:bookmarkEnd w:id="1578"/>
      <w:r w:rsidRPr="00DD477A">
        <w:t>Program and outcome changes</w:t>
      </w:r>
      <w:bookmarkEnd w:id="1568"/>
      <w:bookmarkEnd w:id="1579"/>
      <w:bookmarkEnd w:id="1580"/>
    </w:p>
    <w:p w14:paraId="58915A04" w14:textId="1ABC9DB0" w:rsidR="00FA0945" w:rsidRPr="00DD477A" w:rsidRDefault="00F81224" w:rsidP="000A7DEC">
      <w:pPr>
        <w:rPr>
          <w:rFonts w:cs="Calibri"/>
        </w:rPr>
      </w:pPr>
      <w:r w:rsidRPr="00DD477A">
        <w:rPr>
          <w:rFonts w:cs="Calibri"/>
        </w:rPr>
        <w:t xml:space="preserve">PB Statements cannot report </w:t>
      </w:r>
      <w:r w:rsidR="53BF0693" w:rsidRPr="00DD477A">
        <w:rPr>
          <w:rFonts w:cs="Calibri"/>
        </w:rPr>
        <w:t xml:space="preserve">outcome and program </w:t>
      </w:r>
      <w:r w:rsidR="00087019" w:rsidRPr="00DD477A">
        <w:rPr>
          <w:rFonts w:cs="Calibri"/>
        </w:rPr>
        <w:t>amendments</w:t>
      </w:r>
      <w:r w:rsidR="00A04D69" w:rsidRPr="00DD477A">
        <w:rPr>
          <w:rFonts w:cs="Calibri"/>
        </w:rPr>
        <w:t xml:space="preserve"> </w:t>
      </w:r>
      <w:r w:rsidR="53BF0693" w:rsidRPr="00DD477A">
        <w:rPr>
          <w:rFonts w:cs="Calibri"/>
        </w:rPr>
        <w:t xml:space="preserve">until the </w:t>
      </w:r>
      <w:r w:rsidR="009C007F" w:rsidRPr="00DD477A">
        <w:rPr>
          <w:rFonts w:cs="Calibri"/>
        </w:rPr>
        <w:t>Minister for Finance</w:t>
      </w:r>
      <w:r w:rsidR="00671E4E" w:rsidRPr="00DD477A">
        <w:rPr>
          <w:rFonts w:cs="Calibri"/>
        </w:rPr>
        <w:t xml:space="preserve"> and/or Finance (depending on the change) </w:t>
      </w:r>
      <w:r w:rsidR="00A04D69" w:rsidRPr="00DD477A">
        <w:rPr>
          <w:rFonts w:cs="Calibri"/>
        </w:rPr>
        <w:t xml:space="preserve">has </w:t>
      </w:r>
      <w:r w:rsidR="00087019" w:rsidRPr="00DD477A">
        <w:rPr>
          <w:rFonts w:cs="Calibri"/>
        </w:rPr>
        <w:t>approved the changes.</w:t>
      </w:r>
    </w:p>
    <w:p w14:paraId="12E295AE" w14:textId="564C4FC2" w:rsidR="001240D0" w:rsidRPr="00DD477A" w:rsidRDefault="00B33B53" w:rsidP="00580008">
      <w:pPr>
        <w:rPr>
          <w:rFonts w:cs="Calibri"/>
        </w:rPr>
      </w:pPr>
      <w:r w:rsidRPr="00DD477A">
        <w:rPr>
          <w:rFonts w:cs="Calibri"/>
        </w:rPr>
        <w:t>The</w:t>
      </w:r>
      <w:r w:rsidR="00CF0ACA" w:rsidRPr="00DD477A">
        <w:rPr>
          <w:rFonts w:cs="Calibri"/>
        </w:rPr>
        <w:t xml:space="preserve"> </w:t>
      </w:r>
      <w:r w:rsidRPr="00DD477A">
        <w:rPr>
          <w:rStyle w:val="CrossReferenceChar"/>
        </w:rPr>
        <w:fldChar w:fldCharType="begin"/>
      </w:r>
      <w:r w:rsidRPr="00DD477A">
        <w:rPr>
          <w:rStyle w:val="CrossReferenceChar"/>
        </w:rPr>
        <w:instrText xml:space="preserve"> REF _Ref33522182 \h  \* MERGEFORMAT </w:instrText>
      </w:r>
      <w:r w:rsidRPr="00DD477A">
        <w:rPr>
          <w:rStyle w:val="CrossReferenceChar"/>
        </w:rPr>
      </w:r>
      <w:r w:rsidRPr="00DD477A">
        <w:rPr>
          <w:rStyle w:val="CrossReferenceChar"/>
        </w:rPr>
        <w:fldChar w:fldCharType="separate"/>
      </w:r>
      <w:r w:rsidR="009E5625" w:rsidRPr="00DD477A">
        <w:t>Outcome statements</w:t>
      </w:r>
      <w:r w:rsidRPr="00DD477A">
        <w:rPr>
          <w:rStyle w:val="CrossReferenceChar"/>
        </w:rPr>
        <w:fldChar w:fldCharType="end"/>
      </w:r>
      <w:r w:rsidRPr="00DD477A">
        <w:rPr>
          <w:rFonts w:cs="Calibri"/>
        </w:rPr>
        <w:t xml:space="preserve"> section provides</w:t>
      </w:r>
      <w:r w:rsidR="00FA0945" w:rsidRPr="00DD477A">
        <w:rPr>
          <w:rFonts w:cs="Calibri"/>
        </w:rPr>
        <w:t xml:space="preserve"> </w:t>
      </w:r>
      <w:r w:rsidR="0045475E" w:rsidRPr="00DD477A">
        <w:rPr>
          <w:rFonts w:cs="Calibri"/>
        </w:rPr>
        <w:t xml:space="preserve">further </w:t>
      </w:r>
      <w:r w:rsidR="00FA0945" w:rsidRPr="00DD477A">
        <w:rPr>
          <w:rFonts w:cs="Calibri"/>
        </w:rPr>
        <w:t xml:space="preserve">information on </w:t>
      </w:r>
      <w:r w:rsidR="0045475E" w:rsidRPr="00DD477A">
        <w:rPr>
          <w:rFonts w:cs="Calibri"/>
        </w:rPr>
        <w:t>t</w:t>
      </w:r>
      <w:r w:rsidR="000B4CED" w:rsidRPr="00DD477A">
        <w:rPr>
          <w:rFonts w:cs="Calibri"/>
        </w:rPr>
        <w:t>he p</w:t>
      </w:r>
      <w:r w:rsidR="00FA0945" w:rsidRPr="00DD477A">
        <w:rPr>
          <w:rFonts w:cs="Calibri"/>
        </w:rPr>
        <w:t xml:space="preserve">olicy and </w:t>
      </w:r>
      <w:r w:rsidR="000B4CED" w:rsidRPr="00DD477A">
        <w:rPr>
          <w:rFonts w:cs="Calibri"/>
        </w:rPr>
        <w:t>a</w:t>
      </w:r>
      <w:r w:rsidR="00FA0945" w:rsidRPr="00DD477A">
        <w:rPr>
          <w:rFonts w:cs="Calibri"/>
        </w:rPr>
        <w:t xml:space="preserve">pproval </w:t>
      </w:r>
      <w:r w:rsidR="00CC3256" w:rsidRPr="00DD477A">
        <w:rPr>
          <w:rFonts w:cs="Calibri"/>
        </w:rPr>
        <w:t>p</w:t>
      </w:r>
      <w:r w:rsidR="00FA0945" w:rsidRPr="00DD477A">
        <w:rPr>
          <w:rFonts w:cs="Calibri"/>
        </w:rPr>
        <w:t xml:space="preserve">rocess </w:t>
      </w:r>
      <w:r w:rsidR="000B4CED" w:rsidRPr="00DD477A">
        <w:rPr>
          <w:rFonts w:cs="Calibri"/>
        </w:rPr>
        <w:t xml:space="preserve">for outcome and program </w:t>
      </w:r>
      <w:r w:rsidR="00B06B0D" w:rsidRPr="00DD477A">
        <w:rPr>
          <w:rFonts w:cs="Calibri"/>
        </w:rPr>
        <w:t>changes</w:t>
      </w:r>
      <w:r w:rsidR="00CF0ACA" w:rsidRPr="00DD477A">
        <w:rPr>
          <w:rFonts w:cs="Calibri"/>
        </w:rPr>
        <w:t>.</w:t>
      </w:r>
      <w:r w:rsidR="00B06B0D" w:rsidRPr="00DD477A">
        <w:rPr>
          <w:rFonts w:cs="Calibri"/>
        </w:rPr>
        <w:t xml:space="preserve"> </w:t>
      </w:r>
    </w:p>
    <w:p w14:paraId="53C72B46" w14:textId="77777777" w:rsidR="00CE2856" w:rsidRPr="00DD477A" w:rsidRDefault="00CE2856">
      <w:pPr>
        <w:suppressAutoHyphens w:val="0"/>
        <w:spacing w:before="0" w:after="120" w:line="440" w:lineRule="atLeast"/>
        <w:rPr>
          <w:rFonts w:cs="Calibri"/>
        </w:rPr>
        <w:sectPr w:rsidR="00CE2856" w:rsidRPr="00DD477A" w:rsidSect="0026790A">
          <w:headerReference w:type="even" r:id="rId217"/>
          <w:headerReference w:type="default" r:id="rId218"/>
          <w:footerReference w:type="default" r:id="rId219"/>
          <w:headerReference w:type="first" r:id="rId220"/>
          <w:pgSz w:w="11900" w:h="16840" w:code="9"/>
          <w:pgMar w:top="1418" w:right="851" w:bottom="1418" w:left="1418" w:header="624" w:footer="624" w:gutter="0"/>
          <w:cols w:space="708"/>
          <w:docGrid w:linePitch="360"/>
        </w:sectPr>
      </w:pPr>
    </w:p>
    <w:p w14:paraId="3A9DB91C" w14:textId="66847AA3" w:rsidR="00CE2856" w:rsidRPr="00DD477A" w:rsidRDefault="00593E3A" w:rsidP="00F81CAE">
      <w:pPr>
        <w:pStyle w:val="Heading1Numbered"/>
      </w:pPr>
      <w:bookmarkStart w:id="1581" w:name="_Toc227749078"/>
      <w:r w:rsidRPr="0014243A">
        <w:rPr>
          <w:u w:val="single"/>
        </w:rPr>
        <w:t xml:space="preserve">Appendix </w:t>
      </w:r>
      <w:r w:rsidR="001434C8" w:rsidRPr="0014243A">
        <w:rPr>
          <w:u w:val="single"/>
        </w:rPr>
        <w:t>1</w:t>
      </w:r>
      <w:r w:rsidRPr="00DD477A">
        <w:t>:</w:t>
      </w:r>
      <w:bookmarkEnd w:id="1581"/>
    </w:p>
    <w:p w14:paraId="3706A72B" w14:textId="4FD34967" w:rsidR="00506FD3" w:rsidRPr="00DD477A" w:rsidRDefault="00BB2E1B" w:rsidP="003D6589">
      <w:pPr>
        <w:pStyle w:val="Heading1"/>
      </w:pPr>
      <w:bookmarkStart w:id="1582" w:name="_Toc227749079"/>
      <w:r w:rsidRPr="00DD477A">
        <w:t>Index of Source Information</w:t>
      </w:r>
      <w:bookmarkEnd w:id="1582"/>
    </w:p>
    <w:p w14:paraId="01CCC580" w14:textId="3B611989" w:rsidR="00642EA7" w:rsidRPr="00DD477A" w:rsidRDefault="00DF2697" w:rsidP="00A85E0D">
      <w:pPr>
        <w:pStyle w:val="Boxed2Text"/>
      </w:pPr>
      <w:r w:rsidRPr="00DD477A">
        <w:t>When running CBMS reports, the budget stage to be selected is “Validated”.</w:t>
      </w:r>
      <w:bookmarkStart w:id="1583" w:name="_CBMS_Chart_of"/>
      <w:bookmarkEnd w:id="1583"/>
    </w:p>
    <w:p w14:paraId="6AE8E36E" w14:textId="73F576D0" w:rsidR="00BB2E1B" w:rsidRPr="00DD477A" w:rsidRDefault="00515764" w:rsidP="003D6589">
      <w:pPr>
        <w:pStyle w:val="Heading3"/>
      </w:pPr>
      <w:bookmarkStart w:id="1584" w:name="_Portfolio_structure_and"/>
      <w:bookmarkStart w:id="1585" w:name="_Toc227749080"/>
      <w:bookmarkStart w:id="1586" w:name="App1_Portstructure"/>
      <w:bookmarkEnd w:id="1584"/>
      <w:r w:rsidRPr="00DD477A">
        <w:t>Portfolio structure and outcomes</w:t>
      </w:r>
      <w:bookmarkEnd w:id="1585"/>
    </w:p>
    <w:bookmarkEnd w:id="1586"/>
    <w:p w14:paraId="0F4D9A1E" w14:textId="314DB726" w:rsidR="00E2392F" w:rsidRPr="00DD477A" w:rsidRDefault="00E2392F" w:rsidP="00A85E0D">
      <w:pPr>
        <w:rPr>
          <w:szCs w:val="22"/>
        </w:rPr>
      </w:pPr>
      <w:r w:rsidRPr="00DD477A">
        <w:rPr>
          <w:szCs w:val="22"/>
        </w:rPr>
        <w:t>A summary of portfolio entities which are subject to the PGPA Act can be viewed via the</w:t>
      </w:r>
      <w:r w:rsidR="00ED29BA">
        <w:rPr>
          <w:szCs w:val="22"/>
        </w:rPr>
        <w:t xml:space="preserve"> </w:t>
      </w:r>
      <w:hyperlink r:id="rId221" w:history="1">
        <w:r w:rsidRPr="00DD477A">
          <w:rPr>
            <w:rStyle w:val="Hyperlink"/>
            <w:szCs w:val="22"/>
          </w:rPr>
          <w:t>PGPA flipchart and list</w:t>
        </w:r>
      </w:hyperlink>
      <w:r w:rsidRPr="00DD477A">
        <w:rPr>
          <w:rStyle w:val="Hyperlink"/>
          <w:szCs w:val="22"/>
        </w:rPr>
        <w:t xml:space="preserve"> webpage</w:t>
      </w:r>
      <w:r w:rsidRPr="00DD477A">
        <w:rPr>
          <w:szCs w:val="22"/>
        </w:rPr>
        <w:t>.</w:t>
      </w:r>
    </w:p>
    <w:p w14:paraId="2627B211" w14:textId="30B2901C" w:rsidR="005C6C76" w:rsidRPr="00DD477A" w:rsidRDefault="00E2392F" w:rsidP="00A85E0D">
      <w:pPr>
        <w:rPr>
          <w:rStyle w:val="BodyTextChar"/>
          <w:rFonts w:cs="Calibri"/>
          <w:szCs w:val="22"/>
        </w:rPr>
      </w:pPr>
      <w:r w:rsidRPr="00DD477A">
        <w:rPr>
          <w:szCs w:val="22"/>
        </w:rPr>
        <w:t xml:space="preserve">Principal or Primary bodies are defined on the </w:t>
      </w:r>
      <w:hyperlink r:id="rId222" w:history="1">
        <w:r w:rsidRPr="00DD477A">
          <w:rPr>
            <w:rStyle w:val="Hyperlink"/>
            <w:szCs w:val="22"/>
          </w:rPr>
          <w:t>AGOR types of bodies</w:t>
        </w:r>
      </w:hyperlink>
      <w:r w:rsidRPr="005F5D51">
        <w:t xml:space="preserve"> webpage.</w:t>
      </w:r>
    </w:p>
    <w:p w14:paraId="74D39259" w14:textId="171D74D0" w:rsidR="00E73C37" w:rsidRPr="00DD477A" w:rsidRDefault="003C1080" w:rsidP="003D6589">
      <w:pPr>
        <w:pStyle w:val="Heading3"/>
      </w:pPr>
      <w:bookmarkStart w:id="1587" w:name="_Resource_Statement_section"/>
      <w:bookmarkStart w:id="1588" w:name="_Toc227749081"/>
      <w:bookmarkStart w:id="1589" w:name="App1_ResourceStatement"/>
      <w:bookmarkEnd w:id="1587"/>
      <w:r w:rsidRPr="00DD477A">
        <w:t xml:space="preserve">Table 1.1 Entity </w:t>
      </w:r>
      <w:r w:rsidR="00C40973" w:rsidRPr="00DD477A">
        <w:t xml:space="preserve">Resource </w:t>
      </w:r>
      <w:r w:rsidR="009812AD" w:rsidRPr="00DD477A">
        <w:t xml:space="preserve">Statement </w:t>
      </w:r>
      <w:r w:rsidRPr="00DD477A">
        <w:t>-</w:t>
      </w:r>
      <w:r w:rsidR="00E90FB5" w:rsidRPr="00DD477A">
        <w:t xml:space="preserve"> CBMS Reports</w:t>
      </w:r>
      <w:bookmarkEnd w:id="1588"/>
    </w:p>
    <w:p w14:paraId="03D2F654" w14:textId="7C86B733" w:rsidR="002F55F8" w:rsidRPr="00DD477A" w:rsidRDefault="002F55F8" w:rsidP="008610B4">
      <w:pPr>
        <w:rPr>
          <w:i/>
        </w:rPr>
      </w:pPr>
      <w:bookmarkStart w:id="1590" w:name="_Reports_(_CBMS"/>
      <w:bookmarkEnd w:id="1589"/>
      <w:bookmarkEnd w:id="1590"/>
      <w:r w:rsidRPr="00DD477A">
        <w:t>In addition to the reports listed under the subsections below, the following report can be used to quality assure all appropriation types</w:t>
      </w:r>
      <w:r w:rsidR="008C203D" w:rsidRPr="00DD477A">
        <w:t>:</w:t>
      </w:r>
    </w:p>
    <w:p w14:paraId="1FB4F48F" w14:textId="45E62E58" w:rsidR="0079364E" w:rsidRPr="008610B4" w:rsidRDefault="0079364E" w:rsidP="001774BB">
      <w:pPr>
        <w:pStyle w:val="Reports1"/>
      </w:pPr>
      <w:r w:rsidRPr="008610B4">
        <w:t xml:space="preserve">All Reports </w:t>
      </w:r>
      <w:r w:rsidR="008610B4">
        <w:rPr>
          <w:rFonts w:ascii="Wingdings" w:eastAsia="Wingdings" w:hAnsi="Wingdings" w:cs="Wingdings"/>
        </w:rPr>
        <w:t>à</w:t>
      </w:r>
      <w:r w:rsidRPr="008610B4">
        <w:t xml:space="preserve"> Operational Reports </w:t>
      </w:r>
      <w:r w:rsidR="008610B4">
        <w:rPr>
          <w:rFonts w:ascii="Wingdings" w:eastAsia="Wingdings" w:hAnsi="Wingdings" w:cs="Wingdings"/>
        </w:rPr>
        <w:t>à</w:t>
      </w:r>
      <w:r w:rsidRPr="008610B4">
        <w:t xml:space="preserve"> Estimates </w:t>
      </w:r>
      <w:r w:rsidR="008610B4">
        <w:rPr>
          <w:rFonts w:ascii="Wingdings" w:eastAsia="Wingdings" w:hAnsi="Wingdings" w:cs="Wingdings"/>
        </w:rPr>
        <w:t>à</w:t>
      </w:r>
      <w:r w:rsidRPr="008610B4">
        <w:t xml:space="preserve"> Annual Estimates </w:t>
      </w:r>
      <w:r w:rsidR="008610B4">
        <w:rPr>
          <w:rFonts w:ascii="Wingdings" w:eastAsia="Wingdings" w:hAnsi="Wingdings" w:cs="Wingdings"/>
        </w:rPr>
        <w:t>à</w:t>
      </w:r>
      <w:r w:rsidRPr="008610B4">
        <w:t xml:space="preserve"> AE.OR.17 Agency Resourcing QA Report</w:t>
      </w:r>
    </w:p>
    <w:p w14:paraId="26D6B275" w14:textId="7E173076" w:rsidR="003C38E2" w:rsidRPr="00DD477A" w:rsidRDefault="003C38E2" w:rsidP="008610B4">
      <w:r w:rsidRPr="00DD477A">
        <w:t>For those tables that are not yet available in CBMS (i.e., Section 1), quality assurance and cross-checking data</w:t>
      </w:r>
      <w:r w:rsidR="009A1F81" w:rsidRPr="00DD477A">
        <w:t xml:space="preserve"> can be undertaken using </w:t>
      </w:r>
      <w:r w:rsidR="00993445" w:rsidRPr="00DD477A">
        <w:t xml:space="preserve">information sourced from </w:t>
      </w:r>
      <w:r w:rsidR="009A1F81" w:rsidRPr="00DD477A">
        <w:t xml:space="preserve">the </w:t>
      </w:r>
      <w:r w:rsidRPr="00DD477A">
        <w:t>following reports in CBMS.</w:t>
      </w:r>
    </w:p>
    <w:p w14:paraId="75B671C5" w14:textId="0D7800A7" w:rsidR="004B5238" w:rsidRPr="00DD477A" w:rsidRDefault="003C38E2" w:rsidP="003D6589">
      <w:pPr>
        <w:pStyle w:val="Heading3"/>
      </w:pPr>
      <w:bookmarkStart w:id="1591" w:name="_Toc227749082"/>
      <w:r w:rsidRPr="00DD477A">
        <w:t xml:space="preserve">Appropriation Bills 1 and 2 (for </w:t>
      </w:r>
      <w:r w:rsidR="0081371C">
        <w:t>2026</w:t>
      </w:r>
      <w:r w:rsidR="00C917CE">
        <w:t>–</w:t>
      </w:r>
      <w:r w:rsidR="0081371C">
        <w:t>27</w:t>
      </w:r>
      <w:r w:rsidRPr="00DD477A">
        <w:t>)</w:t>
      </w:r>
      <w:bookmarkEnd w:id="1591"/>
    </w:p>
    <w:p w14:paraId="4255A40D" w14:textId="3E7E9E02" w:rsidR="003C38E2" w:rsidRPr="008610B4" w:rsidRDefault="003C38E2" w:rsidP="001774BB">
      <w:pPr>
        <w:pStyle w:val="Reports1"/>
      </w:pPr>
      <w:r w:rsidRPr="008610B4">
        <w:t xml:space="preserve">All Reports </w:t>
      </w:r>
      <w:r w:rsidR="00BD36DA" w:rsidRPr="008610B4">
        <w:rPr>
          <w:rFonts w:ascii="Wingdings" w:eastAsia="Wingdings" w:hAnsi="Wingdings" w:cs="Wingdings"/>
        </w:rPr>
        <w:t>à</w:t>
      </w:r>
      <w:r w:rsidR="00BD36DA" w:rsidRPr="008610B4">
        <w:t xml:space="preserve"> </w:t>
      </w:r>
      <w:r w:rsidRPr="008610B4">
        <w:t xml:space="preserve">Statutory Reports </w:t>
      </w:r>
      <w:r w:rsidR="00BD36DA" w:rsidRPr="008610B4">
        <w:rPr>
          <w:rFonts w:ascii="Wingdings" w:eastAsia="Wingdings" w:hAnsi="Wingdings" w:cs="Wingdings"/>
        </w:rPr>
        <w:t>à</w:t>
      </w:r>
      <w:r w:rsidRPr="008610B4">
        <w:t xml:space="preserve"> Appropriation Bills </w:t>
      </w:r>
      <w:r w:rsidR="00BD36DA" w:rsidRPr="008610B4">
        <w:rPr>
          <w:rFonts w:ascii="Wingdings" w:eastAsia="Wingdings" w:hAnsi="Wingdings" w:cs="Wingdings"/>
        </w:rPr>
        <w:t>à</w:t>
      </w:r>
      <w:r w:rsidRPr="008610B4">
        <w:t xml:space="preserve"> Budget Bills </w:t>
      </w:r>
      <w:r w:rsidR="00BD36DA" w:rsidRPr="008610B4">
        <w:rPr>
          <w:rFonts w:ascii="Wingdings" w:eastAsia="Wingdings" w:hAnsi="Wingdings" w:cs="Wingdings"/>
        </w:rPr>
        <w:t>à</w:t>
      </w:r>
      <w:r w:rsidRPr="008610B4">
        <w:t xml:space="preserve"> Appropriation Bill 1 - Portfolio Summary and Detail</w:t>
      </w:r>
    </w:p>
    <w:p w14:paraId="6A835C70" w14:textId="38368367" w:rsidR="003C38E2" w:rsidRPr="008610B4" w:rsidRDefault="003C38E2" w:rsidP="001774BB">
      <w:pPr>
        <w:pStyle w:val="Reports1"/>
      </w:pPr>
      <w:r w:rsidRPr="008610B4">
        <w:t xml:space="preserve">All Reports </w:t>
      </w:r>
      <w:r w:rsidR="00BC3FB2" w:rsidRPr="008610B4">
        <w:t>v</w:t>
      </w:r>
      <w:r w:rsidRPr="008610B4">
        <w:t xml:space="preserve"> Statutory Reports </w:t>
      </w:r>
      <w:r w:rsidR="00BD36DA" w:rsidRPr="008610B4">
        <w:rPr>
          <w:rFonts w:ascii="Wingdings" w:eastAsia="Wingdings" w:hAnsi="Wingdings" w:cs="Wingdings"/>
        </w:rPr>
        <w:t>à</w:t>
      </w:r>
      <w:r w:rsidRPr="008610B4">
        <w:t xml:space="preserve"> Appropriation Bills </w:t>
      </w:r>
      <w:r w:rsidR="00BD36DA" w:rsidRPr="008610B4">
        <w:rPr>
          <w:rFonts w:ascii="Wingdings" w:eastAsia="Wingdings" w:hAnsi="Wingdings" w:cs="Wingdings"/>
        </w:rPr>
        <w:t>à</w:t>
      </w:r>
      <w:r w:rsidRPr="008610B4">
        <w:t xml:space="preserve"> Budget Bills </w:t>
      </w:r>
      <w:r w:rsidR="00BD36DA" w:rsidRPr="008610B4">
        <w:rPr>
          <w:rFonts w:ascii="Wingdings" w:eastAsia="Wingdings" w:hAnsi="Wingdings" w:cs="Wingdings"/>
        </w:rPr>
        <w:t>à</w:t>
      </w:r>
      <w:r w:rsidRPr="008610B4">
        <w:t xml:space="preserve"> Appropriation Bill 2 - Portfolio Summary and Detail.</w:t>
      </w:r>
    </w:p>
    <w:p w14:paraId="74783FDD" w14:textId="5971055B" w:rsidR="004B5238" w:rsidRPr="00DD477A" w:rsidRDefault="003C38E2" w:rsidP="003D6589">
      <w:pPr>
        <w:pStyle w:val="Heading3"/>
      </w:pPr>
      <w:bookmarkStart w:id="1592" w:name="_Toc227749083"/>
      <w:r w:rsidRPr="00DD477A">
        <w:t xml:space="preserve">Appropriation </w:t>
      </w:r>
      <w:r w:rsidR="003007E2">
        <w:t>Bills</w:t>
      </w:r>
      <w:r w:rsidRPr="00DD477A">
        <w:t xml:space="preserve"> 3 and 4 (for </w:t>
      </w:r>
      <w:r w:rsidR="0095585E">
        <w:t>2025</w:t>
      </w:r>
      <w:r w:rsidR="00C917CE">
        <w:t>–</w:t>
      </w:r>
      <w:r w:rsidR="0095585E">
        <w:t>26</w:t>
      </w:r>
      <w:r w:rsidRPr="00DD477A">
        <w:t>)</w:t>
      </w:r>
      <w:bookmarkEnd w:id="1592"/>
    </w:p>
    <w:p w14:paraId="1F94EDF4" w14:textId="323EB521" w:rsidR="003C38E2" w:rsidRPr="008610B4" w:rsidRDefault="003C38E2" w:rsidP="001774BB">
      <w:pPr>
        <w:pStyle w:val="Reports1"/>
      </w:pPr>
      <w:r w:rsidRPr="008610B4">
        <w:t xml:space="preserve">All Reports </w:t>
      </w:r>
      <w:r w:rsidR="00A7381C" w:rsidRPr="008610B4">
        <w:rPr>
          <w:rFonts w:ascii="Wingdings" w:eastAsia="Wingdings" w:hAnsi="Wingdings" w:cs="Wingdings"/>
        </w:rPr>
        <w:t>à</w:t>
      </w:r>
      <w:r w:rsidRPr="008610B4">
        <w:t xml:space="preserve"> Statutory Reports </w:t>
      </w:r>
      <w:r w:rsidR="00667C1F" w:rsidRPr="008610B4">
        <w:rPr>
          <w:rFonts w:ascii="Wingdings" w:eastAsia="Wingdings" w:hAnsi="Wingdings" w:cs="Wingdings"/>
        </w:rPr>
        <w:t>à</w:t>
      </w:r>
      <w:r w:rsidRPr="008610B4">
        <w:t xml:space="preserve"> Appropriation Bills </w:t>
      </w:r>
      <w:r w:rsidR="00667C1F" w:rsidRPr="008610B4">
        <w:rPr>
          <w:rFonts w:ascii="Wingdings" w:eastAsia="Wingdings" w:hAnsi="Wingdings" w:cs="Wingdings"/>
        </w:rPr>
        <w:t>à</w:t>
      </w:r>
      <w:r w:rsidRPr="008610B4">
        <w:t xml:space="preserve"> Additional Estimates Bills </w:t>
      </w:r>
      <w:r w:rsidR="00667C1F" w:rsidRPr="008610B4">
        <w:rPr>
          <w:rFonts w:ascii="Wingdings" w:eastAsia="Wingdings" w:hAnsi="Wingdings" w:cs="Wingdings"/>
        </w:rPr>
        <w:t>à</w:t>
      </w:r>
      <w:r w:rsidRPr="008610B4">
        <w:t xml:space="preserve"> Appropriation Bill 3 - Portfolio Summary and Detail</w:t>
      </w:r>
    </w:p>
    <w:p w14:paraId="2F796343" w14:textId="538500EB" w:rsidR="003C38E2" w:rsidRPr="008610B4" w:rsidRDefault="003C38E2" w:rsidP="001774BB">
      <w:pPr>
        <w:pStyle w:val="Reports1"/>
      </w:pPr>
      <w:r w:rsidRPr="008610B4">
        <w:t xml:space="preserve">All Reports </w:t>
      </w:r>
      <w:r w:rsidR="00667C1F" w:rsidRPr="008610B4">
        <w:rPr>
          <w:rFonts w:ascii="Wingdings" w:eastAsia="Wingdings" w:hAnsi="Wingdings" w:cs="Wingdings"/>
        </w:rPr>
        <w:t>à</w:t>
      </w:r>
      <w:r w:rsidRPr="008610B4">
        <w:t xml:space="preserve"> Statutory Reports </w:t>
      </w:r>
      <w:r w:rsidR="00667C1F" w:rsidRPr="008610B4">
        <w:rPr>
          <w:rFonts w:ascii="Wingdings" w:eastAsia="Wingdings" w:hAnsi="Wingdings" w:cs="Wingdings"/>
        </w:rPr>
        <w:t>à</w:t>
      </w:r>
      <w:r w:rsidRPr="008610B4">
        <w:t xml:space="preserve"> Appropriation Bills </w:t>
      </w:r>
      <w:r w:rsidR="00667C1F" w:rsidRPr="008610B4">
        <w:rPr>
          <w:rFonts w:ascii="Wingdings" w:eastAsia="Wingdings" w:hAnsi="Wingdings" w:cs="Wingdings"/>
        </w:rPr>
        <w:t>à</w:t>
      </w:r>
      <w:r w:rsidRPr="008610B4">
        <w:t xml:space="preserve"> Additional Estimates Bills </w:t>
      </w:r>
      <w:r w:rsidR="00667C1F" w:rsidRPr="008610B4">
        <w:rPr>
          <w:rFonts w:ascii="Wingdings" w:eastAsia="Wingdings" w:hAnsi="Wingdings" w:cs="Wingdings"/>
        </w:rPr>
        <w:t>à</w:t>
      </w:r>
      <w:r w:rsidRPr="008610B4">
        <w:t xml:space="preserve"> Appropriation Bill 4 - Portfolio Summary and Detail.</w:t>
      </w:r>
    </w:p>
    <w:p w14:paraId="3725665B" w14:textId="3081249E" w:rsidR="004B5238" w:rsidRPr="00E548A0" w:rsidRDefault="003C38E2" w:rsidP="003D6589">
      <w:pPr>
        <w:pStyle w:val="Heading3"/>
      </w:pPr>
      <w:bookmarkStart w:id="1593" w:name="_Toc227749084"/>
      <w:r w:rsidRPr="00E548A0">
        <w:t>Other reports</w:t>
      </w:r>
      <w:bookmarkEnd w:id="1593"/>
    </w:p>
    <w:p w14:paraId="70A1CF3E" w14:textId="4575FE86" w:rsidR="00A33783" w:rsidRPr="008610B4" w:rsidRDefault="00A33783" w:rsidP="001774BB">
      <w:pPr>
        <w:pStyle w:val="Reports1"/>
      </w:pPr>
      <w:r w:rsidRPr="008610B4">
        <w:t xml:space="preserve">All Reports </w:t>
      </w:r>
      <w:r w:rsidRPr="008610B4">
        <w:rPr>
          <w:rFonts w:ascii="Wingdings" w:eastAsia="Wingdings" w:hAnsi="Wingdings" w:cs="Wingdings"/>
        </w:rPr>
        <w:t>à</w:t>
      </w:r>
      <w:r w:rsidRPr="008610B4">
        <w:t xml:space="preserve"> Operational Reports </w:t>
      </w:r>
      <w:r w:rsidRPr="008610B4">
        <w:rPr>
          <w:rFonts w:ascii="Wingdings" w:eastAsia="Wingdings" w:hAnsi="Wingdings" w:cs="Wingdings"/>
        </w:rPr>
        <w:t>à</w:t>
      </w:r>
      <w:r w:rsidRPr="008610B4">
        <w:t xml:space="preserve"> Cash Management </w:t>
      </w:r>
      <w:r w:rsidRPr="008610B4">
        <w:rPr>
          <w:rFonts w:ascii="Wingdings" w:eastAsia="Wingdings" w:hAnsi="Wingdings" w:cs="Wingdings"/>
        </w:rPr>
        <w:t>à</w:t>
      </w:r>
      <w:r w:rsidRPr="008610B4">
        <w:t xml:space="preserve"> Cash Operational Reports </w:t>
      </w:r>
      <w:r w:rsidRPr="008610B4">
        <w:rPr>
          <w:rFonts w:ascii="Wingdings" w:eastAsia="Wingdings" w:hAnsi="Wingdings" w:cs="Wingdings"/>
        </w:rPr>
        <w:t>à</w:t>
      </w:r>
      <w:r w:rsidRPr="008610B4">
        <w:t xml:space="preserve"> </w:t>
      </w:r>
      <w:bookmarkStart w:id="1594" w:name="_Hlk185257756"/>
      <w:r w:rsidRPr="008610B4">
        <w:t>CM.OR.010 Appropriation Balances Report</w:t>
      </w:r>
      <w:bookmarkEnd w:id="1594"/>
    </w:p>
    <w:p w14:paraId="31C0E632" w14:textId="2977B4A1" w:rsidR="00E358C6" w:rsidRPr="008610B4" w:rsidRDefault="00E358C6" w:rsidP="001774BB">
      <w:pPr>
        <w:pStyle w:val="Reports1"/>
      </w:pPr>
      <w:r w:rsidRPr="008610B4">
        <w:t xml:space="preserve">All Reports </w:t>
      </w:r>
      <w:r w:rsidRPr="008610B4">
        <w:rPr>
          <w:rFonts w:ascii="Wingdings" w:eastAsia="Wingdings" w:hAnsi="Wingdings" w:cs="Wingdings"/>
        </w:rPr>
        <w:t>à</w:t>
      </w:r>
      <w:r w:rsidRPr="008610B4">
        <w:t xml:space="preserve"> Operational Reports </w:t>
      </w:r>
      <w:r w:rsidRPr="008610B4">
        <w:rPr>
          <w:rFonts w:ascii="Wingdings" w:eastAsia="Wingdings" w:hAnsi="Wingdings" w:cs="Wingdings"/>
        </w:rPr>
        <w:t>à</w:t>
      </w:r>
      <w:r w:rsidRPr="008610B4">
        <w:t xml:space="preserve"> Estimates </w:t>
      </w:r>
      <w:r w:rsidRPr="008610B4">
        <w:rPr>
          <w:rFonts w:ascii="Wingdings" w:eastAsia="Wingdings" w:hAnsi="Wingdings" w:cs="Wingdings"/>
        </w:rPr>
        <w:t>à</w:t>
      </w:r>
      <w:r w:rsidRPr="008610B4">
        <w:t xml:space="preserve"> Annual Estimates </w:t>
      </w:r>
      <w:r w:rsidRPr="008610B4">
        <w:rPr>
          <w:rFonts w:ascii="Wingdings" w:eastAsia="Wingdings" w:hAnsi="Wingdings" w:cs="Wingdings"/>
        </w:rPr>
        <w:t>à</w:t>
      </w:r>
      <w:r w:rsidRPr="008610B4">
        <w:t xml:space="preserve"> AE.OR.1</w:t>
      </w:r>
      <w:r>
        <w:t>1</w:t>
      </w:r>
      <w:r w:rsidRPr="008610B4">
        <w:t xml:space="preserve"> Annual Estimates </w:t>
      </w:r>
      <w:r w:rsidR="00FD0916">
        <w:t>Appropriations QA Report</w:t>
      </w:r>
    </w:p>
    <w:p w14:paraId="17CDBA77" w14:textId="762607CC" w:rsidR="003C38E2" w:rsidRPr="001774BB" w:rsidRDefault="003C38E2" w:rsidP="001774BB">
      <w:pPr>
        <w:pStyle w:val="Reports1"/>
      </w:pPr>
      <w:r w:rsidRPr="001774BB">
        <w:t xml:space="preserve">All Reports </w:t>
      </w:r>
      <w:r w:rsidR="00E8072B">
        <w:rPr>
          <w:rFonts w:ascii="Wingdings" w:eastAsia="Wingdings" w:hAnsi="Wingdings" w:cs="Wingdings"/>
        </w:rPr>
        <w:t>à</w:t>
      </w:r>
      <w:r w:rsidRPr="001774BB">
        <w:t xml:space="preserve"> Operational Reports </w:t>
      </w:r>
      <w:r w:rsidR="00E8072B">
        <w:rPr>
          <w:rFonts w:ascii="Wingdings" w:eastAsia="Wingdings" w:hAnsi="Wingdings" w:cs="Wingdings"/>
        </w:rPr>
        <w:t>à</w:t>
      </w:r>
      <w:r w:rsidRPr="001774BB">
        <w:t xml:space="preserve"> Estimates </w:t>
      </w:r>
      <w:r w:rsidR="00E8072B">
        <w:rPr>
          <w:rFonts w:ascii="Wingdings" w:eastAsia="Wingdings" w:hAnsi="Wingdings" w:cs="Wingdings"/>
        </w:rPr>
        <w:t>à</w:t>
      </w:r>
      <w:r w:rsidRPr="001774BB">
        <w:t xml:space="preserve"> Annual Estimates </w:t>
      </w:r>
      <w:r w:rsidR="00E8072B">
        <w:rPr>
          <w:rFonts w:ascii="Wingdings" w:eastAsia="Wingdings" w:hAnsi="Wingdings" w:cs="Wingdings"/>
        </w:rPr>
        <w:t>à</w:t>
      </w:r>
      <w:r w:rsidRPr="001774BB">
        <w:t xml:space="preserve"> AE.OR.13 Annual Estimates Detail Listing AEIFRS Report (PBF)</w:t>
      </w:r>
    </w:p>
    <w:p w14:paraId="4A772DD0" w14:textId="15A6A24C" w:rsidR="003C38E2" w:rsidRPr="001774BB" w:rsidRDefault="003C38E2" w:rsidP="001774BB">
      <w:pPr>
        <w:pStyle w:val="Reports1"/>
      </w:pPr>
      <w:r w:rsidRPr="001774BB">
        <w:t xml:space="preserve">All Reports </w:t>
      </w:r>
      <w:r w:rsidR="00E8072B">
        <w:rPr>
          <w:rFonts w:ascii="Wingdings" w:eastAsia="Wingdings" w:hAnsi="Wingdings" w:cs="Wingdings"/>
        </w:rPr>
        <w:t>à</w:t>
      </w:r>
      <w:r w:rsidRPr="001774BB">
        <w:t xml:space="preserve"> Operational Reports </w:t>
      </w:r>
      <w:r w:rsidR="00E8072B">
        <w:rPr>
          <w:rFonts w:ascii="Wingdings" w:eastAsia="Wingdings" w:hAnsi="Wingdings" w:cs="Wingdings"/>
        </w:rPr>
        <w:t>à</w:t>
      </w:r>
      <w:r w:rsidRPr="001774BB">
        <w:t xml:space="preserve"> Estimates </w:t>
      </w:r>
      <w:r w:rsidR="00E8072B">
        <w:rPr>
          <w:rFonts w:ascii="Wingdings" w:eastAsia="Wingdings" w:hAnsi="Wingdings" w:cs="Wingdings"/>
        </w:rPr>
        <w:t>à</w:t>
      </w:r>
      <w:r w:rsidRPr="001774BB">
        <w:t xml:space="preserve"> Annual Estimates </w:t>
      </w:r>
      <w:r w:rsidR="00E8072B">
        <w:rPr>
          <w:rFonts w:ascii="Wingdings" w:eastAsia="Wingdings" w:hAnsi="Wingdings" w:cs="Wingdings"/>
        </w:rPr>
        <w:t>à</w:t>
      </w:r>
      <w:r w:rsidRPr="001774BB">
        <w:t xml:space="preserve"> AE.OR.06 Annual Estimates Capital Budget Statement Report</w:t>
      </w:r>
    </w:p>
    <w:p w14:paraId="542507E9" w14:textId="68F6D363" w:rsidR="00E1794A" w:rsidRPr="001774BB" w:rsidRDefault="003C38E2" w:rsidP="001774BB">
      <w:pPr>
        <w:pStyle w:val="Reports1"/>
      </w:pPr>
      <w:r w:rsidRPr="001774BB">
        <w:t xml:space="preserve">All Reports </w:t>
      </w:r>
      <w:r w:rsidR="00E8072B">
        <w:rPr>
          <w:rFonts w:ascii="Wingdings" w:eastAsia="Wingdings" w:hAnsi="Wingdings" w:cs="Wingdings"/>
        </w:rPr>
        <w:t>à</w:t>
      </w:r>
      <w:r w:rsidRPr="001774BB">
        <w:t xml:space="preserve"> Operational Reports </w:t>
      </w:r>
      <w:r w:rsidR="00E8072B">
        <w:rPr>
          <w:rFonts w:ascii="Wingdings" w:eastAsia="Wingdings" w:hAnsi="Wingdings" w:cs="Wingdings"/>
        </w:rPr>
        <w:t>à</w:t>
      </w:r>
      <w:r w:rsidRPr="001774BB">
        <w:t xml:space="preserve"> Estimates </w:t>
      </w:r>
      <w:r w:rsidR="00E8072B">
        <w:rPr>
          <w:rFonts w:ascii="Wingdings" w:eastAsia="Wingdings" w:hAnsi="Wingdings" w:cs="Wingdings"/>
        </w:rPr>
        <w:t>à</w:t>
      </w:r>
      <w:r w:rsidRPr="001774BB">
        <w:t xml:space="preserve"> Annual Estimates </w:t>
      </w:r>
      <w:bookmarkStart w:id="1595" w:name="_Hlk185257443"/>
      <w:r w:rsidR="00E8072B">
        <w:rPr>
          <w:rFonts w:ascii="Wingdings" w:eastAsia="Wingdings" w:hAnsi="Wingdings" w:cs="Wingdings"/>
        </w:rPr>
        <w:t>à</w:t>
      </w:r>
      <w:r w:rsidRPr="001774BB">
        <w:t xml:space="preserve"> AE.OR.10 Appropriation Bill - Actual Available Appropriations (AAA) Report</w:t>
      </w:r>
      <w:bookmarkEnd w:id="1595"/>
    </w:p>
    <w:p w14:paraId="1CAD7EB6" w14:textId="7D718EA5" w:rsidR="00AC1708" w:rsidRPr="0014243A" w:rsidRDefault="00AC1708" w:rsidP="0014243A">
      <w:pPr>
        <w:pStyle w:val="CBMSReportParamater"/>
        <w:ind w:left="425"/>
      </w:pPr>
      <w:r w:rsidRPr="00BC440D">
        <w:t>For the report</w:t>
      </w:r>
      <w:r w:rsidR="008D236D" w:rsidRPr="00BC440D">
        <w:t>’</w:t>
      </w:r>
      <w:r w:rsidRPr="00BC440D">
        <w:t>s budget year parameter</w:t>
      </w:r>
      <w:r w:rsidR="00DE1DA8" w:rsidRPr="00BC440D">
        <w:t>,</w:t>
      </w:r>
      <w:r w:rsidRPr="00BC440D">
        <w:t xml:space="preserve"> select the </w:t>
      </w:r>
      <w:r w:rsidRPr="0014243A">
        <w:t>current year</w:t>
      </w:r>
      <w:r w:rsidRPr="00BC440D">
        <w:t xml:space="preserve"> </w:t>
      </w:r>
      <w:r w:rsidR="00C33236" w:rsidRPr="00BC440D">
        <w:t>(</w:t>
      </w:r>
      <w:r w:rsidR="0095585E" w:rsidRPr="00BC440D">
        <w:t>2025</w:t>
      </w:r>
      <w:r w:rsidR="00C917CE" w:rsidRPr="00BC440D">
        <w:t>–</w:t>
      </w:r>
      <w:r w:rsidR="0095585E" w:rsidRPr="00BC440D">
        <w:t>26</w:t>
      </w:r>
      <w:r w:rsidR="00C33236" w:rsidRPr="00BC440D">
        <w:t xml:space="preserve">) </w:t>
      </w:r>
      <w:r w:rsidRPr="00BC440D">
        <w:t xml:space="preserve">to </w:t>
      </w:r>
      <w:r w:rsidR="008D236D" w:rsidRPr="00BC440D">
        <w:t>derive</w:t>
      </w:r>
      <w:r w:rsidRPr="00BC440D">
        <w:t xml:space="preserve"> the ‘AAA’ figure.</w:t>
      </w:r>
    </w:p>
    <w:p w14:paraId="59256272" w14:textId="087A49A1" w:rsidR="003C38E2" w:rsidRPr="00DD477A" w:rsidRDefault="00AC1708" w:rsidP="00A85E0D">
      <w:pPr>
        <w:pStyle w:val="Boxed2Text"/>
        <w:rPr>
          <w:i/>
        </w:rPr>
      </w:pPr>
      <w:r w:rsidRPr="00DD477A">
        <w:t>The</w:t>
      </w:r>
      <w:r w:rsidR="00E1794A" w:rsidRPr="00DD477A">
        <w:t xml:space="preserve"> </w:t>
      </w:r>
      <w:r w:rsidR="006364D5" w:rsidRPr="00DD477A">
        <w:t>AAA amount is</w:t>
      </w:r>
      <w:r w:rsidR="00C15012">
        <w:t xml:space="preserve"> a</w:t>
      </w:r>
      <w:r w:rsidR="006364D5" w:rsidRPr="00DD477A">
        <w:t xml:space="preserve"> live figure which means it will change from day to</w:t>
      </w:r>
      <w:r w:rsidR="002542FB">
        <w:t xml:space="preserve"> </w:t>
      </w:r>
      <w:r w:rsidR="006364D5" w:rsidRPr="00DD477A">
        <w:t>day</w:t>
      </w:r>
      <w:r w:rsidR="00FC0133">
        <w:t>. I</w:t>
      </w:r>
      <w:r w:rsidR="0069585B">
        <w:t xml:space="preserve">t totals all appropriations made available to the entity for </w:t>
      </w:r>
      <w:r w:rsidR="0095585E">
        <w:t>2025</w:t>
      </w:r>
      <w:r w:rsidR="00C917CE">
        <w:t>–</w:t>
      </w:r>
      <w:r w:rsidR="0095585E">
        <w:t>26</w:t>
      </w:r>
      <w:r w:rsidR="00722766">
        <w:t>, plus</w:t>
      </w:r>
      <w:r w:rsidR="006364D5" w:rsidRPr="00DD477A">
        <w:t xml:space="preserve"> </w:t>
      </w:r>
      <w:r w:rsidR="0053621C">
        <w:t xml:space="preserve">any AFMs, </w:t>
      </w:r>
      <w:r w:rsidR="00DE2A6B">
        <w:t xml:space="preserve">and any adjustments </w:t>
      </w:r>
      <w:r w:rsidR="00950469">
        <w:t>from</w:t>
      </w:r>
      <w:r w:rsidR="00DE2A6B">
        <w:t xml:space="preserve"> section </w:t>
      </w:r>
      <w:r w:rsidR="00A71D77">
        <w:t>51 withholdings, administrative quarantines</w:t>
      </w:r>
      <w:r w:rsidR="0053621C">
        <w:t xml:space="preserve"> and</w:t>
      </w:r>
      <w:r w:rsidR="00A71D77">
        <w:t xml:space="preserve"> </w:t>
      </w:r>
      <w:r w:rsidR="004D6C6C">
        <w:t>section 75 transfers</w:t>
      </w:r>
      <w:r w:rsidR="00950469">
        <w:t xml:space="preserve">. </w:t>
      </w:r>
    </w:p>
    <w:p w14:paraId="3BE7EF16" w14:textId="1EEF3CAC" w:rsidR="005077A4" w:rsidRPr="00DD477A" w:rsidRDefault="00C36058" w:rsidP="003D6589">
      <w:pPr>
        <w:pStyle w:val="Heading3"/>
      </w:pPr>
      <w:bookmarkStart w:id="1596" w:name="_Toc227749085"/>
      <w:r w:rsidRPr="00DD477A">
        <w:t>Prior year annual appropriation balances</w:t>
      </w:r>
      <w:bookmarkEnd w:id="1596"/>
    </w:p>
    <w:p w14:paraId="32A99427" w14:textId="72F04B86" w:rsidR="00E73C37" w:rsidRPr="008610B4" w:rsidRDefault="00D55A04" w:rsidP="001774BB">
      <w:pPr>
        <w:pStyle w:val="Reports1"/>
      </w:pPr>
      <w:r w:rsidRPr="008610B4">
        <w:t xml:space="preserve">All </w:t>
      </w:r>
      <w:r w:rsidR="00E73C37" w:rsidRPr="008610B4">
        <w:t xml:space="preserve">Reports </w:t>
      </w:r>
      <w:r w:rsidR="00E0406C" w:rsidRPr="008610B4">
        <w:rPr>
          <w:rFonts w:ascii="Wingdings" w:eastAsia="Wingdings" w:hAnsi="Wingdings" w:cs="Wingdings"/>
        </w:rPr>
        <w:t>à</w:t>
      </w:r>
      <w:r w:rsidR="00E73C37" w:rsidRPr="008610B4">
        <w:t xml:space="preserve"> CBMS Reporting </w:t>
      </w:r>
      <w:r w:rsidR="00E0406C" w:rsidRPr="008610B4">
        <w:rPr>
          <w:rFonts w:ascii="Wingdings" w:eastAsia="Wingdings" w:hAnsi="Wingdings" w:cs="Wingdings"/>
        </w:rPr>
        <w:t>à</w:t>
      </w:r>
      <w:r w:rsidR="00E73C37" w:rsidRPr="008610B4">
        <w:t xml:space="preserve"> Operational Reports </w:t>
      </w:r>
      <w:r w:rsidR="00E0406C" w:rsidRPr="008610B4">
        <w:rPr>
          <w:rFonts w:ascii="Wingdings" w:eastAsia="Wingdings" w:hAnsi="Wingdings" w:cs="Wingdings"/>
        </w:rPr>
        <w:t>à</w:t>
      </w:r>
      <w:r w:rsidR="00E73C37" w:rsidRPr="008610B4">
        <w:t xml:space="preserve"> Cash Management </w:t>
      </w:r>
      <w:r w:rsidR="00E0406C" w:rsidRPr="008610B4">
        <w:rPr>
          <w:rFonts w:ascii="Wingdings" w:eastAsia="Wingdings" w:hAnsi="Wingdings" w:cs="Wingdings"/>
        </w:rPr>
        <w:t>à</w:t>
      </w:r>
      <w:r w:rsidR="00E73C37" w:rsidRPr="008610B4">
        <w:t xml:space="preserve"> Cash Operational Reports </w:t>
      </w:r>
      <w:r w:rsidR="00E0406C" w:rsidRPr="008610B4">
        <w:rPr>
          <w:rFonts w:ascii="Wingdings" w:eastAsia="Wingdings" w:hAnsi="Wingdings" w:cs="Wingdings"/>
        </w:rPr>
        <w:t>à</w:t>
      </w:r>
      <w:r w:rsidR="00E73C37" w:rsidRPr="008610B4">
        <w:t xml:space="preserve"> CM.OR.010 Appropriation Balances Report.</w:t>
      </w:r>
    </w:p>
    <w:p w14:paraId="64DDB959" w14:textId="5B38408E" w:rsidR="004B5238" w:rsidRPr="00751C33" w:rsidRDefault="00442B62" w:rsidP="003D6589">
      <w:pPr>
        <w:pStyle w:val="Heading3"/>
      </w:pPr>
      <w:bookmarkStart w:id="1597" w:name="_Toc227749086"/>
      <w:r w:rsidRPr="00751C33">
        <w:t>Section 74 Receipts Reports</w:t>
      </w:r>
      <w:bookmarkEnd w:id="1597"/>
    </w:p>
    <w:p w14:paraId="4421F908" w14:textId="6166C781" w:rsidR="00297159" w:rsidRPr="008610B4" w:rsidRDefault="00297159" w:rsidP="001774BB">
      <w:pPr>
        <w:pStyle w:val="Reports1"/>
      </w:pPr>
      <w:r w:rsidRPr="008610B4">
        <w:t xml:space="preserve">All Reports </w:t>
      </w:r>
      <w:r w:rsidR="00667C1F" w:rsidRPr="008610B4">
        <w:rPr>
          <w:rFonts w:ascii="Wingdings" w:eastAsia="Wingdings" w:hAnsi="Wingdings" w:cs="Wingdings"/>
        </w:rPr>
        <w:t>à</w:t>
      </w:r>
      <w:r w:rsidRPr="008610B4">
        <w:t xml:space="preserve"> Statutory Reports </w:t>
      </w:r>
      <w:r w:rsidR="00667C1F" w:rsidRPr="008610B4">
        <w:rPr>
          <w:rFonts w:ascii="Wingdings" w:eastAsia="Wingdings" w:hAnsi="Wingdings" w:cs="Wingdings"/>
        </w:rPr>
        <w:t>à</w:t>
      </w:r>
      <w:r w:rsidRPr="008610B4">
        <w:t xml:space="preserve"> Budget Paper 4 </w:t>
      </w:r>
      <w:r w:rsidR="00667C1F" w:rsidRPr="008610B4">
        <w:rPr>
          <w:rFonts w:ascii="Wingdings" w:eastAsia="Wingdings" w:hAnsi="Wingdings" w:cs="Wingdings"/>
        </w:rPr>
        <w:t>à</w:t>
      </w:r>
      <w:r w:rsidRPr="008610B4">
        <w:t xml:space="preserve"> B4.T1 Agency resourcing table</w:t>
      </w:r>
    </w:p>
    <w:p w14:paraId="665B79CD" w14:textId="631B5572" w:rsidR="00297159" w:rsidRPr="008610B4" w:rsidRDefault="00297159" w:rsidP="001774BB">
      <w:pPr>
        <w:pStyle w:val="Reports1"/>
      </w:pPr>
      <w:r w:rsidRPr="008610B4">
        <w:t xml:space="preserve">All Reports </w:t>
      </w:r>
      <w:r w:rsidR="00667C1F" w:rsidRPr="008610B4">
        <w:rPr>
          <w:rFonts w:ascii="Wingdings" w:eastAsia="Wingdings" w:hAnsi="Wingdings" w:cs="Wingdings"/>
        </w:rPr>
        <w:t>à</w:t>
      </w:r>
      <w:r w:rsidRPr="008610B4">
        <w:t xml:space="preserve"> Operational Reports </w:t>
      </w:r>
      <w:r w:rsidR="00667C1F" w:rsidRPr="008610B4">
        <w:rPr>
          <w:rFonts w:ascii="Wingdings" w:eastAsia="Wingdings" w:hAnsi="Wingdings" w:cs="Wingdings"/>
        </w:rPr>
        <w:t>à</w:t>
      </w:r>
      <w:r w:rsidRPr="008610B4">
        <w:t xml:space="preserve"> Estimates </w:t>
      </w:r>
      <w:r w:rsidR="00667C1F" w:rsidRPr="008610B4">
        <w:rPr>
          <w:rFonts w:ascii="Wingdings" w:eastAsia="Wingdings" w:hAnsi="Wingdings" w:cs="Wingdings"/>
        </w:rPr>
        <w:t>à</w:t>
      </w:r>
      <w:r w:rsidRPr="008610B4">
        <w:t xml:space="preserve"> Annual Estimates </w:t>
      </w:r>
      <w:r w:rsidR="00667C1F" w:rsidRPr="008610B4">
        <w:rPr>
          <w:rFonts w:ascii="Wingdings" w:eastAsia="Wingdings" w:hAnsi="Wingdings" w:cs="Wingdings"/>
        </w:rPr>
        <w:t>à</w:t>
      </w:r>
      <w:r w:rsidRPr="008610B4">
        <w:t xml:space="preserve"> AE.OR.16 Annual Estimates</w:t>
      </w:r>
      <w:r w:rsidR="0022713C" w:rsidRPr="008610B4">
        <w:t xml:space="preserve"> </w:t>
      </w:r>
      <w:r w:rsidRPr="008610B4">
        <w:t>Appropriation by Outcome/Program Report</w:t>
      </w:r>
    </w:p>
    <w:p w14:paraId="5887D696" w14:textId="2AA9E995" w:rsidR="004B5238" w:rsidRPr="00751C33" w:rsidRDefault="00536D59" w:rsidP="003D6589">
      <w:pPr>
        <w:pStyle w:val="Heading3"/>
      </w:pPr>
      <w:bookmarkStart w:id="1598" w:name="_Toc227749087"/>
      <w:r w:rsidRPr="00751C33">
        <w:t>Departmental / administered capital budget</w:t>
      </w:r>
      <w:bookmarkEnd w:id="1598"/>
    </w:p>
    <w:p w14:paraId="42ACA13D" w14:textId="3463B806" w:rsidR="0024564D" w:rsidRPr="008610B4" w:rsidRDefault="003E3EA5" w:rsidP="001774BB">
      <w:pPr>
        <w:pStyle w:val="Reports1"/>
      </w:pPr>
      <w:r w:rsidRPr="008610B4">
        <w:t xml:space="preserve">All Reports </w:t>
      </w:r>
      <w:r w:rsidR="006734C2">
        <w:rPr>
          <w:rFonts w:ascii="Wingdings" w:eastAsia="Wingdings" w:hAnsi="Wingdings" w:cs="Wingdings"/>
        </w:rPr>
        <w:t>à</w:t>
      </w:r>
      <w:r w:rsidRPr="008610B4">
        <w:t xml:space="preserve">Operational Reports </w:t>
      </w:r>
      <w:r w:rsidR="006734C2">
        <w:rPr>
          <w:rFonts w:ascii="Wingdings" w:eastAsia="Wingdings" w:hAnsi="Wingdings" w:cs="Wingdings"/>
        </w:rPr>
        <w:t>à</w:t>
      </w:r>
      <w:r w:rsidRPr="008610B4">
        <w:t xml:space="preserve"> Estimates </w:t>
      </w:r>
      <w:r w:rsidR="006734C2">
        <w:rPr>
          <w:rFonts w:ascii="Wingdings" w:eastAsia="Wingdings" w:hAnsi="Wingdings" w:cs="Wingdings"/>
        </w:rPr>
        <w:t>à</w:t>
      </w:r>
      <w:r w:rsidRPr="008610B4">
        <w:t xml:space="preserve"> Annual Estimates </w:t>
      </w:r>
      <w:r w:rsidR="006734C2">
        <w:rPr>
          <w:rFonts w:ascii="Wingdings" w:eastAsia="Wingdings" w:hAnsi="Wingdings" w:cs="Wingdings"/>
        </w:rPr>
        <w:t>à</w:t>
      </w:r>
      <w:r w:rsidRPr="008610B4">
        <w:t xml:space="preserve"> AE.OR.06 Annual Estimates Capital Budget Statement Report</w:t>
      </w:r>
    </w:p>
    <w:p w14:paraId="50E024F2" w14:textId="6BED4226" w:rsidR="004B5238" w:rsidRPr="00DD477A" w:rsidRDefault="0024564D" w:rsidP="003D6589">
      <w:pPr>
        <w:pStyle w:val="Heading3"/>
      </w:pPr>
      <w:bookmarkStart w:id="1599" w:name="_Toc227749088"/>
      <w:bookmarkStart w:id="1600" w:name="_Hlk185257342"/>
      <w:r w:rsidRPr="00DD477A">
        <w:t>Annual Appropriations – other services</w:t>
      </w:r>
      <w:bookmarkEnd w:id="1599"/>
    </w:p>
    <w:bookmarkEnd w:id="1600"/>
    <w:p w14:paraId="6FE57B8C" w14:textId="1E0D5CFA" w:rsidR="000640D8" w:rsidRPr="008610B4" w:rsidRDefault="000640D8" w:rsidP="001774BB">
      <w:pPr>
        <w:pStyle w:val="Reports1"/>
      </w:pPr>
      <w:r w:rsidRPr="008610B4">
        <w:t xml:space="preserve">All Reports </w:t>
      </w:r>
      <w:r w:rsidR="008610B4">
        <w:rPr>
          <w:rFonts w:ascii="Wingdings" w:eastAsia="Wingdings" w:hAnsi="Wingdings" w:cs="Wingdings"/>
        </w:rPr>
        <w:t>à</w:t>
      </w:r>
      <w:r w:rsidRPr="008610B4">
        <w:t xml:space="preserve"> Statutory Reports </w:t>
      </w:r>
      <w:r w:rsidR="008610B4">
        <w:rPr>
          <w:rFonts w:ascii="Wingdings" w:eastAsia="Wingdings" w:hAnsi="Wingdings" w:cs="Wingdings"/>
        </w:rPr>
        <w:t>à</w:t>
      </w:r>
      <w:r w:rsidRPr="008610B4">
        <w:t xml:space="preserve"> Appropriation Bills </w:t>
      </w:r>
      <w:r w:rsidR="008610B4">
        <w:rPr>
          <w:rFonts w:ascii="Wingdings" w:eastAsia="Wingdings" w:hAnsi="Wingdings" w:cs="Wingdings"/>
        </w:rPr>
        <w:t>à</w:t>
      </w:r>
      <w:r w:rsidRPr="008610B4">
        <w:t xml:space="preserve"> Budget Bills </w:t>
      </w:r>
      <w:r w:rsidR="008610B4" w:rsidRPr="00502725">
        <w:rPr>
          <w:rFonts w:ascii="Wingdings" w:eastAsia="Wingdings" w:hAnsi="Wingdings" w:cs="Wingdings"/>
        </w:rPr>
        <w:t>à</w:t>
      </w:r>
      <w:r w:rsidRPr="008610B4">
        <w:t xml:space="preserve"> Appropriation Bill 2 – Portfolio Summary and Detail</w:t>
      </w:r>
    </w:p>
    <w:p w14:paraId="1C149E1E" w14:textId="4012A331" w:rsidR="000640D8" w:rsidRPr="008610B4" w:rsidRDefault="000640D8" w:rsidP="001774BB">
      <w:pPr>
        <w:pStyle w:val="Reports1"/>
      </w:pPr>
      <w:r w:rsidRPr="008610B4">
        <w:t xml:space="preserve">All Reports </w:t>
      </w:r>
      <w:r w:rsidR="008610B4" w:rsidRPr="00502725">
        <w:rPr>
          <w:rFonts w:ascii="Wingdings" w:eastAsia="Wingdings" w:hAnsi="Wingdings" w:cs="Wingdings"/>
        </w:rPr>
        <w:t>à</w:t>
      </w:r>
      <w:r w:rsidRPr="008610B4">
        <w:t xml:space="preserve"> Operational Reports </w:t>
      </w:r>
      <w:r w:rsidR="008610B4" w:rsidRPr="00502725">
        <w:rPr>
          <w:rFonts w:ascii="Wingdings" w:eastAsia="Wingdings" w:hAnsi="Wingdings" w:cs="Wingdings"/>
        </w:rPr>
        <w:t>à</w:t>
      </w:r>
      <w:r w:rsidRPr="008610B4">
        <w:t xml:space="preserve"> Estimates </w:t>
      </w:r>
      <w:r w:rsidR="008610B4" w:rsidRPr="00502725">
        <w:rPr>
          <w:rFonts w:ascii="Wingdings" w:eastAsia="Wingdings" w:hAnsi="Wingdings" w:cs="Wingdings"/>
        </w:rPr>
        <w:t>à</w:t>
      </w:r>
      <w:r w:rsidRPr="008610B4">
        <w:t xml:space="preserve"> Annual Estimates </w:t>
      </w:r>
      <w:r w:rsidR="008610B4" w:rsidRPr="00502725">
        <w:rPr>
          <w:rFonts w:ascii="Wingdings" w:eastAsia="Wingdings" w:hAnsi="Wingdings" w:cs="Wingdings"/>
        </w:rPr>
        <w:t>à</w:t>
      </w:r>
      <w:r w:rsidRPr="008610B4">
        <w:t xml:space="preserve"> AE.OR.10 Appropriation Bill – Actual Available Appropriations (AAA) Report</w:t>
      </w:r>
    </w:p>
    <w:p w14:paraId="5BD384D2" w14:textId="2A97D3E7" w:rsidR="0024564D" w:rsidRPr="008610B4" w:rsidRDefault="000640D8" w:rsidP="001774BB">
      <w:pPr>
        <w:pStyle w:val="Reports1"/>
      </w:pPr>
      <w:r w:rsidRPr="008610B4">
        <w:t xml:space="preserve">All Reports </w:t>
      </w:r>
      <w:r w:rsidR="008610B4" w:rsidRPr="00502725">
        <w:rPr>
          <w:rFonts w:ascii="Wingdings" w:eastAsia="Wingdings" w:hAnsi="Wingdings" w:cs="Wingdings"/>
        </w:rPr>
        <w:t>à</w:t>
      </w:r>
      <w:r w:rsidRPr="008610B4">
        <w:t xml:space="preserve"> Operational Reports </w:t>
      </w:r>
      <w:r w:rsidR="008610B4" w:rsidRPr="00502725">
        <w:rPr>
          <w:rFonts w:ascii="Wingdings" w:eastAsia="Wingdings" w:hAnsi="Wingdings" w:cs="Wingdings"/>
        </w:rPr>
        <w:t>à</w:t>
      </w:r>
      <w:r w:rsidRPr="008610B4">
        <w:t xml:space="preserve"> Estimates </w:t>
      </w:r>
      <w:r w:rsidR="008610B4" w:rsidRPr="00502725">
        <w:rPr>
          <w:rFonts w:ascii="Wingdings" w:eastAsia="Wingdings" w:hAnsi="Wingdings" w:cs="Wingdings"/>
        </w:rPr>
        <w:t>à</w:t>
      </w:r>
      <w:r w:rsidRPr="008610B4">
        <w:t xml:space="preserve"> Annual Estimates </w:t>
      </w:r>
      <w:r w:rsidR="008610B4" w:rsidRPr="00502725">
        <w:rPr>
          <w:rFonts w:ascii="Wingdings" w:eastAsia="Wingdings" w:hAnsi="Wingdings" w:cs="Wingdings"/>
        </w:rPr>
        <w:t>à</w:t>
      </w:r>
      <w:r w:rsidRPr="008610B4">
        <w:t xml:space="preserve"> AE.OR.11 Annual Estimates Appropriations QA Report.</w:t>
      </w:r>
    </w:p>
    <w:p w14:paraId="107E857B" w14:textId="0239B6BC" w:rsidR="00965806" w:rsidRPr="00751C33" w:rsidRDefault="00042946" w:rsidP="003D6589">
      <w:pPr>
        <w:pStyle w:val="Heading3"/>
      </w:pPr>
      <w:bookmarkStart w:id="1601" w:name="_Toc227749089"/>
      <w:r w:rsidRPr="00751C33">
        <w:t xml:space="preserve">Payments </w:t>
      </w:r>
      <w:r w:rsidR="004B4136" w:rsidRPr="00751C33">
        <w:t>to corporate entities</w:t>
      </w:r>
      <w:bookmarkEnd w:id="1601"/>
    </w:p>
    <w:p w14:paraId="05D7C9CD" w14:textId="4EC78FBC" w:rsidR="00AC2CFE" w:rsidRPr="008610B4" w:rsidRDefault="005077A4" w:rsidP="001774BB">
      <w:pPr>
        <w:pStyle w:val="Reports1"/>
      </w:pPr>
      <w:r w:rsidRPr="008610B4">
        <w:t xml:space="preserve">All Reports </w:t>
      </w:r>
      <w:r w:rsidR="008610B4" w:rsidRPr="00502725">
        <w:rPr>
          <w:rFonts w:ascii="Wingdings" w:eastAsia="Wingdings" w:hAnsi="Wingdings" w:cs="Wingdings"/>
        </w:rPr>
        <w:t>à</w:t>
      </w:r>
      <w:r w:rsidRPr="008610B4">
        <w:t xml:space="preserve"> Statutory Reports </w:t>
      </w:r>
      <w:r w:rsidR="008610B4" w:rsidRPr="00502725">
        <w:rPr>
          <w:rFonts w:ascii="Wingdings" w:eastAsia="Wingdings" w:hAnsi="Wingdings" w:cs="Wingdings"/>
        </w:rPr>
        <w:t>à</w:t>
      </w:r>
      <w:r w:rsidRPr="008610B4">
        <w:t xml:space="preserve"> Appropriation Bills </w:t>
      </w:r>
      <w:r w:rsidR="008610B4" w:rsidRPr="00502725">
        <w:rPr>
          <w:rFonts w:ascii="Wingdings" w:eastAsia="Wingdings" w:hAnsi="Wingdings" w:cs="Wingdings"/>
        </w:rPr>
        <w:t>à</w:t>
      </w:r>
      <w:r w:rsidRPr="008610B4">
        <w:t xml:space="preserve"> Budget Bills </w:t>
      </w:r>
      <w:r w:rsidR="008610B4" w:rsidRPr="00502725">
        <w:rPr>
          <w:rFonts w:ascii="Wingdings" w:eastAsia="Wingdings" w:hAnsi="Wingdings" w:cs="Wingdings"/>
        </w:rPr>
        <w:t>à</w:t>
      </w:r>
      <w:r w:rsidRPr="008610B4">
        <w:t xml:space="preserve"> Appropriation Bill x – Portfolio Summary and Detail</w:t>
      </w:r>
    </w:p>
    <w:p w14:paraId="3D094242" w14:textId="70978BBA" w:rsidR="00585578" w:rsidRPr="00585578" w:rsidRDefault="004B4136" w:rsidP="003D6589">
      <w:pPr>
        <w:pStyle w:val="Heading3"/>
      </w:pPr>
      <w:bookmarkStart w:id="1602" w:name="_Toc227749090"/>
      <w:r w:rsidRPr="00751C33">
        <w:t>Special Appropriations</w:t>
      </w:r>
      <w:bookmarkEnd w:id="1602"/>
    </w:p>
    <w:p w14:paraId="02F921BB" w14:textId="3A32B6D9" w:rsidR="004B4136" w:rsidRPr="008610B4" w:rsidRDefault="004B4136" w:rsidP="001774BB">
      <w:pPr>
        <w:pStyle w:val="Reports1"/>
      </w:pPr>
      <w:r w:rsidRPr="008610B4">
        <w:t xml:space="preserve">All Reports </w:t>
      </w:r>
      <w:r w:rsidR="008610B4" w:rsidRPr="00502725">
        <w:rPr>
          <w:rFonts w:ascii="Wingdings" w:eastAsia="Wingdings" w:hAnsi="Wingdings" w:cs="Wingdings"/>
        </w:rPr>
        <w:t>à</w:t>
      </w:r>
      <w:r w:rsidRPr="008610B4">
        <w:t xml:space="preserve"> Operational Reports </w:t>
      </w:r>
      <w:r w:rsidR="008610B4" w:rsidRPr="00502725">
        <w:rPr>
          <w:rFonts w:ascii="Wingdings" w:eastAsia="Wingdings" w:hAnsi="Wingdings" w:cs="Wingdings"/>
        </w:rPr>
        <w:t>à</w:t>
      </w:r>
      <w:r w:rsidRPr="008610B4">
        <w:t xml:space="preserve"> Estimates </w:t>
      </w:r>
      <w:r w:rsidR="008610B4" w:rsidRPr="00502725">
        <w:rPr>
          <w:rFonts w:ascii="Wingdings" w:eastAsia="Wingdings" w:hAnsi="Wingdings" w:cs="Wingdings"/>
        </w:rPr>
        <w:t>à</w:t>
      </w:r>
      <w:r w:rsidRPr="008610B4">
        <w:t xml:space="preserve"> Annual Estimates </w:t>
      </w:r>
      <w:r w:rsidR="008610B4" w:rsidRPr="00502725">
        <w:rPr>
          <w:rFonts w:ascii="Wingdings" w:eastAsia="Wingdings" w:hAnsi="Wingdings" w:cs="Wingdings"/>
        </w:rPr>
        <w:t>à</w:t>
      </w:r>
      <w:r w:rsidRPr="008610B4">
        <w:t xml:space="preserve"> AE.OR.13 Annual Estimates Detail Listing AEIFRS Report (PBF)</w:t>
      </w:r>
    </w:p>
    <w:p w14:paraId="2AC0B600" w14:textId="37A7BB23" w:rsidR="007A0328" w:rsidRPr="008610B4" w:rsidRDefault="007A0328" w:rsidP="001774BB">
      <w:pPr>
        <w:pStyle w:val="Reports1"/>
      </w:pPr>
      <w:r w:rsidRPr="00DD477A">
        <w:t xml:space="preserve">All Reports </w:t>
      </w:r>
      <w:r w:rsidRPr="00DD477A">
        <w:rPr>
          <w:rFonts w:ascii="Wingdings" w:eastAsia="Wingdings" w:hAnsi="Wingdings" w:cs="Wingdings"/>
        </w:rPr>
        <w:t></w:t>
      </w:r>
      <w:r w:rsidRPr="00DD477A">
        <w:t xml:space="preserve"> Statutory Reports </w:t>
      </w:r>
      <w:r w:rsidRPr="00DD477A">
        <w:rPr>
          <w:rFonts w:ascii="Wingdings" w:eastAsia="Wingdings" w:hAnsi="Wingdings" w:cs="Wingdings"/>
        </w:rPr>
        <w:t></w:t>
      </w:r>
      <w:r w:rsidRPr="00DD477A">
        <w:t xml:space="preserve"> Budget Paper 4 </w:t>
      </w:r>
      <w:r w:rsidRPr="00DD477A">
        <w:rPr>
          <w:rFonts w:ascii="Wingdings" w:eastAsia="Wingdings" w:hAnsi="Wingdings" w:cs="Wingdings"/>
        </w:rPr>
        <w:t></w:t>
      </w:r>
      <w:r w:rsidRPr="00DD477A">
        <w:t xml:space="preserve"> B4.T</w:t>
      </w:r>
      <w:r w:rsidR="000A22DA">
        <w:t>3</w:t>
      </w:r>
      <w:r w:rsidRPr="00DD477A">
        <w:t xml:space="preserve"> Special a</w:t>
      </w:r>
      <w:r w:rsidR="000A22DA">
        <w:t>ppropriations</w:t>
      </w:r>
      <w:r w:rsidRPr="00DD477A">
        <w:t xml:space="preserve"> table</w:t>
      </w:r>
    </w:p>
    <w:p w14:paraId="6C62C296" w14:textId="05D9F5CC" w:rsidR="00965806" w:rsidRPr="00DD477A" w:rsidRDefault="00712D3B" w:rsidP="003D6589">
      <w:pPr>
        <w:pStyle w:val="Heading3"/>
      </w:pPr>
      <w:bookmarkStart w:id="1603" w:name="_Toc227749091"/>
      <w:r w:rsidRPr="00DD477A">
        <w:t>Special accounts and Exclusion of Trust Moneys</w:t>
      </w:r>
      <w:bookmarkEnd w:id="1603"/>
    </w:p>
    <w:p w14:paraId="3EF7D538" w14:textId="24928144" w:rsidR="00712D3B" w:rsidRPr="00DD477A" w:rsidRDefault="00712D3B" w:rsidP="001774BB">
      <w:pPr>
        <w:pStyle w:val="Reports1"/>
      </w:pPr>
      <w:r w:rsidRPr="00DD477A">
        <w:t xml:space="preserve">All Reports </w:t>
      </w:r>
      <w:r w:rsidR="00181AC9" w:rsidRPr="00DD477A">
        <w:rPr>
          <w:rFonts w:ascii="Wingdings" w:eastAsia="Wingdings" w:hAnsi="Wingdings" w:cs="Wingdings"/>
        </w:rPr>
        <w:t></w:t>
      </w:r>
      <w:r w:rsidRPr="00DD477A">
        <w:t xml:space="preserve"> Statutory Reports </w:t>
      </w:r>
      <w:r w:rsidR="00181AC9" w:rsidRPr="00DD477A">
        <w:rPr>
          <w:rFonts w:ascii="Wingdings" w:eastAsia="Wingdings" w:hAnsi="Wingdings" w:cs="Wingdings"/>
        </w:rPr>
        <w:t></w:t>
      </w:r>
      <w:r w:rsidRPr="00DD477A">
        <w:t xml:space="preserve"> Budget Paper 4 </w:t>
      </w:r>
      <w:r w:rsidR="00181AC9" w:rsidRPr="00DD477A">
        <w:rPr>
          <w:rFonts w:ascii="Wingdings" w:eastAsia="Wingdings" w:hAnsi="Wingdings" w:cs="Wingdings"/>
        </w:rPr>
        <w:t></w:t>
      </w:r>
      <w:r w:rsidRPr="00DD477A">
        <w:t xml:space="preserve"> B4.T4 Special accounts table</w:t>
      </w:r>
    </w:p>
    <w:p w14:paraId="2E9C269D" w14:textId="2375DB1B" w:rsidR="00712D3B" w:rsidRPr="00DD477A" w:rsidRDefault="00712D3B" w:rsidP="001774BB">
      <w:pPr>
        <w:pStyle w:val="Reports1"/>
        <w:rPr>
          <w:rFonts w:eastAsiaTheme="minorHAnsi"/>
          <w:sz w:val="20"/>
          <w:szCs w:val="20"/>
        </w:rPr>
      </w:pPr>
      <w:r w:rsidRPr="00DD477A">
        <w:t xml:space="preserve">All Reports </w:t>
      </w:r>
      <w:r w:rsidR="00181AC9" w:rsidRPr="00DD477A">
        <w:rPr>
          <w:rFonts w:ascii="Wingdings" w:eastAsia="Wingdings" w:hAnsi="Wingdings" w:cs="Wingdings"/>
        </w:rPr>
        <w:t></w:t>
      </w:r>
      <w:r w:rsidRPr="00DD477A">
        <w:t xml:space="preserve"> Operational Reports </w:t>
      </w:r>
      <w:r w:rsidR="00181AC9" w:rsidRPr="00DD477A">
        <w:rPr>
          <w:rFonts w:ascii="Wingdings" w:eastAsia="Wingdings" w:hAnsi="Wingdings" w:cs="Wingdings"/>
        </w:rPr>
        <w:t></w:t>
      </w:r>
      <w:r w:rsidRPr="00DD477A">
        <w:t xml:space="preserve"> Estimates </w:t>
      </w:r>
      <w:r w:rsidR="00181AC9" w:rsidRPr="00DD477A">
        <w:rPr>
          <w:rFonts w:ascii="Wingdings" w:eastAsia="Wingdings" w:hAnsi="Wingdings" w:cs="Wingdings"/>
        </w:rPr>
        <w:t></w:t>
      </w:r>
      <w:r w:rsidRPr="00DD477A">
        <w:t xml:space="preserve"> Annual Estimates </w:t>
      </w:r>
      <w:r w:rsidR="0049238D" w:rsidRPr="00DD477A">
        <w:rPr>
          <w:rFonts w:ascii="Wingdings" w:eastAsia="Wingdings" w:hAnsi="Wingdings" w:cs="Wingdings"/>
        </w:rPr>
        <w:t>à</w:t>
      </w:r>
      <w:r w:rsidRPr="00DD477A">
        <w:t xml:space="preserve"> AE.OR.09 Annual Estimates Special Accounts Report</w:t>
      </w:r>
    </w:p>
    <w:p w14:paraId="4D8B3E44" w14:textId="2F654E29" w:rsidR="00965806" w:rsidRPr="00DD477A" w:rsidRDefault="00E56119" w:rsidP="003D6589">
      <w:pPr>
        <w:pStyle w:val="Heading2"/>
      </w:pPr>
      <w:bookmarkStart w:id="1604" w:name="_Toc227749092"/>
      <w:r w:rsidRPr="00DD477A">
        <w:t>Budgeted financial statements</w:t>
      </w:r>
      <w:bookmarkEnd w:id="1604"/>
    </w:p>
    <w:p w14:paraId="1FF92AFF" w14:textId="77777777" w:rsidR="00DF2697" w:rsidRPr="00DD477A" w:rsidRDefault="00DF2697" w:rsidP="003D6589">
      <w:pPr>
        <w:pStyle w:val="Heading3"/>
      </w:pPr>
      <w:bookmarkStart w:id="1605" w:name="_Toc227749093"/>
      <w:r w:rsidRPr="00DD477A">
        <w:t>CBMS Chart of account mappings</w:t>
      </w:r>
      <w:bookmarkEnd w:id="1605"/>
    </w:p>
    <w:p w14:paraId="34F33721" w14:textId="07B5C3E2" w:rsidR="00DF2697" w:rsidRPr="00DD477A" w:rsidRDefault="00A70560" w:rsidP="00B54999">
      <w:pPr>
        <w:pStyle w:val="Bullet1"/>
        <w:numPr>
          <w:ilvl w:val="0"/>
          <w:numId w:val="0"/>
        </w:numPr>
      </w:pPr>
      <w:bookmarkStart w:id="1606" w:name="App1_Budgetedfinsts"/>
      <w:r>
        <w:t>There is a mapping file in CBMS</w:t>
      </w:r>
      <w:r w:rsidR="00DF2697" w:rsidRPr="00DD477A">
        <w:t xml:space="preserve"> which describes how </w:t>
      </w:r>
      <w:r w:rsidR="003714D2" w:rsidRPr="00DD477A">
        <w:t xml:space="preserve">CBMS’s PBS </w:t>
      </w:r>
      <w:r w:rsidR="00DF2697" w:rsidRPr="00DD477A">
        <w:t xml:space="preserve">reports </w:t>
      </w:r>
      <w:r w:rsidR="003714D2" w:rsidRPr="00DD477A">
        <w:t>a</w:t>
      </w:r>
      <w:r w:rsidR="00DF2697" w:rsidRPr="00DD477A">
        <w:t xml:space="preserve">re derived </w:t>
      </w:r>
      <w:r w:rsidR="003714D2" w:rsidRPr="00DD477A">
        <w:t xml:space="preserve">by the system’s </w:t>
      </w:r>
      <w:r w:rsidR="00DF2697" w:rsidRPr="00DD477A">
        <w:t>chart of accounts</w:t>
      </w:r>
      <w:r w:rsidR="003714D2" w:rsidRPr="00DD477A">
        <w:t xml:space="preserve"> and this is located under the following path</w:t>
      </w:r>
      <w:r w:rsidR="008C4F90" w:rsidRPr="00DD477A">
        <w:t>:</w:t>
      </w:r>
    </w:p>
    <w:p w14:paraId="7196B332" w14:textId="5E0DE6D2" w:rsidR="00DF2697" w:rsidRPr="00DD477A" w:rsidRDefault="00DF2697" w:rsidP="001774BB">
      <w:pPr>
        <w:pStyle w:val="Reports1"/>
      </w:pPr>
      <w:r w:rsidRPr="00DD477A">
        <w:t xml:space="preserve">Guidance and Resources </w:t>
      </w:r>
      <w:r w:rsidRPr="00DD477A">
        <w:rPr>
          <w:rFonts w:ascii="Wingdings" w:eastAsia="Wingdings" w:hAnsi="Wingdings" w:cs="Wingdings"/>
        </w:rPr>
        <w:t>à</w:t>
      </w:r>
      <w:r w:rsidRPr="00DD477A">
        <w:t xml:space="preserve"> Reference Material </w:t>
      </w:r>
      <w:r w:rsidRPr="00DD477A">
        <w:rPr>
          <w:rFonts w:ascii="Wingdings" w:eastAsia="Wingdings" w:hAnsi="Wingdings" w:cs="Wingdings"/>
        </w:rPr>
        <w:t>à</w:t>
      </w:r>
      <w:r w:rsidRPr="00DD477A">
        <w:t xml:space="preserve"> PBS &amp; PAES Mappings</w:t>
      </w:r>
      <w:r w:rsidR="00AC1708" w:rsidRPr="00DD477A">
        <w:t xml:space="preserve"> PBS &amp; PAES Section Financial Statements vx.xx.xlsx</w:t>
      </w:r>
    </w:p>
    <w:p w14:paraId="6AC0121B" w14:textId="0CAE6EB5" w:rsidR="003714D2" w:rsidRPr="00DD477A" w:rsidRDefault="003714D2" w:rsidP="003D6589">
      <w:pPr>
        <w:pStyle w:val="Heading3"/>
      </w:pPr>
      <w:bookmarkStart w:id="1607" w:name="_Toc227749094"/>
      <w:r w:rsidRPr="00DD477A">
        <w:t>Transactional Annual Estimates Data</w:t>
      </w:r>
      <w:bookmarkEnd w:id="1607"/>
    </w:p>
    <w:bookmarkEnd w:id="1606"/>
    <w:p w14:paraId="1AD9A4DC" w14:textId="77777777" w:rsidR="00E56119" w:rsidRPr="00DD477A" w:rsidRDefault="00E56119" w:rsidP="00E56119">
      <w:r w:rsidRPr="00DD477A">
        <w:t>The following report contains transaction-level data and can be used to cross-check or verify data sourced from other reports:</w:t>
      </w:r>
    </w:p>
    <w:p w14:paraId="2A965042" w14:textId="64B3FA5C" w:rsidR="00E56119" w:rsidRPr="00DD477A" w:rsidRDefault="00E56119" w:rsidP="001774BB">
      <w:pPr>
        <w:pStyle w:val="Reports1"/>
      </w:pPr>
      <w:r w:rsidRPr="00DD477A">
        <w:t xml:space="preserve">All Reports </w:t>
      </w:r>
      <w:r w:rsidR="00181AC9" w:rsidRPr="00DD477A">
        <w:rPr>
          <w:rFonts w:ascii="Wingdings" w:eastAsia="Wingdings" w:hAnsi="Wingdings" w:cs="Wingdings"/>
        </w:rPr>
        <w:t></w:t>
      </w:r>
      <w:r w:rsidRPr="00DD477A">
        <w:t xml:space="preserve"> Operational Reports </w:t>
      </w:r>
      <w:r w:rsidR="00181AC9" w:rsidRPr="00DD477A">
        <w:rPr>
          <w:rFonts w:ascii="Wingdings" w:eastAsia="Wingdings" w:hAnsi="Wingdings" w:cs="Wingdings"/>
        </w:rPr>
        <w:t></w:t>
      </w:r>
      <w:r w:rsidRPr="00DD477A">
        <w:t xml:space="preserve"> Estimates </w:t>
      </w:r>
      <w:r w:rsidR="00181AC9" w:rsidRPr="00DD477A">
        <w:rPr>
          <w:rFonts w:ascii="Wingdings" w:eastAsia="Wingdings" w:hAnsi="Wingdings" w:cs="Wingdings"/>
        </w:rPr>
        <w:t></w:t>
      </w:r>
      <w:r w:rsidRPr="00DD477A">
        <w:t xml:space="preserve"> Annual Estimates </w:t>
      </w:r>
      <w:r w:rsidR="00181AC9" w:rsidRPr="00DD477A">
        <w:rPr>
          <w:rFonts w:ascii="Wingdings" w:eastAsia="Wingdings" w:hAnsi="Wingdings" w:cs="Wingdings"/>
        </w:rPr>
        <w:t></w:t>
      </w:r>
      <w:r w:rsidRPr="00DD477A">
        <w:t xml:space="preserve"> AE.OR.13 Annual Estimates Detail Listing AEIFRS Report (PBF)</w:t>
      </w:r>
    </w:p>
    <w:p w14:paraId="19956E1E" w14:textId="222FD938" w:rsidR="00956F31" w:rsidRPr="009F579E" w:rsidRDefault="00A7269F" w:rsidP="003D6589">
      <w:pPr>
        <w:pStyle w:val="Heading3"/>
      </w:pPr>
      <w:bookmarkStart w:id="1608" w:name="_Toc227749095"/>
      <w:bookmarkStart w:id="1609" w:name="App1_DeptPL"/>
      <w:r w:rsidRPr="009F579E">
        <w:t xml:space="preserve">PBS T3.01 </w:t>
      </w:r>
      <w:r w:rsidR="00956F31" w:rsidRPr="009F579E">
        <w:t>Comprehensive income statement (showing net cost of services)</w:t>
      </w:r>
      <w:bookmarkEnd w:id="1608"/>
      <w:r w:rsidR="00956F31" w:rsidRPr="009F579E">
        <w:t xml:space="preserve"> </w:t>
      </w:r>
    </w:p>
    <w:bookmarkEnd w:id="1609"/>
    <w:p w14:paraId="28F47920" w14:textId="6AF08E53" w:rsidR="00FD064D" w:rsidRPr="00DD477A" w:rsidRDefault="00FD064D" w:rsidP="00A85E0D">
      <w:r w:rsidRPr="00DD477A">
        <w:t>Main report for derivation purposes:</w:t>
      </w:r>
    </w:p>
    <w:p w14:paraId="7EDEC7FE" w14:textId="72AB95F6" w:rsidR="00FD064D" w:rsidRPr="00DD477A" w:rsidRDefault="003F5F6A" w:rsidP="001774BB">
      <w:pPr>
        <w:pStyle w:val="Reports1"/>
        <w:rPr>
          <w:sz w:val="20"/>
          <w:szCs w:val="20"/>
        </w:rPr>
      </w:pPr>
      <w:r w:rsidRPr="00DD477A">
        <w:t xml:space="preserve">All Reports </w:t>
      </w:r>
      <w:r w:rsidR="00FD064D" w:rsidRPr="00DD477A">
        <w:rPr>
          <w:rFonts w:ascii="Wingdings" w:eastAsia="Wingdings" w:hAnsi="Wingdings" w:cs="Wingdings"/>
        </w:rPr>
        <w:t>à</w:t>
      </w:r>
      <w:r w:rsidR="00FD064D" w:rsidRPr="00DD477A">
        <w:t xml:space="preserve"> CBMS Reporting </w:t>
      </w:r>
      <w:r w:rsidR="00FD064D" w:rsidRPr="00DD477A">
        <w:rPr>
          <w:rFonts w:ascii="Wingdings" w:eastAsia="Wingdings" w:hAnsi="Wingdings" w:cs="Wingdings"/>
        </w:rPr>
        <w:t>à</w:t>
      </w:r>
      <w:r w:rsidR="00FD064D" w:rsidRPr="00DD477A">
        <w:t xml:space="preserve"> Statutory Report </w:t>
      </w:r>
      <w:r w:rsidR="00FD064D" w:rsidRPr="00DD477A">
        <w:rPr>
          <w:rFonts w:ascii="Wingdings" w:eastAsia="Wingdings" w:hAnsi="Wingdings" w:cs="Wingdings"/>
        </w:rPr>
        <w:t>à</w:t>
      </w:r>
      <w:r w:rsidR="00FD064D" w:rsidRPr="00DD477A">
        <w:t xml:space="preserve"> PBS </w:t>
      </w:r>
      <w:r w:rsidR="00FD064D" w:rsidRPr="00DD477A">
        <w:rPr>
          <w:rFonts w:ascii="Wingdings" w:eastAsia="Wingdings" w:hAnsi="Wingdings" w:cs="Wingdings"/>
        </w:rPr>
        <w:t>à</w:t>
      </w:r>
      <w:r w:rsidR="00FD064D" w:rsidRPr="00DD477A">
        <w:t xml:space="preserve"> PBS.T3.01 Comprehensive Income Statement (showing net cost of services)</w:t>
      </w:r>
    </w:p>
    <w:p w14:paraId="6044C2C7" w14:textId="18BDF0DB" w:rsidR="00FD064D" w:rsidRPr="00DD477A" w:rsidRDefault="00FD064D" w:rsidP="00A85E0D">
      <w:r w:rsidRPr="00DD477A">
        <w:t>For cross-checking purposes:</w:t>
      </w:r>
    </w:p>
    <w:p w14:paraId="4FCCDFED" w14:textId="155AB178" w:rsidR="003F5F6A" w:rsidRPr="00DD477A" w:rsidRDefault="003F5F6A" w:rsidP="001774BB">
      <w:pPr>
        <w:pStyle w:val="Reports1"/>
        <w:rPr>
          <w:sz w:val="20"/>
          <w:szCs w:val="20"/>
        </w:rPr>
      </w:pPr>
      <w:r w:rsidRPr="00DD477A">
        <w:t xml:space="preserve">All Reports </w:t>
      </w:r>
      <w:r w:rsidR="00BD36DA" w:rsidRPr="00DD477A">
        <w:rPr>
          <w:rFonts w:ascii="Wingdings" w:eastAsia="Wingdings" w:hAnsi="Wingdings" w:cs="Wingdings"/>
        </w:rPr>
        <w:t>à</w:t>
      </w:r>
      <w:r w:rsidRPr="00DD477A">
        <w:t xml:space="preserve"> Operational Reports </w:t>
      </w:r>
      <w:r w:rsidR="00BD36DA" w:rsidRPr="00DD477A">
        <w:rPr>
          <w:rFonts w:ascii="Wingdings" w:eastAsia="Wingdings" w:hAnsi="Wingdings" w:cs="Wingdings"/>
        </w:rPr>
        <w:t>à</w:t>
      </w:r>
      <w:r w:rsidRPr="00DD477A">
        <w:t xml:space="preserve"> Estimates </w:t>
      </w:r>
      <w:r w:rsidR="00BD36DA" w:rsidRPr="00DD477A">
        <w:rPr>
          <w:rFonts w:ascii="Wingdings" w:eastAsia="Wingdings" w:hAnsi="Wingdings" w:cs="Wingdings"/>
        </w:rPr>
        <w:t>à</w:t>
      </w:r>
      <w:r w:rsidRPr="00DD477A">
        <w:t xml:space="preserve"> Annual Estimates </w:t>
      </w:r>
      <w:r w:rsidR="00BD36DA" w:rsidRPr="00DD477A">
        <w:rPr>
          <w:rFonts w:ascii="Wingdings" w:eastAsia="Wingdings" w:hAnsi="Wingdings" w:cs="Wingdings"/>
        </w:rPr>
        <w:t>à</w:t>
      </w:r>
      <w:r w:rsidRPr="00DD477A">
        <w:t xml:space="preserve"> AE.OR.01 Annual Estimates Financial</w:t>
      </w:r>
      <w:r w:rsidRPr="00DD477A">
        <w:rPr>
          <w:sz w:val="20"/>
          <w:szCs w:val="20"/>
        </w:rPr>
        <w:t xml:space="preserve"> Statements</w:t>
      </w:r>
    </w:p>
    <w:p w14:paraId="71B8E15D" w14:textId="06DCEBC5" w:rsidR="00BD36DA" w:rsidRPr="00DD477A" w:rsidRDefault="003F5F6A" w:rsidP="00A85E0D">
      <w:pPr>
        <w:pStyle w:val="IndentBlueText"/>
      </w:pPr>
      <w:r w:rsidRPr="00DD477A">
        <w:t>All Account Hierarchies can be expanded (by right clicking on one of the Account Hierarchy items</w:t>
      </w:r>
      <w:r w:rsidR="00B6288E">
        <w:t>)</w:t>
      </w:r>
      <w:r w:rsidR="006E4C0F">
        <w:t>.</w:t>
      </w:r>
      <w:r w:rsidRPr="00DD477A">
        <w:t xml:space="preserve"> </w:t>
      </w:r>
    </w:p>
    <w:p w14:paraId="24BD11EB" w14:textId="09333346" w:rsidR="00FC7F1D" w:rsidRPr="009F579E" w:rsidRDefault="00A7269F" w:rsidP="003D6589">
      <w:pPr>
        <w:pStyle w:val="Heading3"/>
      </w:pPr>
      <w:bookmarkStart w:id="1610" w:name="_Toc227749096"/>
      <w:r w:rsidRPr="009F579E">
        <w:t xml:space="preserve">PBS T3.02 </w:t>
      </w:r>
      <w:bookmarkStart w:id="1611" w:name="App1_DeptBalSheet"/>
      <w:r w:rsidR="00FC7F1D" w:rsidRPr="009F579E">
        <w:t>Budgeted departmental balance sheet</w:t>
      </w:r>
      <w:bookmarkEnd w:id="1610"/>
    </w:p>
    <w:bookmarkEnd w:id="1611"/>
    <w:p w14:paraId="2C4C6F15" w14:textId="77777777" w:rsidR="00FD064D" w:rsidRPr="00DD477A" w:rsidRDefault="00FD064D" w:rsidP="00FD064D">
      <w:r w:rsidRPr="00DD477A">
        <w:t>Main report for derivation purposes:</w:t>
      </w:r>
    </w:p>
    <w:p w14:paraId="2F05635B" w14:textId="4BD9FCED" w:rsidR="00FD064D" w:rsidRPr="00DD477A" w:rsidRDefault="00FD064D" w:rsidP="001774BB">
      <w:pPr>
        <w:pStyle w:val="Reports1"/>
      </w:pPr>
      <w:r w:rsidRPr="00DD477A">
        <w:t xml:space="preserve">All Reports </w:t>
      </w:r>
      <w:r w:rsidRPr="00DD477A">
        <w:rPr>
          <w:rFonts w:ascii="Wingdings" w:eastAsia="Wingdings" w:hAnsi="Wingdings" w:cs="Wingdings"/>
        </w:rPr>
        <w:t>à</w:t>
      </w:r>
      <w:r w:rsidRPr="00DD477A">
        <w:t xml:space="preserve"> CBMS Reporting </w:t>
      </w:r>
      <w:r w:rsidRPr="00DD477A">
        <w:rPr>
          <w:rFonts w:ascii="Wingdings" w:eastAsia="Wingdings" w:hAnsi="Wingdings" w:cs="Wingdings"/>
        </w:rPr>
        <w:t>à</w:t>
      </w:r>
      <w:r w:rsidRPr="00DD477A">
        <w:t xml:space="preserve"> Statutory Report </w:t>
      </w:r>
      <w:r w:rsidRPr="00DD477A">
        <w:rPr>
          <w:rFonts w:ascii="Wingdings" w:eastAsia="Wingdings" w:hAnsi="Wingdings" w:cs="Wingdings"/>
        </w:rPr>
        <w:t>à</w:t>
      </w:r>
      <w:r w:rsidRPr="00DD477A">
        <w:t xml:space="preserve"> PBS </w:t>
      </w:r>
      <w:r w:rsidRPr="00DD477A">
        <w:rPr>
          <w:rFonts w:ascii="Wingdings" w:eastAsia="Wingdings" w:hAnsi="Wingdings" w:cs="Wingdings"/>
        </w:rPr>
        <w:t>à</w:t>
      </w:r>
      <w:r w:rsidRPr="00DD477A">
        <w:t xml:space="preserve"> PBS.T3.02 Budgeted Departmental Balance Sheet</w:t>
      </w:r>
    </w:p>
    <w:p w14:paraId="615DD1A9" w14:textId="77777777" w:rsidR="00FD064D" w:rsidRPr="00DD477A" w:rsidRDefault="00FD064D" w:rsidP="00FD064D">
      <w:r w:rsidRPr="00DD477A">
        <w:t>For cross-checking purposes:</w:t>
      </w:r>
    </w:p>
    <w:p w14:paraId="24E18D2F" w14:textId="65F3980E" w:rsidR="00FC7F1D" w:rsidRPr="00DD477A" w:rsidRDefault="00FC7F1D" w:rsidP="001774BB">
      <w:pPr>
        <w:pStyle w:val="Reports1"/>
      </w:pPr>
      <w:r w:rsidRPr="00DD477A">
        <w:t xml:space="preserve">All Reports </w:t>
      </w:r>
      <w:r w:rsidR="00487843" w:rsidRPr="001774BB">
        <w:rPr>
          <w:rFonts w:ascii="Wingdings" w:eastAsia="Wingdings" w:hAnsi="Wingdings" w:cs="Wingdings"/>
        </w:rPr>
        <w:t></w:t>
      </w:r>
      <w:r w:rsidRPr="00DD477A">
        <w:t xml:space="preserve"> Operational Reports </w:t>
      </w:r>
      <w:r w:rsidR="00487843" w:rsidRPr="001774BB">
        <w:rPr>
          <w:rFonts w:ascii="Wingdings" w:eastAsia="Wingdings" w:hAnsi="Wingdings" w:cs="Wingdings"/>
        </w:rPr>
        <w:t></w:t>
      </w:r>
      <w:r w:rsidRPr="00DD477A">
        <w:t xml:space="preserve"> Estimates </w:t>
      </w:r>
      <w:r w:rsidR="00487843" w:rsidRPr="001774BB">
        <w:rPr>
          <w:rFonts w:ascii="Wingdings" w:eastAsia="Wingdings" w:hAnsi="Wingdings" w:cs="Wingdings"/>
        </w:rPr>
        <w:t></w:t>
      </w:r>
      <w:r w:rsidRPr="00DD477A">
        <w:t xml:space="preserve"> Annual Estimates </w:t>
      </w:r>
      <w:r w:rsidR="00FD064D" w:rsidRPr="001774BB">
        <w:rPr>
          <w:rFonts w:ascii="Wingdings" w:eastAsia="Wingdings" w:hAnsi="Wingdings" w:cs="Wingdings"/>
        </w:rPr>
        <w:t>à</w:t>
      </w:r>
      <w:r w:rsidRPr="00DD477A">
        <w:t xml:space="preserve"> AE.OR.01 Annual Estimates Financial Statements</w:t>
      </w:r>
    </w:p>
    <w:p w14:paraId="7BF20D93" w14:textId="751BEF97" w:rsidR="00FC7F1D" w:rsidRPr="00DD477A" w:rsidRDefault="00FC7F1D" w:rsidP="0014243A">
      <w:r w:rsidRPr="00DD477A">
        <w:t>Select ‘Departmental’ as the control type and go to ‘</w:t>
      </w:r>
      <w:r w:rsidR="002C3981" w:rsidRPr="00DD477A">
        <w:t>Summary</w:t>
      </w:r>
      <w:r w:rsidRPr="00DD477A">
        <w:t xml:space="preserve"> View’.</w:t>
      </w:r>
    </w:p>
    <w:p w14:paraId="18885811" w14:textId="371F80BF" w:rsidR="00FC7F1D" w:rsidRPr="00DD477A" w:rsidRDefault="00A7269F" w:rsidP="003D6589">
      <w:pPr>
        <w:pStyle w:val="Heading3"/>
      </w:pPr>
      <w:bookmarkStart w:id="1612" w:name="_Toc227749097"/>
      <w:bookmarkStart w:id="1613" w:name="App1_DeptStChangesinEquity"/>
      <w:r w:rsidRPr="00DD477A">
        <w:t xml:space="preserve">PBS T3.03 </w:t>
      </w:r>
      <w:r w:rsidR="00FC7F1D" w:rsidRPr="00DD477A">
        <w:t>Departmental statement of changes in equity</w:t>
      </w:r>
      <w:bookmarkEnd w:id="1612"/>
    </w:p>
    <w:bookmarkEnd w:id="1613"/>
    <w:p w14:paraId="43797838" w14:textId="77777777" w:rsidR="008D236D" w:rsidRPr="00DD477A" w:rsidRDefault="008D236D" w:rsidP="008D236D">
      <w:r w:rsidRPr="00DD477A">
        <w:t>Main report for derivation purposes:</w:t>
      </w:r>
    </w:p>
    <w:p w14:paraId="631BE912" w14:textId="7D54A219" w:rsidR="00FD064D" w:rsidRPr="00DD477A" w:rsidRDefault="00FC7F1D" w:rsidP="001774BB">
      <w:pPr>
        <w:pStyle w:val="Reports1"/>
        <w:rPr>
          <w:sz w:val="20"/>
          <w:szCs w:val="20"/>
        </w:rPr>
      </w:pPr>
      <w:r w:rsidRPr="00DD477A">
        <w:t xml:space="preserve">All Reports </w:t>
      </w:r>
      <w:r w:rsidR="008D236D" w:rsidRPr="00DD477A">
        <w:rPr>
          <w:rFonts w:ascii="Wingdings" w:eastAsia="Wingdings" w:hAnsi="Wingdings" w:cs="Wingdings"/>
        </w:rPr>
        <w:t>à</w:t>
      </w:r>
      <w:r w:rsidR="008D236D" w:rsidRPr="00DD477A">
        <w:t xml:space="preserve"> CBMS Reporting </w:t>
      </w:r>
      <w:r w:rsidR="008D236D" w:rsidRPr="00DD477A">
        <w:rPr>
          <w:rFonts w:ascii="Wingdings" w:eastAsia="Wingdings" w:hAnsi="Wingdings" w:cs="Wingdings"/>
        </w:rPr>
        <w:t>à</w:t>
      </w:r>
      <w:r w:rsidR="008D236D" w:rsidRPr="00DD477A">
        <w:t xml:space="preserve"> Statutory Report </w:t>
      </w:r>
      <w:r w:rsidR="008D236D" w:rsidRPr="00DD477A">
        <w:rPr>
          <w:rFonts w:ascii="Wingdings" w:eastAsia="Wingdings" w:hAnsi="Wingdings" w:cs="Wingdings"/>
        </w:rPr>
        <w:t>à</w:t>
      </w:r>
      <w:r w:rsidR="008D236D" w:rsidRPr="00DD477A">
        <w:t xml:space="preserve"> PBS </w:t>
      </w:r>
      <w:r w:rsidR="008D236D" w:rsidRPr="00DD477A">
        <w:rPr>
          <w:rFonts w:ascii="Wingdings" w:eastAsia="Wingdings" w:hAnsi="Wingdings" w:cs="Wingdings"/>
        </w:rPr>
        <w:t>à</w:t>
      </w:r>
      <w:r w:rsidR="008D236D" w:rsidRPr="00DD477A">
        <w:t xml:space="preserve"> PBS.T3.03 Departmental Statement of Changes in Equity</w:t>
      </w:r>
    </w:p>
    <w:p w14:paraId="2092374D" w14:textId="77777777" w:rsidR="008D236D" w:rsidRPr="00DD477A" w:rsidRDefault="008D236D" w:rsidP="008D236D">
      <w:r w:rsidRPr="00DD477A">
        <w:t>For cross-checking purposes:</w:t>
      </w:r>
    </w:p>
    <w:p w14:paraId="266F9E96" w14:textId="215D440B" w:rsidR="00FC7F1D" w:rsidRPr="00DD477A" w:rsidRDefault="00FC7F1D" w:rsidP="001774BB">
      <w:pPr>
        <w:pStyle w:val="Reports1"/>
        <w:rPr>
          <w:sz w:val="20"/>
          <w:szCs w:val="20"/>
        </w:rPr>
      </w:pPr>
      <w:r w:rsidRPr="00DD477A">
        <w:t xml:space="preserve">All Reports </w:t>
      </w:r>
      <w:r w:rsidR="00BD36DA" w:rsidRPr="00DD477A">
        <w:rPr>
          <w:rFonts w:ascii="Wingdings" w:eastAsia="Wingdings" w:hAnsi="Wingdings" w:cs="Wingdings"/>
        </w:rPr>
        <w:t>à</w:t>
      </w:r>
      <w:r w:rsidRPr="00DD477A">
        <w:t xml:space="preserve"> Operational Reports </w:t>
      </w:r>
      <w:r w:rsidR="00BD36DA" w:rsidRPr="00DD477A">
        <w:rPr>
          <w:rFonts w:ascii="Wingdings" w:eastAsia="Wingdings" w:hAnsi="Wingdings" w:cs="Wingdings"/>
        </w:rPr>
        <w:t>à</w:t>
      </w:r>
      <w:r w:rsidRPr="00DD477A">
        <w:t xml:space="preserve"> Estimates </w:t>
      </w:r>
      <w:r w:rsidR="00BD36DA" w:rsidRPr="00DD477A">
        <w:rPr>
          <w:rFonts w:ascii="Wingdings" w:eastAsia="Wingdings" w:hAnsi="Wingdings" w:cs="Wingdings"/>
        </w:rPr>
        <w:t>à</w:t>
      </w:r>
      <w:r w:rsidRPr="00DD477A">
        <w:t xml:space="preserve"> Annual Estimates </w:t>
      </w:r>
      <w:r w:rsidR="00BD36DA" w:rsidRPr="00DD477A">
        <w:rPr>
          <w:rFonts w:ascii="Wingdings" w:eastAsia="Wingdings" w:hAnsi="Wingdings" w:cs="Wingdings"/>
        </w:rPr>
        <w:t>à</w:t>
      </w:r>
      <w:r w:rsidRPr="00DD477A">
        <w:t xml:space="preserve"> AE.OR.02 Annual Estimates and Equity</w:t>
      </w:r>
      <w:r w:rsidRPr="00DD477A">
        <w:rPr>
          <w:sz w:val="20"/>
          <w:szCs w:val="20"/>
        </w:rPr>
        <w:t xml:space="preserve"> Report.</w:t>
      </w:r>
    </w:p>
    <w:p w14:paraId="421216E1" w14:textId="0C11F163" w:rsidR="00FC7F1D" w:rsidRPr="00DD477A" w:rsidRDefault="00FC7F1D" w:rsidP="0014243A">
      <w:pPr>
        <w:rPr>
          <w:i/>
        </w:rPr>
      </w:pPr>
      <w:r w:rsidRPr="00DD477A">
        <w:t>Select ‘</w:t>
      </w:r>
      <w:r w:rsidR="0095585E">
        <w:t>202</w:t>
      </w:r>
      <w:r w:rsidR="001B21CB">
        <w:t>6</w:t>
      </w:r>
      <w:r w:rsidR="00C917CE">
        <w:t>–</w:t>
      </w:r>
      <w:r w:rsidR="0095585E">
        <w:t>2</w:t>
      </w:r>
      <w:r w:rsidR="001B21CB">
        <w:t>7</w:t>
      </w:r>
      <w:r w:rsidRPr="00DD477A">
        <w:t>’ as the financial year and ‘Departmental’ as the control type</w:t>
      </w:r>
      <w:r w:rsidRPr="00DD477A">
        <w:rPr>
          <w:i/>
        </w:rPr>
        <w:t>.</w:t>
      </w:r>
    </w:p>
    <w:p w14:paraId="43C0E579" w14:textId="77B1ADC2" w:rsidR="00DC5A2D" w:rsidRPr="009F579E" w:rsidRDefault="00A7269F" w:rsidP="003D6589">
      <w:pPr>
        <w:pStyle w:val="Heading3"/>
      </w:pPr>
      <w:bookmarkStart w:id="1614" w:name="_Toc227749098"/>
      <w:bookmarkStart w:id="1615" w:name="App1_DeptCFS"/>
      <w:r w:rsidRPr="009F579E">
        <w:t xml:space="preserve">PBS T3.04 </w:t>
      </w:r>
      <w:r w:rsidR="00DC5A2D" w:rsidRPr="009F579E">
        <w:t>Budgeted departmental statement of cash flows</w:t>
      </w:r>
      <w:bookmarkEnd w:id="1614"/>
    </w:p>
    <w:bookmarkEnd w:id="1615"/>
    <w:p w14:paraId="3DEF9E87" w14:textId="77777777" w:rsidR="008D236D" w:rsidRPr="00DD477A" w:rsidRDefault="008D236D" w:rsidP="008D236D">
      <w:r w:rsidRPr="00DD477A">
        <w:t>Main report for derivation purposes:</w:t>
      </w:r>
    </w:p>
    <w:p w14:paraId="33EC1274" w14:textId="082E14A6" w:rsidR="008D236D" w:rsidRPr="00DD477A" w:rsidRDefault="008D236D" w:rsidP="001774BB">
      <w:pPr>
        <w:pStyle w:val="Reports1"/>
      </w:pPr>
      <w:r w:rsidRPr="00DD477A">
        <w:t xml:space="preserve">All Reports </w:t>
      </w:r>
      <w:r w:rsidRPr="00DD477A">
        <w:rPr>
          <w:rFonts w:ascii="Wingdings" w:eastAsia="Wingdings" w:hAnsi="Wingdings" w:cs="Wingdings"/>
        </w:rPr>
        <w:t>à</w:t>
      </w:r>
      <w:r w:rsidRPr="00DD477A">
        <w:t xml:space="preserve"> CBMS Reporting </w:t>
      </w:r>
      <w:r w:rsidRPr="00DD477A">
        <w:rPr>
          <w:rFonts w:ascii="Wingdings" w:eastAsia="Wingdings" w:hAnsi="Wingdings" w:cs="Wingdings"/>
        </w:rPr>
        <w:t>à</w:t>
      </w:r>
      <w:r w:rsidRPr="00DD477A">
        <w:t xml:space="preserve"> Statutory Report </w:t>
      </w:r>
      <w:r w:rsidRPr="00DD477A">
        <w:rPr>
          <w:rFonts w:ascii="Wingdings" w:eastAsia="Wingdings" w:hAnsi="Wingdings" w:cs="Wingdings"/>
        </w:rPr>
        <w:t>à</w:t>
      </w:r>
      <w:r w:rsidRPr="00DD477A">
        <w:t xml:space="preserve"> PBS </w:t>
      </w:r>
      <w:r w:rsidRPr="00DD477A">
        <w:rPr>
          <w:rFonts w:ascii="Wingdings" w:eastAsia="Wingdings" w:hAnsi="Wingdings" w:cs="Wingdings"/>
        </w:rPr>
        <w:t>à</w:t>
      </w:r>
      <w:r w:rsidRPr="00DD477A">
        <w:t xml:space="preserve"> PBS.T3.04 Budgeted Departmental Statement of Cash Flows </w:t>
      </w:r>
    </w:p>
    <w:p w14:paraId="5DF19574" w14:textId="77777777" w:rsidR="008D236D" w:rsidRPr="00DD477A" w:rsidRDefault="008D236D" w:rsidP="008D236D">
      <w:r w:rsidRPr="00DD477A">
        <w:t>For cross-checking purposes:</w:t>
      </w:r>
    </w:p>
    <w:p w14:paraId="4F18EC67" w14:textId="6BBB6DE0" w:rsidR="00DC5A2D" w:rsidRPr="00DD477A" w:rsidRDefault="00DC5A2D" w:rsidP="001774BB">
      <w:pPr>
        <w:pStyle w:val="Reports1"/>
      </w:pPr>
      <w:r w:rsidRPr="00DD477A">
        <w:t xml:space="preserve">All Reports </w:t>
      </w:r>
      <w:r w:rsidR="00487843" w:rsidRPr="00DD477A">
        <w:rPr>
          <w:rFonts w:ascii="Wingdings" w:eastAsia="Wingdings" w:hAnsi="Wingdings" w:cs="Wingdings"/>
        </w:rPr>
        <w:t></w:t>
      </w:r>
      <w:r w:rsidRPr="00DD477A">
        <w:t xml:space="preserve"> Operational Reports </w:t>
      </w:r>
      <w:r w:rsidR="00487843" w:rsidRPr="00DD477A">
        <w:rPr>
          <w:rFonts w:ascii="Wingdings" w:eastAsia="Wingdings" w:hAnsi="Wingdings" w:cs="Wingdings"/>
        </w:rPr>
        <w:t></w:t>
      </w:r>
      <w:r w:rsidRPr="00DD477A">
        <w:t xml:space="preserve"> Estimates </w:t>
      </w:r>
      <w:r w:rsidR="00487843" w:rsidRPr="00DD477A">
        <w:rPr>
          <w:rFonts w:ascii="Wingdings" w:eastAsia="Wingdings" w:hAnsi="Wingdings" w:cs="Wingdings"/>
        </w:rPr>
        <w:t></w:t>
      </w:r>
      <w:r w:rsidRPr="00DD477A">
        <w:t xml:space="preserve"> Annual Estimates </w:t>
      </w:r>
      <w:r w:rsidR="00487843" w:rsidRPr="00DD477A">
        <w:rPr>
          <w:rFonts w:ascii="Wingdings" w:eastAsia="Wingdings" w:hAnsi="Wingdings" w:cs="Wingdings"/>
        </w:rPr>
        <w:t></w:t>
      </w:r>
      <w:r w:rsidRPr="00DD477A">
        <w:t xml:space="preserve"> AE.OR.01 Annual Estimates Financial Statements</w:t>
      </w:r>
    </w:p>
    <w:p w14:paraId="63865FFF" w14:textId="1073154D" w:rsidR="00DC5A2D" w:rsidRPr="00DD477A" w:rsidRDefault="00DC5A2D" w:rsidP="0014243A">
      <w:r w:rsidRPr="00DD477A">
        <w:t>Select ‘Departmental’ as the control type and look up ‘</w:t>
      </w:r>
      <w:r w:rsidR="002C3981" w:rsidRPr="00DD477A">
        <w:t>Summary</w:t>
      </w:r>
      <w:r w:rsidRPr="00DD477A">
        <w:t xml:space="preserve"> View’.</w:t>
      </w:r>
    </w:p>
    <w:p w14:paraId="137069D0" w14:textId="15129573" w:rsidR="00FC7F1D" w:rsidRPr="009F579E" w:rsidRDefault="00A7269F" w:rsidP="003D6589">
      <w:pPr>
        <w:pStyle w:val="Heading3"/>
      </w:pPr>
      <w:bookmarkStart w:id="1616" w:name="_Toc227749099"/>
      <w:bookmarkStart w:id="1617" w:name="App1_DeptCapBudgetSt"/>
      <w:r w:rsidRPr="009F579E">
        <w:t xml:space="preserve">PBS T3.05 </w:t>
      </w:r>
      <w:r w:rsidR="00FC7F1D" w:rsidRPr="009F579E">
        <w:t>Departmental capital budget statement</w:t>
      </w:r>
      <w:bookmarkEnd w:id="1616"/>
    </w:p>
    <w:bookmarkEnd w:id="1617"/>
    <w:p w14:paraId="3E6C9927" w14:textId="1901A601" w:rsidR="00FC7F1D" w:rsidRPr="00DD477A" w:rsidRDefault="00FC7F1D" w:rsidP="001774BB">
      <w:pPr>
        <w:pStyle w:val="Reports1"/>
      </w:pPr>
      <w:r w:rsidRPr="00DD477A">
        <w:t xml:space="preserve">All Reports </w:t>
      </w:r>
      <w:r w:rsidR="00487843" w:rsidRPr="00DD477A">
        <w:rPr>
          <w:rFonts w:ascii="Wingdings" w:eastAsia="Wingdings" w:hAnsi="Wingdings" w:cs="Wingdings"/>
        </w:rPr>
        <w:t></w:t>
      </w:r>
      <w:r w:rsidRPr="00DD477A">
        <w:t xml:space="preserve"> Operational Reports </w:t>
      </w:r>
      <w:r w:rsidR="00487843" w:rsidRPr="00DD477A">
        <w:rPr>
          <w:rFonts w:ascii="Wingdings" w:eastAsia="Wingdings" w:hAnsi="Wingdings" w:cs="Wingdings"/>
        </w:rPr>
        <w:t></w:t>
      </w:r>
      <w:r w:rsidRPr="00DD477A">
        <w:t xml:space="preserve"> Estimates </w:t>
      </w:r>
      <w:r w:rsidR="00487843" w:rsidRPr="00DD477A">
        <w:rPr>
          <w:rFonts w:ascii="Wingdings" w:eastAsia="Wingdings" w:hAnsi="Wingdings" w:cs="Wingdings"/>
        </w:rPr>
        <w:t></w:t>
      </w:r>
      <w:r w:rsidRPr="00DD477A">
        <w:t xml:space="preserve"> Annual Estimates </w:t>
      </w:r>
      <w:r w:rsidR="00BD36DA" w:rsidRPr="00DD477A">
        <w:rPr>
          <w:rFonts w:ascii="Wingdings" w:eastAsia="Wingdings" w:hAnsi="Wingdings" w:cs="Wingdings"/>
        </w:rPr>
        <w:t>à</w:t>
      </w:r>
      <w:r w:rsidRPr="00DD477A">
        <w:t xml:space="preserve"> AE.OR.06 Capital Budget Statement Report</w:t>
      </w:r>
    </w:p>
    <w:p w14:paraId="2442AE19" w14:textId="77777777" w:rsidR="00FC7F1D" w:rsidRPr="00DD477A" w:rsidRDefault="00FC7F1D" w:rsidP="0014243A">
      <w:r w:rsidRPr="00DD477A">
        <w:t>Select ‘Departmental’ as the control type.</w:t>
      </w:r>
    </w:p>
    <w:p w14:paraId="2A078A49" w14:textId="3EDCC172" w:rsidR="00FC7F1D" w:rsidRPr="009F579E" w:rsidRDefault="00A7269F" w:rsidP="003D6589">
      <w:pPr>
        <w:pStyle w:val="Heading3"/>
      </w:pPr>
      <w:bookmarkStart w:id="1618" w:name="_Toc227749100"/>
      <w:bookmarkStart w:id="1619" w:name="App1_DeptStatementAssetMvt"/>
      <w:r w:rsidRPr="009F579E">
        <w:t xml:space="preserve">PBS T3.06 </w:t>
      </w:r>
      <w:r w:rsidR="00FC7F1D" w:rsidRPr="009F579E">
        <w:t>Departmental statement of asset movements</w:t>
      </w:r>
      <w:bookmarkEnd w:id="1618"/>
    </w:p>
    <w:bookmarkEnd w:id="1619"/>
    <w:p w14:paraId="19F384DA" w14:textId="77777777" w:rsidR="00702A9C" w:rsidRPr="00DD477A" w:rsidRDefault="00702A9C" w:rsidP="00702A9C">
      <w:r w:rsidRPr="00DD477A">
        <w:t>Main report for derivation purposes:</w:t>
      </w:r>
    </w:p>
    <w:p w14:paraId="4490B10B" w14:textId="59096D51" w:rsidR="00702A9C" w:rsidRPr="00DD477A" w:rsidRDefault="00FC7F1D" w:rsidP="001774BB">
      <w:pPr>
        <w:pStyle w:val="Reports1"/>
      </w:pPr>
      <w:r w:rsidRPr="00DD477A">
        <w:t xml:space="preserve">All Reports </w:t>
      </w:r>
      <w:r w:rsidR="00702A9C" w:rsidRPr="00DD477A">
        <w:rPr>
          <w:rFonts w:ascii="Wingdings" w:eastAsia="Wingdings" w:hAnsi="Wingdings" w:cs="Wingdings"/>
        </w:rPr>
        <w:t>à</w:t>
      </w:r>
      <w:r w:rsidR="00702A9C" w:rsidRPr="00DD477A">
        <w:t xml:space="preserve"> CBMS Reporting </w:t>
      </w:r>
      <w:r w:rsidR="00702A9C" w:rsidRPr="00DD477A">
        <w:rPr>
          <w:rFonts w:ascii="Wingdings" w:eastAsia="Wingdings" w:hAnsi="Wingdings" w:cs="Wingdings"/>
        </w:rPr>
        <w:t>à</w:t>
      </w:r>
      <w:r w:rsidR="00702A9C" w:rsidRPr="00DD477A">
        <w:t xml:space="preserve"> Statutory Report </w:t>
      </w:r>
      <w:r w:rsidR="00702A9C" w:rsidRPr="00DD477A">
        <w:rPr>
          <w:rFonts w:ascii="Wingdings" w:eastAsia="Wingdings" w:hAnsi="Wingdings" w:cs="Wingdings"/>
        </w:rPr>
        <w:t>à</w:t>
      </w:r>
      <w:r w:rsidR="00702A9C" w:rsidRPr="00DD477A">
        <w:t xml:space="preserve"> PBS </w:t>
      </w:r>
      <w:r w:rsidR="00702A9C" w:rsidRPr="00DD477A">
        <w:rPr>
          <w:rFonts w:ascii="Wingdings" w:eastAsia="Wingdings" w:hAnsi="Wingdings" w:cs="Wingdings"/>
        </w:rPr>
        <w:t>à</w:t>
      </w:r>
      <w:r w:rsidR="00702A9C" w:rsidRPr="00DD477A">
        <w:t xml:space="preserve"> PBS.T3.06 Statement of Departmental Asset Movements</w:t>
      </w:r>
    </w:p>
    <w:p w14:paraId="4E8519C1" w14:textId="77777777" w:rsidR="00702A9C" w:rsidRPr="00DD477A" w:rsidRDefault="00702A9C" w:rsidP="00702A9C">
      <w:r w:rsidRPr="00DD477A">
        <w:t>For cross-checking purposes:</w:t>
      </w:r>
    </w:p>
    <w:p w14:paraId="72BA3C8B" w14:textId="3ABB0B0A" w:rsidR="00FC7F1D" w:rsidRPr="00DD477A" w:rsidRDefault="00FC7F1D" w:rsidP="001774BB">
      <w:pPr>
        <w:pStyle w:val="Reports1"/>
        <w:rPr>
          <w:sz w:val="20"/>
          <w:szCs w:val="20"/>
        </w:rPr>
      </w:pPr>
      <w:r w:rsidRPr="00DD477A">
        <w:t xml:space="preserve">All Reports </w:t>
      </w:r>
      <w:r w:rsidR="00BD36DA" w:rsidRPr="00DD477A">
        <w:rPr>
          <w:rFonts w:ascii="Wingdings" w:eastAsia="Wingdings" w:hAnsi="Wingdings" w:cs="Wingdings"/>
        </w:rPr>
        <w:t>à</w:t>
      </w:r>
      <w:r w:rsidRPr="00DD477A">
        <w:t xml:space="preserve"> Operational Reports </w:t>
      </w:r>
      <w:r w:rsidR="00BD36DA" w:rsidRPr="00DD477A">
        <w:rPr>
          <w:rFonts w:ascii="Wingdings" w:eastAsia="Wingdings" w:hAnsi="Wingdings" w:cs="Wingdings"/>
        </w:rPr>
        <w:t>à</w:t>
      </w:r>
      <w:r w:rsidRPr="00DD477A">
        <w:t xml:space="preserve"> Estimates </w:t>
      </w:r>
      <w:r w:rsidR="00BD36DA" w:rsidRPr="00DD477A">
        <w:rPr>
          <w:rFonts w:ascii="Wingdings" w:eastAsia="Wingdings" w:hAnsi="Wingdings" w:cs="Wingdings"/>
        </w:rPr>
        <w:t>à</w:t>
      </w:r>
      <w:r w:rsidRPr="00DD477A">
        <w:t xml:space="preserve"> Annual Estimates </w:t>
      </w:r>
      <w:r w:rsidR="00BD36DA" w:rsidRPr="00DD477A">
        <w:rPr>
          <w:rFonts w:ascii="Wingdings" w:eastAsia="Wingdings" w:hAnsi="Wingdings" w:cs="Wingdings"/>
        </w:rPr>
        <w:t>à</w:t>
      </w:r>
      <w:r w:rsidRPr="00DD477A">
        <w:t xml:space="preserve"> AE.OR.02 Annual Estimates and Equity</w:t>
      </w:r>
      <w:r w:rsidRPr="00DD477A">
        <w:rPr>
          <w:sz w:val="20"/>
          <w:szCs w:val="20"/>
        </w:rPr>
        <w:t xml:space="preserve"> Report</w:t>
      </w:r>
    </w:p>
    <w:p w14:paraId="6611F216" w14:textId="770E924D" w:rsidR="00FC7F1D" w:rsidRPr="00DD477A" w:rsidRDefault="00FC7F1D" w:rsidP="0014243A">
      <w:r w:rsidRPr="00DD477A">
        <w:t>Select ‘</w:t>
      </w:r>
      <w:r w:rsidR="0095585E">
        <w:t>202</w:t>
      </w:r>
      <w:r w:rsidR="00D02DCD">
        <w:t>6</w:t>
      </w:r>
      <w:r w:rsidR="001B21CB">
        <w:t>–</w:t>
      </w:r>
      <w:r w:rsidR="0095585E">
        <w:t>2</w:t>
      </w:r>
      <w:r w:rsidR="00D02DCD">
        <w:t>7</w:t>
      </w:r>
      <w:r w:rsidRPr="00DD477A">
        <w:t>’ as the financial year and ‘Departmental’ as the control type.</w:t>
      </w:r>
    </w:p>
    <w:p w14:paraId="640F9FFE" w14:textId="03C5CD6A" w:rsidR="00FC7F1D" w:rsidRPr="00DD477A" w:rsidRDefault="00FC7F1D" w:rsidP="003D6589">
      <w:pPr>
        <w:pStyle w:val="Heading3"/>
      </w:pPr>
      <w:bookmarkStart w:id="1620" w:name="_Toc227749101"/>
      <w:bookmarkStart w:id="1621" w:name="App1_AdminFinSts"/>
      <w:r w:rsidRPr="00DD477A">
        <w:t>Administered financial statements</w:t>
      </w:r>
      <w:bookmarkEnd w:id="1620"/>
      <w:r w:rsidRPr="00DD477A">
        <w:t xml:space="preserve"> </w:t>
      </w:r>
    </w:p>
    <w:bookmarkEnd w:id="1621"/>
    <w:p w14:paraId="6B42646A" w14:textId="6A889BA2" w:rsidR="00477C4E" w:rsidRPr="00DD477A" w:rsidRDefault="00FC7F1D">
      <w:pPr>
        <w:sectPr w:rsidR="00477C4E" w:rsidRPr="00DD477A" w:rsidSect="0026790A">
          <w:pgSz w:w="11900" w:h="16840" w:code="9"/>
          <w:pgMar w:top="1418" w:right="851" w:bottom="1418" w:left="1418" w:header="624" w:footer="624" w:gutter="0"/>
          <w:cols w:space="708"/>
          <w:docGrid w:linePitch="360"/>
        </w:sectPr>
      </w:pPr>
      <w:r w:rsidRPr="00DD477A">
        <w:t xml:space="preserve">Information for these tables should be sourced by running the </w:t>
      </w:r>
      <w:r w:rsidR="00F30269">
        <w:t>similar</w:t>
      </w:r>
      <w:r w:rsidRPr="00DD477A">
        <w:t xml:space="preserve"> CBMS reports as Tables 3.1 to 3.6</w:t>
      </w:r>
      <w:r w:rsidR="006F2D46">
        <w:t xml:space="preserve"> which are</w:t>
      </w:r>
      <w:r w:rsidRPr="00DD477A">
        <w:t xml:space="preserve"> </w:t>
      </w:r>
      <w:r w:rsidR="00C217FE" w:rsidRPr="00DD477A">
        <w:t>utilised</w:t>
      </w:r>
      <w:r w:rsidRPr="00DD477A">
        <w:t xml:space="preserve"> for</w:t>
      </w:r>
      <w:r w:rsidR="00C217FE" w:rsidRPr="00DD477A">
        <w:t xml:space="preserve"> </w:t>
      </w:r>
      <w:r w:rsidR="00CA2BD3" w:rsidRPr="00DD477A">
        <w:t>the</w:t>
      </w:r>
      <w:r w:rsidR="006F2D46">
        <w:t xml:space="preserve"> </w:t>
      </w:r>
      <w:r w:rsidR="00F30269">
        <w:t>preparation of the</w:t>
      </w:r>
      <w:r w:rsidR="00CA2BD3" w:rsidRPr="00DD477A">
        <w:t xml:space="preserve"> </w:t>
      </w:r>
      <w:r w:rsidR="00C217FE" w:rsidRPr="00DD477A">
        <w:t xml:space="preserve">Departmental </w:t>
      </w:r>
      <w:r w:rsidR="00CA2BD3" w:rsidRPr="00DD477A">
        <w:t xml:space="preserve">financial statement tables </w:t>
      </w:r>
      <w:r w:rsidR="00C217FE" w:rsidRPr="00DD477A">
        <w:t>above</w:t>
      </w:r>
      <w:r w:rsidR="00F30269">
        <w:t>. User should run the ‘Administered’ equivalent CBMS reports for Tables 3.7 to 3.11</w:t>
      </w:r>
      <w:r w:rsidRPr="00DD477A">
        <w:t>.</w:t>
      </w:r>
    </w:p>
    <w:p w14:paraId="759661A1" w14:textId="4565AB97" w:rsidR="00477C4E" w:rsidRPr="00DD477A" w:rsidRDefault="00A86B02" w:rsidP="00F81CAE">
      <w:pPr>
        <w:pStyle w:val="Heading1Numbered"/>
      </w:pPr>
      <w:bookmarkStart w:id="1622" w:name="_Toc29394574"/>
      <w:bookmarkStart w:id="1623" w:name="_Toc29394872"/>
      <w:bookmarkStart w:id="1624" w:name="_Toc29394999"/>
      <w:bookmarkStart w:id="1625" w:name="_Toc29395396"/>
      <w:bookmarkStart w:id="1626" w:name="_Toc29395483"/>
      <w:bookmarkStart w:id="1627" w:name="_Toc29396914"/>
      <w:bookmarkStart w:id="1628" w:name="_Toc29478156"/>
      <w:bookmarkStart w:id="1629" w:name="_Toc29481894"/>
      <w:bookmarkStart w:id="1630" w:name="_Toc29544198"/>
      <w:bookmarkStart w:id="1631" w:name="_Toc29544785"/>
      <w:bookmarkStart w:id="1632" w:name="_Toc29544860"/>
      <w:bookmarkStart w:id="1633" w:name="_Toc29546724"/>
      <w:bookmarkStart w:id="1634" w:name="_Toc29980741"/>
      <w:bookmarkStart w:id="1635" w:name="_Toc30405629"/>
      <w:bookmarkStart w:id="1636" w:name="_Toc30581370"/>
      <w:bookmarkStart w:id="1637" w:name="_Toc32830032"/>
      <w:bookmarkStart w:id="1638" w:name="_Toc32917539"/>
      <w:bookmarkStart w:id="1639" w:name="_Toc32918345"/>
      <w:bookmarkStart w:id="1640" w:name="_Toc32999728"/>
      <w:bookmarkStart w:id="1641" w:name="_Toc33099452"/>
      <w:bookmarkStart w:id="1642" w:name="_Toc33196077"/>
      <w:bookmarkStart w:id="1643" w:name="_Toc33196379"/>
      <w:bookmarkStart w:id="1644" w:name="_Toc227749102"/>
      <w:bookmarkStart w:id="1645" w:name="_Toc411852707"/>
      <w:bookmarkStart w:id="1646" w:name="_Toc534382584"/>
      <w:bookmarkStart w:id="1647" w:name="_Toc6334774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r w:rsidRPr="0014243A">
        <w:rPr>
          <w:u w:val="single"/>
        </w:rPr>
        <w:t xml:space="preserve">Appendix </w:t>
      </w:r>
      <w:r w:rsidR="00FC135D" w:rsidRPr="0014243A">
        <w:rPr>
          <w:u w:val="single"/>
        </w:rPr>
        <w:t>2</w:t>
      </w:r>
      <w:r w:rsidRPr="00DD477A">
        <w:t>:</w:t>
      </w:r>
      <w:bookmarkEnd w:id="1644"/>
    </w:p>
    <w:p w14:paraId="1F078F44" w14:textId="523926E8" w:rsidR="002941A0" w:rsidRPr="00DD477A" w:rsidRDefault="002941A0" w:rsidP="003D6589">
      <w:pPr>
        <w:pStyle w:val="Heading1"/>
      </w:pPr>
      <w:bookmarkStart w:id="1648" w:name="_Toc227749103"/>
      <w:r w:rsidRPr="00DD477A">
        <w:t>Working with the templates</w:t>
      </w:r>
      <w:bookmarkEnd w:id="1648"/>
    </w:p>
    <w:p w14:paraId="32F01317" w14:textId="7CFC48D4" w:rsidR="00FA0945" w:rsidRPr="00DD477A" w:rsidRDefault="53BF0693" w:rsidP="003D6589">
      <w:pPr>
        <w:pStyle w:val="Heading2"/>
      </w:pPr>
      <w:bookmarkStart w:id="1649" w:name="_Toc63347742"/>
      <w:bookmarkStart w:id="1650" w:name="_Toc227749104"/>
      <w:bookmarkEnd w:id="1645"/>
      <w:bookmarkEnd w:id="1646"/>
      <w:bookmarkEnd w:id="1647"/>
      <w:r w:rsidRPr="00DD477A">
        <w:t>Saving the files</w:t>
      </w:r>
      <w:bookmarkEnd w:id="1649"/>
      <w:bookmarkEnd w:id="1650"/>
    </w:p>
    <w:p w14:paraId="447DB9BA" w14:textId="77777777" w:rsidR="0058245C" w:rsidRPr="00DD477A" w:rsidRDefault="53BF0693" w:rsidP="000A7DEC">
      <w:pPr>
        <w:rPr>
          <w:rFonts w:cs="Calibri"/>
        </w:rPr>
      </w:pPr>
      <w:r w:rsidRPr="00DD477A">
        <w:rPr>
          <w:rFonts w:cs="Calibri"/>
          <w:b/>
          <w:bCs/>
        </w:rPr>
        <w:t>Do not</w:t>
      </w:r>
      <w:r w:rsidRPr="00DD477A">
        <w:rPr>
          <w:rFonts w:cs="Calibri"/>
        </w:rPr>
        <w:t xml:space="preserve"> open and save the files</w:t>
      </w:r>
      <w:r w:rsidR="00C007B1" w:rsidRPr="00DD477A">
        <w:rPr>
          <w:rFonts w:cs="Calibri"/>
        </w:rPr>
        <w:t xml:space="preserve"> onto your </w:t>
      </w:r>
      <w:r w:rsidR="0058245C" w:rsidRPr="00DD477A">
        <w:rPr>
          <w:rFonts w:cs="Calibri"/>
        </w:rPr>
        <w:t>computer</w:t>
      </w:r>
      <w:r w:rsidRPr="00DD477A">
        <w:rPr>
          <w:rFonts w:cs="Calibri"/>
        </w:rPr>
        <w:t>.</w:t>
      </w:r>
    </w:p>
    <w:p w14:paraId="3F191992" w14:textId="43C1BE90" w:rsidR="00FA0945" w:rsidRPr="00DD477A" w:rsidRDefault="0058245C" w:rsidP="000A7DEC">
      <w:pPr>
        <w:rPr>
          <w:rFonts w:cs="Calibri"/>
        </w:rPr>
      </w:pPr>
      <w:r w:rsidRPr="00DD477A">
        <w:rPr>
          <w:rFonts w:cs="Calibri"/>
        </w:rPr>
        <w:t>To save the file</w:t>
      </w:r>
      <w:r w:rsidR="003D4F20" w:rsidRPr="00DD477A">
        <w:rPr>
          <w:rFonts w:cs="Calibri"/>
        </w:rPr>
        <w:t xml:space="preserve"> attachments</w:t>
      </w:r>
      <w:r w:rsidRPr="00DD477A">
        <w:rPr>
          <w:rFonts w:cs="Calibri"/>
        </w:rPr>
        <w:t>,</w:t>
      </w:r>
      <w:r w:rsidR="53BF0693" w:rsidRPr="00DD477A">
        <w:rPr>
          <w:rFonts w:cs="Calibri"/>
        </w:rPr>
        <w:t xml:space="preserve"> </w:t>
      </w:r>
      <w:r w:rsidR="003D4F20" w:rsidRPr="00DD477A">
        <w:rPr>
          <w:rFonts w:cs="Calibri"/>
        </w:rPr>
        <w:t>u</w:t>
      </w:r>
      <w:r w:rsidR="53BF0693" w:rsidRPr="00DD477A">
        <w:rPr>
          <w:rFonts w:cs="Calibri"/>
        </w:rPr>
        <w:t>se your email program</w:t>
      </w:r>
      <w:r w:rsidR="003442B2" w:rsidRPr="00DD477A">
        <w:rPr>
          <w:rFonts w:cs="Calibri"/>
        </w:rPr>
        <w:t xml:space="preserve"> as per below instructions:</w:t>
      </w:r>
    </w:p>
    <w:p w14:paraId="1A628F7A" w14:textId="77777777" w:rsidR="003442B2" w:rsidRPr="00DD477A" w:rsidRDefault="003442B2" w:rsidP="0014243A">
      <w:pPr>
        <w:pStyle w:val="Numbered"/>
        <w:numPr>
          <w:ilvl w:val="0"/>
          <w:numId w:val="21"/>
        </w:numPr>
        <w:ind w:left="357" w:hanging="357"/>
        <w:contextualSpacing/>
      </w:pPr>
      <w:r w:rsidRPr="00DD477A">
        <w:t>open Outlook from Microsoft 365</w:t>
      </w:r>
    </w:p>
    <w:p w14:paraId="40F6C311" w14:textId="559042E1" w:rsidR="00FA0945" w:rsidRPr="00DD477A" w:rsidRDefault="00F62D83" w:rsidP="0014243A">
      <w:pPr>
        <w:pStyle w:val="Numbered"/>
        <w:numPr>
          <w:ilvl w:val="0"/>
          <w:numId w:val="21"/>
        </w:numPr>
        <w:ind w:left="357" w:hanging="357"/>
        <w:contextualSpacing/>
      </w:pPr>
      <w:r w:rsidRPr="00DD477A">
        <w:t>s</w:t>
      </w:r>
      <w:r w:rsidR="53BF0693" w:rsidRPr="00DD477A">
        <w:t>elect the email containing the attachments</w:t>
      </w:r>
    </w:p>
    <w:p w14:paraId="55A63286" w14:textId="08E1A2EE" w:rsidR="00FA0945" w:rsidRPr="00DD477A" w:rsidRDefault="53BF0693" w:rsidP="0014243A">
      <w:pPr>
        <w:pStyle w:val="Numbered"/>
        <w:numPr>
          <w:ilvl w:val="0"/>
          <w:numId w:val="21"/>
        </w:numPr>
        <w:ind w:left="357" w:hanging="357"/>
        <w:contextualSpacing/>
      </w:pPr>
      <w:r w:rsidRPr="00DD477A">
        <w:t>click File and select Save Attachments.</w:t>
      </w:r>
    </w:p>
    <w:p w14:paraId="63ED263B" w14:textId="00A63BE9" w:rsidR="00FA0945" w:rsidRPr="00DD477A" w:rsidRDefault="53BF0693" w:rsidP="003D6589">
      <w:pPr>
        <w:pStyle w:val="Heading2"/>
      </w:pPr>
      <w:bookmarkStart w:id="1651" w:name="_Toc63347743"/>
      <w:bookmarkStart w:id="1652" w:name="_Toc227749105"/>
      <w:r w:rsidRPr="00DD477A">
        <w:t>Excel table specifications</w:t>
      </w:r>
      <w:bookmarkEnd w:id="1651"/>
      <w:bookmarkEnd w:id="1652"/>
    </w:p>
    <w:p w14:paraId="1BE08053" w14:textId="05FBE08B" w:rsidR="004B345F" w:rsidRPr="00DD477A" w:rsidRDefault="53BF0693" w:rsidP="003A192E">
      <w:pPr>
        <w:rPr>
          <w:rFonts w:cs="Calibri"/>
        </w:rPr>
      </w:pPr>
      <w:r w:rsidRPr="00DD477A">
        <w:rPr>
          <w:rFonts w:cs="Calibri"/>
        </w:rPr>
        <w:t xml:space="preserve">The Excel Tables have been formatted to B5 size. </w:t>
      </w:r>
      <w:r w:rsidR="0051399A" w:rsidRPr="00DD477A">
        <w:rPr>
          <w:rFonts w:cs="Calibri"/>
        </w:rPr>
        <w:t>If</w:t>
      </w:r>
      <w:r w:rsidR="00780A8D" w:rsidRPr="00DD477A">
        <w:rPr>
          <w:rFonts w:cs="Calibri"/>
        </w:rPr>
        <w:t xml:space="preserve"> the following requirements</w:t>
      </w:r>
      <w:r w:rsidR="0051399A" w:rsidRPr="00DD477A">
        <w:rPr>
          <w:rFonts w:cs="Calibri"/>
        </w:rPr>
        <w:t xml:space="preserve"> are revised</w:t>
      </w:r>
      <w:r w:rsidR="00780A8D" w:rsidRPr="00DD477A">
        <w:rPr>
          <w:rFonts w:cs="Calibri"/>
        </w:rPr>
        <w:t xml:space="preserve">, separate advice will be provided to </w:t>
      </w:r>
      <w:r w:rsidR="00AD2C5D" w:rsidRPr="00DD477A">
        <w:rPr>
          <w:rFonts w:cs="Calibri"/>
        </w:rPr>
        <w:t xml:space="preserve">PB Statement </w:t>
      </w:r>
      <w:r w:rsidR="00780A8D" w:rsidRPr="00DD477A">
        <w:rPr>
          <w:rFonts w:cs="Calibri"/>
        </w:rPr>
        <w:t>Portfolio Coordinators</w:t>
      </w:r>
      <w:r w:rsidR="001954FB" w:rsidRPr="00DD477A">
        <w:rPr>
          <w:rFonts w:cs="Calibri"/>
        </w:rPr>
        <w:t>.</w:t>
      </w:r>
      <w:r w:rsidR="003A192E" w:rsidRPr="00DD477A">
        <w:rPr>
          <w:rFonts w:cs="Calibri"/>
        </w:rPr>
        <w:t xml:space="preserve"> </w:t>
      </w:r>
      <w:r w:rsidR="0051399A" w:rsidRPr="00DD477A">
        <w:rPr>
          <w:rFonts w:cs="Calibri"/>
        </w:rPr>
        <w:t>Should you need to reformat any of the tables, please use the specifications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0" w:type="dxa"/>
          <w:right w:w="0" w:type="dxa"/>
        </w:tblCellMar>
        <w:tblLook w:val="01E0" w:firstRow="1" w:lastRow="1" w:firstColumn="1" w:lastColumn="1" w:noHBand="0" w:noVBand="0"/>
      </w:tblPr>
      <w:tblGrid>
        <w:gridCol w:w="3397"/>
        <w:gridCol w:w="2032"/>
        <w:gridCol w:w="354"/>
        <w:gridCol w:w="1678"/>
        <w:gridCol w:w="2032"/>
      </w:tblGrid>
      <w:tr w:rsidR="00FA0945" w:rsidRPr="00DD477A" w14:paraId="21DCCACF" w14:textId="77777777" w:rsidTr="00F62D83">
        <w:tc>
          <w:tcPr>
            <w:tcW w:w="3397" w:type="dxa"/>
            <w:shd w:val="clear" w:color="auto" w:fill="F2F2F2" w:themeFill="background1" w:themeFillShade="F2"/>
          </w:tcPr>
          <w:p w14:paraId="0EA7B04B"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Font name</w:t>
            </w:r>
          </w:p>
        </w:tc>
        <w:tc>
          <w:tcPr>
            <w:tcW w:w="6096" w:type="dxa"/>
            <w:gridSpan w:val="4"/>
            <w:shd w:val="clear" w:color="auto" w:fill="F2F2F2" w:themeFill="background1" w:themeFillShade="F2"/>
          </w:tcPr>
          <w:p w14:paraId="5222F34E"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Arial</w:t>
            </w:r>
          </w:p>
        </w:tc>
      </w:tr>
      <w:tr w:rsidR="00FA0945" w:rsidRPr="00DD477A" w14:paraId="6EA8D83E" w14:textId="77777777" w:rsidTr="00F62D83">
        <w:tc>
          <w:tcPr>
            <w:tcW w:w="3397" w:type="dxa"/>
            <w:shd w:val="clear" w:color="auto" w:fill="F2F2F2" w:themeFill="background1" w:themeFillShade="F2"/>
          </w:tcPr>
          <w:p w14:paraId="2E5D2803"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Font size</w:t>
            </w:r>
          </w:p>
        </w:tc>
        <w:tc>
          <w:tcPr>
            <w:tcW w:w="6096" w:type="dxa"/>
            <w:gridSpan w:val="4"/>
            <w:shd w:val="clear" w:color="auto" w:fill="F2F2F2" w:themeFill="background1" w:themeFillShade="F2"/>
          </w:tcPr>
          <w:p w14:paraId="46D4D980" w14:textId="057BA1DC"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8 pt (colour = Black not automatic)</w:t>
            </w:r>
            <w:r w:rsidR="00C00476">
              <w:rPr>
                <w:rFonts w:cs="Calibri"/>
                <w:sz w:val="19"/>
                <w:szCs w:val="19"/>
              </w:rPr>
              <w:t xml:space="preserve"> or</w:t>
            </w:r>
            <w:r w:rsidR="00C00476">
              <w:rPr>
                <w:rFonts w:cs="Calibri"/>
                <w:sz w:val="19"/>
                <w:szCs w:val="19"/>
              </w:rPr>
              <w:br/>
              <w:t>7.5 pt minimum</w:t>
            </w:r>
          </w:p>
        </w:tc>
      </w:tr>
      <w:tr w:rsidR="00FA0945" w:rsidRPr="00DD477A" w14:paraId="25D35D0F" w14:textId="77777777" w:rsidTr="005B3DF8">
        <w:trPr>
          <w:trHeight w:val="646"/>
        </w:trPr>
        <w:tc>
          <w:tcPr>
            <w:tcW w:w="3397" w:type="dxa"/>
            <w:shd w:val="clear" w:color="auto" w:fill="F2F2F2" w:themeFill="background1" w:themeFillShade="F2"/>
          </w:tcPr>
          <w:p w14:paraId="5E7CAD12"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Height/width dimensions</w:t>
            </w:r>
          </w:p>
          <w:p w14:paraId="700870C4"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Portrait tables</w:t>
            </w:r>
          </w:p>
        </w:tc>
        <w:tc>
          <w:tcPr>
            <w:tcW w:w="6096" w:type="dxa"/>
            <w:gridSpan w:val="4"/>
            <w:shd w:val="clear" w:color="auto" w:fill="F2F2F2" w:themeFill="background1" w:themeFillShade="F2"/>
          </w:tcPr>
          <w:p w14:paraId="0EDAF842"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Width 13.6 cm (13 cm in a shaded cell)</w:t>
            </w:r>
          </w:p>
          <w:p w14:paraId="0172A292"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Height 21 cm</w:t>
            </w:r>
          </w:p>
        </w:tc>
      </w:tr>
      <w:tr w:rsidR="00FA0945" w:rsidRPr="00DD477A" w14:paraId="1CBBADC5" w14:textId="77777777" w:rsidTr="00F62D83">
        <w:trPr>
          <w:trHeight w:val="600"/>
        </w:trPr>
        <w:tc>
          <w:tcPr>
            <w:tcW w:w="3397" w:type="dxa"/>
            <w:shd w:val="clear" w:color="auto" w:fill="F2F2F2" w:themeFill="background1" w:themeFillShade="F2"/>
          </w:tcPr>
          <w:p w14:paraId="38A5CDC3"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Landscape</w:t>
            </w:r>
          </w:p>
        </w:tc>
        <w:tc>
          <w:tcPr>
            <w:tcW w:w="6096" w:type="dxa"/>
            <w:gridSpan w:val="4"/>
            <w:shd w:val="clear" w:color="auto" w:fill="F2F2F2" w:themeFill="background1" w:themeFillShade="F2"/>
          </w:tcPr>
          <w:p w14:paraId="4BD3717E"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Width 21 cm</w:t>
            </w:r>
          </w:p>
          <w:p w14:paraId="09B5C10C"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Height 13.6 cm</w:t>
            </w:r>
          </w:p>
        </w:tc>
      </w:tr>
      <w:tr w:rsidR="00C00476" w:rsidRPr="00DD477A" w14:paraId="015794F5" w14:textId="77777777" w:rsidTr="000A201A">
        <w:trPr>
          <w:trHeight w:val="600"/>
        </w:trPr>
        <w:tc>
          <w:tcPr>
            <w:tcW w:w="3397" w:type="dxa"/>
            <w:shd w:val="clear" w:color="auto" w:fill="F2F2F2" w:themeFill="background1" w:themeFillShade="F2"/>
          </w:tcPr>
          <w:p w14:paraId="6706322F" w14:textId="77777777" w:rsidR="00C00476" w:rsidRPr="00DD477A" w:rsidRDefault="00C00476" w:rsidP="002B4935">
            <w:pPr>
              <w:pStyle w:val="TableText-Medium"/>
              <w:spacing w:beforeLines="20" w:before="48" w:afterLines="20" w:after="48"/>
              <w:rPr>
                <w:rFonts w:cs="Calibri"/>
                <w:sz w:val="19"/>
                <w:szCs w:val="19"/>
              </w:rPr>
            </w:pPr>
            <w:r w:rsidRPr="00DD477A">
              <w:rPr>
                <w:rFonts w:cs="Calibri"/>
                <w:sz w:val="19"/>
                <w:szCs w:val="19"/>
              </w:rPr>
              <w:t>Row height</w:t>
            </w:r>
          </w:p>
          <w:p w14:paraId="73C02A2F" w14:textId="77777777" w:rsidR="00C00476" w:rsidRPr="00DD477A" w:rsidRDefault="00C00476" w:rsidP="002B4935">
            <w:pPr>
              <w:pStyle w:val="TableText-Medium"/>
              <w:spacing w:beforeLines="20" w:before="48" w:afterLines="20" w:after="48"/>
              <w:rPr>
                <w:rFonts w:cs="Calibri"/>
                <w:sz w:val="19"/>
                <w:szCs w:val="19"/>
              </w:rPr>
            </w:pPr>
            <w:r w:rsidRPr="00DD477A">
              <w:rPr>
                <w:rFonts w:cs="Calibri"/>
                <w:sz w:val="19"/>
                <w:szCs w:val="19"/>
              </w:rPr>
              <w:t>Text and numbers in the body of table (8pt font size)</w:t>
            </w:r>
          </w:p>
        </w:tc>
        <w:tc>
          <w:tcPr>
            <w:tcW w:w="2032" w:type="dxa"/>
            <w:shd w:val="clear" w:color="auto" w:fill="F2F2F2" w:themeFill="background1" w:themeFillShade="F2"/>
          </w:tcPr>
          <w:p w14:paraId="1C8423E5" w14:textId="64FCB229" w:rsidR="00C00476" w:rsidRDefault="00C00476">
            <w:pPr>
              <w:pStyle w:val="TableText-Medium"/>
              <w:spacing w:beforeLines="20" w:before="48" w:afterLines="20" w:after="48"/>
              <w:rPr>
                <w:rFonts w:cs="Calibri"/>
                <w:sz w:val="18"/>
                <w:szCs w:val="18"/>
              </w:rPr>
            </w:pPr>
            <w:r w:rsidRPr="0014243A">
              <w:rPr>
                <w:rFonts w:cs="Calibri"/>
                <w:sz w:val="18"/>
                <w:szCs w:val="18"/>
              </w:rPr>
              <w:t>Single blank row = 3</w:t>
            </w:r>
            <w:r>
              <w:rPr>
                <w:rFonts w:cs="Calibri"/>
                <w:sz w:val="18"/>
                <w:szCs w:val="18"/>
              </w:rPr>
              <w:t xml:space="preserve"> </w:t>
            </w:r>
            <w:r w:rsidRPr="0014243A">
              <w:rPr>
                <w:rFonts w:cs="Calibri"/>
                <w:sz w:val="18"/>
                <w:szCs w:val="18"/>
              </w:rPr>
              <w:t>pt</w:t>
            </w:r>
          </w:p>
          <w:p w14:paraId="452C22BC" w14:textId="4ABB851D" w:rsidR="00C00476" w:rsidRDefault="00C00476">
            <w:pPr>
              <w:pStyle w:val="TableText-Medium"/>
              <w:spacing w:beforeLines="20" w:before="48" w:afterLines="20" w:after="48"/>
              <w:rPr>
                <w:rFonts w:cs="Calibri"/>
                <w:sz w:val="18"/>
                <w:szCs w:val="18"/>
              </w:rPr>
            </w:pPr>
            <w:r w:rsidRPr="0014243A">
              <w:rPr>
                <w:rFonts w:cs="Calibri"/>
                <w:sz w:val="18"/>
                <w:szCs w:val="18"/>
              </w:rPr>
              <w:t>Single row = 11.25 pt</w:t>
            </w:r>
          </w:p>
          <w:p w14:paraId="089D104E" w14:textId="7474492C" w:rsidR="00C00476" w:rsidRPr="0014243A" w:rsidRDefault="00C00476" w:rsidP="00C00476">
            <w:pPr>
              <w:pStyle w:val="TableText-Medium"/>
              <w:spacing w:beforeLines="20" w:before="48" w:afterLines="20" w:after="48"/>
              <w:rPr>
                <w:rFonts w:cs="Calibri"/>
                <w:sz w:val="18"/>
                <w:szCs w:val="18"/>
              </w:rPr>
            </w:pPr>
            <w:r w:rsidRPr="00F851D1">
              <w:rPr>
                <w:rFonts w:cs="Calibri"/>
                <w:sz w:val="18"/>
                <w:szCs w:val="18"/>
              </w:rPr>
              <w:t>2 lines of text = 22.5</w:t>
            </w:r>
            <w:r>
              <w:rPr>
                <w:rFonts w:cs="Calibri"/>
                <w:sz w:val="18"/>
                <w:szCs w:val="18"/>
              </w:rPr>
              <w:t xml:space="preserve"> </w:t>
            </w:r>
            <w:r w:rsidRPr="00F851D1">
              <w:rPr>
                <w:rFonts w:cs="Calibri"/>
                <w:sz w:val="18"/>
                <w:szCs w:val="18"/>
              </w:rPr>
              <w:t>pt</w:t>
            </w:r>
          </w:p>
        </w:tc>
        <w:tc>
          <w:tcPr>
            <w:tcW w:w="2032" w:type="dxa"/>
            <w:gridSpan w:val="2"/>
            <w:shd w:val="clear" w:color="auto" w:fill="F2F2F2" w:themeFill="background1" w:themeFillShade="F2"/>
          </w:tcPr>
          <w:p w14:paraId="63C4826F" w14:textId="37056A8B" w:rsidR="00C00476" w:rsidRPr="0014243A" w:rsidRDefault="00C00476" w:rsidP="00C00476">
            <w:pPr>
              <w:pStyle w:val="TableText-Medium"/>
              <w:spacing w:beforeLines="20" w:before="48" w:afterLines="20" w:after="48"/>
              <w:rPr>
                <w:rFonts w:cs="Calibri"/>
                <w:sz w:val="18"/>
                <w:szCs w:val="18"/>
              </w:rPr>
            </w:pPr>
            <w:r w:rsidRPr="0014243A">
              <w:rPr>
                <w:rFonts w:cs="Calibri"/>
                <w:sz w:val="18"/>
                <w:szCs w:val="18"/>
              </w:rPr>
              <w:t>3 lines of text = 3</w:t>
            </w:r>
            <w:r>
              <w:rPr>
                <w:rFonts w:cs="Calibri"/>
                <w:sz w:val="18"/>
                <w:szCs w:val="18"/>
              </w:rPr>
              <w:t>3</w:t>
            </w:r>
            <w:r w:rsidRPr="0014243A">
              <w:rPr>
                <w:rFonts w:cs="Calibri"/>
                <w:sz w:val="18"/>
                <w:szCs w:val="18"/>
              </w:rPr>
              <w:t>.</w:t>
            </w:r>
            <w:r>
              <w:rPr>
                <w:rFonts w:cs="Calibri"/>
                <w:sz w:val="18"/>
                <w:szCs w:val="18"/>
              </w:rPr>
              <w:t>7</w:t>
            </w:r>
            <w:r w:rsidRPr="0014243A">
              <w:rPr>
                <w:rFonts w:cs="Calibri"/>
                <w:sz w:val="18"/>
                <w:szCs w:val="18"/>
              </w:rPr>
              <w:t>5</w:t>
            </w:r>
            <w:r>
              <w:rPr>
                <w:rFonts w:cs="Calibri"/>
                <w:sz w:val="18"/>
                <w:szCs w:val="18"/>
              </w:rPr>
              <w:t xml:space="preserve"> </w:t>
            </w:r>
            <w:r w:rsidRPr="0014243A">
              <w:rPr>
                <w:rFonts w:cs="Calibri"/>
                <w:sz w:val="18"/>
                <w:szCs w:val="18"/>
              </w:rPr>
              <w:t>pt</w:t>
            </w:r>
          </w:p>
          <w:p w14:paraId="2457ED93" w14:textId="34B58D89" w:rsidR="00C00476" w:rsidRPr="00F851D1" w:rsidRDefault="00C00476" w:rsidP="00C00476">
            <w:pPr>
              <w:pStyle w:val="TableText-Medium"/>
              <w:spacing w:beforeLines="20" w:before="48" w:afterLines="20" w:after="48"/>
              <w:rPr>
                <w:rFonts w:cs="Calibri"/>
                <w:sz w:val="18"/>
                <w:szCs w:val="18"/>
              </w:rPr>
            </w:pPr>
            <w:r>
              <w:rPr>
                <w:rFonts w:cs="Calibri"/>
                <w:sz w:val="18"/>
                <w:szCs w:val="18"/>
              </w:rPr>
              <w:t>4</w:t>
            </w:r>
            <w:r w:rsidRPr="00F851D1">
              <w:rPr>
                <w:rFonts w:cs="Calibri"/>
                <w:sz w:val="18"/>
                <w:szCs w:val="18"/>
              </w:rPr>
              <w:t xml:space="preserve"> lines of text = </w:t>
            </w:r>
            <w:r>
              <w:rPr>
                <w:rFonts w:cs="Calibri"/>
                <w:sz w:val="18"/>
                <w:szCs w:val="18"/>
              </w:rPr>
              <w:t xml:space="preserve">45 </w:t>
            </w:r>
            <w:r w:rsidRPr="00F851D1">
              <w:rPr>
                <w:rFonts w:cs="Calibri"/>
                <w:sz w:val="18"/>
                <w:szCs w:val="18"/>
              </w:rPr>
              <w:t>pt</w:t>
            </w:r>
          </w:p>
          <w:p w14:paraId="0C8726A1" w14:textId="47AAAA42" w:rsidR="00C00476" w:rsidRPr="0014243A" w:rsidRDefault="00C00476" w:rsidP="00C00476">
            <w:pPr>
              <w:pStyle w:val="TableText-Medium"/>
              <w:spacing w:beforeLines="20" w:before="48" w:afterLines="20" w:after="48"/>
              <w:rPr>
                <w:rFonts w:cs="Calibri"/>
                <w:sz w:val="18"/>
                <w:szCs w:val="18"/>
              </w:rPr>
            </w:pPr>
            <w:r>
              <w:rPr>
                <w:rFonts w:cs="Calibri"/>
                <w:sz w:val="18"/>
                <w:szCs w:val="18"/>
              </w:rPr>
              <w:t>5</w:t>
            </w:r>
            <w:r w:rsidRPr="00F851D1">
              <w:rPr>
                <w:rFonts w:cs="Calibri"/>
                <w:sz w:val="18"/>
                <w:szCs w:val="18"/>
              </w:rPr>
              <w:t xml:space="preserve"> lines of text = </w:t>
            </w:r>
            <w:r>
              <w:rPr>
                <w:rFonts w:cs="Calibri"/>
                <w:sz w:val="18"/>
                <w:szCs w:val="18"/>
              </w:rPr>
              <w:t xml:space="preserve">56.25 </w:t>
            </w:r>
            <w:r w:rsidRPr="00F851D1">
              <w:rPr>
                <w:rFonts w:cs="Calibri"/>
                <w:sz w:val="18"/>
                <w:szCs w:val="18"/>
              </w:rPr>
              <w:t>pt</w:t>
            </w:r>
          </w:p>
        </w:tc>
        <w:tc>
          <w:tcPr>
            <w:tcW w:w="2032" w:type="dxa"/>
            <w:shd w:val="clear" w:color="auto" w:fill="F2F2F2" w:themeFill="background1" w:themeFillShade="F2"/>
          </w:tcPr>
          <w:p w14:paraId="2E1F499B" w14:textId="62AC983F" w:rsidR="00C00476" w:rsidRPr="0014243A" w:rsidRDefault="00C00476">
            <w:pPr>
              <w:pStyle w:val="TableText-Medium"/>
              <w:spacing w:beforeLines="20" w:before="48" w:afterLines="20" w:after="48"/>
              <w:rPr>
                <w:rFonts w:cs="Calibri"/>
                <w:sz w:val="18"/>
                <w:szCs w:val="18"/>
              </w:rPr>
            </w:pPr>
            <w:r>
              <w:rPr>
                <w:rFonts w:cs="Calibri"/>
                <w:sz w:val="18"/>
                <w:szCs w:val="18"/>
              </w:rPr>
              <w:t>6</w:t>
            </w:r>
            <w:r w:rsidRPr="00F851D1">
              <w:rPr>
                <w:rFonts w:cs="Calibri"/>
                <w:sz w:val="18"/>
                <w:szCs w:val="18"/>
              </w:rPr>
              <w:t xml:space="preserve"> lines of text = </w:t>
            </w:r>
            <w:r>
              <w:rPr>
                <w:rFonts w:cs="Calibri"/>
                <w:sz w:val="18"/>
                <w:szCs w:val="18"/>
              </w:rPr>
              <w:t xml:space="preserve">67.5 </w:t>
            </w:r>
            <w:r w:rsidRPr="00F851D1">
              <w:rPr>
                <w:rFonts w:cs="Calibri"/>
                <w:sz w:val="18"/>
                <w:szCs w:val="18"/>
              </w:rPr>
              <w:t>pt</w:t>
            </w:r>
          </w:p>
        </w:tc>
      </w:tr>
      <w:tr w:rsidR="00FA0945" w:rsidRPr="00DD477A" w14:paraId="4DC0C03E" w14:textId="77777777" w:rsidTr="00595CC0">
        <w:trPr>
          <w:trHeight w:val="834"/>
        </w:trPr>
        <w:tc>
          <w:tcPr>
            <w:tcW w:w="3397" w:type="dxa"/>
            <w:shd w:val="clear" w:color="auto" w:fill="F2F2F2" w:themeFill="background1" w:themeFillShade="F2"/>
          </w:tcPr>
          <w:p w14:paraId="719FAFD5" w14:textId="16EE8F5E" w:rsidR="00FA0945" w:rsidRPr="00DD477A" w:rsidRDefault="53BF0693" w:rsidP="002B4935">
            <w:pPr>
              <w:pStyle w:val="TableText-Medium"/>
              <w:spacing w:beforeLines="20" w:before="48" w:afterLines="20" w:after="48"/>
              <w:rPr>
                <w:rFonts w:cs="Calibri"/>
                <w:b/>
                <w:sz w:val="19"/>
                <w:szCs w:val="19"/>
              </w:rPr>
            </w:pPr>
            <w:r w:rsidRPr="00DD477A">
              <w:rPr>
                <w:rFonts w:cs="Calibri"/>
                <w:sz w:val="19"/>
                <w:szCs w:val="19"/>
              </w:rPr>
              <w:t xml:space="preserve">If you need to squeeze a table onto one page, the font size </w:t>
            </w:r>
            <w:r w:rsidR="006522A1" w:rsidRPr="00DD477A">
              <w:rPr>
                <w:rFonts w:cs="Calibri"/>
                <w:b/>
                <w:bCs/>
                <w:sz w:val="19"/>
                <w:szCs w:val="19"/>
              </w:rPr>
              <w:t xml:space="preserve">can </w:t>
            </w:r>
            <w:r w:rsidR="004B7CC2" w:rsidRPr="00DD477A">
              <w:rPr>
                <w:rFonts w:cs="Calibri"/>
                <w:b/>
                <w:bCs/>
                <w:sz w:val="19"/>
                <w:szCs w:val="19"/>
              </w:rPr>
              <w:t xml:space="preserve">be </w:t>
            </w:r>
            <w:r w:rsidR="006522A1" w:rsidRPr="00DD477A">
              <w:rPr>
                <w:rFonts w:cs="Calibri"/>
                <w:b/>
                <w:bCs/>
                <w:sz w:val="19"/>
                <w:szCs w:val="19"/>
              </w:rPr>
              <w:t>reduce</w:t>
            </w:r>
            <w:r w:rsidR="004B7CC2" w:rsidRPr="00DD477A">
              <w:rPr>
                <w:rFonts w:cs="Calibri"/>
                <w:b/>
                <w:bCs/>
                <w:sz w:val="19"/>
                <w:szCs w:val="19"/>
              </w:rPr>
              <w:t>d</w:t>
            </w:r>
            <w:r w:rsidR="006522A1" w:rsidRPr="00DD477A">
              <w:rPr>
                <w:rFonts w:cs="Calibri"/>
                <w:b/>
                <w:bCs/>
                <w:sz w:val="19"/>
                <w:szCs w:val="19"/>
              </w:rPr>
              <w:t xml:space="preserve"> </w:t>
            </w:r>
            <w:r w:rsidRPr="00DD477A">
              <w:rPr>
                <w:rFonts w:cs="Calibri"/>
                <w:b/>
                <w:bCs/>
                <w:sz w:val="19"/>
                <w:szCs w:val="19"/>
              </w:rPr>
              <w:t xml:space="preserve">to </w:t>
            </w:r>
            <w:r w:rsidR="004B7CC2" w:rsidRPr="00DD477A">
              <w:rPr>
                <w:rFonts w:cs="Calibri"/>
                <w:b/>
                <w:bCs/>
                <w:sz w:val="19"/>
                <w:szCs w:val="19"/>
              </w:rPr>
              <w:t xml:space="preserve">no smaller than </w:t>
            </w:r>
            <w:r w:rsidRPr="00DD477A">
              <w:rPr>
                <w:rFonts w:cs="Calibri"/>
                <w:b/>
                <w:bCs/>
                <w:sz w:val="19"/>
                <w:szCs w:val="19"/>
              </w:rPr>
              <w:t xml:space="preserve">7.5 </w:t>
            </w:r>
            <w:r w:rsidR="00C00476">
              <w:rPr>
                <w:rFonts w:cs="Calibri"/>
                <w:b/>
                <w:bCs/>
                <w:sz w:val="19"/>
                <w:szCs w:val="19"/>
              </w:rPr>
              <w:t>pt</w:t>
            </w:r>
            <w:r w:rsidRPr="00DD477A">
              <w:rPr>
                <w:rFonts w:cs="Calibri"/>
                <w:b/>
                <w:bCs/>
                <w:sz w:val="19"/>
                <w:szCs w:val="19"/>
              </w:rPr>
              <w:t>.</w:t>
            </w:r>
          </w:p>
        </w:tc>
        <w:tc>
          <w:tcPr>
            <w:tcW w:w="6096" w:type="dxa"/>
            <w:gridSpan w:val="4"/>
            <w:shd w:val="clear" w:color="auto" w:fill="F2F2F2" w:themeFill="background1" w:themeFillShade="F2"/>
          </w:tcPr>
          <w:p w14:paraId="1629697E" w14:textId="58FEB6DA"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 xml:space="preserve">Set row height to 10.5 </w:t>
            </w:r>
            <w:r w:rsidR="00C00476">
              <w:rPr>
                <w:rFonts w:cs="Calibri"/>
                <w:sz w:val="19"/>
                <w:szCs w:val="19"/>
              </w:rPr>
              <w:t>pt</w:t>
            </w:r>
          </w:p>
        </w:tc>
      </w:tr>
      <w:tr w:rsidR="00FA0945" w:rsidRPr="00DD477A" w14:paraId="474AB4A9" w14:textId="77777777" w:rsidTr="00F62D83">
        <w:trPr>
          <w:trHeight w:val="285"/>
        </w:trPr>
        <w:tc>
          <w:tcPr>
            <w:tcW w:w="3397" w:type="dxa"/>
            <w:vMerge w:val="restart"/>
            <w:shd w:val="clear" w:color="auto" w:fill="F2F2F2" w:themeFill="background1" w:themeFillShade="F2"/>
          </w:tcPr>
          <w:p w14:paraId="769BF093"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Table cell alignment</w:t>
            </w:r>
          </w:p>
          <w:p w14:paraId="57692060"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Text</w:t>
            </w:r>
          </w:p>
        </w:tc>
        <w:tc>
          <w:tcPr>
            <w:tcW w:w="2386" w:type="dxa"/>
            <w:gridSpan w:val="2"/>
            <w:shd w:val="clear" w:color="auto" w:fill="F2F2F2" w:themeFill="background1" w:themeFillShade="F2"/>
          </w:tcPr>
          <w:p w14:paraId="770BEF25"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Horizontal</w:t>
            </w:r>
          </w:p>
        </w:tc>
        <w:tc>
          <w:tcPr>
            <w:tcW w:w="3710" w:type="dxa"/>
            <w:gridSpan w:val="2"/>
            <w:shd w:val="clear" w:color="auto" w:fill="F2F2F2" w:themeFill="background1" w:themeFillShade="F2"/>
          </w:tcPr>
          <w:p w14:paraId="1FE24A57"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Vertical</w:t>
            </w:r>
          </w:p>
        </w:tc>
      </w:tr>
      <w:tr w:rsidR="00FA0945" w:rsidRPr="00DD477A" w14:paraId="3453EC1D" w14:textId="77777777" w:rsidTr="00F62D83">
        <w:trPr>
          <w:trHeight w:val="330"/>
        </w:trPr>
        <w:tc>
          <w:tcPr>
            <w:tcW w:w="3397" w:type="dxa"/>
            <w:vMerge/>
            <w:shd w:val="clear" w:color="auto" w:fill="F2F2F2" w:themeFill="background1" w:themeFillShade="F2"/>
          </w:tcPr>
          <w:p w14:paraId="1801950F" w14:textId="77777777" w:rsidR="00FA0945" w:rsidRPr="00DD477A" w:rsidRDefault="00FA0945" w:rsidP="002B4935">
            <w:pPr>
              <w:pStyle w:val="TableText-Medium"/>
              <w:spacing w:beforeLines="20" w:before="48" w:afterLines="20" w:after="48"/>
              <w:rPr>
                <w:rFonts w:cs="Calibri"/>
                <w:sz w:val="19"/>
                <w:szCs w:val="19"/>
              </w:rPr>
            </w:pPr>
          </w:p>
        </w:tc>
        <w:tc>
          <w:tcPr>
            <w:tcW w:w="2386" w:type="dxa"/>
            <w:gridSpan w:val="2"/>
            <w:shd w:val="clear" w:color="auto" w:fill="F2F2F2" w:themeFill="background1" w:themeFillShade="F2"/>
          </w:tcPr>
          <w:p w14:paraId="0FC015E0"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Left align</w:t>
            </w:r>
          </w:p>
        </w:tc>
        <w:tc>
          <w:tcPr>
            <w:tcW w:w="3710" w:type="dxa"/>
            <w:gridSpan w:val="2"/>
            <w:shd w:val="clear" w:color="auto" w:fill="F2F2F2" w:themeFill="background1" w:themeFillShade="F2"/>
          </w:tcPr>
          <w:p w14:paraId="5713F968"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Centre</w:t>
            </w:r>
          </w:p>
        </w:tc>
      </w:tr>
      <w:tr w:rsidR="00FA0945" w:rsidRPr="00DD477A" w14:paraId="7C020E67" w14:textId="77777777" w:rsidTr="00F62D83">
        <w:trPr>
          <w:trHeight w:val="270"/>
        </w:trPr>
        <w:tc>
          <w:tcPr>
            <w:tcW w:w="3397" w:type="dxa"/>
            <w:shd w:val="clear" w:color="auto" w:fill="F2F2F2" w:themeFill="background1" w:themeFillShade="F2"/>
          </w:tcPr>
          <w:p w14:paraId="1295EC81"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Numbers (use ROUND function)</w:t>
            </w:r>
          </w:p>
        </w:tc>
        <w:tc>
          <w:tcPr>
            <w:tcW w:w="2386" w:type="dxa"/>
            <w:gridSpan w:val="2"/>
            <w:shd w:val="clear" w:color="auto" w:fill="F2F2F2" w:themeFill="background1" w:themeFillShade="F2"/>
          </w:tcPr>
          <w:p w14:paraId="1C9ECDC8"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Right align</w:t>
            </w:r>
          </w:p>
        </w:tc>
        <w:tc>
          <w:tcPr>
            <w:tcW w:w="3710" w:type="dxa"/>
            <w:gridSpan w:val="2"/>
            <w:shd w:val="clear" w:color="auto" w:fill="F2F2F2" w:themeFill="background1" w:themeFillShade="F2"/>
          </w:tcPr>
          <w:p w14:paraId="13493EFC"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Centre</w:t>
            </w:r>
          </w:p>
        </w:tc>
      </w:tr>
      <w:tr w:rsidR="00FA0945" w:rsidRPr="00DD477A" w14:paraId="3CD42BDB" w14:textId="77777777" w:rsidTr="003A192E">
        <w:trPr>
          <w:trHeight w:val="423"/>
        </w:trPr>
        <w:tc>
          <w:tcPr>
            <w:tcW w:w="3397" w:type="dxa"/>
            <w:shd w:val="clear" w:color="auto" w:fill="F2F2F2" w:themeFill="background1" w:themeFillShade="F2"/>
          </w:tcPr>
          <w:p w14:paraId="75EF82D8"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Braced column headings</w:t>
            </w:r>
          </w:p>
        </w:tc>
        <w:tc>
          <w:tcPr>
            <w:tcW w:w="2386" w:type="dxa"/>
            <w:gridSpan w:val="2"/>
            <w:shd w:val="clear" w:color="auto" w:fill="F2F2F2" w:themeFill="background1" w:themeFillShade="F2"/>
          </w:tcPr>
          <w:p w14:paraId="007B9B5F"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Centre</w:t>
            </w:r>
          </w:p>
        </w:tc>
        <w:tc>
          <w:tcPr>
            <w:tcW w:w="3710" w:type="dxa"/>
            <w:gridSpan w:val="2"/>
            <w:shd w:val="clear" w:color="auto" w:fill="F2F2F2" w:themeFill="background1" w:themeFillShade="F2"/>
          </w:tcPr>
          <w:p w14:paraId="21044B94"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Centre</w:t>
            </w:r>
          </w:p>
        </w:tc>
      </w:tr>
      <w:tr w:rsidR="00FA0945" w:rsidRPr="00DD477A" w14:paraId="590ACA64" w14:textId="77777777" w:rsidTr="00F62D83">
        <w:tc>
          <w:tcPr>
            <w:tcW w:w="3397" w:type="dxa"/>
            <w:shd w:val="clear" w:color="auto" w:fill="F2F2F2" w:themeFill="background1" w:themeFillShade="F2"/>
          </w:tcPr>
          <w:p w14:paraId="32A353A7"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Borders</w:t>
            </w:r>
          </w:p>
        </w:tc>
        <w:tc>
          <w:tcPr>
            <w:tcW w:w="6096" w:type="dxa"/>
            <w:gridSpan w:val="4"/>
            <w:shd w:val="clear" w:color="auto" w:fill="F2F2F2" w:themeFill="background1" w:themeFillShade="F2"/>
          </w:tcPr>
          <w:p w14:paraId="3ECCFCCB" w14:textId="07C95AE2" w:rsidR="00FA0945" w:rsidRPr="00DD477A" w:rsidRDefault="53BF0693">
            <w:pPr>
              <w:pStyle w:val="TableText-Medium"/>
              <w:spacing w:beforeLines="20" w:before="48" w:afterLines="20" w:after="48"/>
              <w:rPr>
                <w:rFonts w:cs="Calibri"/>
                <w:sz w:val="19"/>
                <w:szCs w:val="19"/>
              </w:rPr>
            </w:pPr>
            <w:r w:rsidRPr="00DD477A">
              <w:rPr>
                <w:rFonts w:cs="Calibri"/>
                <w:sz w:val="19"/>
                <w:szCs w:val="19"/>
              </w:rPr>
              <w:t>Colour = Black, hairline weight (first option in list, not the default)</w:t>
            </w:r>
          </w:p>
        </w:tc>
      </w:tr>
      <w:tr w:rsidR="00FA0945" w:rsidRPr="00DD477A" w14:paraId="11247011" w14:textId="77777777" w:rsidTr="00F62D83">
        <w:tc>
          <w:tcPr>
            <w:tcW w:w="3397" w:type="dxa"/>
            <w:shd w:val="clear" w:color="auto" w:fill="F2F2F2" w:themeFill="background1" w:themeFillShade="F2"/>
          </w:tcPr>
          <w:p w14:paraId="0E034595"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Column width</w:t>
            </w:r>
          </w:p>
        </w:tc>
        <w:tc>
          <w:tcPr>
            <w:tcW w:w="6096" w:type="dxa"/>
            <w:gridSpan w:val="4"/>
            <w:shd w:val="clear" w:color="auto" w:fill="F2F2F2" w:themeFill="background1" w:themeFillShade="F2"/>
          </w:tcPr>
          <w:p w14:paraId="2E912425" w14:textId="41330449"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Be consistent</w:t>
            </w:r>
            <w:r w:rsidR="003A192E" w:rsidRPr="00DD477A">
              <w:rPr>
                <w:rFonts w:cs="Calibri"/>
                <w:sz w:val="19"/>
                <w:szCs w:val="19"/>
              </w:rPr>
              <w:t>,</w:t>
            </w:r>
            <w:r w:rsidRPr="00DD477A">
              <w:rPr>
                <w:rFonts w:cs="Calibri"/>
                <w:sz w:val="19"/>
                <w:szCs w:val="19"/>
              </w:rPr>
              <w:t xml:space="preserve"> particularly if there are similar tables on the one page</w:t>
            </w:r>
          </w:p>
        </w:tc>
      </w:tr>
      <w:tr w:rsidR="00FA0945" w:rsidRPr="00DD477A" w14:paraId="3A5D0D47" w14:textId="77777777" w:rsidTr="00595CC0">
        <w:trPr>
          <w:trHeight w:val="878"/>
        </w:trPr>
        <w:tc>
          <w:tcPr>
            <w:tcW w:w="3397" w:type="dxa"/>
            <w:shd w:val="clear" w:color="auto" w:fill="F2F2F2" w:themeFill="background1" w:themeFillShade="F2"/>
          </w:tcPr>
          <w:p w14:paraId="3DEC00BC"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Blank columns and rows</w:t>
            </w:r>
          </w:p>
          <w:p w14:paraId="6B515110" w14:textId="5791D025"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Columns</w:t>
            </w:r>
          </w:p>
        </w:tc>
        <w:tc>
          <w:tcPr>
            <w:tcW w:w="6096" w:type="dxa"/>
            <w:gridSpan w:val="4"/>
            <w:shd w:val="clear" w:color="auto" w:fill="F2F2F2" w:themeFill="background1" w:themeFillShade="F2"/>
          </w:tcPr>
          <w:p w14:paraId="299FD018"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Set column width to .5</w:t>
            </w:r>
          </w:p>
          <w:p w14:paraId="59084104" w14:textId="77777777" w:rsidR="00343FA8" w:rsidRPr="00DD477A" w:rsidRDefault="53BF0693" w:rsidP="002B4935">
            <w:pPr>
              <w:pStyle w:val="TableText-Medium"/>
              <w:spacing w:beforeLines="20" w:before="48" w:afterLines="20" w:after="48"/>
              <w:rPr>
                <w:rFonts w:cs="Calibri"/>
                <w:sz w:val="19"/>
                <w:szCs w:val="19"/>
              </w:rPr>
            </w:pPr>
            <w:r w:rsidRPr="00DD477A">
              <w:rPr>
                <w:rFonts w:cs="Calibri"/>
                <w:sz w:val="19"/>
                <w:szCs w:val="19"/>
              </w:rPr>
              <w:t>Remove the bottom border for blank columns (see example table 1)</w:t>
            </w:r>
            <w:r w:rsidR="003A192E" w:rsidRPr="00DD477A">
              <w:rPr>
                <w:rFonts w:cs="Calibri"/>
                <w:sz w:val="19"/>
                <w:szCs w:val="19"/>
              </w:rPr>
              <w:t>.</w:t>
            </w:r>
          </w:p>
          <w:p w14:paraId="72FEF72A" w14:textId="2838EEAC" w:rsidR="00FA0945" w:rsidRPr="00DD477A" w:rsidRDefault="003A192E" w:rsidP="002B4935">
            <w:pPr>
              <w:pStyle w:val="TableText-Medium"/>
              <w:spacing w:beforeLines="20" w:before="48" w:afterLines="20" w:after="48"/>
              <w:rPr>
                <w:rFonts w:cs="Calibri"/>
                <w:sz w:val="19"/>
                <w:szCs w:val="19"/>
              </w:rPr>
            </w:pPr>
            <w:r w:rsidRPr="00DD477A">
              <w:rPr>
                <w:rFonts w:cs="Calibri"/>
                <w:sz w:val="19"/>
                <w:szCs w:val="19"/>
              </w:rPr>
              <w:t>To separate columns where braced headings have been used</w:t>
            </w:r>
          </w:p>
        </w:tc>
      </w:tr>
      <w:tr w:rsidR="00FA0945" w:rsidRPr="00DD477A" w14:paraId="0AF9E224" w14:textId="77777777" w:rsidTr="003A192E">
        <w:trPr>
          <w:trHeight w:val="384"/>
        </w:trPr>
        <w:tc>
          <w:tcPr>
            <w:tcW w:w="3397" w:type="dxa"/>
            <w:shd w:val="clear" w:color="auto" w:fill="F2F2F2" w:themeFill="background1" w:themeFillShade="F2"/>
          </w:tcPr>
          <w:p w14:paraId="1ED342EC"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Rows</w:t>
            </w:r>
          </w:p>
        </w:tc>
        <w:tc>
          <w:tcPr>
            <w:tcW w:w="6096" w:type="dxa"/>
            <w:gridSpan w:val="4"/>
            <w:shd w:val="clear" w:color="auto" w:fill="F2F2F2" w:themeFill="background1" w:themeFillShade="F2"/>
          </w:tcPr>
          <w:p w14:paraId="29BB2151" w14:textId="3EB9C1C1" w:rsidR="00FA0945" w:rsidRPr="00DD477A" w:rsidRDefault="53BF0693">
            <w:pPr>
              <w:pStyle w:val="TableText-Medium"/>
              <w:spacing w:beforeLines="20" w:before="48" w:afterLines="20" w:after="48"/>
              <w:rPr>
                <w:rFonts w:cs="Calibri"/>
                <w:sz w:val="19"/>
                <w:szCs w:val="19"/>
              </w:rPr>
            </w:pPr>
            <w:r w:rsidRPr="00DD477A">
              <w:rPr>
                <w:rFonts w:cs="Calibri"/>
                <w:sz w:val="19"/>
                <w:szCs w:val="19"/>
              </w:rPr>
              <w:t xml:space="preserve">Set row height to 3 </w:t>
            </w:r>
            <w:r w:rsidR="00C00476">
              <w:rPr>
                <w:rFonts w:cs="Calibri"/>
                <w:sz w:val="19"/>
                <w:szCs w:val="19"/>
              </w:rPr>
              <w:t>pt</w:t>
            </w:r>
          </w:p>
        </w:tc>
      </w:tr>
    </w:tbl>
    <w:p w14:paraId="2F653E05" w14:textId="774AECEA" w:rsidR="00FA0945" w:rsidRPr="00DD477A" w:rsidRDefault="53BF0693" w:rsidP="00580008">
      <w:pPr>
        <w:pStyle w:val="Boxed2Text"/>
        <w:rPr>
          <w:rFonts w:cs="Calibri"/>
        </w:rPr>
      </w:pPr>
      <w:r w:rsidRPr="00DD477A">
        <w:rPr>
          <w:rFonts w:cs="Calibri"/>
        </w:rPr>
        <w:t xml:space="preserve">Please use minimal capitalisation. </w:t>
      </w:r>
      <w:r w:rsidRPr="00DD477A">
        <w:rPr>
          <w:rFonts w:cs="Calibri"/>
          <w:b/>
          <w:bCs/>
        </w:rPr>
        <w:t>Wrap text</w:t>
      </w:r>
      <w:r w:rsidRPr="00DD477A">
        <w:rPr>
          <w:rFonts w:cs="Calibri"/>
        </w:rPr>
        <w:t xml:space="preserve"> if text goes over a column width.</w:t>
      </w:r>
    </w:p>
    <w:p w14:paraId="5A090F78" w14:textId="02071EAC" w:rsidR="00FA0945" w:rsidRPr="00DD477A" w:rsidRDefault="53BF0693" w:rsidP="003D6589">
      <w:pPr>
        <w:pStyle w:val="Heading2"/>
      </w:pPr>
      <w:bookmarkStart w:id="1653" w:name="_Toc63347744"/>
      <w:bookmarkStart w:id="1654" w:name="_Toc227749106"/>
      <w:r w:rsidRPr="00DD477A">
        <w:t>Formatting an existing table to budget standards</w:t>
      </w:r>
      <w:bookmarkEnd w:id="1653"/>
      <w:bookmarkEnd w:id="1654"/>
    </w:p>
    <w:p w14:paraId="691171CA" w14:textId="77777777" w:rsidR="005E6189" w:rsidRDefault="00006697" w:rsidP="000A7DEC">
      <w:pPr>
        <w:rPr>
          <w:rFonts w:cs="Calibri"/>
        </w:rPr>
      </w:pPr>
      <w:r w:rsidRPr="00DD477A">
        <w:rPr>
          <w:rFonts w:cs="Calibri"/>
        </w:rPr>
        <w:t>In</w:t>
      </w:r>
      <w:r w:rsidR="53BF0693" w:rsidRPr="00DD477A">
        <w:rPr>
          <w:rFonts w:cs="Calibri"/>
        </w:rPr>
        <w:t xml:space="preserve"> </w:t>
      </w:r>
      <w:r w:rsidRPr="00DD477A">
        <w:rPr>
          <w:rFonts w:cs="Calibri"/>
        </w:rPr>
        <w:t xml:space="preserve">Excel, to </w:t>
      </w:r>
      <w:r w:rsidR="53BF0693" w:rsidRPr="00DD477A">
        <w:rPr>
          <w:rFonts w:cs="Calibri"/>
        </w:rPr>
        <w:t xml:space="preserve">create a table which fits </w:t>
      </w:r>
      <w:r w:rsidR="00655080" w:rsidRPr="00DD477A">
        <w:rPr>
          <w:rFonts w:cs="Calibri"/>
        </w:rPr>
        <w:t>within</w:t>
      </w:r>
      <w:r w:rsidR="53BF0693" w:rsidRPr="00DD477A">
        <w:rPr>
          <w:rFonts w:cs="Calibri"/>
        </w:rPr>
        <w:t xml:space="preserve"> </w:t>
      </w:r>
      <w:r w:rsidR="00AF20E5" w:rsidRPr="00DD477A">
        <w:rPr>
          <w:rFonts w:cs="Calibri"/>
        </w:rPr>
        <w:t xml:space="preserve">the margins </w:t>
      </w:r>
      <w:r w:rsidR="000D4EA4" w:rsidRPr="00DD477A">
        <w:rPr>
          <w:rFonts w:cs="Calibri"/>
        </w:rPr>
        <w:t xml:space="preserve">set for the PB Statements in the </w:t>
      </w:r>
      <w:r w:rsidR="00B20F81" w:rsidRPr="00DD477A">
        <w:rPr>
          <w:rFonts w:cs="Calibri"/>
        </w:rPr>
        <w:t>W</w:t>
      </w:r>
      <w:r w:rsidR="53BF0693" w:rsidRPr="00DD477A">
        <w:rPr>
          <w:rFonts w:cs="Calibri"/>
        </w:rPr>
        <w:t>ord document</w:t>
      </w:r>
      <w:r w:rsidR="009649BC" w:rsidRPr="00DD477A">
        <w:rPr>
          <w:rFonts w:cs="Calibri"/>
        </w:rPr>
        <w:t xml:space="preserve">, follow the </w:t>
      </w:r>
      <w:r w:rsidR="00AF20E5" w:rsidRPr="00DD477A">
        <w:rPr>
          <w:rFonts w:cs="Calibri"/>
        </w:rPr>
        <w:t>below instructions</w:t>
      </w:r>
      <w:r w:rsidR="005E6189">
        <w:rPr>
          <w:rFonts w:cs="Calibri"/>
        </w:rPr>
        <w:t>.</w:t>
      </w:r>
    </w:p>
    <w:p w14:paraId="28A35DA4" w14:textId="106FCB1E" w:rsidR="00FA0945" w:rsidRPr="007478CF" w:rsidRDefault="005E6189" w:rsidP="0014243A">
      <w:pPr>
        <w:pStyle w:val="Boxed2Text"/>
      </w:pPr>
      <w:r w:rsidRPr="007478CF">
        <w:t xml:space="preserve">Additional instructions </w:t>
      </w:r>
      <w:r w:rsidR="00904696" w:rsidRPr="007478CF">
        <w:t xml:space="preserve">are included in </w:t>
      </w:r>
      <w:r w:rsidR="00757517" w:rsidRPr="007478CF">
        <w:t xml:space="preserve">the </w:t>
      </w:r>
      <w:r w:rsidR="007478CF" w:rsidRPr="007478CF">
        <w:t xml:space="preserve">worksheet titled ‘Table Formatting‘ in </w:t>
      </w:r>
      <w:r w:rsidR="00757517" w:rsidRPr="007478CF">
        <w:t>PB</w:t>
      </w:r>
      <w:r w:rsidR="007478CF" w:rsidRPr="007478CF">
        <w:t xml:space="preserve"> </w:t>
      </w:r>
      <w:r w:rsidR="00757517" w:rsidRPr="007478CF">
        <w:t>S</w:t>
      </w:r>
      <w:r w:rsidR="007478CF" w:rsidRPr="007478CF">
        <w:t>tatement</w:t>
      </w:r>
      <w:r w:rsidR="00757517" w:rsidRPr="007478CF">
        <w:t xml:space="preserve"> Excel table</w:t>
      </w:r>
      <w:r w:rsidR="007478CF" w:rsidRPr="007478CF">
        <w:t xml:space="preserve">s template refer to </w:t>
      </w:r>
      <w:r w:rsidR="00904696" w:rsidRPr="0014243A">
        <w:rPr>
          <w:u w:val="single"/>
        </w:rPr>
        <w:t>Attachment B</w:t>
      </w:r>
      <w:r w:rsidR="00904696" w:rsidRPr="007478CF">
        <w:t xml:space="preserve"> - </w:t>
      </w:r>
      <w:r w:rsidR="00CE335A" w:rsidRPr="007478CF">
        <w:t>2026-27 Portfolio Budget Statement Statements.</w:t>
      </w:r>
    </w:p>
    <w:p w14:paraId="1E4C1766" w14:textId="10FA2118" w:rsidR="00FA0945" w:rsidRPr="00DD477A" w:rsidRDefault="00AF20E5" w:rsidP="0014243A">
      <w:pPr>
        <w:pStyle w:val="Heading3"/>
      </w:pPr>
      <w:bookmarkStart w:id="1655" w:name="_Ref45028756"/>
      <w:bookmarkStart w:id="1656" w:name="_Toc227749107"/>
      <w:r w:rsidRPr="00DD477A">
        <w:t xml:space="preserve">For </w:t>
      </w:r>
      <w:r w:rsidR="53BF0693" w:rsidRPr="00DD477A">
        <w:t>Portrait tables</w:t>
      </w:r>
      <w:bookmarkEnd w:id="1655"/>
      <w:bookmarkEnd w:id="1656"/>
    </w:p>
    <w:p w14:paraId="682A6E15" w14:textId="6176A247" w:rsidR="00FA0945" w:rsidRPr="00DD477A" w:rsidRDefault="00FA0945" w:rsidP="00AA1E87">
      <w:pPr>
        <w:pStyle w:val="Numbered"/>
        <w:numPr>
          <w:ilvl w:val="0"/>
          <w:numId w:val="23"/>
        </w:numPr>
      </w:pPr>
      <w:r w:rsidRPr="00DD477A">
        <w:t xml:space="preserve">from </w:t>
      </w:r>
      <w:r w:rsidR="00006697" w:rsidRPr="00DD477A">
        <w:t xml:space="preserve">the </w:t>
      </w:r>
      <w:r w:rsidR="006714EB" w:rsidRPr="00DD477A">
        <w:t>‘</w:t>
      </w:r>
      <w:r w:rsidRPr="00DD477A">
        <w:t>Page Layout</w:t>
      </w:r>
      <w:r w:rsidR="006714EB" w:rsidRPr="00DD477A">
        <w:t>’</w:t>
      </w:r>
      <w:r w:rsidRPr="00DD477A">
        <w:t xml:space="preserve"> ribbon</w:t>
      </w:r>
      <w:r w:rsidR="00006697" w:rsidRPr="00DD477A">
        <w:t>,</w:t>
      </w:r>
      <w:r w:rsidRPr="00DD477A">
        <w:t xml:space="preserve"> select Page Layout </w:t>
      </w:r>
      <w:r w:rsidR="004B76F7" w:rsidRPr="00DD477A">
        <w:rPr>
          <w:rFonts w:ascii="Wingdings" w:eastAsia="Wingdings" w:hAnsi="Wingdings" w:cs="Wingdings"/>
        </w:rPr>
        <w:t></w:t>
      </w:r>
      <w:r w:rsidRPr="00DD477A">
        <w:t xml:space="preserve"> Margins </w:t>
      </w:r>
      <w:r w:rsidR="004B76F7" w:rsidRPr="00DD477A">
        <w:rPr>
          <w:rFonts w:ascii="Wingdings" w:eastAsia="Wingdings" w:hAnsi="Wingdings" w:cs="Wingdings"/>
        </w:rPr>
        <w:t></w:t>
      </w:r>
      <w:r w:rsidRPr="00DD477A">
        <w:t xml:space="preserve"> Custom Margins</w:t>
      </w:r>
    </w:p>
    <w:p w14:paraId="3ECE0727" w14:textId="693430EF" w:rsidR="00FA0945" w:rsidRPr="00DD477A" w:rsidRDefault="00F05ECA" w:rsidP="00AA1E87">
      <w:pPr>
        <w:pStyle w:val="Numbered"/>
        <w:numPr>
          <w:ilvl w:val="0"/>
          <w:numId w:val="23"/>
        </w:numPr>
      </w:pPr>
      <w:r w:rsidRPr="00DD477A">
        <w:t>c</w:t>
      </w:r>
      <w:r w:rsidR="53BF0693" w:rsidRPr="00DD477A">
        <w:t xml:space="preserve">lick on the </w:t>
      </w:r>
      <w:r w:rsidR="006714EB" w:rsidRPr="00DD477A">
        <w:t>‘</w:t>
      </w:r>
      <w:r w:rsidR="00751B8A" w:rsidRPr="00DD477A">
        <w:t>Orientation</w:t>
      </w:r>
      <w:r w:rsidR="006714EB" w:rsidRPr="00DD477A">
        <w:t>’</w:t>
      </w:r>
      <w:r w:rsidR="53BF0693" w:rsidRPr="00DD477A">
        <w:t xml:space="preserve"> </w:t>
      </w:r>
      <w:r w:rsidR="00751B8A" w:rsidRPr="00DD477A">
        <w:t>command</w:t>
      </w:r>
      <w:r w:rsidR="53BF0693" w:rsidRPr="00DD477A">
        <w:t xml:space="preserve">, select </w:t>
      </w:r>
      <w:r w:rsidR="006714EB" w:rsidRPr="00DD477A">
        <w:t>‘</w:t>
      </w:r>
      <w:r w:rsidR="53BF0693" w:rsidRPr="00DD477A">
        <w:t>Portrait orientation</w:t>
      </w:r>
      <w:r w:rsidR="006714EB" w:rsidRPr="00DD477A">
        <w:t>’</w:t>
      </w:r>
    </w:p>
    <w:p w14:paraId="00F52FC0" w14:textId="61AADB55" w:rsidR="00FA0945" w:rsidRPr="00DD477A" w:rsidRDefault="00006697" w:rsidP="00AA1E87">
      <w:pPr>
        <w:pStyle w:val="Numbered"/>
        <w:numPr>
          <w:ilvl w:val="0"/>
          <w:numId w:val="23"/>
        </w:numPr>
      </w:pPr>
      <w:r w:rsidRPr="00DD477A">
        <w:t>set</w:t>
      </w:r>
      <w:r w:rsidR="53BF0693" w:rsidRPr="00DD477A">
        <w:t xml:space="preserve"> the Scaling to 100% normal size</w:t>
      </w:r>
    </w:p>
    <w:p w14:paraId="59357E4A" w14:textId="5F92DDBD" w:rsidR="00FA0945" w:rsidRPr="00DD477A" w:rsidRDefault="00F05ECA" w:rsidP="00AA1E87">
      <w:pPr>
        <w:pStyle w:val="Numbered"/>
        <w:numPr>
          <w:ilvl w:val="0"/>
          <w:numId w:val="23"/>
        </w:numPr>
      </w:pPr>
      <w:r w:rsidRPr="00DD477A">
        <w:t>c</w:t>
      </w:r>
      <w:r w:rsidR="53BF0693" w:rsidRPr="00DD477A">
        <w:t xml:space="preserve">lick on the </w:t>
      </w:r>
      <w:r w:rsidR="006714EB" w:rsidRPr="00DD477A">
        <w:t>‘</w:t>
      </w:r>
      <w:r w:rsidR="53BF0693" w:rsidRPr="00DD477A">
        <w:t>Margins tab</w:t>
      </w:r>
      <w:r w:rsidR="006714EB" w:rsidRPr="00DD477A">
        <w:t>’</w:t>
      </w:r>
      <w:r w:rsidR="53BF0693" w:rsidRPr="00DD477A">
        <w:t xml:space="preserve"> and set margins to:</w:t>
      </w:r>
    </w:p>
    <w:p w14:paraId="743AB6CC" w14:textId="20517CD8" w:rsidR="00FA0945" w:rsidRPr="00DD477A" w:rsidRDefault="006F2D40" w:rsidP="0003645A">
      <w:pPr>
        <w:pStyle w:val="Bullet2"/>
      </w:pPr>
      <w:r w:rsidRPr="00DD477A">
        <w:t>l</w:t>
      </w:r>
      <w:r w:rsidR="00FA0945" w:rsidRPr="00DD477A">
        <w:t>eft and right</w:t>
      </w:r>
      <w:r w:rsidR="004D0115" w:rsidRPr="00DD477A">
        <w:tab/>
        <w:t xml:space="preserve">= </w:t>
      </w:r>
      <w:r w:rsidR="00FA0945" w:rsidRPr="00DD477A">
        <w:t>3.7</w:t>
      </w:r>
      <w:r w:rsidR="004D0115" w:rsidRPr="00DD477A">
        <w:t>cm</w:t>
      </w:r>
    </w:p>
    <w:p w14:paraId="0B839438" w14:textId="712F347F" w:rsidR="00FA0945" w:rsidRPr="00DD477A" w:rsidRDefault="006F2D40" w:rsidP="0003645A">
      <w:pPr>
        <w:pStyle w:val="Bullet2"/>
      </w:pPr>
      <w:r w:rsidRPr="00DD477A">
        <w:t>t</w:t>
      </w:r>
      <w:r w:rsidR="00FA0945" w:rsidRPr="00DD477A">
        <w:t>op and bottom</w:t>
      </w:r>
      <w:r w:rsidR="00FA0945" w:rsidRPr="00DD477A">
        <w:tab/>
      </w:r>
      <w:r w:rsidR="004D0115" w:rsidRPr="00DD477A">
        <w:t xml:space="preserve">= </w:t>
      </w:r>
      <w:r w:rsidR="00FA0945" w:rsidRPr="00DD477A">
        <w:t>4.3</w:t>
      </w:r>
      <w:r w:rsidR="004D0115" w:rsidRPr="00DD477A">
        <w:t>cm</w:t>
      </w:r>
      <w:r w:rsidR="003936B4" w:rsidRPr="00DD477A">
        <w:t>.</w:t>
      </w:r>
    </w:p>
    <w:p w14:paraId="51D9CF3B" w14:textId="7973B3E8" w:rsidR="00FA0945" w:rsidRPr="00DD477A" w:rsidRDefault="00AF20E5" w:rsidP="0014243A">
      <w:pPr>
        <w:pStyle w:val="Heading3"/>
      </w:pPr>
      <w:bookmarkStart w:id="1657" w:name="_Toc227749108"/>
      <w:r w:rsidRPr="00DD477A">
        <w:t xml:space="preserve">For </w:t>
      </w:r>
      <w:r w:rsidR="00E36D0F" w:rsidRPr="00DD477A">
        <w:t>L</w:t>
      </w:r>
      <w:r w:rsidR="53BF0693" w:rsidRPr="00DD477A">
        <w:t>andscape tables</w:t>
      </w:r>
      <w:bookmarkEnd w:id="1657"/>
    </w:p>
    <w:p w14:paraId="2BEFEEB0" w14:textId="2927DE3C" w:rsidR="00FA0945" w:rsidRPr="00DD477A" w:rsidRDefault="00FA0945" w:rsidP="00AA1E87">
      <w:pPr>
        <w:pStyle w:val="Numbered"/>
        <w:numPr>
          <w:ilvl w:val="0"/>
          <w:numId w:val="35"/>
        </w:numPr>
      </w:pPr>
      <w:r w:rsidRPr="00DD477A">
        <w:t xml:space="preserve">from the </w:t>
      </w:r>
      <w:r w:rsidR="006714EB" w:rsidRPr="00DD477A">
        <w:t>‘</w:t>
      </w:r>
      <w:r w:rsidRPr="00DD477A">
        <w:t>Page Layout</w:t>
      </w:r>
      <w:r w:rsidR="006714EB" w:rsidRPr="00DD477A">
        <w:t>’</w:t>
      </w:r>
      <w:r w:rsidRPr="00DD477A">
        <w:t xml:space="preserve"> </w:t>
      </w:r>
      <w:r w:rsidR="00BC53F8" w:rsidRPr="00DD477A">
        <w:t>tab</w:t>
      </w:r>
      <w:r w:rsidRPr="00DD477A">
        <w:t xml:space="preserve">, select Page Layout </w:t>
      </w:r>
      <w:r w:rsidR="004B76F7" w:rsidRPr="00DD477A">
        <w:rPr>
          <w:rFonts w:ascii="Wingdings" w:eastAsia="Wingdings" w:hAnsi="Wingdings" w:cs="Wingdings"/>
        </w:rPr>
        <w:t></w:t>
      </w:r>
      <w:r w:rsidRPr="00DD477A">
        <w:t xml:space="preserve"> Margins </w:t>
      </w:r>
      <w:r w:rsidR="004B76F7" w:rsidRPr="00DD477A">
        <w:rPr>
          <w:rFonts w:ascii="Wingdings" w:eastAsia="Wingdings" w:hAnsi="Wingdings" w:cs="Wingdings"/>
        </w:rPr>
        <w:t></w:t>
      </w:r>
      <w:r w:rsidR="0045475E" w:rsidRPr="00DD477A">
        <w:t xml:space="preserve"> Custom Margins</w:t>
      </w:r>
    </w:p>
    <w:p w14:paraId="2EA4B120" w14:textId="0D88920D" w:rsidR="00FA0945" w:rsidRPr="00DD477A" w:rsidRDefault="00F05ECA" w:rsidP="00AA1E87">
      <w:pPr>
        <w:pStyle w:val="Numbered"/>
        <w:numPr>
          <w:ilvl w:val="0"/>
          <w:numId w:val="35"/>
        </w:numPr>
      </w:pPr>
      <w:r w:rsidRPr="00DD477A">
        <w:t>c</w:t>
      </w:r>
      <w:r w:rsidR="53BF0693" w:rsidRPr="00DD477A">
        <w:t xml:space="preserve">lick on the </w:t>
      </w:r>
      <w:r w:rsidR="006714EB" w:rsidRPr="00DD477A">
        <w:t>‘</w:t>
      </w:r>
      <w:r w:rsidR="00F93D41" w:rsidRPr="00DD477A">
        <w:t>Orientation</w:t>
      </w:r>
      <w:r w:rsidR="006714EB" w:rsidRPr="00DD477A">
        <w:t>’</w:t>
      </w:r>
      <w:r w:rsidR="53BF0693" w:rsidRPr="00DD477A">
        <w:t xml:space="preserve"> </w:t>
      </w:r>
      <w:r w:rsidR="00F93D41" w:rsidRPr="00DD477A">
        <w:t>command</w:t>
      </w:r>
      <w:r w:rsidR="53BF0693" w:rsidRPr="00DD477A">
        <w:t xml:space="preserve">, select </w:t>
      </w:r>
      <w:r w:rsidR="006714EB" w:rsidRPr="00DD477A">
        <w:t>‘</w:t>
      </w:r>
      <w:r w:rsidR="53BF0693" w:rsidRPr="00DD477A">
        <w:t>Landscape orientation</w:t>
      </w:r>
      <w:r w:rsidR="006714EB" w:rsidRPr="00DD477A">
        <w:t>’</w:t>
      </w:r>
    </w:p>
    <w:p w14:paraId="7F2BF4A2" w14:textId="68EA337A" w:rsidR="00FA0945" w:rsidRPr="00DD477A" w:rsidRDefault="00254C5B" w:rsidP="00AA1E87">
      <w:pPr>
        <w:pStyle w:val="Numbered"/>
        <w:numPr>
          <w:ilvl w:val="0"/>
          <w:numId w:val="35"/>
        </w:numPr>
      </w:pPr>
      <w:r w:rsidRPr="00DD477A">
        <w:t>set</w:t>
      </w:r>
      <w:r w:rsidR="53BF0693" w:rsidRPr="00DD477A">
        <w:t xml:space="preserve"> the Scaling to 100% normal size</w:t>
      </w:r>
    </w:p>
    <w:p w14:paraId="5454ED27" w14:textId="77D2B59C" w:rsidR="00FA0945" w:rsidRPr="00DD477A" w:rsidRDefault="00F05ECA" w:rsidP="00AA1E87">
      <w:pPr>
        <w:pStyle w:val="Numbered"/>
        <w:numPr>
          <w:ilvl w:val="0"/>
          <w:numId w:val="35"/>
        </w:numPr>
      </w:pPr>
      <w:r w:rsidRPr="00DD477A">
        <w:t>c</w:t>
      </w:r>
      <w:r w:rsidR="00346167" w:rsidRPr="00DD477A">
        <w:t xml:space="preserve">lick on the </w:t>
      </w:r>
      <w:r w:rsidR="006714EB" w:rsidRPr="00DD477A">
        <w:t>‘</w:t>
      </w:r>
      <w:r w:rsidR="00346167" w:rsidRPr="00DD477A">
        <w:t>Margins</w:t>
      </w:r>
      <w:r w:rsidR="006714EB" w:rsidRPr="00DD477A">
        <w:t>’</w:t>
      </w:r>
      <w:r w:rsidR="00346167" w:rsidRPr="00DD477A">
        <w:t xml:space="preserve"> tab:</w:t>
      </w:r>
    </w:p>
    <w:p w14:paraId="591AC636" w14:textId="0A100A2F" w:rsidR="00FA0945" w:rsidRPr="00DD477A" w:rsidRDefault="00346167" w:rsidP="0003645A">
      <w:pPr>
        <w:pStyle w:val="Bullet2"/>
      </w:pPr>
      <w:r w:rsidRPr="00DD477A">
        <w:t>l</w:t>
      </w:r>
      <w:r w:rsidR="00FA0945" w:rsidRPr="00DD477A">
        <w:t>eft and right</w:t>
      </w:r>
      <w:r w:rsidR="00444045" w:rsidRPr="00DD477A">
        <w:tab/>
      </w:r>
      <w:r w:rsidR="004D0115" w:rsidRPr="00DD477A">
        <w:t xml:space="preserve">= </w:t>
      </w:r>
      <w:r w:rsidR="00FA0945" w:rsidRPr="00DD477A">
        <w:t>4.3</w:t>
      </w:r>
      <w:r w:rsidR="004D0115" w:rsidRPr="00DD477A">
        <w:t>cm</w:t>
      </w:r>
    </w:p>
    <w:p w14:paraId="7332E5AC" w14:textId="77777777" w:rsidR="00655600" w:rsidRPr="00DD477A" w:rsidRDefault="00346167" w:rsidP="0003645A">
      <w:pPr>
        <w:pStyle w:val="Bullet2"/>
        <w:rPr>
          <w:rFonts w:eastAsiaTheme="majorEastAsia"/>
        </w:rPr>
      </w:pPr>
      <w:r w:rsidRPr="00DD477A">
        <w:t>t</w:t>
      </w:r>
      <w:r w:rsidR="00FA0945" w:rsidRPr="00DD477A">
        <w:t>op and bottom</w:t>
      </w:r>
      <w:r w:rsidR="00FA0945" w:rsidRPr="00DD477A">
        <w:tab/>
      </w:r>
      <w:r w:rsidR="004D0115" w:rsidRPr="00DD477A">
        <w:t xml:space="preserve">= </w:t>
      </w:r>
      <w:r w:rsidR="00FA0945" w:rsidRPr="00DD477A">
        <w:t>3.7</w:t>
      </w:r>
      <w:r w:rsidR="004D0115" w:rsidRPr="00DD477A">
        <w:t>cm</w:t>
      </w:r>
      <w:r w:rsidR="006F2D40" w:rsidRPr="00DD477A">
        <w:t>.</w:t>
      </w:r>
    </w:p>
    <w:p w14:paraId="02A1F272" w14:textId="78760EE8" w:rsidR="00FA0945" w:rsidRPr="00DD477A" w:rsidRDefault="53BF0693" w:rsidP="0014243A">
      <w:pPr>
        <w:pStyle w:val="Heading3"/>
      </w:pPr>
      <w:bookmarkStart w:id="1658" w:name="_Toc63347745"/>
      <w:bookmarkStart w:id="1659" w:name="_Toc227749109"/>
      <w:r w:rsidRPr="00DD477A">
        <w:t>Setting font and text alignment</w:t>
      </w:r>
      <w:bookmarkEnd w:id="1658"/>
      <w:bookmarkEnd w:id="1659"/>
    </w:p>
    <w:p w14:paraId="19DEB5BD" w14:textId="5605DFD5" w:rsidR="000C42A6" w:rsidRPr="00DD477A" w:rsidRDefault="00F05ECA" w:rsidP="00AA1E87">
      <w:pPr>
        <w:pStyle w:val="Numbered"/>
        <w:numPr>
          <w:ilvl w:val="0"/>
          <w:numId w:val="24"/>
        </w:numPr>
      </w:pPr>
      <w:r w:rsidRPr="00DD477A">
        <w:t>c</w:t>
      </w:r>
      <w:r w:rsidR="00FA0945" w:rsidRPr="00DD477A">
        <w:t>lick the select all button in the upper left corner of the worksheet (where the row and column headings meet)</w:t>
      </w:r>
      <w:r w:rsidR="004C0DE8" w:rsidRPr="00DD477A">
        <w:br/>
      </w:r>
      <w:r w:rsidR="00363E96" w:rsidRPr="00DD477A">
        <w:rPr>
          <w:noProof/>
          <w:lang w:eastAsia="en-AU"/>
        </w:rPr>
        <w:drawing>
          <wp:inline distT="0" distB="0" distL="0" distR="0" wp14:anchorId="0277B128" wp14:editId="78BD9F2E">
            <wp:extent cx="810000" cy="504000"/>
            <wp:effectExtent l="19050" t="19050" r="9525" b="1079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10000" cy="504000"/>
                    </a:xfrm>
                    <a:prstGeom prst="rect">
                      <a:avLst/>
                    </a:prstGeom>
                    <a:ln>
                      <a:solidFill>
                        <a:schemeClr val="tx1"/>
                      </a:solidFill>
                    </a:ln>
                  </pic:spPr>
                </pic:pic>
              </a:graphicData>
            </a:graphic>
          </wp:inline>
        </w:drawing>
      </w:r>
    </w:p>
    <w:p w14:paraId="0FEEE197" w14:textId="5F3EF44F" w:rsidR="00FA0945" w:rsidRPr="00DD477A" w:rsidRDefault="00F05ECA" w:rsidP="00AA1E87">
      <w:pPr>
        <w:pStyle w:val="Numbered"/>
        <w:numPr>
          <w:ilvl w:val="0"/>
          <w:numId w:val="24"/>
        </w:numPr>
      </w:pPr>
      <w:r w:rsidRPr="00DD477A">
        <w:t>f</w:t>
      </w:r>
      <w:r w:rsidR="53BF0693" w:rsidRPr="00DD477A">
        <w:t xml:space="preserve">rom the </w:t>
      </w:r>
      <w:r w:rsidR="006714EB" w:rsidRPr="00DD477A">
        <w:t>‘</w:t>
      </w:r>
      <w:r w:rsidR="53BF0693" w:rsidRPr="00DD477A">
        <w:t>Home</w:t>
      </w:r>
      <w:r w:rsidR="006714EB" w:rsidRPr="00DD477A">
        <w:t>’</w:t>
      </w:r>
      <w:r w:rsidR="53BF0693" w:rsidRPr="00DD477A">
        <w:t xml:space="preserve"> ribbon, on the </w:t>
      </w:r>
      <w:r w:rsidR="006714EB" w:rsidRPr="00DD477A">
        <w:t>‘</w:t>
      </w:r>
      <w:r w:rsidR="53BF0693" w:rsidRPr="00DD477A">
        <w:t>Font</w:t>
      </w:r>
      <w:r w:rsidR="006714EB" w:rsidRPr="00DD477A">
        <w:t>’</w:t>
      </w:r>
      <w:r w:rsidR="53BF0693" w:rsidRPr="00DD477A">
        <w:t xml:space="preserve"> tab set font to 8 </w:t>
      </w:r>
      <w:r w:rsidR="00C00476">
        <w:t>pt</w:t>
      </w:r>
      <w:r w:rsidR="53BF0693" w:rsidRPr="00DD477A">
        <w:t xml:space="preserve"> Arial</w:t>
      </w:r>
    </w:p>
    <w:p w14:paraId="38A799D8" w14:textId="505BBF64" w:rsidR="00360283" w:rsidRPr="005E6189" w:rsidRDefault="00F05ECA" w:rsidP="0014243A">
      <w:pPr>
        <w:pStyle w:val="Numbered"/>
        <w:numPr>
          <w:ilvl w:val="0"/>
          <w:numId w:val="24"/>
        </w:numPr>
        <w:spacing w:before="0" w:after="120" w:line="440" w:lineRule="atLeast"/>
        <w:rPr>
          <w:rFonts w:cs="Calibri"/>
        </w:rPr>
      </w:pPr>
      <w:r w:rsidRPr="00DD477A">
        <w:t>s</w:t>
      </w:r>
      <w:r w:rsidR="00FA0945" w:rsidRPr="00DD477A">
        <w:t xml:space="preserve">elect the </w:t>
      </w:r>
      <w:r w:rsidR="006714EB" w:rsidRPr="00DD477A">
        <w:t>‘</w:t>
      </w:r>
      <w:r w:rsidR="00FA0945" w:rsidRPr="00DD477A">
        <w:t>Alignment</w:t>
      </w:r>
      <w:r w:rsidR="006714EB" w:rsidRPr="00DD477A">
        <w:t>’</w:t>
      </w:r>
      <w:r w:rsidR="00FA0945" w:rsidRPr="00DD477A">
        <w:t xml:space="preserve"> tab set the Vertical text alignment to </w:t>
      </w:r>
      <w:r w:rsidR="006714EB" w:rsidRPr="00DD477A">
        <w:t>‘</w:t>
      </w:r>
      <w:r w:rsidR="00FA0945" w:rsidRPr="00DD477A">
        <w:t>Centre</w:t>
      </w:r>
      <w:r w:rsidR="006714EB" w:rsidRPr="00DD477A">
        <w:t>’</w:t>
      </w:r>
      <w:r w:rsidR="00AE0D55" w:rsidRPr="00DD477A">
        <w:t>.</w:t>
      </w:r>
      <w:r w:rsidR="004C0DE8" w:rsidRPr="00DD477A">
        <w:br/>
      </w:r>
      <w:r w:rsidR="00EA7987" w:rsidRPr="00DD477A">
        <w:rPr>
          <w:noProof/>
          <w:lang w:eastAsia="en-AU"/>
        </w:rPr>
        <w:drawing>
          <wp:inline distT="0" distB="0" distL="0" distR="0" wp14:anchorId="67E36F15" wp14:editId="4DE6B323">
            <wp:extent cx="3945600" cy="774000"/>
            <wp:effectExtent l="19050" t="19050" r="17145" b="266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3945600" cy="774000"/>
                    </a:xfrm>
                    <a:prstGeom prst="rect">
                      <a:avLst/>
                    </a:prstGeom>
                    <a:ln>
                      <a:solidFill>
                        <a:schemeClr val="tx1"/>
                      </a:solidFill>
                    </a:ln>
                  </pic:spPr>
                </pic:pic>
              </a:graphicData>
            </a:graphic>
          </wp:inline>
        </w:drawing>
      </w:r>
    </w:p>
    <w:p w14:paraId="75FB3A0D" w14:textId="463973AD" w:rsidR="00FA0945" w:rsidRPr="00DD477A" w:rsidRDefault="53BF0693" w:rsidP="0014243A">
      <w:pPr>
        <w:pStyle w:val="Heading3"/>
      </w:pPr>
      <w:bookmarkStart w:id="1660" w:name="_Toc128665535"/>
      <w:bookmarkStart w:id="1661" w:name="_Toc129015771"/>
      <w:bookmarkStart w:id="1662" w:name="_Toc129017926"/>
      <w:bookmarkStart w:id="1663" w:name="_Toc129163735"/>
      <w:bookmarkStart w:id="1664" w:name="_Toc129166978"/>
      <w:bookmarkStart w:id="1665" w:name="_Toc63347746"/>
      <w:bookmarkStart w:id="1666" w:name="_Toc227749110"/>
      <w:bookmarkEnd w:id="1660"/>
      <w:bookmarkEnd w:id="1661"/>
      <w:bookmarkEnd w:id="1662"/>
      <w:bookmarkEnd w:id="1663"/>
      <w:bookmarkEnd w:id="1664"/>
      <w:r w:rsidRPr="00DD477A">
        <w:t>Row height</w:t>
      </w:r>
      <w:bookmarkEnd w:id="1665"/>
      <w:bookmarkEnd w:id="1666"/>
    </w:p>
    <w:p w14:paraId="41EF0B4B" w14:textId="77777777" w:rsidR="00FA0945" w:rsidRPr="00DD477A" w:rsidRDefault="00F05ECA" w:rsidP="00AA1E87">
      <w:pPr>
        <w:pStyle w:val="Numbered"/>
        <w:numPr>
          <w:ilvl w:val="0"/>
          <w:numId w:val="25"/>
        </w:numPr>
      </w:pPr>
      <w:r w:rsidRPr="00DD477A">
        <w:t>s</w:t>
      </w:r>
      <w:r w:rsidR="53BF0693" w:rsidRPr="00DD477A">
        <w:t>elect the rows to be adjusted</w:t>
      </w:r>
    </w:p>
    <w:p w14:paraId="0A911EC8" w14:textId="049D9AE0" w:rsidR="00FA0945" w:rsidRPr="00DD477A" w:rsidRDefault="00F05ECA" w:rsidP="00AA1E87">
      <w:pPr>
        <w:pStyle w:val="Numbered"/>
        <w:numPr>
          <w:ilvl w:val="0"/>
          <w:numId w:val="25"/>
        </w:numPr>
      </w:pPr>
      <w:r w:rsidRPr="00DD477A">
        <w:t>f</w:t>
      </w:r>
      <w:r w:rsidR="00FA0945" w:rsidRPr="00DD477A">
        <w:t xml:space="preserve">rom the </w:t>
      </w:r>
      <w:r w:rsidR="006714EB" w:rsidRPr="00DD477A">
        <w:t>‘</w:t>
      </w:r>
      <w:r w:rsidR="00FA0945" w:rsidRPr="00DD477A">
        <w:t>Home</w:t>
      </w:r>
      <w:r w:rsidR="006714EB" w:rsidRPr="00DD477A">
        <w:t>’</w:t>
      </w:r>
      <w:r w:rsidR="00FA0945" w:rsidRPr="00DD477A">
        <w:t xml:space="preserve"> ribbon, in the </w:t>
      </w:r>
      <w:r w:rsidR="006714EB" w:rsidRPr="00DD477A">
        <w:t>‘</w:t>
      </w:r>
      <w:r w:rsidR="00FA0945" w:rsidRPr="00DD477A">
        <w:t>Cells</w:t>
      </w:r>
      <w:r w:rsidR="006714EB" w:rsidRPr="00DD477A">
        <w:t>’</w:t>
      </w:r>
      <w:r w:rsidR="00FA0945" w:rsidRPr="00DD477A">
        <w:t xml:space="preserve"> </w:t>
      </w:r>
      <w:r w:rsidR="0023216D" w:rsidRPr="00DD477A">
        <w:t>tab</w:t>
      </w:r>
      <w:r w:rsidR="00FA0945" w:rsidRPr="00DD477A">
        <w:t xml:space="preserve"> select </w:t>
      </w:r>
      <w:r w:rsidR="0023216D" w:rsidRPr="00DD477A">
        <w:t xml:space="preserve">the </w:t>
      </w:r>
      <w:r w:rsidR="006714EB" w:rsidRPr="00DD477A">
        <w:t>‘</w:t>
      </w:r>
      <w:r w:rsidR="00FA0945" w:rsidRPr="00DD477A">
        <w:t>Format</w:t>
      </w:r>
      <w:r w:rsidR="006714EB" w:rsidRPr="00DD477A">
        <w:t>’</w:t>
      </w:r>
      <w:r w:rsidR="00FA0945" w:rsidRPr="00DD477A">
        <w:t xml:space="preserve"> </w:t>
      </w:r>
      <w:r w:rsidR="0023216D" w:rsidRPr="00DD477A">
        <w:t xml:space="preserve">command </w:t>
      </w:r>
      <w:r w:rsidR="00FA0945" w:rsidRPr="00DD477A">
        <w:t xml:space="preserve">and then </w:t>
      </w:r>
      <w:r w:rsidR="006714EB" w:rsidRPr="00DD477A">
        <w:t>‘</w:t>
      </w:r>
      <w:r w:rsidR="00FA0945" w:rsidRPr="00DD477A">
        <w:t>Row height</w:t>
      </w:r>
      <w:r w:rsidR="006714EB" w:rsidRPr="00DD477A">
        <w:t>’</w:t>
      </w:r>
      <w:r w:rsidR="004C0DE8" w:rsidRPr="00DD477A">
        <w:br/>
      </w:r>
      <w:r w:rsidR="00685AB2" w:rsidRPr="00DD477A">
        <w:rPr>
          <w:noProof/>
          <w:lang w:eastAsia="en-AU"/>
        </w:rPr>
        <w:drawing>
          <wp:inline distT="0" distB="0" distL="0" distR="0" wp14:anchorId="5980F090" wp14:editId="12C31DF5">
            <wp:extent cx="1913828" cy="2209485"/>
            <wp:effectExtent l="19050" t="19050" r="10795" b="196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924570" cy="2221887"/>
                    </a:xfrm>
                    <a:prstGeom prst="rect">
                      <a:avLst/>
                    </a:prstGeom>
                    <a:ln>
                      <a:solidFill>
                        <a:schemeClr val="tx1"/>
                      </a:solidFill>
                    </a:ln>
                  </pic:spPr>
                </pic:pic>
              </a:graphicData>
            </a:graphic>
          </wp:inline>
        </w:drawing>
      </w:r>
    </w:p>
    <w:p w14:paraId="7C568CA9" w14:textId="2546E57A" w:rsidR="00E23D4B" w:rsidRPr="00DD477A" w:rsidRDefault="00F05ECA" w:rsidP="00AA1E87">
      <w:pPr>
        <w:pStyle w:val="Numbered"/>
        <w:numPr>
          <w:ilvl w:val="0"/>
          <w:numId w:val="25"/>
        </w:numPr>
      </w:pPr>
      <w:r w:rsidRPr="00DD477A">
        <w:t>e</w:t>
      </w:r>
      <w:r w:rsidR="53BF0693" w:rsidRPr="00DD477A">
        <w:t>nter 11.25</w:t>
      </w:r>
      <w:r w:rsidR="005E6189">
        <w:t>pt</w:t>
      </w:r>
      <w:r w:rsidR="53BF0693" w:rsidRPr="00DD477A">
        <w:t xml:space="preserve"> and then click OK</w:t>
      </w:r>
      <w:r w:rsidR="008C6C43">
        <w:t xml:space="preserve"> for a single row</w:t>
      </w:r>
      <w:r w:rsidR="00D432F7">
        <w:t>. A blank row should be set to 3pt.</w:t>
      </w:r>
    </w:p>
    <w:p w14:paraId="1F5F1D77" w14:textId="77777777" w:rsidR="00FA0945" w:rsidRPr="00DD477A" w:rsidRDefault="53BF0693" w:rsidP="00580008">
      <w:pPr>
        <w:pStyle w:val="Boxed2Text"/>
        <w:rPr>
          <w:rFonts w:cs="Calibri"/>
        </w:rPr>
      </w:pPr>
      <w:r w:rsidRPr="00DD477A">
        <w:rPr>
          <w:rFonts w:cs="Calibri"/>
        </w:rPr>
        <w:t>If a table is difficult to fit onto a Word page the row height can be reduced. In Word check the printed page to ensure that numbers and text are not cut off.</w:t>
      </w:r>
    </w:p>
    <w:p w14:paraId="1EFA31A1" w14:textId="5CE4C813" w:rsidR="00FA0945" w:rsidRPr="00DD477A" w:rsidRDefault="53BF0693" w:rsidP="0014243A">
      <w:pPr>
        <w:pStyle w:val="Heading3"/>
      </w:pPr>
      <w:bookmarkStart w:id="1667" w:name="_Toc63347747"/>
      <w:bookmarkStart w:id="1668" w:name="_Toc227749111"/>
      <w:r w:rsidRPr="00DD477A">
        <w:t>Table borders</w:t>
      </w:r>
      <w:bookmarkEnd w:id="1667"/>
      <w:bookmarkEnd w:id="1668"/>
    </w:p>
    <w:p w14:paraId="7F4EA754" w14:textId="01A0E113" w:rsidR="00FA0945" w:rsidRPr="00DD477A" w:rsidRDefault="00F05ECA" w:rsidP="00AA1E87">
      <w:pPr>
        <w:pStyle w:val="Numbered"/>
        <w:numPr>
          <w:ilvl w:val="0"/>
          <w:numId w:val="26"/>
        </w:numPr>
      </w:pPr>
      <w:r w:rsidRPr="00DD477A">
        <w:t>s</w:t>
      </w:r>
      <w:r w:rsidR="53BF0693" w:rsidRPr="00DD477A">
        <w:t xml:space="preserve">elect the row </w:t>
      </w:r>
      <w:r w:rsidR="00596BD1" w:rsidRPr="00DD477A">
        <w:t xml:space="preserve">of the table </w:t>
      </w:r>
      <w:r w:rsidR="001D2D83" w:rsidRPr="00DD477A">
        <w:t xml:space="preserve">that will </w:t>
      </w:r>
      <w:r w:rsidR="53BF0693" w:rsidRPr="00DD477A">
        <w:t>contain the ruled line</w:t>
      </w:r>
      <w:r w:rsidR="00596BD1" w:rsidRPr="00DD477A">
        <w:t xml:space="preserve"> as a border</w:t>
      </w:r>
    </w:p>
    <w:p w14:paraId="07764A6A" w14:textId="09E2B91E" w:rsidR="003E05CE" w:rsidRPr="00DD477A" w:rsidRDefault="00F05ECA" w:rsidP="00AA1E87">
      <w:pPr>
        <w:pStyle w:val="Numbered"/>
        <w:numPr>
          <w:ilvl w:val="0"/>
          <w:numId w:val="26"/>
        </w:numPr>
      </w:pPr>
      <w:r w:rsidRPr="00DD477A">
        <w:t>f</w:t>
      </w:r>
      <w:r w:rsidR="00FA0945" w:rsidRPr="00DD477A">
        <w:t xml:space="preserve">rom the </w:t>
      </w:r>
      <w:r w:rsidR="006714EB" w:rsidRPr="00DD477A">
        <w:t>‘</w:t>
      </w:r>
      <w:r w:rsidR="00FA0945" w:rsidRPr="00DD477A">
        <w:t>Home</w:t>
      </w:r>
      <w:r w:rsidR="006714EB" w:rsidRPr="00DD477A">
        <w:t>’</w:t>
      </w:r>
      <w:r w:rsidR="00FA0945" w:rsidRPr="00DD477A">
        <w:t xml:space="preserve"> ribbon, select the </w:t>
      </w:r>
      <w:r w:rsidR="006714EB" w:rsidRPr="00DD477A">
        <w:t>‘</w:t>
      </w:r>
      <w:r w:rsidR="00FA0945" w:rsidRPr="00DD477A">
        <w:t>Font</w:t>
      </w:r>
      <w:r w:rsidR="006714EB" w:rsidRPr="00DD477A">
        <w:t>’</w:t>
      </w:r>
      <w:r w:rsidR="00FA0945" w:rsidRPr="00DD477A">
        <w:t xml:space="preserve"> </w:t>
      </w:r>
      <w:r w:rsidR="000367F4" w:rsidRPr="00DD477A">
        <w:t>sub-</w:t>
      </w:r>
      <w:r w:rsidR="00FA0945" w:rsidRPr="00DD477A">
        <w:t>tab</w:t>
      </w:r>
      <w:r w:rsidR="004C0DE8" w:rsidRPr="00DD477A">
        <w:br/>
      </w:r>
      <w:r w:rsidR="00696620" w:rsidRPr="00DD477A">
        <w:rPr>
          <w:noProof/>
          <w:lang w:eastAsia="en-AU"/>
        </w:rPr>
        <w:drawing>
          <wp:inline distT="0" distB="0" distL="0" distR="0" wp14:anchorId="61A8D626" wp14:editId="6590FA0D">
            <wp:extent cx="1553485" cy="663533"/>
            <wp:effectExtent l="19050" t="19050" r="8890" b="2286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571341" cy="671160"/>
                    </a:xfrm>
                    <a:prstGeom prst="rect">
                      <a:avLst/>
                    </a:prstGeom>
                    <a:ln>
                      <a:solidFill>
                        <a:schemeClr val="tx1"/>
                      </a:solidFill>
                    </a:ln>
                  </pic:spPr>
                </pic:pic>
              </a:graphicData>
            </a:graphic>
          </wp:inline>
        </w:drawing>
      </w:r>
    </w:p>
    <w:p w14:paraId="60117296" w14:textId="13E751B3" w:rsidR="00FA0945" w:rsidRPr="00DD477A" w:rsidRDefault="00F05ECA" w:rsidP="00AA1E87">
      <w:pPr>
        <w:pStyle w:val="Numbered"/>
        <w:numPr>
          <w:ilvl w:val="0"/>
          <w:numId w:val="26"/>
        </w:numPr>
      </w:pPr>
      <w:r w:rsidRPr="00DD477A">
        <w:t>s</w:t>
      </w:r>
      <w:r w:rsidR="00FA0945" w:rsidRPr="00DD477A">
        <w:t xml:space="preserve">elect the </w:t>
      </w:r>
      <w:r w:rsidR="006714EB" w:rsidRPr="00DD477A">
        <w:t>‘</w:t>
      </w:r>
      <w:r w:rsidR="00FA0945" w:rsidRPr="00DD477A">
        <w:t>Border</w:t>
      </w:r>
      <w:r w:rsidR="006714EB" w:rsidRPr="00DD477A">
        <w:t>’</w:t>
      </w:r>
      <w:r w:rsidR="00FA0945" w:rsidRPr="00DD477A">
        <w:t xml:space="preserve"> tab</w:t>
      </w:r>
      <w:r w:rsidR="004C0DE8" w:rsidRPr="00DD477A">
        <w:br/>
      </w:r>
      <w:r w:rsidR="004B10B9" w:rsidRPr="00DD477A">
        <w:rPr>
          <w:noProof/>
          <w:lang w:eastAsia="en-AU"/>
        </w:rPr>
        <w:drawing>
          <wp:inline distT="0" distB="0" distL="0" distR="0" wp14:anchorId="07A5D9E4" wp14:editId="4608CD65">
            <wp:extent cx="3300451" cy="2840369"/>
            <wp:effectExtent l="19050" t="19050" r="10160" b="133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27"/>
                    <a:stretch>
                      <a:fillRect/>
                    </a:stretch>
                  </pic:blipFill>
                  <pic:spPr>
                    <a:xfrm>
                      <a:off x="0" y="0"/>
                      <a:ext cx="3300451" cy="2840369"/>
                    </a:xfrm>
                    <a:prstGeom prst="rect">
                      <a:avLst/>
                    </a:prstGeom>
                    <a:ln>
                      <a:solidFill>
                        <a:schemeClr val="tx1"/>
                      </a:solidFill>
                    </a:ln>
                  </pic:spPr>
                </pic:pic>
              </a:graphicData>
            </a:graphic>
          </wp:inline>
        </w:drawing>
      </w:r>
    </w:p>
    <w:p w14:paraId="1865D988" w14:textId="77777777" w:rsidR="00E23D4B" w:rsidRPr="00DD477A" w:rsidRDefault="00F05ECA" w:rsidP="00AA1E87">
      <w:pPr>
        <w:pStyle w:val="Numbered"/>
        <w:numPr>
          <w:ilvl w:val="0"/>
          <w:numId w:val="35"/>
        </w:numPr>
      </w:pPr>
      <w:r w:rsidRPr="00DD477A">
        <w:t>s</w:t>
      </w:r>
      <w:r w:rsidR="53BF0693" w:rsidRPr="00DD477A">
        <w:t>elect the first weight (first in list) and Colour = Black</w:t>
      </w:r>
    </w:p>
    <w:p w14:paraId="1657059C" w14:textId="77777777" w:rsidR="00FE449B" w:rsidRPr="00DD477A" w:rsidRDefault="00090962" w:rsidP="00580008">
      <w:pPr>
        <w:pStyle w:val="Boxed2Text"/>
        <w:rPr>
          <w:rFonts w:cs="Calibri"/>
        </w:rPr>
      </w:pPr>
      <w:r w:rsidRPr="00DD477A">
        <w:rPr>
          <w:rFonts w:cs="Calibri"/>
          <w:bCs/>
        </w:rPr>
        <w:t>T</w:t>
      </w:r>
      <w:r w:rsidR="53BF0693" w:rsidRPr="00DD477A">
        <w:rPr>
          <w:rFonts w:cs="Calibri"/>
        </w:rPr>
        <w:t>hough the line appears to be broken it will appear as solid when linked in Word.</w:t>
      </w:r>
    </w:p>
    <w:p w14:paraId="237EE4ED" w14:textId="77777777" w:rsidR="007363C0" w:rsidRPr="00DD477A" w:rsidRDefault="00F05ECA" w:rsidP="00AA1E87">
      <w:pPr>
        <w:pStyle w:val="Numbered"/>
        <w:numPr>
          <w:ilvl w:val="0"/>
          <w:numId w:val="35"/>
        </w:numPr>
      </w:pPr>
      <w:r w:rsidRPr="00DD477A">
        <w:t>c</w:t>
      </w:r>
      <w:r w:rsidR="53BF0693" w:rsidRPr="00DD477A">
        <w:t>lick OK.</w:t>
      </w:r>
    </w:p>
    <w:p w14:paraId="562114DD" w14:textId="77777777" w:rsidR="00FA0945" w:rsidRPr="00DD477A" w:rsidRDefault="53BF0693" w:rsidP="00580008">
      <w:pPr>
        <w:pStyle w:val="Boxed2Text"/>
        <w:rPr>
          <w:rFonts w:cs="Calibri"/>
        </w:rPr>
      </w:pPr>
      <w:r w:rsidRPr="00DD477A">
        <w:rPr>
          <w:rFonts w:cs="Calibri"/>
        </w:rPr>
        <w:t xml:space="preserve">Only apply borders to the row with the description and values, not the row above or below. </w:t>
      </w:r>
    </w:p>
    <w:p w14:paraId="4E2A480A" w14:textId="7E744F98" w:rsidR="00FA0945" w:rsidRPr="00DD477A" w:rsidRDefault="53BF0693" w:rsidP="0014243A">
      <w:pPr>
        <w:pStyle w:val="Heading3"/>
      </w:pPr>
      <w:bookmarkStart w:id="1669" w:name="_Toc63347748"/>
      <w:bookmarkStart w:id="1670" w:name="_Toc227749112"/>
      <w:r w:rsidRPr="00DD477A">
        <w:t>Shading</w:t>
      </w:r>
      <w:bookmarkEnd w:id="1669"/>
      <w:bookmarkEnd w:id="1670"/>
      <w:r w:rsidR="003B56AB" w:rsidRPr="00DD477A">
        <w:t xml:space="preserve"> </w:t>
      </w:r>
    </w:p>
    <w:p w14:paraId="471A74BC" w14:textId="77777777" w:rsidR="00FA0945" w:rsidRPr="00DD477A" w:rsidRDefault="00F05ECA" w:rsidP="00AA1E87">
      <w:pPr>
        <w:pStyle w:val="Numbered"/>
        <w:numPr>
          <w:ilvl w:val="0"/>
          <w:numId w:val="42"/>
        </w:numPr>
      </w:pPr>
      <w:r w:rsidRPr="00DD477A">
        <w:t>s</w:t>
      </w:r>
      <w:r w:rsidR="53BF0693" w:rsidRPr="00DD477A">
        <w:t>elect the cells to be shaded</w:t>
      </w:r>
    </w:p>
    <w:p w14:paraId="5CFD269D" w14:textId="2C35F18F" w:rsidR="00FE449B" w:rsidRPr="00DD477A" w:rsidRDefault="00F05ECA" w:rsidP="00AA1E87">
      <w:pPr>
        <w:pStyle w:val="Numbered"/>
        <w:numPr>
          <w:ilvl w:val="0"/>
          <w:numId w:val="42"/>
        </w:numPr>
      </w:pPr>
      <w:r w:rsidRPr="00DD477A">
        <w:t>s</w:t>
      </w:r>
      <w:r w:rsidR="53BF0693" w:rsidRPr="00DD477A">
        <w:t xml:space="preserve">elect the </w:t>
      </w:r>
      <w:r w:rsidR="006714EB" w:rsidRPr="00DD477A">
        <w:t>‘</w:t>
      </w:r>
      <w:r w:rsidR="53BF0693" w:rsidRPr="00DD477A">
        <w:t>Fill</w:t>
      </w:r>
      <w:r w:rsidR="006714EB" w:rsidRPr="00DD477A">
        <w:t>’</w:t>
      </w:r>
      <w:r w:rsidR="53BF0693" w:rsidRPr="00DD477A">
        <w:t xml:space="preserve"> </w:t>
      </w:r>
      <w:r w:rsidR="000367F4" w:rsidRPr="00DD477A">
        <w:t>sub-</w:t>
      </w:r>
      <w:r w:rsidR="53BF0693" w:rsidRPr="00DD477A">
        <w:t xml:space="preserve">tab from the </w:t>
      </w:r>
      <w:r w:rsidR="006714EB" w:rsidRPr="00DD477A">
        <w:t>‘</w:t>
      </w:r>
      <w:r w:rsidR="53BF0693" w:rsidRPr="00DD477A">
        <w:t>Font</w:t>
      </w:r>
      <w:r w:rsidR="006714EB" w:rsidRPr="00DD477A">
        <w:t>’</w:t>
      </w:r>
      <w:r w:rsidR="53BF0693" w:rsidRPr="00DD477A">
        <w:t xml:space="preserve"> </w:t>
      </w:r>
      <w:r w:rsidR="000367F4" w:rsidRPr="00DD477A">
        <w:t>tab</w:t>
      </w:r>
    </w:p>
    <w:p w14:paraId="76BF3876" w14:textId="08AD3601" w:rsidR="00FE449B" w:rsidRPr="00DD477A" w:rsidRDefault="00F05ECA" w:rsidP="00AA1E87">
      <w:pPr>
        <w:pStyle w:val="Numbered"/>
        <w:numPr>
          <w:ilvl w:val="0"/>
          <w:numId w:val="42"/>
        </w:numPr>
      </w:pPr>
      <w:r w:rsidRPr="00DD477A">
        <w:t>s</w:t>
      </w:r>
      <w:r w:rsidR="53BF0693" w:rsidRPr="00DD477A">
        <w:t xml:space="preserve">elect </w:t>
      </w:r>
      <w:r w:rsidR="006714EB" w:rsidRPr="00DD477A">
        <w:t>‘</w:t>
      </w:r>
      <w:r w:rsidR="53BF0693" w:rsidRPr="00DD477A">
        <w:t>More colours</w:t>
      </w:r>
      <w:r w:rsidR="006714EB" w:rsidRPr="00DD477A">
        <w:t>’</w:t>
      </w:r>
    </w:p>
    <w:p w14:paraId="20E6087F" w14:textId="4FAC5EA4" w:rsidR="00FE449B" w:rsidRPr="00DD477A" w:rsidRDefault="00F05ECA" w:rsidP="00AA1E87">
      <w:pPr>
        <w:pStyle w:val="Numbered"/>
        <w:numPr>
          <w:ilvl w:val="0"/>
          <w:numId w:val="42"/>
        </w:numPr>
      </w:pPr>
      <w:r w:rsidRPr="00DD477A">
        <w:t>s</w:t>
      </w:r>
      <w:r w:rsidR="53BF0693" w:rsidRPr="00DD477A">
        <w:t xml:space="preserve">elect the </w:t>
      </w:r>
      <w:r w:rsidR="006714EB" w:rsidRPr="00DD477A">
        <w:t>‘</w:t>
      </w:r>
      <w:r w:rsidR="53BF0693" w:rsidRPr="00DD477A">
        <w:t>Custom</w:t>
      </w:r>
      <w:r w:rsidR="006714EB" w:rsidRPr="00DD477A">
        <w:t>’</w:t>
      </w:r>
      <w:r w:rsidR="53BF0693" w:rsidRPr="00DD477A">
        <w:t xml:space="preserve"> tab</w:t>
      </w:r>
    </w:p>
    <w:p w14:paraId="33E0ACE8" w14:textId="77777777" w:rsidR="00FA0945" w:rsidRPr="00DD477A" w:rsidRDefault="00F05ECA" w:rsidP="00AA1E87">
      <w:pPr>
        <w:pStyle w:val="Numbered"/>
        <w:numPr>
          <w:ilvl w:val="0"/>
          <w:numId w:val="42"/>
        </w:numPr>
      </w:pPr>
      <w:r w:rsidRPr="00DD477A">
        <w:t>s</w:t>
      </w:r>
      <w:r w:rsidR="53BF0693" w:rsidRPr="00DD477A">
        <w:t>et as: Red – 235, Green – 235 and Blue – 235.</w:t>
      </w:r>
    </w:p>
    <w:p w14:paraId="4D55FFAC" w14:textId="44E0E261" w:rsidR="00FA0945" w:rsidRPr="00DD477A" w:rsidRDefault="53BF0693" w:rsidP="0014243A">
      <w:pPr>
        <w:pStyle w:val="Heading3"/>
      </w:pPr>
      <w:bookmarkStart w:id="1671" w:name="_Toc63347749"/>
      <w:bookmarkStart w:id="1672" w:name="_Toc227749113"/>
      <w:r w:rsidRPr="00DD477A">
        <w:t>Indenting text</w:t>
      </w:r>
      <w:bookmarkEnd w:id="1671"/>
      <w:bookmarkEnd w:id="1672"/>
    </w:p>
    <w:p w14:paraId="773E3695" w14:textId="316A5C52" w:rsidR="00FA0945" w:rsidRPr="00DD477A" w:rsidRDefault="53BF0693" w:rsidP="000A7DEC">
      <w:pPr>
        <w:rPr>
          <w:rFonts w:cs="Calibri"/>
        </w:rPr>
      </w:pPr>
      <w:r w:rsidRPr="00DD477A">
        <w:rPr>
          <w:rFonts w:cs="Calibri"/>
        </w:rPr>
        <w:t xml:space="preserve">Use the </w:t>
      </w:r>
      <w:r w:rsidR="006714EB" w:rsidRPr="00DD477A">
        <w:rPr>
          <w:rFonts w:cs="Calibri"/>
        </w:rPr>
        <w:t>‘</w:t>
      </w:r>
      <w:r w:rsidRPr="00DD477A">
        <w:rPr>
          <w:rFonts w:cs="Calibri"/>
        </w:rPr>
        <w:t>Right Indent</w:t>
      </w:r>
      <w:r w:rsidR="006714EB" w:rsidRPr="00DD477A">
        <w:rPr>
          <w:rFonts w:cs="Calibri"/>
        </w:rPr>
        <w:t>’</w:t>
      </w:r>
      <w:r w:rsidRPr="00DD477A">
        <w:rPr>
          <w:rFonts w:cs="Calibri"/>
        </w:rPr>
        <w:t xml:space="preserve"> button </w:t>
      </w:r>
      <w:r w:rsidR="00FC79F5" w:rsidRPr="00DD477A">
        <w:rPr>
          <w:rFonts w:cs="Calibri"/>
        </w:rPr>
        <w:t xml:space="preserve">on the </w:t>
      </w:r>
      <w:r w:rsidR="001761F2" w:rsidRPr="00DD477A">
        <w:rPr>
          <w:rFonts w:cs="Calibri"/>
        </w:rPr>
        <w:t xml:space="preserve">“Alignment” group </w:t>
      </w:r>
      <w:r w:rsidRPr="00DD477A">
        <w:rPr>
          <w:rFonts w:cs="Calibri"/>
        </w:rPr>
        <w:t xml:space="preserve">to indent text in columns. </w:t>
      </w:r>
      <w:r w:rsidRPr="0014243A">
        <w:rPr>
          <w:rFonts w:cs="Calibri"/>
          <w:b/>
          <w:bCs/>
        </w:rPr>
        <w:t>Do not</w:t>
      </w:r>
      <w:r w:rsidRPr="00DD477A">
        <w:rPr>
          <w:rFonts w:cs="Calibri"/>
        </w:rPr>
        <w:t xml:space="preserve"> create a second column to indent text or use spaces to indent text. </w:t>
      </w:r>
    </w:p>
    <w:p w14:paraId="28C0EED0" w14:textId="5AB631D0" w:rsidR="00FA0945" w:rsidRPr="00DD477A" w:rsidRDefault="0013008A">
      <w:pPr>
        <w:pStyle w:val="BodyText"/>
        <w:rPr>
          <w:rFonts w:cs="Calibri"/>
        </w:rPr>
      </w:pPr>
      <w:r w:rsidRPr="00DD477A">
        <w:rPr>
          <w:rFonts w:cs="Calibri"/>
          <w:noProof/>
          <w:lang w:eastAsia="en-AU"/>
        </w:rPr>
        <w:drawing>
          <wp:inline distT="0" distB="0" distL="0" distR="0" wp14:anchorId="0A831786" wp14:editId="440DCB6F">
            <wp:extent cx="1494000" cy="846000"/>
            <wp:effectExtent l="19050" t="19050" r="11430" b="1143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494000" cy="846000"/>
                    </a:xfrm>
                    <a:prstGeom prst="rect">
                      <a:avLst/>
                    </a:prstGeom>
                    <a:ln>
                      <a:solidFill>
                        <a:schemeClr val="tx1"/>
                      </a:solidFill>
                    </a:ln>
                  </pic:spPr>
                </pic:pic>
              </a:graphicData>
            </a:graphic>
          </wp:inline>
        </w:drawing>
      </w:r>
    </w:p>
    <w:p w14:paraId="0C965EA2" w14:textId="61C87526" w:rsidR="00FA0945" w:rsidRPr="00DD477A" w:rsidRDefault="53BF0693" w:rsidP="003D6589">
      <w:pPr>
        <w:pStyle w:val="Heading2"/>
      </w:pPr>
      <w:bookmarkStart w:id="1673" w:name="_Toc63347750"/>
      <w:bookmarkStart w:id="1674" w:name="_Toc227749114"/>
      <w:r w:rsidRPr="00DD477A">
        <w:t xml:space="preserve">Inserting linked </w:t>
      </w:r>
      <w:r w:rsidR="00860488" w:rsidRPr="00DD477A">
        <w:t xml:space="preserve">Excel </w:t>
      </w:r>
      <w:r w:rsidRPr="00DD477A">
        <w:t xml:space="preserve">tables into the </w:t>
      </w:r>
      <w:r w:rsidR="00860488" w:rsidRPr="00DD477A">
        <w:t xml:space="preserve">Word </w:t>
      </w:r>
      <w:r w:rsidRPr="00DD477A">
        <w:t>template</w:t>
      </w:r>
      <w:bookmarkEnd w:id="1673"/>
      <w:bookmarkEnd w:id="1674"/>
    </w:p>
    <w:p w14:paraId="7FB921BF" w14:textId="3D4B08B6" w:rsidR="00FA0945" w:rsidRPr="00DD477A" w:rsidRDefault="53BF0693" w:rsidP="000A7DEC">
      <w:pPr>
        <w:rPr>
          <w:rFonts w:cs="Calibri"/>
        </w:rPr>
      </w:pPr>
      <w:r w:rsidRPr="00DD477A">
        <w:rPr>
          <w:rFonts w:cs="Calibri"/>
        </w:rPr>
        <w:t xml:space="preserve">The standard practice </w:t>
      </w:r>
      <w:r w:rsidR="00922736" w:rsidRPr="00DD477A">
        <w:rPr>
          <w:rFonts w:cs="Calibri"/>
        </w:rPr>
        <w:t>when</w:t>
      </w:r>
      <w:r w:rsidRPr="00DD477A">
        <w:rPr>
          <w:rFonts w:cs="Calibri"/>
        </w:rPr>
        <w:t xml:space="preserve"> preparing Budget documentation is to </w:t>
      </w:r>
      <w:r w:rsidRPr="0014243A">
        <w:rPr>
          <w:rFonts w:cs="Calibri"/>
          <w:b/>
          <w:bCs/>
        </w:rPr>
        <w:t>link</w:t>
      </w:r>
      <w:r w:rsidRPr="00DD477A">
        <w:rPr>
          <w:rFonts w:cs="Calibri"/>
        </w:rPr>
        <w:t xml:space="preserve"> tables and charts from Excel into Word. Th</w:t>
      </w:r>
      <w:r w:rsidR="00A4629F" w:rsidRPr="00DD477A">
        <w:rPr>
          <w:rFonts w:cs="Calibri"/>
        </w:rPr>
        <w:t>is is the preferred practice</w:t>
      </w:r>
      <w:r w:rsidR="005B7A24" w:rsidRPr="00DD477A">
        <w:rPr>
          <w:rFonts w:cs="Calibri"/>
        </w:rPr>
        <w:t xml:space="preserve"> </w:t>
      </w:r>
      <w:r w:rsidR="00D1035F" w:rsidRPr="00DD477A">
        <w:rPr>
          <w:rFonts w:cs="Calibri"/>
        </w:rPr>
        <w:t>as it allows for the following</w:t>
      </w:r>
      <w:r w:rsidRPr="00DD477A">
        <w:rPr>
          <w:rFonts w:cs="Calibri"/>
        </w:rPr>
        <w:t>:</w:t>
      </w:r>
    </w:p>
    <w:p w14:paraId="7C50A5BA" w14:textId="4BDC0711" w:rsidR="00FA0945" w:rsidRPr="00DD477A" w:rsidRDefault="53BF0693" w:rsidP="00B54999">
      <w:pPr>
        <w:pStyle w:val="Bullet1"/>
      </w:pPr>
      <w:r w:rsidRPr="00DD477A">
        <w:t xml:space="preserve">when Excel </w:t>
      </w:r>
      <w:r w:rsidR="006B43F6" w:rsidRPr="00DD477A">
        <w:t xml:space="preserve">Tables </w:t>
      </w:r>
      <w:r w:rsidRPr="00DD477A">
        <w:t xml:space="preserve">are updated, the Word template can be easily updated </w:t>
      </w:r>
      <w:r w:rsidR="00702984" w:rsidRPr="00DD477A">
        <w:t xml:space="preserve">to reflect these changes </w:t>
      </w:r>
      <w:r w:rsidRPr="00DD477A">
        <w:t>by pressing the F9 key in Word</w:t>
      </w:r>
    </w:p>
    <w:p w14:paraId="3CF2CED3" w14:textId="6EB182B8" w:rsidR="00FA0945" w:rsidRPr="00DD477A" w:rsidRDefault="00CB784D" w:rsidP="00B54999">
      <w:pPr>
        <w:pStyle w:val="Bullet1"/>
      </w:pPr>
      <w:r w:rsidRPr="00DD477A">
        <w:t>using linked</w:t>
      </w:r>
      <w:r w:rsidR="53BF0693" w:rsidRPr="00DD477A">
        <w:t xml:space="preserve"> object</w:t>
      </w:r>
      <w:r w:rsidR="0067062D" w:rsidRPr="00DD477A">
        <w:t>s</w:t>
      </w:r>
      <w:r w:rsidR="53BF0693" w:rsidRPr="00DD477A">
        <w:t xml:space="preserve"> in</w:t>
      </w:r>
      <w:r w:rsidR="0067062D" w:rsidRPr="00DD477A">
        <w:t xml:space="preserve"> Word</w:t>
      </w:r>
      <w:r w:rsidR="53BF0693" w:rsidRPr="00DD477A">
        <w:t xml:space="preserve"> document</w:t>
      </w:r>
      <w:r w:rsidR="0067062D" w:rsidRPr="00DD477A">
        <w:t>s</w:t>
      </w:r>
      <w:r w:rsidR="53BF0693" w:rsidRPr="00DD477A">
        <w:t xml:space="preserve"> </w:t>
      </w:r>
      <w:r w:rsidR="0067062D" w:rsidRPr="00DD477A">
        <w:t>minim</w:t>
      </w:r>
      <w:r w:rsidR="000E6F1C" w:rsidRPr="00DD477A">
        <w:t xml:space="preserve">ise </w:t>
      </w:r>
      <w:r w:rsidR="53BF0693" w:rsidRPr="00DD477A">
        <w:t>the file size</w:t>
      </w:r>
      <w:r w:rsidR="000E6F1C" w:rsidRPr="00DD477A">
        <w:t xml:space="preserve">, </w:t>
      </w:r>
      <w:r w:rsidR="53BF0693" w:rsidRPr="00DD477A">
        <w:t>unlinked object</w:t>
      </w:r>
      <w:r w:rsidR="000E6F1C" w:rsidRPr="00DD477A">
        <w:t>s</w:t>
      </w:r>
      <w:r w:rsidR="53BF0693" w:rsidRPr="00DD477A">
        <w:t xml:space="preserve"> increase the document size</w:t>
      </w:r>
    </w:p>
    <w:p w14:paraId="49F5510A" w14:textId="012AFA9F" w:rsidR="00FA0945" w:rsidRPr="00DD477A" w:rsidRDefault="00450579" w:rsidP="00B54999">
      <w:pPr>
        <w:pStyle w:val="Bullet1"/>
      </w:pPr>
      <w:r w:rsidRPr="00DD477A">
        <w:t xml:space="preserve">Improvements to security by disallowing </w:t>
      </w:r>
      <w:r w:rsidR="00E62493" w:rsidRPr="00DD477A">
        <w:t xml:space="preserve">access to the source Excel file </w:t>
      </w:r>
      <w:r w:rsidR="53BF0693" w:rsidRPr="00DD477A">
        <w:t>when</w:t>
      </w:r>
      <w:r w:rsidR="00E62493" w:rsidRPr="00DD477A">
        <w:t xml:space="preserve"> </w:t>
      </w:r>
      <w:r w:rsidR="002D2E3C" w:rsidRPr="00DD477A">
        <w:t xml:space="preserve">unauthorised users </w:t>
      </w:r>
      <w:r w:rsidR="53BF0693" w:rsidRPr="00DD477A">
        <w:t>double click on a linked object in Word</w:t>
      </w:r>
      <w:r w:rsidR="00E62493" w:rsidRPr="00DD477A">
        <w:t>.</w:t>
      </w:r>
    </w:p>
    <w:p w14:paraId="6332C50C" w14:textId="77777777" w:rsidR="00FA0945" w:rsidRPr="00DD477A" w:rsidRDefault="53BF0693" w:rsidP="003D6589">
      <w:pPr>
        <w:pStyle w:val="Heading2"/>
      </w:pPr>
      <w:bookmarkStart w:id="1675" w:name="_Toc227749115"/>
      <w:r w:rsidRPr="00DD477A">
        <w:t>To insert a linked Excel table into the Word template:</w:t>
      </w:r>
      <w:bookmarkEnd w:id="1675"/>
    </w:p>
    <w:p w14:paraId="2DBE4416" w14:textId="68DD5CFB" w:rsidR="00FA0945" w:rsidRPr="00DD477A" w:rsidRDefault="00F05ECA" w:rsidP="00AA1E87">
      <w:pPr>
        <w:pStyle w:val="Numbered"/>
        <w:numPr>
          <w:ilvl w:val="0"/>
          <w:numId w:val="27"/>
        </w:numPr>
      </w:pPr>
      <w:r w:rsidRPr="00DD477A">
        <w:t>i</w:t>
      </w:r>
      <w:r w:rsidR="53BF0693" w:rsidRPr="00DD477A">
        <w:t xml:space="preserve">n Excel, format the table to budget standards (see </w:t>
      </w:r>
      <w:r w:rsidR="00836B9B" w:rsidRPr="00DD477A">
        <w:t>above</w:t>
      </w:r>
      <w:r w:rsidR="53BF0693" w:rsidRPr="00DD477A">
        <w:t>)</w:t>
      </w:r>
    </w:p>
    <w:p w14:paraId="7746DAF4" w14:textId="77777777" w:rsidR="00FA0945" w:rsidRPr="00DD477A" w:rsidRDefault="00F05ECA" w:rsidP="00AA1E87">
      <w:pPr>
        <w:pStyle w:val="Numbered"/>
        <w:numPr>
          <w:ilvl w:val="0"/>
          <w:numId w:val="27"/>
        </w:numPr>
      </w:pPr>
      <w:r w:rsidRPr="00DD477A">
        <w:t>i</w:t>
      </w:r>
      <w:r w:rsidR="53BF0693" w:rsidRPr="00DD477A">
        <w:t>n Excel, select and copy the table</w:t>
      </w:r>
    </w:p>
    <w:p w14:paraId="744AB01C" w14:textId="20E8D14E" w:rsidR="00FA0945" w:rsidRPr="00DD477A" w:rsidRDefault="00F05ECA" w:rsidP="00AA1E87">
      <w:pPr>
        <w:pStyle w:val="Numbered"/>
        <w:numPr>
          <w:ilvl w:val="0"/>
          <w:numId w:val="27"/>
        </w:numPr>
      </w:pPr>
      <w:r w:rsidRPr="00DD477A">
        <w:t>i</w:t>
      </w:r>
      <w:r w:rsidR="53BF0693" w:rsidRPr="00DD477A">
        <w:t>n Word, enter the appropriate heading and apply the Table Heading format to the text</w:t>
      </w:r>
    </w:p>
    <w:p w14:paraId="70530A8B" w14:textId="71D8F1C5" w:rsidR="00FA0945" w:rsidRPr="00DD477A" w:rsidRDefault="00F05ECA" w:rsidP="00AA1E87">
      <w:pPr>
        <w:pStyle w:val="Numbered"/>
        <w:numPr>
          <w:ilvl w:val="0"/>
          <w:numId w:val="27"/>
        </w:numPr>
      </w:pPr>
      <w:r w:rsidRPr="00DD477A">
        <w:t>i</w:t>
      </w:r>
      <w:r w:rsidR="53BF0693" w:rsidRPr="00DD477A">
        <w:t xml:space="preserve">n Word, select </w:t>
      </w:r>
      <w:r w:rsidR="006714EB" w:rsidRPr="00DD477A">
        <w:t>‘</w:t>
      </w:r>
      <w:r w:rsidR="53BF0693" w:rsidRPr="00DD477A">
        <w:t>Paste Special</w:t>
      </w:r>
      <w:r w:rsidR="006714EB" w:rsidRPr="00DD477A">
        <w:t>’</w:t>
      </w:r>
      <w:r w:rsidR="53BF0693" w:rsidRPr="00DD477A">
        <w:t xml:space="preserve">, choose </w:t>
      </w:r>
      <w:r w:rsidR="006714EB" w:rsidRPr="00DD477A">
        <w:t>‘</w:t>
      </w:r>
      <w:r w:rsidR="53BF0693" w:rsidRPr="00DD477A">
        <w:t xml:space="preserve">Paste Link – </w:t>
      </w:r>
      <w:r w:rsidR="00BC04B2" w:rsidRPr="00DD477A">
        <w:t>HTML Format</w:t>
      </w:r>
      <w:r w:rsidR="006714EB" w:rsidRPr="00DD477A">
        <w:t>’</w:t>
      </w:r>
      <w:r w:rsidR="53BF0693" w:rsidRPr="00DD477A">
        <w:t xml:space="preserve"> and click </w:t>
      </w:r>
      <w:r w:rsidR="006714EB" w:rsidRPr="00DD477A">
        <w:t>‘</w:t>
      </w:r>
      <w:r w:rsidR="53BF0693" w:rsidRPr="00DD477A">
        <w:t>OK</w:t>
      </w:r>
      <w:r w:rsidR="006714EB" w:rsidRPr="00DD477A">
        <w:t>’</w:t>
      </w:r>
    </w:p>
    <w:p w14:paraId="3CC877BF" w14:textId="77777777" w:rsidR="00FA0945" w:rsidRPr="00DD477A" w:rsidRDefault="00F05ECA" w:rsidP="00AA1E87">
      <w:pPr>
        <w:pStyle w:val="Numbered"/>
        <w:numPr>
          <w:ilvl w:val="0"/>
          <w:numId w:val="27"/>
        </w:numPr>
      </w:pPr>
      <w:r w:rsidRPr="00DD477A">
        <w:t>i</w:t>
      </w:r>
      <w:r w:rsidR="53BF0693" w:rsidRPr="00DD477A">
        <w:t>n Word, type in the footnotes and other text</w:t>
      </w:r>
    </w:p>
    <w:p w14:paraId="71A6C0F6" w14:textId="65413439" w:rsidR="00FA0945" w:rsidRPr="00DD477A" w:rsidRDefault="00F05ECA" w:rsidP="00AA1E87">
      <w:pPr>
        <w:pStyle w:val="Numbered"/>
        <w:numPr>
          <w:ilvl w:val="0"/>
          <w:numId w:val="27"/>
        </w:numPr>
      </w:pPr>
      <w:r w:rsidRPr="00DD477A">
        <w:t>i</w:t>
      </w:r>
      <w:r w:rsidR="00FA0945" w:rsidRPr="00DD477A">
        <w:t xml:space="preserve">n Word lock the links by right clicking the linked table and choosing Linked Worksheet Object </w:t>
      </w:r>
      <w:r w:rsidR="004B76F7" w:rsidRPr="00DD477A">
        <w:rPr>
          <w:rFonts w:ascii="Wingdings" w:eastAsia="Wingdings" w:hAnsi="Wingdings" w:cs="Wingdings"/>
        </w:rPr>
        <w:t></w:t>
      </w:r>
      <w:r w:rsidR="00FA0945" w:rsidRPr="00DD477A">
        <w:t xml:space="preserve"> Links and then checking the </w:t>
      </w:r>
      <w:r w:rsidR="006714EB" w:rsidRPr="00DD477A">
        <w:t>‘</w:t>
      </w:r>
      <w:r w:rsidR="00FA0945" w:rsidRPr="00DD477A">
        <w:t>Locked</w:t>
      </w:r>
      <w:r w:rsidR="006714EB" w:rsidRPr="00DD477A">
        <w:t>’</w:t>
      </w:r>
      <w:r w:rsidR="00FA0945" w:rsidRPr="00DD477A">
        <w:t xml:space="preserve"> tick box, then click </w:t>
      </w:r>
      <w:r w:rsidR="006714EB" w:rsidRPr="00DD477A">
        <w:t>‘</w:t>
      </w:r>
      <w:r w:rsidR="00FA0945" w:rsidRPr="00DD477A">
        <w:t>OK</w:t>
      </w:r>
      <w:r w:rsidR="006714EB" w:rsidRPr="00DD477A">
        <w:t>’</w:t>
      </w:r>
      <w:r w:rsidR="00FA0945" w:rsidRPr="00DD477A">
        <w:t>.</w:t>
      </w:r>
    </w:p>
    <w:p w14:paraId="254590C2" w14:textId="77777777" w:rsidR="00FA0945" w:rsidRPr="00DD477A" w:rsidRDefault="53BF0693" w:rsidP="003D6589">
      <w:pPr>
        <w:pStyle w:val="Heading2"/>
      </w:pPr>
      <w:bookmarkStart w:id="1676" w:name="_Toc227749116"/>
      <w:r w:rsidRPr="00DD477A">
        <w:t>To update linked tables</w:t>
      </w:r>
      <w:bookmarkEnd w:id="1676"/>
    </w:p>
    <w:p w14:paraId="78CF31D3" w14:textId="77777777" w:rsidR="00FA0945" w:rsidRPr="00DD477A" w:rsidRDefault="00F05ECA" w:rsidP="00AA1E87">
      <w:pPr>
        <w:pStyle w:val="Numbered"/>
        <w:numPr>
          <w:ilvl w:val="0"/>
          <w:numId w:val="28"/>
        </w:numPr>
      </w:pPr>
      <w:r w:rsidRPr="00DD477A">
        <w:t>i</w:t>
      </w:r>
      <w:r w:rsidR="53BF0693" w:rsidRPr="00DD477A">
        <w:t>n Excel, open the source workbook to update the table</w:t>
      </w:r>
    </w:p>
    <w:p w14:paraId="3FB75334" w14:textId="41259160" w:rsidR="00FA0945" w:rsidRPr="00DD477A" w:rsidRDefault="00F05ECA" w:rsidP="00AA1E87">
      <w:pPr>
        <w:pStyle w:val="Numbered"/>
        <w:numPr>
          <w:ilvl w:val="0"/>
          <w:numId w:val="28"/>
        </w:numPr>
      </w:pPr>
      <w:r w:rsidRPr="00DD477A">
        <w:t>t</w:t>
      </w:r>
      <w:r w:rsidR="00FA0945" w:rsidRPr="00DD477A">
        <w:t>o update the table, in Word, right click the table and select Linked Worksheet Object</w:t>
      </w:r>
      <w:r w:rsidR="009244B3" w:rsidRPr="00DD477A">
        <w:t> </w:t>
      </w:r>
      <w:r w:rsidR="004B76F7" w:rsidRPr="00DD477A">
        <w:rPr>
          <w:rFonts w:ascii="Wingdings" w:eastAsia="Wingdings" w:hAnsi="Wingdings" w:cs="Wingdings"/>
        </w:rPr>
        <w:t></w:t>
      </w:r>
      <w:r w:rsidR="009244B3" w:rsidRPr="00DD477A">
        <w:t> </w:t>
      </w:r>
      <w:r w:rsidR="00FA0945" w:rsidRPr="00DD477A">
        <w:t xml:space="preserve">Links. Uncheck the </w:t>
      </w:r>
      <w:r w:rsidR="006714EB" w:rsidRPr="00DD477A">
        <w:t>‘</w:t>
      </w:r>
      <w:r w:rsidR="00FA0945" w:rsidRPr="00DD477A">
        <w:t>Locked</w:t>
      </w:r>
      <w:r w:rsidR="006714EB" w:rsidRPr="00DD477A">
        <w:t>’</w:t>
      </w:r>
      <w:r w:rsidR="00FA0945" w:rsidRPr="00DD477A">
        <w:t xml:space="preserve"> tick box, then select update now, then re-check the </w:t>
      </w:r>
      <w:r w:rsidR="006714EB" w:rsidRPr="00DD477A">
        <w:t>‘</w:t>
      </w:r>
      <w:r w:rsidR="00FA0945" w:rsidRPr="00DD477A">
        <w:t>Locked</w:t>
      </w:r>
      <w:r w:rsidR="006714EB" w:rsidRPr="00DD477A">
        <w:t>’</w:t>
      </w:r>
      <w:r w:rsidR="00FA0945" w:rsidRPr="00DD477A">
        <w:t xml:space="preserve"> tick box, then click </w:t>
      </w:r>
      <w:r w:rsidR="006714EB" w:rsidRPr="00DD477A">
        <w:t>‘</w:t>
      </w:r>
      <w:r w:rsidR="00FA0945" w:rsidRPr="00DD477A">
        <w:t>OK</w:t>
      </w:r>
      <w:r w:rsidR="006714EB" w:rsidRPr="00DD477A">
        <w:t>’</w:t>
      </w:r>
    </w:p>
    <w:p w14:paraId="76FFCCED" w14:textId="03367990" w:rsidR="00FA0945" w:rsidRPr="00DD477A" w:rsidRDefault="00F05ECA" w:rsidP="00AA1E87">
      <w:pPr>
        <w:pStyle w:val="Numbered"/>
        <w:numPr>
          <w:ilvl w:val="0"/>
          <w:numId w:val="28"/>
        </w:numPr>
      </w:pPr>
      <w:r w:rsidRPr="00DD477A">
        <w:t>i</w:t>
      </w:r>
      <w:r w:rsidR="53BF0693" w:rsidRPr="00DD477A">
        <w:t xml:space="preserve">f you have not locked the tables, press F9 to update the table in the Word document. </w:t>
      </w:r>
    </w:p>
    <w:p w14:paraId="4E659489" w14:textId="0F45045F" w:rsidR="00FA0945" w:rsidRPr="00DD477A" w:rsidRDefault="53BF0693" w:rsidP="003D6589">
      <w:pPr>
        <w:pStyle w:val="Heading2"/>
      </w:pPr>
      <w:bookmarkStart w:id="1677" w:name="_Toc534382585"/>
      <w:bookmarkStart w:id="1678" w:name="_Toc63347751"/>
      <w:bookmarkStart w:id="1679" w:name="_Toc227749117"/>
      <w:r w:rsidRPr="00DD477A">
        <w:t xml:space="preserve">Preparing the </w:t>
      </w:r>
      <w:r w:rsidR="00860488" w:rsidRPr="00DD477A">
        <w:t xml:space="preserve">Word </w:t>
      </w:r>
      <w:r w:rsidRPr="00DD477A">
        <w:t>template for printing</w:t>
      </w:r>
      <w:bookmarkEnd w:id="1677"/>
      <w:bookmarkEnd w:id="1678"/>
      <w:bookmarkEnd w:id="1679"/>
    </w:p>
    <w:p w14:paraId="2A00301A" w14:textId="10082896" w:rsidR="00FA0945" w:rsidRPr="00DD477A" w:rsidRDefault="53BF0693">
      <w:pPr>
        <w:pStyle w:val="BodyText"/>
        <w:rPr>
          <w:rFonts w:cs="Calibri"/>
        </w:rPr>
      </w:pPr>
      <w:r w:rsidRPr="00DD477A">
        <w:rPr>
          <w:rFonts w:cs="Calibri"/>
        </w:rPr>
        <w:t>To prepare the Word template for printing, the links to the Excel template should be broken</w:t>
      </w:r>
      <w:r w:rsidR="00E1633A" w:rsidRPr="00DD477A">
        <w:rPr>
          <w:rFonts w:cs="Calibri"/>
        </w:rPr>
        <w:t xml:space="preserve"> and </w:t>
      </w:r>
      <w:r w:rsidR="005B41EB" w:rsidRPr="00DD477A">
        <w:rPr>
          <w:rFonts w:cs="Calibri"/>
        </w:rPr>
        <w:t>to do this you must</w:t>
      </w:r>
      <w:r w:rsidRPr="00DD477A">
        <w:rPr>
          <w:rFonts w:cs="Calibri"/>
        </w:rPr>
        <w:t>:</w:t>
      </w:r>
    </w:p>
    <w:p w14:paraId="6442113C" w14:textId="083FBD5B" w:rsidR="00FA0945" w:rsidRPr="00DD477A" w:rsidRDefault="00F05ECA" w:rsidP="00AA1E87">
      <w:pPr>
        <w:pStyle w:val="Numbered"/>
        <w:numPr>
          <w:ilvl w:val="0"/>
          <w:numId w:val="46"/>
        </w:numPr>
      </w:pPr>
      <w:r w:rsidRPr="00DD477A">
        <w:t>i</w:t>
      </w:r>
      <w:r w:rsidR="53BF0693" w:rsidRPr="00DD477A">
        <w:t xml:space="preserve">n </w:t>
      </w:r>
      <w:r w:rsidR="53BF0693" w:rsidRPr="00157BAB">
        <w:t>Word</w:t>
      </w:r>
      <w:r w:rsidR="53BF0693" w:rsidRPr="00DD477A">
        <w:t xml:space="preserve">, click the Office button, then </w:t>
      </w:r>
      <w:r w:rsidR="006714EB" w:rsidRPr="00DD477A">
        <w:t>‘</w:t>
      </w:r>
      <w:r w:rsidR="53BF0693" w:rsidRPr="00DD477A">
        <w:t>Prepare</w:t>
      </w:r>
      <w:r w:rsidR="006714EB" w:rsidRPr="00DD477A">
        <w:t>’</w:t>
      </w:r>
      <w:r w:rsidR="53BF0693" w:rsidRPr="00DD477A">
        <w:t xml:space="preserve"> and then </w:t>
      </w:r>
      <w:r w:rsidR="006714EB" w:rsidRPr="00DD477A">
        <w:t>‘</w:t>
      </w:r>
      <w:r w:rsidR="53BF0693" w:rsidRPr="00DD477A">
        <w:t>Edit Links to Files</w:t>
      </w:r>
      <w:r w:rsidR="006714EB" w:rsidRPr="00DD477A">
        <w:t>’</w:t>
      </w:r>
    </w:p>
    <w:p w14:paraId="559C290D" w14:textId="68CE73A5" w:rsidR="00FA0945" w:rsidRPr="00DD477A" w:rsidRDefault="00F05ECA" w:rsidP="00157BAB">
      <w:pPr>
        <w:pStyle w:val="Numbered"/>
      </w:pPr>
      <w:r w:rsidRPr="00DD477A">
        <w:t>f</w:t>
      </w:r>
      <w:r w:rsidR="53BF0693" w:rsidRPr="00DD477A">
        <w:t xml:space="preserve">or each link listed, click </w:t>
      </w:r>
      <w:r w:rsidR="006714EB" w:rsidRPr="00DD477A">
        <w:t>‘</w:t>
      </w:r>
      <w:r w:rsidR="53BF0693" w:rsidRPr="00DD477A">
        <w:t>Break Link</w:t>
      </w:r>
      <w:r w:rsidR="006714EB" w:rsidRPr="00DD477A">
        <w:t>’</w:t>
      </w:r>
    </w:p>
    <w:p w14:paraId="62DFB408" w14:textId="77777777" w:rsidR="00FA0945" w:rsidRPr="00DD477A" w:rsidRDefault="00F05ECA" w:rsidP="00157BAB">
      <w:pPr>
        <w:pStyle w:val="Numbered"/>
      </w:pPr>
      <w:r w:rsidRPr="00DD477A">
        <w:t>s</w:t>
      </w:r>
      <w:r w:rsidR="53BF0693" w:rsidRPr="00DD477A">
        <w:t xml:space="preserve">ave the file and if required by your publisher, convert to Adobe PDF format for printing. </w:t>
      </w:r>
    </w:p>
    <w:p w14:paraId="3B0A8EB8" w14:textId="4D927F33" w:rsidR="00FA0945" w:rsidRPr="00DD477A" w:rsidRDefault="53BF0693" w:rsidP="003D6589">
      <w:pPr>
        <w:pStyle w:val="Heading2"/>
      </w:pPr>
      <w:bookmarkStart w:id="1680" w:name="_Toc534382586"/>
      <w:bookmarkStart w:id="1681" w:name="_Toc63347752"/>
      <w:bookmarkStart w:id="1682" w:name="_Toc227749118"/>
      <w:r w:rsidRPr="00DD477A">
        <w:t xml:space="preserve">Preparing the </w:t>
      </w:r>
      <w:r w:rsidR="00860488" w:rsidRPr="00DD477A">
        <w:t xml:space="preserve">Word </w:t>
      </w:r>
      <w:r w:rsidRPr="00DD477A">
        <w:t>template for online publication</w:t>
      </w:r>
      <w:bookmarkEnd w:id="1680"/>
      <w:bookmarkEnd w:id="1681"/>
      <w:bookmarkEnd w:id="1682"/>
    </w:p>
    <w:p w14:paraId="1F11ED55" w14:textId="05B1AA5D" w:rsidR="00FA0945" w:rsidRPr="00DD477A" w:rsidRDefault="53BF0693">
      <w:pPr>
        <w:pStyle w:val="BodyText"/>
        <w:rPr>
          <w:rFonts w:cs="Calibri"/>
        </w:rPr>
      </w:pPr>
      <w:r w:rsidRPr="00DD477A">
        <w:rPr>
          <w:rFonts w:cs="Calibri"/>
        </w:rPr>
        <w:t>In order to prepare the Word template for online publication and to ensure they are web accessible entities will need to re-paste the</w:t>
      </w:r>
      <w:r w:rsidR="00CD0F3A" w:rsidRPr="00DD477A">
        <w:rPr>
          <w:rFonts w:cs="Calibri"/>
        </w:rPr>
        <w:t>ir</w:t>
      </w:r>
      <w:r w:rsidRPr="00DD477A">
        <w:rPr>
          <w:rFonts w:cs="Calibri"/>
        </w:rPr>
        <w:t xml:space="preserve"> Excel tables into the Word document in HTML format:</w:t>
      </w:r>
    </w:p>
    <w:p w14:paraId="0DCA8A1B" w14:textId="77777777" w:rsidR="00FA0945" w:rsidRPr="00DD477A" w:rsidRDefault="00F05ECA" w:rsidP="00AA1E87">
      <w:pPr>
        <w:pStyle w:val="Numbered"/>
        <w:numPr>
          <w:ilvl w:val="0"/>
          <w:numId w:val="43"/>
        </w:numPr>
      </w:pPr>
      <w:r w:rsidRPr="00DD477A">
        <w:t>i</w:t>
      </w:r>
      <w:r w:rsidR="53BF0693" w:rsidRPr="00DD477A">
        <w:t>n Excel, select and copy the table</w:t>
      </w:r>
    </w:p>
    <w:p w14:paraId="2E20F870" w14:textId="2A09A2BF" w:rsidR="00FA0945" w:rsidRPr="00DD477A" w:rsidRDefault="00F05ECA" w:rsidP="00AA1E87">
      <w:pPr>
        <w:pStyle w:val="Numbered"/>
        <w:numPr>
          <w:ilvl w:val="0"/>
          <w:numId w:val="43"/>
        </w:numPr>
      </w:pPr>
      <w:r w:rsidRPr="00DD477A">
        <w:t>i</w:t>
      </w:r>
      <w:r w:rsidR="53BF0693" w:rsidRPr="00DD477A">
        <w:t xml:space="preserve">n Word, select </w:t>
      </w:r>
      <w:r w:rsidR="006714EB" w:rsidRPr="00DD477A">
        <w:t>‘</w:t>
      </w:r>
      <w:r w:rsidR="53BF0693" w:rsidRPr="00DD477A">
        <w:t>Paste Special</w:t>
      </w:r>
      <w:r w:rsidR="006714EB" w:rsidRPr="00DD477A">
        <w:t>’</w:t>
      </w:r>
      <w:r w:rsidR="53BF0693" w:rsidRPr="00DD477A">
        <w:t xml:space="preserve">, choose </w:t>
      </w:r>
      <w:r w:rsidR="006714EB" w:rsidRPr="00DD477A">
        <w:t>‘</w:t>
      </w:r>
      <w:r w:rsidR="53BF0693" w:rsidRPr="00DD477A">
        <w:t>Paste – HTML Format</w:t>
      </w:r>
      <w:r w:rsidR="006714EB" w:rsidRPr="00DD477A">
        <w:t>’</w:t>
      </w:r>
      <w:r w:rsidR="53BF0693" w:rsidRPr="00DD477A">
        <w:t xml:space="preserve"> and click </w:t>
      </w:r>
      <w:r w:rsidR="006714EB" w:rsidRPr="00DD477A">
        <w:t>‘</w:t>
      </w:r>
      <w:r w:rsidR="53BF0693" w:rsidRPr="00DD477A">
        <w:t>OK</w:t>
      </w:r>
      <w:r w:rsidR="006714EB" w:rsidRPr="00DD477A">
        <w:t>’</w:t>
      </w:r>
    </w:p>
    <w:p w14:paraId="41E7B73B" w14:textId="6EB2E1EC" w:rsidR="00FA0945" w:rsidRPr="00DD477A" w:rsidRDefault="00F05ECA" w:rsidP="00AA1E87">
      <w:pPr>
        <w:pStyle w:val="Numbered"/>
        <w:numPr>
          <w:ilvl w:val="0"/>
          <w:numId w:val="43"/>
        </w:numPr>
      </w:pPr>
      <w:r w:rsidRPr="00DD477A">
        <w:t>s</w:t>
      </w:r>
      <w:r w:rsidR="53BF0693" w:rsidRPr="00DD477A">
        <w:t>ave the file</w:t>
      </w:r>
      <w:r w:rsidR="004F6B15" w:rsidRPr="00DD477A">
        <w:t xml:space="preserve"> as i</w:t>
      </w:r>
      <w:r w:rsidR="53BF0693" w:rsidRPr="00DD477A">
        <w:t>t is now ready for conversion into Adobe PDF or HTML format by your Web Publishing area</w:t>
      </w:r>
      <w:r w:rsidR="002C78E5" w:rsidRPr="00DD477A">
        <w:t>.</w:t>
      </w:r>
    </w:p>
    <w:p w14:paraId="716D2467" w14:textId="2E80CC23" w:rsidR="00FA0945" w:rsidRPr="00DD477A" w:rsidRDefault="00860D0A" w:rsidP="003D6589">
      <w:pPr>
        <w:pStyle w:val="Heading2"/>
      </w:pPr>
      <w:bookmarkStart w:id="1683" w:name="_Toc534382587"/>
      <w:bookmarkStart w:id="1684" w:name="_Toc63347753"/>
      <w:bookmarkStart w:id="1685" w:name="_Toc227749119"/>
      <w:r w:rsidRPr="00DD477A">
        <w:t>A</w:t>
      </w:r>
      <w:r w:rsidR="53BF0693" w:rsidRPr="00DD477A">
        <w:t>ccessibility requirements</w:t>
      </w:r>
      <w:bookmarkEnd w:id="1683"/>
      <w:bookmarkEnd w:id="1684"/>
      <w:bookmarkEnd w:id="1685"/>
    </w:p>
    <w:p w14:paraId="08F275EC" w14:textId="3735FE78" w:rsidR="00055116" w:rsidRPr="00DD477A" w:rsidRDefault="00206B0B" w:rsidP="003D6589">
      <w:pPr>
        <w:pStyle w:val="Heading3"/>
      </w:pPr>
      <w:bookmarkStart w:id="1686" w:name="_Toc227749120"/>
      <w:r w:rsidRPr="00DD477A">
        <w:t>Online accessibility</w:t>
      </w:r>
      <w:bookmarkEnd w:id="1686"/>
      <w:r w:rsidRPr="00DD477A">
        <w:t xml:space="preserve"> </w:t>
      </w:r>
    </w:p>
    <w:p w14:paraId="031A78AF" w14:textId="155B9093" w:rsidR="00FA0945" w:rsidRPr="00DD477A" w:rsidRDefault="53BF0693" w:rsidP="000A7DEC">
      <w:pPr>
        <w:rPr>
          <w:rFonts w:cs="Calibri"/>
        </w:rPr>
      </w:pPr>
      <w:r w:rsidRPr="00DD477A">
        <w:rPr>
          <w:rFonts w:cs="Calibri"/>
        </w:rPr>
        <w:t xml:space="preserve">Entities must ensure web content published on government websites meets the mandatory accessibility standard ‘Web Content Accessibility Guidelines Version 2.0’. Details of the standard and associated policy advice can be found online at </w:t>
      </w:r>
      <w:hyperlink r:id="rId229">
        <w:r w:rsidRPr="00DD477A">
          <w:rPr>
            <w:rStyle w:val="Hyperlink"/>
          </w:rPr>
          <w:t>www.stylemanual.gov.au/user-needs/accessibility-and-inclusion</w:t>
        </w:r>
      </w:hyperlink>
      <w:r w:rsidRPr="00DD477A">
        <w:rPr>
          <w:rFonts w:cs="Calibri"/>
        </w:rPr>
        <w:t>.</w:t>
      </w:r>
    </w:p>
    <w:p w14:paraId="3E52B122" w14:textId="58EF9377" w:rsidR="00FA0945" w:rsidRPr="00DD477A" w:rsidRDefault="00DC0477" w:rsidP="0095142C">
      <w:r w:rsidRPr="00DD477A">
        <w:rPr>
          <w:rFonts w:cs="Calibri"/>
        </w:rPr>
        <w:t xml:space="preserve">Where possible, </w:t>
      </w:r>
      <w:r w:rsidR="00CC385A" w:rsidRPr="00DD477A">
        <w:rPr>
          <w:rFonts w:cs="Calibri"/>
        </w:rPr>
        <w:t>t</w:t>
      </w:r>
      <w:r w:rsidR="53BF0693" w:rsidRPr="00DD477A">
        <w:rPr>
          <w:rFonts w:cs="Calibri"/>
        </w:rPr>
        <w:t xml:space="preserve">he tables for the PB Statements have been reformatted to improve accessibility for users with a disability. </w:t>
      </w:r>
    </w:p>
    <w:p w14:paraId="05623EAC" w14:textId="20F904DD" w:rsidR="00FA0945" w:rsidRPr="00DD477A" w:rsidRDefault="006A1FFB" w:rsidP="003D6589">
      <w:pPr>
        <w:pStyle w:val="Heading3"/>
      </w:pPr>
      <w:bookmarkStart w:id="1687" w:name="_Toc227749121"/>
      <w:bookmarkStart w:id="1688" w:name="_Toc63347754"/>
      <w:r w:rsidRPr="00DD477A">
        <w:t xml:space="preserve">Improving </w:t>
      </w:r>
      <w:r w:rsidR="0028392C" w:rsidRPr="00DD477A">
        <w:t xml:space="preserve">documents </w:t>
      </w:r>
      <w:r w:rsidR="53BF0693" w:rsidRPr="00DD477A">
        <w:t>accessib</w:t>
      </w:r>
      <w:r w:rsidRPr="00DD477A">
        <w:t>ility</w:t>
      </w:r>
      <w:bookmarkEnd w:id="1687"/>
      <w:r w:rsidR="53BF0693" w:rsidRPr="00DD477A">
        <w:t xml:space="preserve"> </w:t>
      </w:r>
      <w:bookmarkEnd w:id="1688"/>
    </w:p>
    <w:p w14:paraId="250AED61" w14:textId="11BE8D9C" w:rsidR="00FA0945" w:rsidRPr="00DD477A" w:rsidRDefault="53BF0693" w:rsidP="000A7DEC">
      <w:pPr>
        <w:rPr>
          <w:rFonts w:cs="Calibri"/>
        </w:rPr>
      </w:pPr>
      <w:r w:rsidRPr="00DD477A">
        <w:rPr>
          <w:rFonts w:cs="Calibri"/>
        </w:rPr>
        <w:t xml:space="preserve">Entities are responsible for making their documents accessible and it is recommended entities contact their publishing </w:t>
      </w:r>
      <w:r w:rsidR="00372423" w:rsidRPr="00DD477A">
        <w:rPr>
          <w:rFonts w:cs="Calibri"/>
        </w:rPr>
        <w:t>and</w:t>
      </w:r>
      <w:r w:rsidRPr="00DD477A">
        <w:rPr>
          <w:rFonts w:cs="Calibri"/>
        </w:rPr>
        <w:t xml:space="preserve"> web</w:t>
      </w:r>
      <w:r w:rsidR="00622136" w:rsidRPr="00DD477A">
        <w:rPr>
          <w:rFonts w:cs="Calibri"/>
        </w:rPr>
        <w:t>-publishing</w:t>
      </w:r>
      <w:r w:rsidRPr="00DD477A">
        <w:rPr>
          <w:rFonts w:cs="Calibri"/>
        </w:rPr>
        <w:t xml:space="preserve"> teams early to ensure requirements are met.</w:t>
      </w:r>
    </w:p>
    <w:p w14:paraId="2F41721D" w14:textId="3220B1B5" w:rsidR="00FA0945" w:rsidRPr="00DD477A" w:rsidRDefault="00785893" w:rsidP="00AA1E87">
      <w:pPr>
        <w:pStyle w:val="Numbered"/>
        <w:numPr>
          <w:ilvl w:val="0"/>
          <w:numId w:val="44"/>
        </w:numPr>
      </w:pPr>
      <w:r>
        <w:t>C</w:t>
      </w:r>
      <w:r w:rsidR="53BF0693" w:rsidRPr="00DD477A">
        <w:t>ontent structure — use styles:</w:t>
      </w:r>
    </w:p>
    <w:p w14:paraId="7CC38E22" w14:textId="77777777" w:rsidR="00FA0945" w:rsidRPr="00DD477A" w:rsidRDefault="53BF0693" w:rsidP="0003645A">
      <w:pPr>
        <w:pStyle w:val="Bullet2"/>
      </w:pPr>
      <w:r w:rsidRPr="00DD477A">
        <w:t>using styles such as heading types, bullet point lists and numbered lists makes it easier for users with disabilities to navigate through a document</w:t>
      </w:r>
    </w:p>
    <w:p w14:paraId="7530B91E" w14:textId="2BDE3770" w:rsidR="00FA0945" w:rsidRPr="00DD477A" w:rsidRDefault="003141CD" w:rsidP="0003645A">
      <w:pPr>
        <w:pStyle w:val="Bullet2"/>
      </w:pPr>
      <w:r w:rsidRPr="00DD477A">
        <w:t>u</w:t>
      </w:r>
      <w:r w:rsidR="00FA0945" w:rsidRPr="00DD477A">
        <w:t>se the styles that are available on the Office ribbon under the Home tab or through the Styles window (Alt</w:t>
      </w:r>
      <w:r w:rsidR="00C37129" w:rsidRPr="00DD477A">
        <w:t xml:space="preserve"> </w:t>
      </w:r>
      <w:r w:rsidR="00FA0945" w:rsidRPr="00DD477A">
        <w:t>+</w:t>
      </w:r>
      <w:r w:rsidR="00C37129" w:rsidRPr="00DD477A">
        <w:t xml:space="preserve"> </w:t>
      </w:r>
      <w:r w:rsidR="00FA0945" w:rsidRPr="00DD477A">
        <w:t>Ctrl</w:t>
      </w:r>
      <w:r w:rsidR="00C37129" w:rsidRPr="00DD477A">
        <w:t xml:space="preserve"> </w:t>
      </w:r>
      <w:r w:rsidR="00FA0945" w:rsidRPr="00DD477A">
        <w:t>+</w:t>
      </w:r>
      <w:r w:rsidR="00C37129" w:rsidRPr="00DD477A">
        <w:t xml:space="preserve"> </w:t>
      </w:r>
      <w:r w:rsidR="00FA0945" w:rsidRPr="00DD477A">
        <w:t>Shift</w:t>
      </w:r>
      <w:r w:rsidR="00C37129" w:rsidRPr="00DD477A">
        <w:t xml:space="preserve"> </w:t>
      </w:r>
      <w:r w:rsidR="00FA0945" w:rsidRPr="00DD477A">
        <w:t>+</w:t>
      </w:r>
      <w:r w:rsidR="00C37129" w:rsidRPr="00DD477A">
        <w:t xml:space="preserve"> </w:t>
      </w:r>
      <w:r w:rsidR="00FA0945" w:rsidRPr="00DD477A">
        <w:t>S)</w:t>
      </w:r>
      <w:r w:rsidR="00E10C89" w:rsidRPr="00DD477A">
        <w:t xml:space="preserve"> (</w:t>
      </w:r>
      <w:r w:rsidR="00F62339" w:rsidRPr="00DD477A">
        <w:t>i.e.</w:t>
      </w:r>
      <w:r w:rsidR="00FA0945" w:rsidRPr="00DD477A">
        <w:t xml:space="preserve"> Heading 1, Heading 2, Heading 3, Heading 4, Normal etc</w:t>
      </w:r>
      <w:r w:rsidR="00E10C89" w:rsidRPr="00DD477A">
        <w:t>)</w:t>
      </w:r>
      <w:r w:rsidR="003911FC" w:rsidRPr="00DD477A">
        <w:br/>
      </w:r>
      <w:r w:rsidR="0013008A" w:rsidRPr="00DD477A">
        <w:rPr>
          <w:noProof/>
          <w:lang w:eastAsia="en-AU"/>
        </w:rPr>
        <w:drawing>
          <wp:inline distT="0" distB="0" distL="0" distR="0" wp14:anchorId="3A5819D3" wp14:editId="7CFBF00E">
            <wp:extent cx="2329200" cy="892800"/>
            <wp:effectExtent l="19050" t="19050" r="13970" b="222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2329200" cy="892800"/>
                    </a:xfrm>
                    <a:prstGeom prst="rect">
                      <a:avLst/>
                    </a:prstGeom>
                    <a:ln>
                      <a:solidFill>
                        <a:schemeClr val="tx1"/>
                      </a:solidFill>
                    </a:ln>
                  </pic:spPr>
                </pic:pic>
              </a:graphicData>
            </a:graphic>
          </wp:inline>
        </w:drawing>
      </w:r>
    </w:p>
    <w:p w14:paraId="693A9D05" w14:textId="77777777" w:rsidR="00FA0945" w:rsidRPr="00DD477A" w:rsidRDefault="53BF0693" w:rsidP="0003645A">
      <w:pPr>
        <w:pStyle w:val="Bullet2"/>
      </w:pPr>
      <w:r w:rsidRPr="00DD477A">
        <w:t>use heading styles to apply a logical structure to your document. Headings will allow screen reader users to navigate through the page easily and will make the page more usable for everyone. Use the Outline view to see the hierarchy of styles</w:t>
      </w:r>
    </w:p>
    <w:p w14:paraId="08A6C307" w14:textId="77777777" w:rsidR="00FA0945" w:rsidRPr="00DD477A" w:rsidRDefault="53BF0693" w:rsidP="0003645A">
      <w:pPr>
        <w:pStyle w:val="Bullet2"/>
      </w:pPr>
      <w:r w:rsidRPr="00DD477A">
        <w:t>do not skip any heading level — this may affect the logical reading order of the document when used by a screen reader</w:t>
      </w:r>
    </w:p>
    <w:p w14:paraId="0094A0D7" w14:textId="77777777" w:rsidR="00FA0945" w:rsidRPr="00DD477A" w:rsidRDefault="53BF0693" w:rsidP="0003645A">
      <w:pPr>
        <w:pStyle w:val="Bullet2"/>
      </w:pPr>
      <w:r w:rsidRPr="00DD477A">
        <w:t>make a page break to move text to the next page to ensure there is no blank space for screen reader audio.</w:t>
      </w:r>
    </w:p>
    <w:p w14:paraId="60EAFB8B" w14:textId="720308E7" w:rsidR="00FA0945" w:rsidRPr="00DD477A" w:rsidRDefault="00785893" w:rsidP="00AA1E87">
      <w:pPr>
        <w:pStyle w:val="Numbered"/>
        <w:numPr>
          <w:ilvl w:val="0"/>
          <w:numId w:val="44"/>
        </w:numPr>
      </w:pPr>
      <w:r>
        <w:t>A</w:t>
      </w:r>
      <w:r w:rsidR="53BF0693" w:rsidRPr="00DD477A">
        <w:t>lternative text:</w:t>
      </w:r>
    </w:p>
    <w:p w14:paraId="31C1007B" w14:textId="07018D6C" w:rsidR="00FA0945" w:rsidRPr="00DD477A" w:rsidRDefault="53BF0693" w:rsidP="0003645A">
      <w:pPr>
        <w:pStyle w:val="Bullet2"/>
      </w:pPr>
      <w:r w:rsidRPr="00DD477A">
        <w:t xml:space="preserve">charts and images all need to have alternative </w:t>
      </w:r>
      <w:r w:rsidR="00022801" w:rsidRPr="00DD477A">
        <w:t>text;</w:t>
      </w:r>
      <w:r w:rsidRPr="00DD477A">
        <w:t xml:space="preserve"> this text will be read by a screen reader in a Word file and will remain intact when exported to HTML or PDF</w:t>
      </w:r>
    </w:p>
    <w:p w14:paraId="543C2CB9" w14:textId="77777777" w:rsidR="00FA0945" w:rsidRPr="00DD477A" w:rsidRDefault="53BF0693" w:rsidP="0003645A">
      <w:pPr>
        <w:pStyle w:val="Bullet2"/>
      </w:pPr>
      <w:r w:rsidRPr="00DD477A">
        <w:t>entities must pr</w:t>
      </w:r>
      <w:r w:rsidR="00BD1BD3" w:rsidRPr="00DD477A">
        <w:t>ovide an alternative text (ALT t</w:t>
      </w:r>
      <w:r w:rsidRPr="00DD477A">
        <w:t>ext) description for all non-text objects and should communicate the essential content of the image as efficiently as possible</w:t>
      </w:r>
    </w:p>
    <w:p w14:paraId="238C9E55" w14:textId="619B1185" w:rsidR="00FA0945" w:rsidRPr="00DD477A" w:rsidRDefault="53BF0693" w:rsidP="0003645A">
      <w:pPr>
        <w:pStyle w:val="Bullet2"/>
      </w:pPr>
      <w:r w:rsidRPr="00DD477A">
        <w:t xml:space="preserve">to enter in ALT text </w:t>
      </w:r>
      <w:r w:rsidR="00022801" w:rsidRPr="00DD477A">
        <w:t>right,</w:t>
      </w:r>
      <w:r w:rsidRPr="00DD477A">
        <w:t xml:space="preserve"> click on the image, select Format Picture/Shape and then select the ALT text tab to enter in the title and description.</w:t>
      </w:r>
    </w:p>
    <w:p w14:paraId="64A2F6A6" w14:textId="41BCF764" w:rsidR="00FA0945" w:rsidRPr="00DD477A" w:rsidRDefault="00785893" w:rsidP="0014243A">
      <w:pPr>
        <w:pStyle w:val="Numbered"/>
        <w:keepNext/>
        <w:numPr>
          <w:ilvl w:val="0"/>
          <w:numId w:val="44"/>
        </w:numPr>
        <w:ind w:left="357" w:hanging="357"/>
      </w:pPr>
      <w:r>
        <w:t>U</w:t>
      </w:r>
      <w:r w:rsidR="53BF0693" w:rsidRPr="00DD477A">
        <w:t>se the accessibility checker:</w:t>
      </w:r>
    </w:p>
    <w:p w14:paraId="5ADD1AFD" w14:textId="6BA391D8" w:rsidR="00FA0945" w:rsidRPr="00DD477A" w:rsidRDefault="53BF0693" w:rsidP="0003645A">
      <w:pPr>
        <w:pStyle w:val="Bullet2"/>
      </w:pPr>
      <w:r w:rsidRPr="00DD477A">
        <w:t xml:space="preserve">Word offers an </w:t>
      </w:r>
      <w:r w:rsidR="006714EB" w:rsidRPr="00DD477A">
        <w:t>‘</w:t>
      </w:r>
      <w:r w:rsidRPr="00DD477A">
        <w:t>Accessibility Checker</w:t>
      </w:r>
      <w:r w:rsidR="006714EB" w:rsidRPr="00DD477A">
        <w:t>’</w:t>
      </w:r>
      <w:r w:rsidRPr="00DD477A">
        <w:t xml:space="preserve"> to review your document against a set of possible issues that users with disabilities may experience in your file: </w:t>
      </w:r>
    </w:p>
    <w:p w14:paraId="6F615032" w14:textId="77777777" w:rsidR="00FA0945" w:rsidRPr="00DD477A" w:rsidRDefault="003141CD" w:rsidP="00074797">
      <w:pPr>
        <w:pStyle w:val="Bullet3"/>
      </w:pPr>
      <w:r w:rsidRPr="00DD477A">
        <w:t>s</w:t>
      </w:r>
      <w:r w:rsidR="00FA0945" w:rsidRPr="00DD477A">
        <w:t xml:space="preserve">elect File </w:t>
      </w:r>
      <w:r w:rsidR="004B76F7" w:rsidRPr="00DD477A">
        <w:rPr>
          <w:rFonts w:ascii="Wingdings" w:eastAsia="Wingdings" w:hAnsi="Wingdings" w:cs="Wingdings"/>
        </w:rPr>
        <w:t></w:t>
      </w:r>
      <w:r w:rsidR="00FA0945" w:rsidRPr="00DD477A">
        <w:t xml:space="preserve"> Info</w:t>
      </w:r>
    </w:p>
    <w:p w14:paraId="034E8AC6" w14:textId="77777777" w:rsidR="00FA0945" w:rsidRPr="00DD477A" w:rsidRDefault="003141CD" w:rsidP="00074797">
      <w:pPr>
        <w:pStyle w:val="Bullet3"/>
      </w:pPr>
      <w:r w:rsidRPr="00DD477A">
        <w:t>s</w:t>
      </w:r>
      <w:r w:rsidR="00FA0945" w:rsidRPr="00DD477A">
        <w:t xml:space="preserve">elect ‘Check for Issues’ </w:t>
      </w:r>
      <w:r w:rsidR="004B76F7" w:rsidRPr="00DD477A">
        <w:rPr>
          <w:rFonts w:ascii="Wingdings" w:eastAsia="Wingdings" w:hAnsi="Wingdings" w:cs="Wingdings"/>
        </w:rPr>
        <w:t></w:t>
      </w:r>
      <w:r w:rsidR="00FA0945" w:rsidRPr="00DD477A">
        <w:t xml:space="preserve"> ‘Check Accessibility’.</w:t>
      </w:r>
    </w:p>
    <w:p w14:paraId="772E841A" w14:textId="7F7BE6FA" w:rsidR="00FA0945" w:rsidRPr="00DD477A" w:rsidRDefault="00785893" w:rsidP="00AA1E87">
      <w:pPr>
        <w:pStyle w:val="Numbered"/>
        <w:numPr>
          <w:ilvl w:val="0"/>
          <w:numId w:val="44"/>
        </w:numPr>
      </w:pPr>
      <w:r>
        <w:t>C</w:t>
      </w:r>
      <w:r w:rsidR="53BF0693" w:rsidRPr="00DD477A">
        <w:t>onvert Word documents to tagged PDF files</w:t>
      </w:r>
      <w:r w:rsidR="009D1679" w:rsidRPr="00DD477A">
        <w:t>:</w:t>
      </w:r>
    </w:p>
    <w:p w14:paraId="4E8EBFCD" w14:textId="53D3BAC1" w:rsidR="00FA0945" w:rsidRPr="00DD477A" w:rsidRDefault="53BF0693" w:rsidP="0003645A">
      <w:pPr>
        <w:pStyle w:val="Bullet2"/>
      </w:pPr>
      <w:r w:rsidRPr="00DD477A">
        <w:t>Microsoft Office allows you to create tagged PDF files. If you want to verify the accessibility of the PDF or edit the tags that are created, you will still need Acrobat Professional (your web team can help).</w:t>
      </w:r>
    </w:p>
    <w:p w14:paraId="5560EAAC" w14:textId="77777777" w:rsidR="00FA0945" w:rsidRPr="00DD477A" w:rsidRDefault="003141CD" w:rsidP="00074797">
      <w:pPr>
        <w:pStyle w:val="Bullet3"/>
      </w:pPr>
      <w:r w:rsidRPr="00DD477A">
        <w:t>s</w:t>
      </w:r>
      <w:r w:rsidR="00FA0945" w:rsidRPr="00DD477A">
        <w:t xml:space="preserve">elect File </w:t>
      </w:r>
      <w:r w:rsidR="004B76F7" w:rsidRPr="00DD477A">
        <w:rPr>
          <w:rFonts w:ascii="Wingdings" w:eastAsia="Wingdings" w:hAnsi="Wingdings" w:cs="Wingdings"/>
        </w:rPr>
        <w:t></w:t>
      </w:r>
      <w:r w:rsidR="00FA0945" w:rsidRPr="00DD477A">
        <w:t xml:space="preserve"> Save As</w:t>
      </w:r>
    </w:p>
    <w:p w14:paraId="0217A21A" w14:textId="77777777" w:rsidR="00FA0945" w:rsidRPr="00DD477A" w:rsidRDefault="53BF0693" w:rsidP="00074797">
      <w:pPr>
        <w:pStyle w:val="Bullet3"/>
      </w:pPr>
      <w:r w:rsidRPr="00DD477A">
        <w:t>under ‘Save as’ type: select PDF</w:t>
      </w:r>
      <w:r w:rsidR="00BC0DB5" w:rsidRPr="00DD477A">
        <w:t>, b</w:t>
      </w:r>
      <w:r w:rsidRPr="00DD477A">
        <w:t>efore you save the file, select ‘Options’ and ensure that the ‘Document structure tags for accessibility’ option is selected.</w:t>
      </w:r>
    </w:p>
    <w:p w14:paraId="5FB27C36" w14:textId="2698381E" w:rsidR="00FA0945" w:rsidRPr="00DD477A" w:rsidRDefault="00785893" w:rsidP="00AA1E87">
      <w:pPr>
        <w:pStyle w:val="Numbered"/>
        <w:numPr>
          <w:ilvl w:val="0"/>
          <w:numId w:val="44"/>
        </w:numPr>
      </w:pPr>
      <w:r>
        <w:t>M</w:t>
      </w:r>
      <w:r w:rsidR="53BF0693" w:rsidRPr="00DD477A">
        <w:t xml:space="preserve">aking Excel </w:t>
      </w:r>
      <w:r w:rsidR="006B43F6" w:rsidRPr="00DD477A">
        <w:t xml:space="preserve">Tables </w:t>
      </w:r>
      <w:r w:rsidR="53BF0693" w:rsidRPr="00DD477A">
        <w:t>accessible</w:t>
      </w:r>
      <w:r w:rsidR="009D1679" w:rsidRPr="00DD477A">
        <w:t>:</w:t>
      </w:r>
    </w:p>
    <w:p w14:paraId="5D54095F" w14:textId="4E038E30" w:rsidR="00FA0945" w:rsidRPr="00DD477A" w:rsidRDefault="53BF0693" w:rsidP="00751C33">
      <w:pPr>
        <w:pStyle w:val="Bullet2"/>
        <w:keepNext/>
        <w:keepLines/>
        <w:ind w:left="782" w:hanging="357"/>
      </w:pPr>
      <w:r w:rsidRPr="00DD477A">
        <w:t xml:space="preserve">the complex nature of the Budget tables, </w:t>
      </w:r>
      <w:r w:rsidR="00F715C9" w:rsidRPr="00DD477A">
        <w:t xml:space="preserve">makes </w:t>
      </w:r>
      <w:r w:rsidRPr="00DD477A">
        <w:t xml:space="preserve">it difficult to </w:t>
      </w:r>
      <w:r w:rsidR="00E76239" w:rsidRPr="00DD477A">
        <w:t>ensure</w:t>
      </w:r>
      <w:r w:rsidRPr="00DD477A">
        <w:t xml:space="preserve"> accessib</w:t>
      </w:r>
      <w:r w:rsidR="00E76239" w:rsidRPr="00DD477A">
        <w:t>ility</w:t>
      </w:r>
      <w:r w:rsidRPr="00DD477A">
        <w:t xml:space="preserve"> using Microsoft Office features. </w:t>
      </w:r>
      <w:r w:rsidR="00E76239" w:rsidRPr="00DD477A">
        <w:t>T</w:t>
      </w:r>
      <w:r w:rsidRPr="00DD477A">
        <w:t xml:space="preserve">wo options </w:t>
      </w:r>
      <w:r w:rsidR="00E76239" w:rsidRPr="00DD477A">
        <w:t>allow</w:t>
      </w:r>
      <w:r w:rsidRPr="00DD477A">
        <w:t xml:space="preserve"> </w:t>
      </w:r>
      <w:r w:rsidR="000109F6" w:rsidRPr="00DD477A">
        <w:t>improved accessibility</w:t>
      </w:r>
      <w:r w:rsidRPr="00DD477A">
        <w:t xml:space="preserve"> </w:t>
      </w:r>
      <w:r w:rsidR="001710EA" w:rsidRPr="00DD477A">
        <w:t>–</w:t>
      </w:r>
      <w:r w:rsidRPr="00DD477A">
        <w:t xml:space="preserve"> </w:t>
      </w:r>
      <w:r w:rsidR="006F2D46">
        <w:t>1</w:t>
      </w:r>
      <w:r w:rsidR="000109F6" w:rsidRPr="00DD477A">
        <w:t xml:space="preserve">) </w:t>
      </w:r>
      <w:r w:rsidRPr="00DD477A">
        <w:t>entities can either make the data behind the tables available on their website</w:t>
      </w:r>
      <w:r w:rsidR="000109F6" w:rsidRPr="00DD477A">
        <w:t>,</w:t>
      </w:r>
      <w:r w:rsidRPr="00DD477A">
        <w:t xml:space="preserve"> or </w:t>
      </w:r>
      <w:r w:rsidR="006F2D46">
        <w:t>2</w:t>
      </w:r>
      <w:r w:rsidR="000109F6" w:rsidRPr="00DD477A">
        <w:t xml:space="preserve">) </w:t>
      </w:r>
      <w:r w:rsidRPr="00DD477A">
        <w:t xml:space="preserve">they can convert the Excel </w:t>
      </w:r>
      <w:r w:rsidR="006B43F6" w:rsidRPr="00DD477A">
        <w:t xml:space="preserve">Tables </w:t>
      </w:r>
      <w:r w:rsidRPr="00DD477A">
        <w:t>to Word.</w:t>
      </w:r>
    </w:p>
    <w:p w14:paraId="528B93F0" w14:textId="41A31572" w:rsidR="006165CD" w:rsidRPr="007737BB" w:rsidRDefault="004F6B15" w:rsidP="007737BB">
      <w:pPr>
        <w:pStyle w:val="Bullet3"/>
      </w:pPr>
      <w:r w:rsidRPr="007737BB">
        <w:t>P</w:t>
      </w:r>
      <w:r w:rsidR="53BF0693" w:rsidRPr="007737BB">
        <w:t xml:space="preserve">ortfolios may also include a link on their website to </w:t>
      </w:r>
      <w:hyperlink r:id="rId231" w:history="1">
        <w:r w:rsidR="00AE2AEB" w:rsidRPr="007737BB">
          <w:rPr>
            <w:rStyle w:val="Hyperlink"/>
            <w:rFonts w:cs="Calibri"/>
            <w:u w:val="none"/>
          </w:rPr>
          <w:t>www.data.gov.au</w:t>
        </w:r>
      </w:hyperlink>
      <w:r w:rsidR="53BF0693" w:rsidRPr="007737BB">
        <w:t>, where most PB Statement financial tables will be available in Excel format following tabling</w:t>
      </w:r>
      <w:r w:rsidR="00FF2823" w:rsidRPr="007737BB">
        <w:t>.</w:t>
      </w:r>
      <w:bookmarkStart w:id="1689" w:name="_Ref67044155"/>
      <w:r w:rsidR="006165CD" w:rsidRPr="007737BB">
        <w:br w:type="page"/>
      </w:r>
    </w:p>
    <w:p w14:paraId="3070ACCC" w14:textId="477199C6" w:rsidR="00477C4E" w:rsidRPr="00DD477A" w:rsidRDefault="00A86B02" w:rsidP="00F81CAE">
      <w:pPr>
        <w:pStyle w:val="Heading1Numbered"/>
      </w:pPr>
      <w:bookmarkStart w:id="1690" w:name="_Toc227749122"/>
      <w:bookmarkStart w:id="1691" w:name="_Ref94870174"/>
      <w:r w:rsidRPr="0014243A">
        <w:rPr>
          <w:u w:val="single"/>
        </w:rPr>
        <w:t xml:space="preserve">Appendix </w:t>
      </w:r>
      <w:r w:rsidR="00FC135D" w:rsidRPr="0014243A">
        <w:rPr>
          <w:u w:val="single"/>
        </w:rPr>
        <w:t>3</w:t>
      </w:r>
      <w:r w:rsidRPr="00DD477A">
        <w:t>:</w:t>
      </w:r>
      <w:bookmarkEnd w:id="1690"/>
    </w:p>
    <w:p w14:paraId="606B98AB" w14:textId="4199481F" w:rsidR="002941A0" w:rsidRPr="00DD477A" w:rsidRDefault="002941A0" w:rsidP="003D6589">
      <w:pPr>
        <w:pStyle w:val="Heading1"/>
      </w:pPr>
      <w:bookmarkStart w:id="1692" w:name="_Ref189153079"/>
      <w:bookmarkStart w:id="1693" w:name="_Ref189153086"/>
      <w:bookmarkStart w:id="1694" w:name="_Toc227749123"/>
      <w:r w:rsidRPr="00DD477A">
        <w:t>Contacts</w:t>
      </w:r>
      <w:bookmarkStart w:id="1695" w:name="_Ref33522418"/>
      <w:bookmarkStart w:id="1696" w:name="_Ref33522421"/>
      <w:bookmarkStart w:id="1697" w:name="_Ref33522426"/>
      <w:bookmarkStart w:id="1698" w:name="_Ref33523372"/>
      <w:bookmarkStart w:id="1699" w:name="_Ref33523377"/>
      <w:bookmarkStart w:id="1700" w:name="_Ref33523382"/>
      <w:bookmarkStart w:id="1701" w:name="_Ref55984418"/>
      <w:bookmarkStart w:id="1702" w:name="_Ref55984423"/>
      <w:bookmarkEnd w:id="1692"/>
      <w:bookmarkEnd w:id="1693"/>
      <w:bookmarkEnd w:id="1694"/>
      <w:bookmarkEnd w:id="1695"/>
      <w:bookmarkEnd w:id="1696"/>
      <w:bookmarkEnd w:id="1697"/>
      <w:bookmarkEnd w:id="1698"/>
      <w:bookmarkEnd w:id="1699"/>
      <w:bookmarkEnd w:id="1700"/>
      <w:bookmarkEnd w:id="1701"/>
      <w:bookmarkEnd w:id="1702"/>
    </w:p>
    <w:p w14:paraId="106D2003" w14:textId="51CD9669" w:rsidR="00FA0945" w:rsidRPr="00DD477A" w:rsidRDefault="53BF0693" w:rsidP="003D6589">
      <w:pPr>
        <w:pStyle w:val="Heading2"/>
      </w:pPr>
      <w:bookmarkStart w:id="1703" w:name="_Toc63347756"/>
      <w:bookmarkStart w:id="1704" w:name="_Toc227749124"/>
      <w:bookmarkEnd w:id="1689"/>
      <w:bookmarkEnd w:id="1691"/>
      <w:r w:rsidRPr="00DD477A">
        <w:t>Department of Finance</w:t>
      </w:r>
      <w:bookmarkEnd w:id="1703"/>
      <w:bookmarkEnd w:id="1704"/>
    </w:p>
    <w:p w14:paraId="4571C4C4" w14:textId="77777777" w:rsidR="00FA0945" w:rsidRPr="00DD477A" w:rsidRDefault="53BF0693" w:rsidP="000A7DEC">
      <w:pPr>
        <w:rPr>
          <w:rFonts w:cs="Calibri"/>
        </w:rPr>
      </w:pPr>
      <w:r w:rsidRPr="00DD477A">
        <w:rPr>
          <w:rFonts w:cs="Calibri"/>
        </w:rPr>
        <w:t xml:space="preserve">In the first instance, entities should contact their AAU </w:t>
      </w:r>
      <w:r w:rsidR="007004B1" w:rsidRPr="00DD477A">
        <w:rPr>
          <w:rFonts w:cs="Calibri"/>
        </w:rPr>
        <w:t>for</w:t>
      </w:r>
      <w:r w:rsidRPr="00DD477A">
        <w:rPr>
          <w:rFonts w:cs="Calibri"/>
        </w:rPr>
        <w:t xml:space="preserve"> enquiries.</w:t>
      </w:r>
    </w:p>
    <w:p w14:paraId="7F1653EC" w14:textId="5B5821CC" w:rsidR="00CA50D9" w:rsidRPr="00DD477A" w:rsidRDefault="00CA50D9" w:rsidP="00CA50D9">
      <w:pPr>
        <w:rPr>
          <w:rFonts w:cs="Calibri"/>
        </w:rPr>
      </w:pPr>
      <w:r w:rsidRPr="00DD477A">
        <w:rPr>
          <w:rFonts w:cs="Calibri"/>
        </w:rPr>
        <w:t xml:space="preserve">For queries regarding </w:t>
      </w:r>
      <w:r w:rsidRPr="00DD477A">
        <w:rPr>
          <w:rFonts w:cs="Calibri"/>
          <w:b/>
          <w:bCs/>
        </w:rPr>
        <w:t xml:space="preserve">ASL </w:t>
      </w:r>
      <w:r w:rsidR="003B3FD8">
        <w:rPr>
          <w:rFonts w:cs="Calibri"/>
          <w:b/>
          <w:bCs/>
        </w:rPr>
        <w:t>estimates,</w:t>
      </w:r>
      <w:r w:rsidRPr="00DD477A">
        <w:rPr>
          <w:rFonts w:cs="Calibri"/>
          <w:b/>
          <w:bCs/>
        </w:rPr>
        <w:t xml:space="preserve"> </w:t>
      </w:r>
      <w:r w:rsidRPr="00DD477A">
        <w:rPr>
          <w:rFonts w:cs="Calibri"/>
        </w:rPr>
        <w:t>entities should contact their AAU with all enquiries.</w:t>
      </w:r>
    </w:p>
    <w:p w14:paraId="38967D74" w14:textId="76F6D74F" w:rsidR="00696DD2" w:rsidRPr="00DD477A" w:rsidRDefault="007004B1" w:rsidP="000A7DEC">
      <w:pPr>
        <w:rPr>
          <w:rFonts w:cs="Calibri"/>
        </w:rPr>
      </w:pPr>
      <w:r w:rsidRPr="00DD477A">
        <w:rPr>
          <w:rFonts w:cs="Calibri"/>
        </w:rPr>
        <w:t xml:space="preserve">For guidance on the preparation of the PB Statements (including publication on </w:t>
      </w:r>
      <w:hyperlink r:id="rId232">
        <w:r w:rsidR="00FE100A" w:rsidRPr="00DD477A">
          <w:rPr>
            <w:rStyle w:val="Hyperlink"/>
          </w:rPr>
          <w:t>data.gov.au</w:t>
        </w:r>
      </w:hyperlink>
      <w:r w:rsidRPr="00DD477A">
        <w:rPr>
          <w:rFonts w:cs="Calibri"/>
        </w:rPr>
        <w:t xml:space="preserve"> but excluding performance reporting), entities can contact the </w:t>
      </w:r>
      <w:r w:rsidRPr="00DD477A">
        <w:rPr>
          <w:rFonts w:cs="Calibri"/>
          <w:b/>
        </w:rPr>
        <w:t>Accounting Framework and Capability Support Team</w:t>
      </w:r>
      <w:r w:rsidRPr="00DD477A">
        <w:rPr>
          <w:rFonts w:cs="Calibri"/>
        </w:rPr>
        <w:t xml:space="preserve"> by:</w:t>
      </w:r>
    </w:p>
    <w:p w14:paraId="0057945A" w14:textId="5758F68E" w:rsidR="006A69BF" w:rsidRPr="00DD477A" w:rsidRDefault="002A2894">
      <w:pPr>
        <w:pStyle w:val="Bullet1"/>
      </w:pPr>
      <w:r>
        <w:t>B</w:t>
      </w:r>
      <w:r w:rsidR="68795EF6" w:rsidRPr="00DD477A">
        <w:t>y email</w:t>
      </w:r>
      <w:r w:rsidR="5E13AC9D" w:rsidRPr="00DD477A">
        <w:t xml:space="preserve"> (emails rated up to Protected)</w:t>
      </w:r>
      <w:r w:rsidR="00AE0D55" w:rsidRPr="00DD477A">
        <w:tab/>
      </w:r>
      <w:r w:rsidR="00AE0D55" w:rsidRPr="00DD477A">
        <w:tab/>
      </w:r>
      <w:r w:rsidR="0005529B">
        <w:tab/>
      </w:r>
      <w:r w:rsidR="00E67144">
        <w:tab/>
      </w:r>
      <w:hyperlink r:id="rId233" w:history="1">
        <w:r w:rsidR="004A38C9" w:rsidRPr="004A38C9">
          <w:rPr>
            <w:rStyle w:val="Hyperlink"/>
          </w:rPr>
          <w:t>budget_framework@finance.gov.au</w:t>
        </w:r>
      </w:hyperlink>
    </w:p>
    <w:p w14:paraId="5D9E6E11" w14:textId="6663577A" w:rsidR="000D1925" w:rsidRPr="00DD477A" w:rsidRDefault="53BF0693" w:rsidP="00B54999">
      <w:pPr>
        <w:pStyle w:val="Bullet1"/>
        <w:numPr>
          <w:ilvl w:val="0"/>
          <w:numId w:val="0"/>
        </w:numPr>
      </w:pPr>
      <w:r w:rsidRPr="00DD477A">
        <w:t xml:space="preserve">For guidance on </w:t>
      </w:r>
      <w:r w:rsidR="00AB03E7">
        <w:t xml:space="preserve">reporting </w:t>
      </w:r>
      <w:r w:rsidRPr="00DD477A">
        <w:rPr>
          <w:b/>
          <w:bCs/>
        </w:rPr>
        <w:t>Performance Information</w:t>
      </w:r>
      <w:r w:rsidR="009F5905">
        <w:rPr>
          <w:b/>
          <w:bCs/>
        </w:rPr>
        <w:t xml:space="preserve"> </w:t>
      </w:r>
      <w:r w:rsidR="009F5905" w:rsidRPr="00892E30">
        <w:t>in line with the Commonwealth performance framework</w:t>
      </w:r>
      <w:r w:rsidR="00BD4052" w:rsidRPr="00892E30">
        <w:t>, including</w:t>
      </w:r>
      <w:r w:rsidRPr="00DD477A">
        <w:t xml:space="preserve"> </w:t>
      </w:r>
      <w:r w:rsidR="00BD4052">
        <w:t>in</w:t>
      </w:r>
      <w:r w:rsidR="008F4E2C">
        <w:t xml:space="preserve"> Section 2 of the PB Statements (Table 2.X.3</w:t>
      </w:r>
      <w:r w:rsidR="00C779B5">
        <w:t>: Performance measures for Outcome</w:t>
      </w:r>
      <w:r w:rsidR="000054D7">
        <w:t> </w:t>
      </w:r>
      <w:r w:rsidR="00C779B5">
        <w:t>X),</w:t>
      </w:r>
      <w:r w:rsidRPr="00DD477A">
        <w:t xml:space="preserve"> corporate plans and annual </w:t>
      </w:r>
      <w:r w:rsidR="00BD4052">
        <w:t>performance statements,</w:t>
      </w:r>
      <w:r w:rsidR="00BD4052" w:rsidRPr="00DD477A">
        <w:t xml:space="preserve"> </w:t>
      </w:r>
      <w:r w:rsidRPr="00DD477A">
        <w:t>entities should contact the</w:t>
      </w:r>
      <w:r w:rsidR="00650A2F">
        <w:t xml:space="preserve"> </w:t>
      </w:r>
      <w:r w:rsidR="00650A2F" w:rsidRPr="00DD477A">
        <w:t>PGPA and Digital Reporting Branch</w:t>
      </w:r>
      <w:r w:rsidRPr="00DD477A">
        <w:t>:</w:t>
      </w:r>
      <w:bookmarkStart w:id="1705" w:name="tempbookmark"/>
      <w:bookmarkEnd w:id="1705"/>
    </w:p>
    <w:p w14:paraId="4D3D6DCE" w14:textId="69A04E21" w:rsidR="00743B99" w:rsidRPr="00DD477A" w:rsidRDefault="002A2894">
      <w:pPr>
        <w:pStyle w:val="Bullet1"/>
      </w:pPr>
      <w:r>
        <w:t>B</w:t>
      </w:r>
      <w:r w:rsidR="53BF0693" w:rsidRPr="00DD477A">
        <w:t xml:space="preserve">y email </w:t>
      </w:r>
      <w:r w:rsidR="00007430" w:rsidRPr="00DD477A">
        <w:t>(emails rated up to Protected)</w:t>
      </w:r>
      <w:r w:rsidR="006E0756" w:rsidRPr="00DD477A">
        <w:tab/>
      </w:r>
      <w:r w:rsidR="000B5B99">
        <w:tab/>
      </w:r>
      <w:r w:rsidR="000B5B99">
        <w:tab/>
      </w:r>
      <w:r w:rsidR="0005529B">
        <w:tab/>
      </w:r>
      <w:hyperlink r:id="rId234" w:history="1">
        <w:r w:rsidR="0005529B" w:rsidRPr="0080148E">
          <w:rPr>
            <w:rStyle w:val="Hyperlink"/>
          </w:rPr>
          <w:t>PGPA@finance.gov.au</w:t>
        </w:r>
      </w:hyperlink>
    </w:p>
    <w:p w14:paraId="02A0866F" w14:textId="2AF732CA" w:rsidR="003F4D8D" w:rsidRDefault="53BF0693" w:rsidP="00B54999">
      <w:pPr>
        <w:pStyle w:val="Bullet1"/>
      </w:pPr>
      <w:r w:rsidRPr="00DD477A">
        <w:t xml:space="preserve">For guidance on the production of the </w:t>
      </w:r>
      <w:r w:rsidRPr="00637289">
        <w:rPr>
          <w:b/>
          <w:bCs/>
        </w:rPr>
        <w:t>Appropriation Bills</w:t>
      </w:r>
      <w:r w:rsidRPr="00DD477A">
        <w:t>, the CFO sign-off process and outcome changes, entities should contact</w:t>
      </w:r>
      <w:r w:rsidR="00B41092" w:rsidRPr="00DD477A">
        <w:t xml:space="preserve"> the Annual Appropriation</w:t>
      </w:r>
      <w:r w:rsidR="005B4EBB">
        <w:t>s</w:t>
      </w:r>
      <w:r w:rsidR="00B41092" w:rsidRPr="00DD477A">
        <w:t xml:space="preserve"> Team</w:t>
      </w:r>
      <w:r w:rsidR="00743B99">
        <w:t xml:space="preserve">: </w:t>
      </w:r>
    </w:p>
    <w:p w14:paraId="50B22F7A" w14:textId="2871D4FE" w:rsidR="00CB6D35" w:rsidRPr="00DD477A" w:rsidRDefault="002A2894">
      <w:pPr>
        <w:pStyle w:val="Bullet1"/>
      </w:pPr>
      <w:r>
        <w:t>B</w:t>
      </w:r>
      <w:r w:rsidR="00E97A8B" w:rsidRPr="00E97A8B">
        <w:t>y email (rated up to Protected)</w:t>
      </w:r>
      <w:r w:rsidR="00E97A8B">
        <w:tab/>
      </w:r>
      <w:r w:rsidR="00E97A8B">
        <w:tab/>
      </w:r>
      <w:r w:rsidR="0005529B">
        <w:tab/>
      </w:r>
      <w:r w:rsidR="00E97A8B">
        <w:tab/>
      </w:r>
      <w:r w:rsidR="007E6BB8">
        <w:tab/>
      </w:r>
      <w:r w:rsidR="00E97A8B">
        <w:tab/>
      </w:r>
      <w:hyperlink r:id="rId235" w:history="1">
        <w:r w:rsidR="00E97A8B" w:rsidRPr="0015776A">
          <w:rPr>
            <w:rStyle w:val="Hyperlink"/>
          </w:rPr>
          <w:t>annual.appropriations@finance.gov.au</w:t>
        </w:r>
      </w:hyperlink>
    </w:p>
    <w:p w14:paraId="01DC8A88" w14:textId="6A57F06D" w:rsidR="00FA0945" w:rsidRPr="00DD477A" w:rsidRDefault="6B6EE5C4" w:rsidP="003D6589">
      <w:pPr>
        <w:pStyle w:val="Heading2"/>
      </w:pPr>
      <w:bookmarkStart w:id="1706" w:name="_Toc33196095"/>
      <w:bookmarkStart w:id="1707" w:name="_Toc33196397"/>
      <w:bookmarkStart w:id="1708" w:name="_Toc33196096"/>
      <w:bookmarkStart w:id="1709" w:name="_Toc33196398"/>
      <w:bookmarkStart w:id="1710" w:name="_Toc33196097"/>
      <w:bookmarkStart w:id="1711" w:name="_Toc33196399"/>
      <w:bookmarkStart w:id="1712" w:name="_Toc33196098"/>
      <w:bookmarkStart w:id="1713" w:name="_Toc33196400"/>
      <w:bookmarkStart w:id="1714" w:name="_Toc33099470"/>
      <w:bookmarkStart w:id="1715" w:name="_Toc33196099"/>
      <w:bookmarkStart w:id="1716" w:name="_Toc33196401"/>
      <w:bookmarkStart w:id="1717" w:name="_Ref55984327"/>
      <w:bookmarkStart w:id="1718" w:name="_Ref55984331"/>
      <w:bookmarkStart w:id="1719" w:name="_Ref55984344"/>
      <w:bookmarkStart w:id="1720" w:name="_Ref55984351"/>
      <w:bookmarkStart w:id="1721" w:name="_Toc63347758"/>
      <w:bookmarkStart w:id="1722" w:name="_Toc227749125"/>
      <w:bookmarkEnd w:id="1706"/>
      <w:bookmarkEnd w:id="1707"/>
      <w:bookmarkEnd w:id="1708"/>
      <w:bookmarkEnd w:id="1709"/>
      <w:bookmarkEnd w:id="1710"/>
      <w:bookmarkEnd w:id="1711"/>
      <w:bookmarkEnd w:id="1712"/>
      <w:bookmarkEnd w:id="1713"/>
      <w:bookmarkEnd w:id="1714"/>
      <w:bookmarkEnd w:id="1715"/>
      <w:bookmarkEnd w:id="1716"/>
      <w:r w:rsidRPr="00DD477A">
        <w:t>CanPrint</w:t>
      </w:r>
      <w:bookmarkEnd w:id="1717"/>
      <w:bookmarkEnd w:id="1718"/>
      <w:bookmarkEnd w:id="1719"/>
      <w:bookmarkEnd w:id="1720"/>
      <w:bookmarkEnd w:id="1721"/>
      <w:bookmarkEnd w:id="1722"/>
    </w:p>
    <w:p w14:paraId="0FDE46CB" w14:textId="77777777" w:rsidR="00FD124B" w:rsidRPr="00DD477A" w:rsidRDefault="00FD124B" w:rsidP="00FD124B">
      <w:pPr>
        <w:rPr>
          <w:rFonts w:cs="Calibri"/>
        </w:rPr>
      </w:pPr>
      <w:r w:rsidRPr="00DD477A">
        <w:rPr>
          <w:rFonts w:cs="Calibri"/>
        </w:rPr>
        <w:t>CanPrint is the preferred printer for BPs and PB Statements. If printing is carried out ‘in-house’ or with another printer, entities must liaise with Finance to ensure that cover stock, colour and text is consistent with all other portfolios.</w:t>
      </w:r>
    </w:p>
    <w:p w14:paraId="2ED2B0F3" w14:textId="7A735E8D" w:rsidR="00A775B1" w:rsidRDefault="00FD124B" w:rsidP="00E97A8B">
      <w:pPr>
        <w:rPr>
          <w:rFonts w:cs="Calibri"/>
        </w:rPr>
      </w:pPr>
      <w:r w:rsidRPr="00DD477A">
        <w:rPr>
          <w:rFonts w:cs="Calibri"/>
        </w:rPr>
        <w:t>It is the responsibility of each portfolio department to arrange the printing and secure freighting of their PB Statements.</w:t>
      </w:r>
    </w:p>
    <w:p w14:paraId="2C7513E3" w14:textId="77777777" w:rsidR="00FD124B" w:rsidRPr="00DD477A" w:rsidRDefault="00FD124B" w:rsidP="00FD124B">
      <w:pPr>
        <w:rPr>
          <w:rFonts w:cs="Calibri"/>
        </w:rPr>
      </w:pPr>
      <w:r w:rsidRPr="00DD477A">
        <w:rPr>
          <w:rFonts w:cs="Calibri"/>
        </w:rPr>
        <w:t>Contact details for CanPrint Communications Pty Ltd are:</w:t>
      </w:r>
    </w:p>
    <w:p w14:paraId="1C5788DC" w14:textId="602C1F3F" w:rsidR="00D84A1F" w:rsidRPr="00DD477A" w:rsidRDefault="002A2894">
      <w:pPr>
        <w:pStyle w:val="Bullet1"/>
      </w:pPr>
      <w:r>
        <w:t>A</w:t>
      </w:r>
      <w:r w:rsidR="00FD124B" w:rsidRPr="00DD477A">
        <w:t>ddress</w:t>
      </w:r>
      <w:r w:rsidR="00E0633F" w:rsidRPr="00DD477A">
        <w:tab/>
      </w:r>
      <w:r w:rsidR="000B5B99">
        <w:tab/>
      </w:r>
      <w:r w:rsidR="00507532">
        <w:tab/>
      </w:r>
      <w:r w:rsidR="00507532">
        <w:tab/>
      </w:r>
      <w:r w:rsidR="000B5B99">
        <w:tab/>
      </w:r>
      <w:r w:rsidR="00FD124B" w:rsidRPr="00DD477A">
        <w:t>CanPrint Communications Pty Ltd</w:t>
      </w:r>
    </w:p>
    <w:p w14:paraId="682FC24B" w14:textId="008ABB2C" w:rsidR="00202A41" w:rsidRPr="00DD477A" w:rsidRDefault="00FD124B" w:rsidP="00892E30">
      <w:pPr>
        <w:ind w:left="2975"/>
      </w:pPr>
      <w:r w:rsidRPr="00DD477A">
        <w:t>16 Nyrang Street</w:t>
      </w:r>
    </w:p>
    <w:p w14:paraId="49DF20F2" w14:textId="09F451EE" w:rsidR="00FD124B" w:rsidRPr="00DD477A" w:rsidRDefault="00FD124B" w:rsidP="00892E30">
      <w:pPr>
        <w:ind w:left="2975"/>
      </w:pPr>
      <w:r w:rsidRPr="00DD477A">
        <w:t>Fyshwick, ACT 2609</w:t>
      </w:r>
    </w:p>
    <w:p w14:paraId="7B1E5941" w14:textId="77777777" w:rsidR="007A0316" w:rsidRDefault="007A0316">
      <w:pPr>
        <w:suppressAutoHyphens w:val="0"/>
        <w:spacing w:before="0" w:after="120" w:line="440" w:lineRule="atLeast"/>
        <w:rPr>
          <w:rFonts w:asciiTheme="majorHAnsi" w:eastAsiaTheme="majorEastAsia" w:hAnsiTheme="majorHAnsi" w:cstheme="majorBidi"/>
          <w:color w:val="1C1C1C" w:themeColor="text2"/>
          <w:sz w:val="34"/>
          <w:szCs w:val="26"/>
        </w:rPr>
      </w:pPr>
      <w:r>
        <w:br w:type="page"/>
      </w:r>
    </w:p>
    <w:p w14:paraId="32876D9A" w14:textId="0BC7629A" w:rsidR="00FD124B" w:rsidRPr="00DD477A" w:rsidRDefault="00FD124B" w:rsidP="003D6589">
      <w:pPr>
        <w:pStyle w:val="Heading2"/>
      </w:pPr>
      <w:bookmarkStart w:id="1723" w:name="_Toc227749126"/>
      <w:r w:rsidRPr="00DD477A">
        <w:t>Treasury</w:t>
      </w:r>
      <w:bookmarkEnd w:id="1723"/>
    </w:p>
    <w:p w14:paraId="1084855D" w14:textId="48972F2C" w:rsidR="00FD124B" w:rsidRPr="00DD477A" w:rsidRDefault="00FD124B" w:rsidP="00FD124B">
      <w:pPr>
        <w:rPr>
          <w:rFonts w:cs="Calibri"/>
        </w:rPr>
      </w:pPr>
      <w:r w:rsidRPr="00DD477A">
        <w:rPr>
          <w:rFonts w:cs="Calibri"/>
        </w:rPr>
        <w:t>Treasury sets formatting standards for PB Statement templates and</w:t>
      </w:r>
      <w:r w:rsidR="007A2602" w:rsidRPr="00DD477A">
        <w:rPr>
          <w:rFonts w:cs="Calibri"/>
        </w:rPr>
        <w:t>,</w:t>
      </w:r>
      <w:r w:rsidRPr="00DD477A">
        <w:rPr>
          <w:rFonts w:cs="Calibri"/>
        </w:rPr>
        <w:t xml:space="preserve"> </w:t>
      </w:r>
      <w:r w:rsidR="000F1BAB" w:rsidRPr="00DD477A">
        <w:rPr>
          <w:rFonts w:cs="Calibri"/>
        </w:rPr>
        <w:t>after tabling</w:t>
      </w:r>
      <w:r w:rsidR="007A2602" w:rsidRPr="00DD477A">
        <w:rPr>
          <w:rFonts w:cs="Calibri"/>
        </w:rPr>
        <w:t xml:space="preserve">, </w:t>
      </w:r>
      <w:r w:rsidRPr="00DD477A">
        <w:rPr>
          <w:rFonts w:cs="Calibri"/>
        </w:rPr>
        <w:t xml:space="preserve">uploads PB Statements links to </w:t>
      </w:r>
      <w:hyperlink r:id="rId236">
        <w:r w:rsidRPr="00DD477A">
          <w:rPr>
            <w:rStyle w:val="Hyperlink"/>
          </w:rPr>
          <w:t>www.budget.gov.au</w:t>
        </w:r>
      </w:hyperlink>
      <w:r w:rsidRPr="00DD477A">
        <w:rPr>
          <w:rFonts w:cs="Calibri"/>
        </w:rPr>
        <w:t xml:space="preserve">. Treasury also coordinates the Budget lockup at the Australian Parliament House and undertakes budget coordination activities at the </w:t>
      </w:r>
      <w:r w:rsidR="007F0366" w:rsidRPr="00DD477A">
        <w:rPr>
          <w:rFonts w:cs="Calibri"/>
        </w:rPr>
        <w:t xml:space="preserve">entity </w:t>
      </w:r>
      <w:r w:rsidRPr="00DD477A">
        <w:rPr>
          <w:rFonts w:cs="Calibri"/>
        </w:rPr>
        <w:t>level.</w:t>
      </w:r>
    </w:p>
    <w:p w14:paraId="46FD0126" w14:textId="77777777" w:rsidR="00FD124B" w:rsidRPr="00DD477A" w:rsidRDefault="00FD124B" w:rsidP="00892E30">
      <w:pPr>
        <w:keepNext/>
        <w:keepLines/>
        <w:rPr>
          <w:rFonts w:cs="Calibri"/>
        </w:rPr>
      </w:pPr>
      <w:r w:rsidRPr="00DD477A">
        <w:rPr>
          <w:rFonts w:cs="Calibri"/>
        </w:rPr>
        <w:t>Key Treasury contacts:</w:t>
      </w:r>
    </w:p>
    <w:p w14:paraId="7321E9C4" w14:textId="17B796DF" w:rsidR="00FD124B" w:rsidRPr="00DD477A" w:rsidRDefault="002A2894">
      <w:pPr>
        <w:pStyle w:val="Bullet1"/>
      </w:pPr>
      <w:r>
        <w:t>G</w:t>
      </w:r>
      <w:r w:rsidR="025B3BC9" w:rsidRPr="00DD477A">
        <w:t>eneral budget communications queries</w:t>
      </w:r>
      <w:r w:rsidR="00FD124B" w:rsidRPr="00DD477A">
        <w:tab/>
      </w:r>
      <w:r w:rsidR="00FD124B" w:rsidRPr="00DD477A">
        <w:tab/>
      </w:r>
      <w:r w:rsidR="00507532">
        <w:tab/>
      </w:r>
      <w:hyperlink r:id="rId237" w:history="1">
        <w:r w:rsidR="004A38C9" w:rsidRPr="004A38C9">
          <w:rPr>
            <w:rStyle w:val="Hyperlink"/>
          </w:rPr>
          <w:t>budgetcommunications@treasury.gov.au</w:t>
        </w:r>
      </w:hyperlink>
    </w:p>
    <w:p w14:paraId="7711F1AC" w14:textId="79239A76" w:rsidR="00FD124B" w:rsidRPr="00DD477A" w:rsidRDefault="002A2894">
      <w:pPr>
        <w:pStyle w:val="Bullet1"/>
      </w:pPr>
      <w:r>
        <w:t>D</w:t>
      </w:r>
      <w:r w:rsidR="025B3BC9" w:rsidRPr="00DD477A">
        <w:t>esign and formatting</w:t>
      </w:r>
      <w:r w:rsidR="00FD124B" w:rsidRPr="00DD477A">
        <w:tab/>
      </w:r>
      <w:r w:rsidR="00FD124B" w:rsidRPr="00DD477A">
        <w:tab/>
      </w:r>
      <w:r w:rsidR="0033433D" w:rsidRPr="00DD477A">
        <w:tab/>
      </w:r>
      <w:r w:rsidR="0033433D" w:rsidRPr="00DD477A">
        <w:tab/>
      </w:r>
      <w:r w:rsidR="0033433D" w:rsidRPr="00DD477A">
        <w:tab/>
      </w:r>
      <w:r w:rsidR="0033433D" w:rsidRPr="00DD477A">
        <w:tab/>
      </w:r>
      <w:r w:rsidR="00507532">
        <w:tab/>
      </w:r>
      <w:hyperlink r:id="rId238" w:history="1">
        <w:r w:rsidR="00507532" w:rsidRPr="0080148E">
          <w:rPr>
            <w:rStyle w:val="Hyperlink"/>
            <w:rFonts w:cs="Calibri"/>
          </w:rPr>
          <w:t>creativeservices@treasury.gov.au</w:t>
        </w:r>
      </w:hyperlink>
    </w:p>
    <w:p w14:paraId="06713BDD" w14:textId="65E99C92" w:rsidR="00FD124B" w:rsidRPr="00DD477A" w:rsidRDefault="002A2894">
      <w:pPr>
        <w:pStyle w:val="Bullet1"/>
      </w:pPr>
      <w:r>
        <w:t>B</w:t>
      </w:r>
      <w:r w:rsidR="025B3BC9" w:rsidRPr="00DD477A">
        <w:t>udget website</w:t>
      </w:r>
      <w:r w:rsidR="00FD124B" w:rsidRPr="00DD477A">
        <w:tab/>
      </w:r>
      <w:r w:rsidR="00FD124B" w:rsidRPr="00DD477A">
        <w:tab/>
      </w:r>
      <w:r w:rsidR="0033433D" w:rsidRPr="00DD477A">
        <w:tab/>
      </w:r>
      <w:r w:rsidR="0033433D" w:rsidRPr="00DD477A">
        <w:tab/>
      </w:r>
      <w:r w:rsidR="0033433D" w:rsidRPr="00DD477A">
        <w:tab/>
      </w:r>
      <w:r w:rsidR="0033433D" w:rsidRPr="00DD477A">
        <w:tab/>
      </w:r>
      <w:r w:rsidR="0033433D" w:rsidRPr="00DD477A">
        <w:tab/>
      </w:r>
      <w:r w:rsidR="00507532">
        <w:tab/>
      </w:r>
      <w:hyperlink r:id="rId239" w:history="1">
        <w:r w:rsidR="00507532" w:rsidRPr="0080148E">
          <w:rPr>
            <w:rStyle w:val="Hyperlink"/>
            <w:rFonts w:cs="Calibri"/>
          </w:rPr>
          <w:t>budget-website@treasury.gov.au</w:t>
        </w:r>
      </w:hyperlink>
    </w:p>
    <w:p w14:paraId="411241CF" w14:textId="576C0744" w:rsidR="00FD124B" w:rsidRPr="00DD477A" w:rsidRDefault="00FD124B">
      <w:pPr>
        <w:pStyle w:val="Bullet1"/>
      </w:pPr>
      <w:r w:rsidRPr="00DD477A">
        <w:t>The Treasury Budget Communications Team</w:t>
      </w:r>
      <w:r w:rsidRPr="00DD477A">
        <w:tab/>
      </w:r>
      <w:r w:rsidR="002A2894">
        <w:tab/>
      </w:r>
      <w:r w:rsidR="0033433D" w:rsidRPr="00DD477A">
        <w:t>(</w:t>
      </w:r>
      <w:r w:rsidRPr="00DD477A">
        <w:t>02</w:t>
      </w:r>
      <w:r w:rsidR="0033433D" w:rsidRPr="00DD477A">
        <w:t>)</w:t>
      </w:r>
      <w:r w:rsidRPr="00DD477A">
        <w:t xml:space="preserve"> 6263 3788</w:t>
      </w:r>
    </w:p>
    <w:p w14:paraId="77F6F9A4" w14:textId="21CC4C10" w:rsidR="00FA0945" w:rsidRPr="00DD477A" w:rsidRDefault="53BF0693" w:rsidP="003D6589">
      <w:pPr>
        <w:pStyle w:val="Heading2"/>
      </w:pPr>
      <w:bookmarkStart w:id="1724" w:name="_Toc86765009"/>
      <w:bookmarkStart w:id="1725" w:name="_Toc87979930"/>
      <w:bookmarkStart w:id="1726" w:name="_Toc86765010"/>
      <w:bookmarkStart w:id="1727" w:name="_Toc87979931"/>
      <w:bookmarkStart w:id="1728" w:name="_Toc86765011"/>
      <w:bookmarkStart w:id="1729" w:name="_Toc87979932"/>
      <w:bookmarkStart w:id="1730" w:name="_Toc86765012"/>
      <w:bookmarkStart w:id="1731" w:name="_Toc87979933"/>
      <w:bookmarkStart w:id="1732" w:name="_Toc63347759"/>
      <w:bookmarkStart w:id="1733" w:name="_Toc227749127"/>
      <w:bookmarkEnd w:id="1724"/>
      <w:bookmarkEnd w:id="1725"/>
      <w:bookmarkEnd w:id="1726"/>
      <w:bookmarkEnd w:id="1727"/>
      <w:bookmarkEnd w:id="1728"/>
      <w:bookmarkEnd w:id="1729"/>
      <w:bookmarkEnd w:id="1730"/>
      <w:bookmarkEnd w:id="1731"/>
      <w:r w:rsidRPr="00DD477A">
        <w:t>Senate Table Office</w:t>
      </w:r>
      <w:bookmarkEnd w:id="1732"/>
      <w:bookmarkEnd w:id="1733"/>
    </w:p>
    <w:p w14:paraId="58D3FB38" w14:textId="77777777" w:rsidR="00FA0945" w:rsidRPr="00DD477A" w:rsidRDefault="53BF0693" w:rsidP="000A7DEC">
      <w:pPr>
        <w:rPr>
          <w:rFonts w:cs="Calibri"/>
        </w:rPr>
      </w:pPr>
      <w:r w:rsidRPr="00DD477A">
        <w:rPr>
          <w:rFonts w:cs="Calibri"/>
        </w:rPr>
        <w:t xml:space="preserve">The </w:t>
      </w:r>
      <w:r w:rsidRPr="00DD477A">
        <w:rPr>
          <w:rFonts w:cs="Calibri"/>
          <w:b/>
          <w:bCs/>
        </w:rPr>
        <w:t>Senate Table Office</w:t>
      </w:r>
      <w:r w:rsidRPr="00DD477A">
        <w:rPr>
          <w:rFonts w:cs="Calibri"/>
        </w:rPr>
        <w:t xml:space="preserve"> receives deliveries from entities of PB Statements for the Senate, House of Representatives, Budget lockup and the Parliamentary Library. Their contact details are:</w:t>
      </w:r>
    </w:p>
    <w:p w14:paraId="6BC877F5" w14:textId="4E28890B" w:rsidR="00066F68" w:rsidRDefault="002A2894" w:rsidP="00B54999">
      <w:pPr>
        <w:pStyle w:val="Bullet1"/>
      </w:pPr>
      <w:r>
        <w:t>D</w:t>
      </w:r>
      <w:r w:rsidR="3F4386F4" w:rsidRPr="00DD477A">
        <w:t>ocuments officer</w:t>
      </w:r>
    </w:p>
    <w:p w14:paraId="35113991" w14:textId="041E5C71" w:rsidR="00066F68" w:rsidRDefault="002A2894" w:rsidP="00B54999">
      <w:pPr>
        <w:pStyle w:val="Bullet1"/>
      </w:pPr>
      <w:r>
        <w:t>B</w:t>
      </w:r>
      <w:r w:rsidR="00066F68">
        <w:t>y email</w:t>
      </w:r>
      <w:r w:rsidR="0033433D" w:rsidRPr="00DD477A">
        <w:tab/>
      </w:r>
      <w:r w:rsidR="0033433D" w:rsidRPr="00DD477A">
        <w:tab/>
      </w:r>
      <w:r w:rsidR="0055620B" w:rsidRPr="00DD477A">
        <w:tab/>
      </w:r>
      <w:r w:rsidR="000054D7">
        <w:tab/>
      </w:r>
      <w:r w:rsidR="000054D7">
        <w:tab/>
      </w:r>
      <w:r w:rsidR="000054D7">
        <w:tab/>
      </w:r>
      <w:r w:rsidR="000054D7">
        <w:tab/>
      </w:r>
      <w:r w:rsidR="000054D7">
        <w:tab/>
      </w:r>
      <w:r w:rsidR="000054D7">
        <w:tab/>
      </w:r>
      <w:r w:rsidR="000054D7">
        <w:tab/>
      </w:r>
      <w:hyperlink r:id="rId240" w:history="1">
        <w:r w:rsidR="000054D7" w:rsidRPr="0080148E">
          <w:rPr>
            <w:rStyle w:val="Hyperlink"/>
            <w:rFonts w:cs="Calibri"/>
          </w:rPr>
          <w:t>table.docs@aph.gov.au</w:t>
        </w:r>
        <w:r w:rsidR="000054D7" w:rsidRPr="0080148E">
          <w:rPr>
            <w:rStyle w:val="Hyperlink"/>
            <w:rFonts w:cs="Calibri"/>
          </w:rPr>
          <w:tab/>
        </w:r>
      </w:hyperlink>
      <w:r w:rsidR="0033433D" w:rsidRPr="00DD477A">
        <w:tab/>
      </w:r>
    </w:p>
    <w:p w14:paraId="1C3FFB70" w14:textId="24B8E275" w:rsidR="006A69BF" w:rsidRPr="00DD477A" w:rsidRDefault="002A2894">
      <w:pPr>
        <w:pStyle w:val="Bullet1"/>
      </w:pPr>
      <w:r>
        <w:t>B</w:t>
      </w:r>
      <w:r w:rsidR="00066F68">
        <w:t>y phone</w:t>
      </w:r>
      <w:r w:rsidR="00E0633F" w:rsidRPr="00DD477A">
        <w:tab/>
      </w:r>
      <w:r w:rsidR="000054D7">
        <w:tab/>
      </w:r>
      <w:r w:rsidR="000054D7">
        <w:tab/>
      </w:r>
      <w:r w:rsidR="000054D7">
        <w:tab/>
      </w:r>
      <w:r w:rsidR="000054D7">
        <w:tab/>
      </w:r>
      <w:r w:rsidR="000054D7">
        <w:tab/>
      </w:r>
      <w:r w:rsidR="000054D7">
        <w:tab/>
      </w:r>
      <w:r w:rsidR="000054D7">
        <w:tab/>
      </w:r>
      <w:r>
        <w:tab/>
      </w:r>
      <w:r w:rsidR="0033433D" w:rsidRPr="00DD477A">
        <w:tab/>
        <w:t>(</w:t>
      </w:r>
      <w:r w:rsidR="4A2F0A81" w:rsidRPr="00DD477A">
        <w:t>02</w:t>
      </w:r>
      <w:r w:rsidR="0033433D" w:rsidRPr="00DD477A">
        <w:t>)</w:t>
      </w:r>
      <w:r w:rsidR="4A2F0A81" w:rsidRPr="00DD477A">
        <w:t xml:space="preserve"> 6277 3010</w:t>
      </w:r>
    </w:p>
    <w:p w14:paraId="6E0D57E5" w14:textId="63D473A6" w:rsidR="005F42C7" w:rsidRDefault="002A2894" w:rsidP="00B54999">
      <w:pPr>
        <w:pStyle w:val="Bullet1"/>
      </w:pPr>
      <w:r>
        <w:t>A</w:t>
      </w:r>
      <w:r w:rsidR="00FA0945" w:rsidRPr="00DD477A">
        <w:t>ddress:</w:t>
      </w:r>
      <w:r w:rsidR="00A74BF8">
        <w:tab/>
      </w:r>
      <w:r w:rsidR="00A74BF8">
        <w:tab/>
      </w:r>
      <w:r w:rsidR="000054D7">
        <w:tab/>
      </w:r>
      <w:r w:rsidR="000054D7">
        <w:tab/>
      </w:r>
      <w:r w:rsidR="000054D7">
        <w:tab/>
      </w:r>
      <w:r w:rsidR="000054D7">
        <w:tab/>
      </w:r>
      <w:r w:rsidR="000054D7">
        <w:tab/>
      </w:r>
      <w:r w:rsidR="000054D7">
        <w:tab/>
      </w:r>
      <w:r w:rsidR="000054D7">
        <w:tab/>
      </w:r>
      <w:r w:rsidR="00A74BF8">
        <w:tab/>
      </w:r>
      <w:r w:rsidR="00FA0945" w:rsidRPr="00DD477A">
        <w:t>Room SG 25</w:t>
      </w:r>
    </w:p>
    <w:p w14:paraId="5B635D0B" w14:textId="15D9838A" w:rsidR="00595D6E" w:rsidRDefault="00FA0945" w:rsidP="000054D7">
      <w:pPr>
        <w:pStyle w:val="Bullet1"/>
        <w:numPr>
          <w:ilvl w:val="0"/>
          <w:numId w:val="0"/>
        </w:numPr>
        <w:ind w:left="5100"/>
      </w:pPr>
      <w:r w:rsidRPr="00DD477A">
        <w:t>Department of the Senate</w:t>
      </w:r>
      <w:r w:rsidR="006E0756" w:rsidRPr="00DD477A">
        <w:br/>
      </w:r>
      <w:r w:rsidR="00616039" w:rsidRPr="00DD477A">
        <w:t>P</w:t>
      </w:r>
      <w:r w:rsidRPr="00DD477A">
        <w:t>arliament House</w:t>
      </w:r>
      <w:r w:rsidR="006E0756" w:rsidRPr="00DD477A">
        <w:br/>
      </w:r>
      <w:r w:rsidRPr="00DD477A">
        <w:t>Canberra, ACT 2600</w:t>
      </w:r>
      <w:bookmarkStart w:id="1734" w:name="_Toc534382590"/>
    </w:p>
    <w:p w14:paraId="6387FE88" w14:textId="662A2DC4" w:rsidR="00887CED" w:rsidRDefault="00C50935" w:rsidP="00B54999">
      <w:pPr>
        <w:pStyle w:val="Bullet1"/>
        <w:numPr>
          <w:ilvl w:val="0"/>
          <w:numId w:val="0"/>
        </w:numPr>
      </w:pPr>
      <w:r w:rsidRPr="00887CED">
        <w:t xml:space="preserve">The </w:t>
      </w:r>
      <w:r w:rsidRPr="00887CED">
        <w:rPr>
          <w:b/>
          <w:bCs/>
        </w:rPr>
        <w:t xml:space="preserve">Senate </w:t>
      </w:r>
      <w:r w:rsidR="00887CED" w:rsidRPr="00887CED">
        <w:rPr>
          <w:b/>
          <w:bCs/>
        </w:rPr>
        <w:t>Table</w:t>
      </w:r>
      <w:r w:rsidR="00887CED">
        <w:rPr>
          <w:b/>
          <w:bCs/>
        </w:rPr>
        <w:t xml:space="preserve"> </w:t>
      </w:r>
      <w:r w:rsidR="00767DAD">
        <w:rPr>
          <w:b/>
          <w:bCs/>
        </w:rPr>
        <w:t>O</w:t>
      </w:r>
      <w:r w:rsidRPr="00887CED">
        <w:rPr>
          <w:b/>
          <w:bCs/>
        </w:rPr>
        <w:t>ffice</w:t>
      </w:r>
      <w:r w:rsidRPr="00887CED">
        <w:t xml:space="preserve"> </w:t>
      </w:r>
      <w:r w:rsidR="00767DAD">
        <w:t>are</w:t>
      </w:r>
      <w:r w:rsidRPr="00887CED">
        <w:t xml:space="preserve"> the contact for </w:t>
      </w:r>
      <w:r w:rsidR="00887CED">
        <w:t xml:space="preserve">inquiries and support related </w:t>
      </w:r>
      <w:r w:rsidR="00767DAD">
        <w:t>to OTD</w:t>
      </w:r>
      <w:r w:rsidR="00887CED">
        <w:t xml:space="preserve"> portal access and digital tabling requirements. </w:t>
      </w:r>
      <w:r w:rsidRPr="00887CED">
        <w:t xml:space="preserve">The contact details </w:t>
      </w:r>
      <w:r w:rsidR="00887CED">
        <w:t>are:</w:t>
      </w:r>
    </w:p>
    <w:p w14:paraId="7BAA489A" w14:textId="0488CBFD" w:rsidR="00887CED" w:rsidRPr="00887CED" w:rsidRDefault="00887CED" w:rsidP="00B54999">
      <w:pPr>
        <w:pStyle w:val="Bullet1"/>
      </w:pPr>
      <w:r>
        <w:t>Senate Table Office</w:t>
      </w:r>
      <w:r w:rsidRPr="00887CED">
        <w:t xml:space="preserve">: </w:t>
      </w:r>
    </w:p>
    <w:p w14:paraId="1577E399" w14:textId="09CC81CA" w:rsidR="00887CED" w:rsidRPr="00887CED" w:rsidRDefault="00887CED" w:rsidP="00507532">
      <w:pPr>
        <w:pStyle w:val="Bullet2"/>
      </w:pPr>
      <w:r w:rsidRPr="00887CED">
        <w:t>By email</w:t>
      </w:r>
      <w:r w:rsidR="00A65AA5">
        <w:tab/>
      </w:r>
      <w:r w:rsidR="00A65AA5">
        <w:tab/>
      </w:r>
      <w:r w:rsidR="00A65AA5">
        <w:tab/>
      </w:r>
      <w:r w:rsidR="00A65AA5">
        <w:tab/>
      </w:r>
      <w:r w:rsidR="00A65AA5">
        <w:tab/>
      </w:r>
      <w:r w:rsidR="00A65AA5">
        <w:tab/>
      </w:r>
      <w:r w:rsidR="00A65AA5">
        <w:tab/>
      </w:r>
      <w:r w:rsidR="00A65AA5">
        <w:tab/>
      </w:r>
      <w:r w:rsidR="00A65AA5">
        <w:tab/>
      </w:r>
      <w:hyperlink r:id="rId241" w:history="1">
        <w:r w:rsidRPr="000054D7">
          <w:rPr>
            <w:rStyle w:val="Hyperlink"/>
          </w:rPr>
          <w:t>table.inquiries.sen@aph.gov.au</w:t>
        </w:r>
      </w:hyperlink>
    </w:p>
    <w:p w14:paraId="62809F00" w14:textId="6718E02F" w:rsidR="00887CED" w:rsidRPr="00887CED" w:rsidRDefault="00887CED" w:rsidP="00507532">
      <w:pPr>
        <w:pStyle w:val="Bullet2"/>
      </w:pPr>
      <w:r w:rsidRPr="00887CED">
        <w:t>By phone:</w:t>
      </w:r>
      <w:r w:rsidR="00A65AA5">
        <w:tab/>
      </w:r>
      <w:r w:rsidR="00A65AA5">
        <w:tab/>
      </w:r>
      <w:r w:rsidR="00A65AA5">
        <w:tab/>
      </w:r>
      <w:r w:rsidR="00A65AA5">
        <w:tab/>
      </w:r>
      <w:r w:rsidR="00A65AA5">
        <w:tab/>
      </w:r>
      <w:r w:rsidR="00A65AA5">
        <w:tab/>
      </w:r>
      <w:r w:rsidR="00A65AA5">
        <w:tab/>
      </w:r>
      <w:r w:rsidR="00A65AA5">
        <w:tab/>
      </w:r>
      <w:r w:rsidR="00A65AA5">
        <w:tab/>
      </w:r>
      <w:r w:rsidRPr="00DD477A">
        <w:t>(02) 6277 3010</w:t>
      </w:r>
    </w:p>
    <w:p w14:paraId="123D266A" w14:textId="77777777" w:rsidR="000B5B99" w:rsidRDefault="000B5B99" w:rsidP="00784A78">
      <w:pPr>
        <w:pStyle w:val="Bullet1"/>
        <w:numPr>
          <w:ilvl w:val="0"/>
          <w:numId w:val="0"/>
        </w:numPr>
        <w:ind w:left="426"/>
      </w:pPr>
    </w:p>
    <w:p w14:paraId="1AB30DA3" w14:textId="2E20C088" w:rsidR="00595D6E" w:rsidRPr="00DD477A" w:rsidRDefault="00595D6E" w:rsidP="00007430">
      <w:pPr>
        <w:tabs>
          <w:tab w:val="left" w:pos="1701"/>
        </w:tabs>
        <w:ind w:left="1275"/>
        <w:sectPr w:rsidR="00595D6E" w:rsidRPr="00DD477A" w:rsidSect="0026790A">
          <w:pgSz w:w="11900" w:h="16840" w:code="9"/>
          <w:pgMar w:top="1418" w:right="851" w:bottom="1418" w:left="1418" w:header="624" w:footer="624" w:gutter="0"/>
          <w:cols w:space="708"/>
          <w:docGrid w:linePitch="360"/>
        </w:sectPr>
      </w:pPr>
    </w:p>
    <w:p w14:paraId="621EDB30" w14:textId="46671F95" w:rsidR="00FA0945" w:rsidRPr="00DD477A" w:rsidRDefault="53BF0693" w:rsidP="003D6589">
      <w:pPr>
        <w:pStyle w:val="Heading1"/>
      </w:pPr>
      <w:bookmarkStart w:id="1735" w:name="_Toc63347760"/>
      <w:bookmarkStart w:id="1736" w:name="_Toc227749128"/>
      <w:r w:rsidRPr="00DD477A">
        <w:t>Glossary of terms</w:t>
      </w:r>
      <w:bookmarkEnd w:id="1734"/>
      <w:bookmarkEnd w:id="1735"/>
      <w:bookmarkEnd w:id="1736"/>
    </w:p>
    <w:p w14:paraId="54CBAA63" w14:textId="77777777" w:rsidR="00FA0945" w:rsidRPr="00DD477A" w:rsidRDefault="53BF0693" w:rsidP="003D6589">
      <w:pPr>
        <w:pStyle w:val="Heading2"/>
      </w:pPr>
      <w:bookmarkStart w:id="1737" w:name="_Toc227749129"/>
      <w:r w:rsidRPr="00DD477A">
        <w:t>Activities</w:t>
      </w:r>
      <w:bookmarkEnd w:id="1737"/>
    </w:p>
    <w:p w14:paraId="24546BA9" w14:textId="77777777" w:rsidR="00FA0945" w:rsidRPr="00DD477A" w:rsidRDefault="53BF0693" w:rsidP="000A7DEC">
      <w:pPr>
        <w:rPr>
          <w:rFonts w:cs="Calibri"/>
        </w:rPr>
      </w:pPr>
      <w:r w:rsidRPr="00DD477A">
        <w:rPr>
          <w:rFonts w:cs="Calibri"/>
        </w:rPr>
        <w:t>The actions/functions performed by entities to deliver government policies.</w:t>
      </w:r>
    </w:p>
    <w:p w14:paraId="55B3081D" w14:textId="77777777" w:rsidR="00FA0945" w:rsidRPr="00DD477A" w:rsidRDefault="53BF0693" w:rsidP="003D6589">
      <w:pPr>
        <w:pStyle w:val="Heading2"/>
      </w:pPr>
      <w:bookmarkStart w:id="1738" w:name="_Toc227749130"/>
      <w:r w:rsidRPr="00DD477A">
        <w:t>Actual available appropriation</w:t>
      </w:r>
      <w:bookmarkEnd w:id="1738"/>
    </w:p>
    <w:p w14:paraId="504B1295" w14:textId="1D372AA7" w:rsidR="00FA0945" w:rsidRPr="00DD477A" w:rsidRDefault="53BF0693" w:rsidP="000A7DEC">
      <w:pPr>
        <w:rPr>
          <w:rFonts w:cs="Calibri"/>
        </w:rPr>
      </w:pPr>
      <w:r w:rsidRPr="00DD477A">
        <w:rPr>
          <w:rFonts w:cs="Calibri"/>
        </w:rPr>
        <w:t xml:space="preserve">The total appropriations available to the entity for </w:t>
      </w:r>
      <w:r w:rsidR="0095585E">
        <w:rPr>
          <w:rFonts w:cs="Calibri"/>
        </w:rPr>
        <w:t>2025</w:t>
      </w:r>
      <w:r w:rsidR="00C917CE">
        <w:rPr>
          <w:rFonts w:cs="Calibri"/>
        </w:rPr>
        <w:t>–</w:t>
      </w:r>
      <w:r w:rsidR="0095585E">
        <w:rPr>
          <w:rFonts w:cs="Calibri"/>
        </w:rPr>
        <w:t>26</w:t>
      </w:r>
      <w:r w:rsidR="00BA2416" w:rsidRPr="00DD477A">
        <w:rPr>
          <w:rFonts w:cs="Calibri"/>
        </w:rPr>
        <w:t xml:space="preserve"> </w:t>
      </w:r>
      <w:r w:rsidRPr="00DD477A">
        <w:rPr>
          <w:rFonts w:cs="Calibri"/>
        </w:rPr>
        <w:t xml:space="preserve">as at the </w:t>
      </w:r>
      <w:r w:rsidR="0081371C">
        <w:rPr>
          <w:rFonts w:cs="Calibri"/>
        </w:rPr>
        <w:t>2026</w:t>
      </w:r>
      <w:r w:rsidR="00C917CE">
        <w:rPr>
          <w:rFonts w:cs="Calibri"/>
        </w:rPr>
        <w:t>–</w:t>
      </w:r>
      <w:r w:rsidR="0081371C">
        <w:rPr>
          <w:rFonts w:cs="Calibri"/>
        </w:rPr>
        <w:t>27</w:t>
      </w:r>
      <w:r w:rsidR="00BA2416" w:rsidRPr="00DD477A">
        <w:rPr>
          <w:rFonts w:cs="Calibri"/>
        </w:rPr>
        <w:t xml:space="preserve"> </w:t>
      </w:r>
      <w:r w:rsidRPr="00DD477A">
        <w:rPr>
          <w:rFonts w:cs="Calibri"/>
        </w:rPr>
        <w:t>Budget</w:t>
      </w:r>
      <w:r w:rsidR="000A0993" w:rsidRPr="00DD477A">
        <w:rPr>
          <w:rFonts w:cs="Calibri"/>
        </w:rPr>
        <w:t>,</w:t>
      </w:r>
      <w:r w:rsidR="00180098" w:rsidRPr="00DD477A">
        <w:rPr>
          <w:rFonts w:cs="Calibri"/>
        </w:rPr>
        <w:t xml:space="preserve"> </w:t>
      </w:r>
      <w:r w:rsidRPr="00DD477A">
        <w:rPr>
          <w:rFonts w:cs="Calibri"/>
        </w:rPr>
        <w:t>includ</w:t>
      </w:r>
      <w:r w:rsidR="000A0993" w:rsidRPr="00DD477A">
        <w:rPr>
          <w:rFonts w:cs="Calibri"/>
        </w:rPr>
        <w:t>ing</w:t>
      </w:r>
      <w:r w:rsidRPr="00DD477A">
        <w:rPr>
          <w:rFonts w:cs="Calibri"/>
        </w:rPr>
        <w:t xml:space="preserve"> all appropriations made available to the entity in the year (+/- </w:t>
      </w:r>
      <w:r w:rsidR="00C74EA1" w:rsidRPr="00DD477A">
        <w:rPr>
          <w:rFonts w:cs="Calibri"/>
        </w:rPr>
        <w:t xml:space="preserve">section 75 </w:t>
      </w:r>
      <w:r w:rsidR="00ED3CB2" w:rsidRPr="00DD477A">
        <w:rPr>
          <w:rFonts w:cs="Calibri"/>
        </w:rPr>
        <w:t xml:space="preserve">transfers </w:t>
      </w:r>
      <w:r w:rsidR="00C74EA1" w:rsidRPr="00DD477A">
        <w:rPr>
          <w:rFonts w:cs="Calibri"/>
        </w:rPr>
        <w:t xml:space="preserve">or section 51 withholdings and other administrative quarantines made by Finance </w:t>
      </w:r>
      <w:r w:rsidR="00ED3CB2" w:rsidRPr="00DD477A">
        <w:rPr>
          <w:rFonts w:cs="Calibri"/>
        </w:rPr>
        <w:t xml:space="preserve">under of the </w:t>
      </w:r>
      <w:r w:rsidR="00ED3CB2" w:rsidRPr="00DD477A">
        <w:rPr>
          <w:rFonts w:cs="Calibri"/>
          <w:i/>
          <w:iCs/>
        </w:rPr>
        <w:t xml:space="preserve">Public Governance, Performance and Accountability Act 2013 </w:t>
      </w:r>
      <w:r w:rsidR="00ED3CB2" w:rsidRPr="00DD477A">
        <w:rPr>
          <w:rFonts w:cs="Calibri"/>
        </w:rPr>
        <w:t>(PGPA Act)</w:t>
      </w:r>
      <w:r w:rsidRPr="00DD477A">
        <w:rPr>
          <w:rFonts w:cs="Calibri"/>
        </w:rPr>
        <w:t xml:space="preserve">, </w:t>
      </w:r>
      <w:r w:rsidR="009A1184" w:rsidRPr="00DD477A">
        <w:rPr>
          <w:rFonts w:cs="Calibri"/>
        </w:rPr>
        <w:t>AFM</w:t>
      </w:r>
      <w:r w:rsidRPr="00DD477A">
        <w:rPr>
          <w:rFonts w:cs="Calibri"/>
        </w:rPr>
        <w:t xml:space="preserve">). It is to </w:t>
      </w:r>
      <w:r w:rsidR="00C74EA1" w:rsidRPr="00DD477A">
        <w:rPr>
          <w:rFonts w:cs="Calibri"/>
        </w:rPr>
        <w:t>mirror</w:t>
      </w:r>
      <w:r w:rsidRPr="00DD477A">
        <w:rPr>
          <w:rFonts w:cs="Calibri"/>
        </w:rPr>
        <w:t xml:space="preserve"> the comparator figure included in the Appropriation Bills, provid</w:t>
      </w:r>
      <w:r w:rsidR="00C74EA1" w:rsidRPr="00DD477A">
        <w:rPr>
          <w:rFonts w:cs="Calibri"/>
        </w:rPr>
        <w:t>ing</w:t>
      </w:r>
      <w:r w:rsidRPr="00DD477A">
        <w:rPr>
          <w:rFonts w:cs="Calibri"/>
        </w:rPr>
        <w:t xml:space="preserve"> a comparison with the appropriation proposed for the budget year.</w:t>
      </w:r>
    </w:p>
    <w:p w14:paraId="6B14B3FF" w14:textId="77777777" w:rsidR="00FA0945" w:rsidRPr="00DD477A" w:rsidRDefault="53BF0693" w:rsidP="003D6589">
      <w:pPr>
        <w:pStyle w:val="Heading2"/>
      </w:pPr>
      <w:bookmarkStart w:id="1739" w:name="_Toc227749131"/>
      <w:r w:rsidRPr="00DD477A">
        <w:t>Administered item</w:t>
      </w:r>
      <w:bookmarkEnd w:id="1739"/>
    </w:p>
    <w:p w14:paraId="144A1D9F" w14:textId="686C11CC" w:rsidR="002F060E" w:rsidRPr="00DD477A" w:rsidRDefault="00B11B6E" w:rsidP="000A7DEC">
      <w:pPr>
        <w:rPr>
          <w:rFonts w:cs="Calibri"/>
        </w:rPr>
      </w:pPr>
      <w:r w:rsidRPr="00DD477A">
        <w:rPr>
          <w:rFonts w:cs="Calibri"/>
        </w:rPr>
        <w:t>I</w:t>
      </w:r>
      <w:r w:rsidR="53BF0693" w:rsidRPr="00DD477A">
        <w:rPr>
          <w:rFonts w:cs="Calibri"/>
        </w:rPr>
        <w:t xml:space="preserve">tems </w:t>
      </w:r>
      <w:r w:rsidRPr="00DD477A">
        <w:rPr>
          <w:rFonts w:cs="Calibri"/>
        </w:rPr>
        <w:t>ordinarily</w:t>
      </w:r>
      <w:r w:rsidR="53BF0693" w:rsidRPr="00DD477A">
        <w:rPr>
          <w:rFonts w:cs="Calibri"/>
        </w:rPr>
        <w:t xml:space="preserve"> managed by</w:t>
      </w:r>
      <w:r w:rsidR="00482662" w:rsidRPr="00DD477A">
        <w:rPr>
          <w:rFonts w:cs="Calibri"/>
        </w:rPr>
        <w:t>,</w:t>
      </w:r>
      <w:r w:rsidR="53BF0693" w:rsidRPr="00DD477A">
        <w:rPr>
          <w:rFonts w:cs="Calibri"/>
        </w:rPr>
        <w:t xml:space="preserve"> </w:t>
      </w:r>
      <w:r w:rsidR="00482662" w:rsidRPr="00DD477A">
        <w:rPr>
          <w:rFonts w:cs="Calibri"/>
        </w:rPr>
        <w:t xml:space="preserve">in contrast to </w:t>
      </w:r>
      <w:r w:rsidR="00C663FB" w:rsidRPr="00DD477A">
        <w:rPr>
          <w:rFonts w:cs="Calibri"/>
        </w:rPr>
        <w:t xml:space="preserve">being controlled </w:t>
      </w:r>
      <w:r w:rsidR="00022801" w:rsidRPr="00DD477A">
        <w:rPr>
          <w:rFonts w:cs="Calibri"/>
        </w:rPr>
        <w:t>by</w:t>
      </w:r>
      <w:r w:rsidR="00482662" w:rsidRPr="00DD477A">
        <w:rPr>
          <w:rFonts w:cs="Calibri"/>
        </w:rPr>
        <w:t xml:space="preserve"> </w:t>
      </w:r>
      <w:r w:rsidR="53BF0693" w:rsidRPr="00DD477A">
        <w:rPr>
          <w:rFonts w:cs="Calibri"/>
        </w:rPr>
        <w:t xml:space="preserve">an entity on behalf of the </w:t>
      </w:r>
      <w:r w:rsidR="00463BDF" w:rsidRPr="00DD477A">
        <w:rPr>
          <w:rFonts w:cs="Calibri"/>
        </w:rPr>
        <w:t xml:space="preserve">Government </w:t>
      </w:r>
      <w:r w:rsidR="00C663FB" w:rsidRPr="00DD477A">
        <w:rPr>
          <w:rFonts w:cs="Calibri"/>
        </w:rPr>
        <w:t xml:space="preserve">which are </w:t>
      </w:r>
      <w:r w:rsidR="53BF0693" w:rsidRPr="00DD477A">
        <w:rPr>
          <w:rFonts w:cs="Calibri"/>
        </w:rPr>
        <w:t>normally related to activities governed by eligibility rules and conditions established by the legislation (for example, grants, subsidies and benefit payments).</w:t>
      </w:r>
    </w:p>
    <w:p w14:paraId="7A5F2A76" w14:textId="239FFEA0" w:rsidR="00FA0945" w:rsidRPr="00DD477A" w:rsidRDefault="53BF0693" w:rsidP="000A7DEC">
      <w:pPr>
        <w:rPr>
          <w:rFonts w:cs="Calibri"/>
        </w:rPr>
      </w:pPr>
      <w:r w:rsidRPr="00DD477A">
        <w:rPr>
          <w:rFonts w:cs="Calibri"/>
        </w:rPr>
        <w:t xml:space="preserve">This funding is not at the discretion of the entity and any unspent appropriation </w:t>
      </w:r>
      <w:r w:rsidR="007C157E" w:rsidRPr="00DD477A">
        <w:rPr>
          <w:rFonts w:cs="Calibri"/>
        </w:rPr>
        <w:t xml:space="preserve">at the end of the financial year </w:t>
      </w:r>
      <w:r w:rsidRPr="00DD477A">
        <w:rPr>
          <w:rFonts w:cs="Calibri"/>
        </w:rPr>
        <w:t>is returned to the Consolidated Revenue Fund (CRF). An administered item is a component of an administered program. It may be a measure but will not constitute a program in its own right.</w:t>
      </w:r>
    </w:p>
    <w:p w14:paraId="2FECD892" w14:textId="736897CB" w:rsidR="002F0879" w:rsidRPr="00DD477A" w:rsidRDefault="53BF0693" w:rsidP="003D6589">
      <w:pPr>
        <w:pStyle w:val="Heading2"/>
      </w:pPr>
      <w:bookmarkStart w:id="1740" w:name="_Toc227749132"/>
      <w:r w:rsidRPr="00DD477A">
        <w:t>Administrative Arrangement</w:t>
      </w:r>
      <w:r w:rsidR="00767433" w:rsidRPr="00DD477A">
        <w:t>s</w:t>
      </w:r>
      <w:r w:rsidRPr="00DD477A">
        <w:t xml:space="preserve"> Order</w:t>
      </w:r>
      <w:bookmarkEnd w:id="1740"/>
    </w:p>
    <w:p w14:paraId="2C3D1B81" w14:textId="7216BD22" w:rsidR="002F0879" w:rsidRPr="00DD477A" w:rsidRDefault="53BF0693" w:rsidP="002F0879">
      <w:pPr>
        <w:rPr>
          <w:rFonts w:cs="Calibri"/>
        </w:rPr>
      </w:pPr>
      <w:r w:rsidRPr="00DD477A">
        <w:rPr>
          <w:rFonts w:cs="Calibri"/>
        </w:rPr>
        <w:t>Administrative Arrangements Orders (AAOs) specify firstly, the subject matters, and secondly, the legislation dealt with by government departments</w:t>
      </w:r>
      <w:r w:rsidR="00482ACA" w:rsidRPr="00DD477A">
        <w:rPr>
          <w:rFonts w:cs="Calibri"/>
        </w:rPr>
        <w:t xml:space="preserve"> and Ministers</w:t>
      </w:r>
      <w:r w:rsidRPr="00DD477A">
        <w:rPr>
          <w:rFonts w:cs="Calibri"/>
        </w:rPr>
        <w:t>.</w:t>
      </w:r>
    </w:p>
    <w:p w14:paraId="3F54DBC3" w14:textId="79126E42" w:rsidR="00FA0945" w:rsidRPr="00DD477A" w:rsidRDefault="53BF0693" w:rsidP="003D6589">
      <w:pPr>
        <w:pStyle w:val="Heading2"/>
      </w:pPr>
      <w:bookmarkStart w:id="1741" w:name="_Toc227749133"/>
      <w:r w:rsidRPr="00DD477A">
        <w:t xml:space="preserve">Agency </w:t>
      </w:r>
      <w:r w:rsidR="006B4C1D" w:rsidRPr="00DD477A">
        <w:t>A</w:t>
      </w:r>
      <w:r w:rsidRPr="00DD477A">
        <w:t xml:space="preserve">dvice </w:t>
      </w:r>
      <w:r w:rsidR="006B4C1D" w:rsidRPr="00DD477A">
        <w:t>U</w:t>
      </w:r>
      <w:r w:rsidRPr="00DD477A">
        <w:t>nit</w:t>
      </w:r>
      <w:bookmarkEnd w:id="1741"/>
    </w:p>
    <w:p w14:paraId="357F8EA6" w14:textId="0468742E" w:rsidR="00FA0945" w:rsidRPr="00DD477A" w:rsidRDefault="53BF0693" w:rsidP="000A7DEC">
      <w:pPr>
        <w:rPr>
          <w:rFonts w:cs="Calibri"/>
        </w:rPr>
      </w:pPr>
      <w:r w:rsidRPr="00DD477A">
        <w:rPr>
          <w:rFonts w:cs="Calibri"/>
        </w:rPr>
        <w:t xml:space="preserve">Advisers within the Budget Group, Finance that analyse expenditure trends of entities, agree costings of </w:t>
      </w:r>
      <w:r w:rsidR="00FE073D" w:rsidRPr="00DD477A">
        <w:rPr>
          <w:rFonts w:cs="Calibri"/>
        </w:rPr>
        <w:t xml:space="preserve">New </w:t>
      </w:r>
      <w:r w:rsidRPr="00DD477A">
        <w:rPr>
          <w:rFonts w:cs="Calibri"/>
        </w:rPr>
        <w:t xml:space="preserve">Policy Proposals, validate entities’ program estimates and </w:t>
      </w:r>
      <w:r w:rsidR="00D127E0" w:rsidRPr="00DD477A">
        <w:rPr>
          <w:rFonts w:cs="Calibri"/>
        </w:rPr>
        <w:t>provide</w:t>
      </w:r>
      <w:r w:rsidRPr="00DD477A">
        <w:rPr>
          <w:rFonts w:cs="Calibri"/>
        </w:rPr>
        <w:t xml:space="preserve"> financial and budget </w:t>
      </w:r>
      <w:r w:rsidR="00221E4C" w:rsidRPr="00DD477A">
        <w:rPr>
          <w:rFonts w:cs="Calibri"/>
        </w:rPr>
        <w:t>advice</w:t>
      </w:r>
      <w:r w:rsidRPr="00DD477A">
        <w:rPr>
          <w:rFonts w:cs="Calibri"/>
        </w:rPr>
        <w:t xml:space="preserve">. </w:t>
      </w:r>
    </w:p>
    <w:p w14:paraId="799042BA" w14:textId="77777777" w:rsidR="00FA0945" w:rsidRPr="00DD477A" w:rsidRDefault="53BF0693" w:rsidP="003D6589">
      <w:pPr>
        <w:pStyle w:val="Heading2"/>
      </w:pPr>
      <w:bookmarkStart w:id="1742" w:name="_Toc227749134"/>
      <w:r w:rsidRPr="00DD477A">
        <w:t>Appropriation</w:t>
      </w:r>
      <w:bookmarkEnd w:id="1742"/>
    </w:p>
    <w:p w14:paraId="2E5CE444" w14:textId="7EAAFD66" w:rsidR="00FA0945" w:rsidRPr="00DD477A" w:rsidRDefault="53BF0693" w:rsidP="000A7DEC">
      <w:pPr>
        <w:rPr>
          <w:rFonts w:cs="Calibri"/>
        </w:rPr>
      </w:pPr>
      <w:r w:rsidRPr="00DD477A">
        <w:rPr>
          <w:rFonts w:cs="Calibri"/>
        </w:rPr>
        <w:t>An amount of public money the Parliament authorises for draw</w:t>
      </w:r>
      <w:r w:rsidR="007A248F" w:rsidRPr="00DD477A">
        <w:rPr>
          <w:rFonts w:cs="Calibri"/>
        </w:rPr>
        <w:t>ing</w:t>
      </w:r>
      <w:r w:rsidRPr="00DD477A">
        <w:rPr>
          <w:rFonts w:cs="Calibri"/>
        </w:rPr>
        <w:t xml:space="preserve"> from the CRF. The Parliament makes laws for appropriating money under the </w:t>
      </w:r>
      <w:r w:rsidR="007A248F" w:rsidRPr="00DD477A">
        <w:rPr>
          <w:rFonts w:cs="Calibri"/>
        </w:rPr>
        <w:t>a</w:t>
      </w:r>
      <w:r w:rsidRPr="00DD477A">
        <w:rPr>
          <w:rFonts w:cs="Calibri"/>
        </w:rPr>
        <w:t xml:space="preserve">nnual Appropriation Acts and under </w:t>
      </w:r>
      <w:r w:rsidR="006B4C1D" w:rsidRPr="00DD477A">
        <w:rPr>
          <w:rFonts w:cs="Calibri"/>
        </w:rPr>
        <w:t xml:space="preserve">Acts other than annual Appropriation Acts which contain </w:t>
      </w:r>
      <w:r w:rsidRPr="00DD477A">
        <w:rPr>
          <w:rFonts w:cs="Calibri"/>
        </w:rPr>
        <w:t>Special Appropriation</w:t>
      </w:r>
      <w:r w:rsidR="006B4C1D" w:rsidRPr="00DD477A">
        <w:rPr>
          <w:rFonts w:cs="Calibri"/>
        </w:rPr>
        <w:t xml:space="preserve"> provisions</w:t>
      </w:r>
      <w:r w:rsidRPr="00DD477A">
        <w:rPr>
          <w:rFonts w:cs="Calibri"/>
        </w:rPr>
        <w:t>, with spending restricted to the purposes specified in the Acts.</w:t>
      </w:r>
    </w:p>
    <w:p w14:paraId="3CADC092" w14:textId="363DB020" w:rsidR="00FA0945" w:rsidRPr="00DD477A" w:rsidRDefault="006B4C1D" w:rsidP="003D6589">
      <w:pPr>
        <w:pStyle w:val="Heading2"/>
      </w:pPr>
      <w:bookmarkStart w:id="1743" w:name="_Toc227749135"/>
      <w:r w:rsidRPr="00DD477A">
        <w:t>C</w:t>
      </w:r>
      <w:r w:rsidR="53BF0693" w:rsidRPr="00DD477A">
        <w:t xml:space="preserve">ash </w:t>
      </w:r>
      <w:r w:rsidR="00463BDF" w:rsidRPr="00DD477A">
        <w:t xml:space="preserve">Management </w:t>
      </w:r>
      <w:r w:rsidR="53BF0693" w:rsidRPr="00DD477A">
        <w:t>module</w:t>
      </w:r>
      <w:bookmarkEnd w:id="1743"/>
    </w:p>
    <w:p w14:paraId="70C17FE5" w14:textId="4F7047EF" w:rsidR="00FA0945" w:rsidRPr="00DD477A" w:rsidRDefault="53BF0693" w:rsidP="000A7DEC">
      <w:pPr>
        <w:rPr>
          <w:rFonts w:cs="Calibri"/>
        </w:rPr>
      </w:pPr>
      <w:r w:rsidRPr="00DD477A">
        <w:rPr>
          <w:rFonts w:cs="Calibri"/>
        </w:rPr>
        <w:t>A module of the CBMS from which</w:t>
      </w:r>
      <w:r w:rsidR="00463BDF" w:rsidRPr="00DD477A">
        <w:rPr>
          <w:rFonts w:cs="Calibri"/>
        </w:rPr>
        <w:t xml:space="preserve"> non-corporate Commonwealth</w:t>
      </w:r>
      <w:r w:rsidRPr="00DD477A">
        <w:rPr>
          <w:rFonts w:cs="Calibri"/>
        </w:rPr>
        <w:t xml:space="preserve"> entities draw down funds from the CRF</w:t>
      </w:r>
      <w:r w:rsidR="00463BDF" w:rsidRPr="00DD477A">
        <w:rPr>
          <w:rFonts w:cs="Calibri"/>
        </w:rPr>
        <w:t xml:space="preserve"> (via the Official Public Account managed by Finance on behalf of the Commonwealth)</w:t>
      </w:r>
      <w:r w:rsidRPr="00DD477A">
        <w:rPr>
          <w:rFonts w:cs="Calibri"/>
        </w:rPr>
        <w:t>.</w:t>
      </w:r>
    </w:p>
    <w:p w14:paraId="4A5472BF" w14:textId="68F8F7E4" w:rsidR="00554601" w:rsidRPr="00DD477A" w:rsidRDefault="53BF0693" w:rsidP="003D6589">
      <w:pPr>
        <w:pStyle w:val="Heading2"/>
      </w:pPr>
      <w:bookmarkStart w:id="1744" w:name="_Toc227749136"/>
      <w:r w:rsidRPr="00DD477A">
        <w:t xml:space="preserve">Australian </w:t>
      </w:r>
      <w:r w:rsidR="00463BDF" w:rsidRPr="00DD477A">
        <w:t>Government Organisation Register</w:t>
      </w:r>
      <w:bookmarkEnd w:id="1744"/>
    </w:p>
    <w:p w14:paraId="24C2DB49" w14:textId="7B09395F" w:rsidR="00554601" w:rsidRPr="00DD477A" w:rsidRDefault="53BF0693" w:rsidP="000A7DEC">
      <w:pPr>
        <w:rPr>
          <w:rFonts w:cs="Calibri"/>
        </w:rPr>
      </w:pPr>
      <w:r w:rsidRPr="00DD477A">
        <w:rPr>
          <w:rFonts w:cs="Calibri"/>
        </w:rPr>
        <w:t xml:space="preserve">The AGOR provides information on the function, composition, origins and other details of Australian Government bodies based on the </w:t>
      </w:r>
      <w:r w:rsidR="002E42A9" w:rsidRPr="00DD477A">
        <w:rPr>
          <w:rFonts w:cs="Calibri"/>
        </w:rPr>
        <w:t xml:space="preserve">identified </w:t>
      </w:r>
      <w:r w:rsidRPr="00DD477A">
        <w:rPr>
          <w:rFonts w:cs="Calibri"/>
        </w:rPr>
        <w:t>characteristics used to describe the 12 main types of bodies</w:t>
      </w:r>
      <w:r w:rsidR="002E42A9" w:rsidRPr="00DD477A">
        <w:rPr>
          <w:rFonts w:cs="Calibri"/>
        </w:rPr>
        <w:t>.</w:t>
      </w:r>
    </w:p>
    <w:p w14:paraId="62634773" w14:textId="09A86541" w:rsidR="00554601" w:rsidRPr="00DD477A" w:rsidRDefault="53BF0693" w:rsidP="000A7DEC">
      <w:pPr>
        <w:rPr>
          <w:rFonts w:cs="Calibri"/>
        </w:rPr>
      </w:pPr>
      <w:r w:rsidRPr="00DD477A">
        <w:rPr>
          <w:rFonts w:cs="Calibri"/>
        </w:rPr>
        <w:t xml:space="preserve">The AGOR dataset forms part of </w:t>
      </w:r>
      <w:r w:rsidRPr="00DD477A">
        <w:t xml:space="preserve">the </w:t>
      </w:r>
      <w:r w:rsidR="00496C86" w:rsidRPr="00DD477A">
        <w:t>Organisation and Appointments Register</w:t>
      </w:r>
      <w:r w:rsidRPr="00DD477A">
        <w:t xml:space="preserve"> which su</w:t>
      </w:r>
      <w:r w:rsidRPr="00DD477A">
        <w:rPr>
          <w:rFonts w:cs="Calibri"/>
        </w:rPr>
        <w:t xml:space="preserve">pports the front-facing website known as </w:t>
      </w:r>
      <w:hyperlink r:id="rId242" w:history="1">
        <w:r w:rsidR="000733FF" w:rsidRPr="00DD477A">
          <w:rPr>
            <w:rStyle w:val="Hyperlink"/>
          </w:rPr>
          <w:t>directory.gov.au</w:t>
        </w:r>
      </w:hyperlink>
      <w:r w:rsidR="00754813" w:rsidRPr="00DD477A">
        <w:rPr>
          <w:rFonts w:cs="Calibri"/>
        </w:rPr>
        <w:t>.</w:t>
      </w:r>
    </w:p>
    <w:p w14:paraId="15B8EF01" w14:textId="4A63C4FD" w:rsidR="00554601" w:rsidRPr="00DD477A" w:rsidRDefault="53BF0693" w:rsidP="004E7B5C">
      <w:pPr>
        <w:rPr>
          <w:rStyle w:val="Hyperlink"/>
          <w:rFonts w:cs="Calibri"/>
        </w:rPr>
      </w:pPr>
      <w:r w:rsidRPr="00DD477A">
        <w:rPr>
          <w:rFonts w:cs="Calibri"/>
        </w:rPr>
        <w:t xml:space="preserve">The </w:t>
      </w:r>
      <w:r w:rsidR="00396887" w:rsidRPr="00DD477A">
        <w:rPr>
          <w:rFonts w:cs="Calibri"/>
        </w:rPr>
        <w:t>portfolio department</w:t>
      </w:r>
      <w:r w:rsidRPr="00DD477A">
        <w:rPr>
          <w:rFonts w:cs="Calibri"/>
        </w:rPr>
        <w:t>s are responsible for collecting information about the entities and bodies listed. Further information</w:t>
      </w:r>
      <w:r w:rsidR="00DB5F5A" w:rsidRPr="00DD477A">
        <w:rPr>
          <w:rFonts w:cs="Calibri"/>
        </w:rPr>
        <w:t xml:space="preserve"> on the </w:t>
      </w:r>
      <w:hyperlink r:id="rId243" w:history="1">
        <w:r w:rsidR="00DB5F5A" w:rsidRPr="00DD477A">
          <w:rPr>
            <w:rStyle w:val="Hyperlink"/>
          </w:rPr>
          <w:t>AGOR</w:t>
        </w:r>
        <w:r w:rsidRPr="00DD477A">
          <w:rPr>
            <w:rStyle w:val="Hyperlink"/>
          </w:rPr>
          <w:t xml:space="preserve"> </w:t>
        </w:r>
        <w:r w:rsidR="00DB5F5A" w:rsidRPr="00DD477A">
          <w:rPr>
            <w:rStyle w:val="Hyperlink"/>
          </w:rPr>
          <w:t>dataset</w:t>
        </w:r>
      </w:hyperlink>
      <w:r w:rsidR="00DB5F5A" w:rsidRPr="00DD477A">
        <w:rPr>
          <w:rFonts w:cs="Calibri"/>
        </w:rPr>
        <w:t xml:space="preserve"> </w:t>
      </w:r>
      <w:r w:rsidRPr="00DD477A">
        <w:rPr>
          <w:rFonts w:cs="Calibri"/>
        </w:rPr>
        <w:t xml:space="preserve">can also be found on Finance's </w:t>
      </w:r>
      <w:r w:rsidR="00844D82" w:rsidRPr="00DD477A">
        <w:rPr>
          <w:rFonts w:cs="Calibri"/>
        </w:rPr>
        <w:t xml:space="preserve">own </w:t>
      </w:r>
      <w:hyperlink r:id="rId244" w:history="1">
        <w:r w:rsidR="00844D82" w:rsidRPr="00DD477A">
          <w:rPr>
            <w:rStyle w:val="Hyperlink"/>
            <w:rFonts w:cs="Calibri"/>
          </w:rPr>
          <w:t>AGOR</w:t>
        </w:r>
        <w:r w:rsidRPr="00DD477A">
          <w:rPr>
            <w:rStyle w:val="Hyperlink"/>
            <w:rFonts w:cs="Calibri"/>
          </w:rPr>
          <w:t xml:space="preserve"> web</w:t>
        </w:r>
        <w:r w:rsidR="00844D82" w:rsidRPr="00DD477A">
          <w:rPr>
            <w:rStyle w:val="Hyperlink"/>
            <w:rFonts w:cs="Calibri"/>
          </w:rPr>
          <w:t>page</w:t>
        </w:r>
      </w:hyperlink>
      <w:r w:rsidRPr="00DD477A">
        <w:rPr>
          <w:rFonts w:cs="Calibri"/>
        </w:rPr>
        <w:t xml:space="preserve"> </w:t>
      </w:r>
      <w:r w:rsidR="00844D82" w:rsidRPr="00DD477A">
        <w:rPr>
          <w:rFonts w:cs="Calibri"/>
        </w:rPr>
        <w:t>as well</w:t>
      </w:r>
      <w:r w:rsidR="00DB5F5A" w:rsidRPr="00DD477A">
        <w:rPr>
          <w:rFonts w:cs="Calibri"/>
        </w:rPr>
        <w:t>.</w:t>
      </w:r>
    </w:p>
    <w:p w14:paraId="72B5C63D" w14:textId="77777777" w:rsidR="00FA0945" w:rsidRPr="00DD477A" w:rsidRDefault="53BF0693" w:rsidP="003D6589">
      <w:pPr>
        <w:pStyle w:val="Heading2"/>
      </w:pPr>
      <w:bookmarkStart w:id="1745" w:name="_Toc227749137"/>
      <w:r w:rsidRPr="00DD477A">
        <w:t>Budget Paper 1 (BP No. 1)</w:t>
      </w:r>
      <w:bookmarkEnd w:id="1745"/>
    </w:p>
    <w:p w14:paraId="4282F9F0" w14:textId="7083FD00" w:rsidR="00FA0945" w:rsidRPr="00DD477A" w:rsidRDefault="53BF0693" w:rsidP="000A7DEC">
      <w:pPr>
        <w:rPr>
          <w:rFonts w:cs="Calibri"/>
        </w:rPr>
      </w:pPr>
      <w:r w:rsidRPr="00DD477A">
        <w:rPr>
          <w:rFonts w:cs="Calibri"/>
        </w:rPr>
        <w:t>Budget Strategy and Outlook</w:t>
      </w:r>
      <w:r w:rsidR="00832EF9" w:rsidRPr="00DD477A">
        <w:rPr>
          <w:rFonts w:cs="Calibri"/>
        </w:rPr>
        <w:t xml:space="preserve"> -</w:t>
      </w:r>
      <w:r w:rsidRPr="00DD477A">
        <w:rPr>
          <w:rFonts w:cs="Calibri"/>
        </w:rPr>
        <w:t xml:space="preserve"> </w:t>
      </w:r>
      <w:r w:rsidR="00832EF9" w:rsidRPr="00DD477A">
        <w:rPr>
          <w:rFonts w:cs="Calibri"/>
        </w:rPr>
        <w:t>p</w:t>
      </w:r>
      <w:r w:rsidRPr="00DD477A">
        <w:rPr>
          <w:rFonts w:cs="Calibri"/>
        </w:rPr>
        <w:t xml:space="preserve">rovides information on the economic and fiscal outlook for the Australian Government, including information on the </w:t>
      </w:r>
      <w:r w:rsidR="006418EA" w:rsidRPr="00DD477A">
        <w:rPr>
          <w:rFonts w:cs="Calibri"/>
        </w:rPr>
        <w:t>government</w:t>
      </w:r>
      <w:r w:rsidRPr="00DD477A">
        <w:rPr>
          <w:rFonts w:cs="Calibri"/>
        </w:rPr>
        <w:t>’s fiscal strategy.</w:t>
      </w:r>
    </w:p>
    <w:p w14:paraId="35BB35B1" w14:textId="77777777" w:rsidR="00FA0945" w:rsidRPr="00DD477A" w:rsidRDefault="53BF0693" w:rsidP="003D6589">
      <w:pPr>
        <w:pStyle w:val="Heading2"/>
      </w:pPr>
      <w:bookmarkStart w:id="1746" w:name="_Toc227749138"/>
      <w:r w:rsidRPr="00DD477A">
        <w:t>Budget Paper 2 (BP No. 2)</w:t>
      </w:r>
      <w:bookmarkEnd w:id="1746"/>
    </w:p>
    <w:p w14:paraId="6A07A868" w14:textId="6580CC5E" w:rsidR="00FA0945" w:rsidRPr="00DD477A" w:rsidRDefault="53BF0693" w:rsidP="000A7DEC">
      <w:pPr>
        <w:rPr>
          <w:rFonts w:cs="Calibri"/>
        </w:rPr>
      </w:pPr>
      <w:r w:rsidRPr="00DD477A">
        <w:rPr>
          <w:rFonts w:cs="Calibri"/>
        </w:rPr>
        <w:t>Budget Measures</w:t>
      </w:r>
      <w:r w:rsidR="00832EF9" w:rsidRPr="00DD477A">
        <w:rPr>
          <w:rFonts w:cs="Calibri"/>
        </w:rPr>
        <w:t xml:space="preserve"> -</w:t>
      </w:r>
      <w:r w:rsidRPr="00DD477A">
        <w:rPr>
          <w:rFonts w:cs="Calibri"/>
        </w:rPr>
        <w:t xml:space="preserve"> </w:t>
      </w:r>
      <w:r w:rsidR="00832EF9" w:rsidRPr="00DD477A">
        <w:rPr>
          <w:rFonts w:cs="Calibri"/>
        </w:rPr>
        <w:t>p</w:t>
      </w:r>
      <w:r w:rsidRPr="00DD477A">
        <w:rPr>
          <w:rFonts w:cs="Calibri"/>
        </w:rPr>
        <w:t xml:space="preserve">rovides a description of each budget measure (receipts and payments) by </w:t>
      </w:r>
      <w:r w:rsidR="00396887" w:rsidRPr="00DD477A">
        <w:rPr>
          <w:rFonts w:cs="Calibri"/>
        </w:rPr>
        <w:t>portfolio</w:t>
      </w:r>
      <w:r w:rsidRPr="00DD477A">
        <w:rPr>
          <w:rFonts w:cs="Calibri"/>
        </w:rPr>
        <w:t>.</w:t>
      </w:r>
    </w:p>
    <w:p w14:paraId="42D48735" w14:textId="77777777" w:rsidR="00FA0945" w:rsidRPr="00DD477A" w:rsidRDefault="53BF0693" w:rsidP="003D6589">
      <w:pPr>
        <w:pStyle w:val="Heading2"/>
      </w:pPr>
      <w:bookmarkStart w:id="1747" w:name="_Toc227749139"/>
      <w:r w:rsidRPr="00DD477A">
        <w:t>Budget Paper 3 (BP No. 3)</w:t>
      </w:r>
      <w:bookmarkEnd w:id="1747"/>
    </w:p>
    <w:p w14:paraId="6E53C588" w14:textId="7353B67F" w:rsidR="00FA0945" w:rsidRPr="00DD477A" w:rsidRDefault="53BF0693" w:rsidP="000A7DEC">
      <w:pPr>
        <w:rPr>
          <w:rFonts w:cs="Calibri"/>
        </w:rPr>
      </w:pPr>
      <w:r w:rsidRPr="00DD477A">
        <w:rPr>
          <w:rFonts w:cs="Calibri"/>
        </w:rPr>
        <w:t>Australia’s Federal Relations</w:t>
      </w:r>
      <w:r w:rsidR="00832EF9" w:rsidRPr="00DD477A">
        <w:rPr>
          <w:rFonts w:cs="Calibri"/>
        </w:rPr>
        <w:t xml:space="preserve"> -</w:t>
      </w:r>
      <w:r w:rsidRPr="00DD477A">
        <w:rPr>
          <w:rFonts w:cs="Calibri"/>
        </w:rPr>
        <w:t xml:space="preserve"> </w:t>
      </w:r>
      <w:r w:rsidR="00BF653C" w:rsidRPr="00DD477A">
        <w:rPr>
          <w:rFonts w:cs="Calibri"/>
        </w:rPr>
        <w:t>p</w:t>
      </w:r>
      <w:r w:rsidRPr="00DD477A">
        <w:rPr>
          <w:rFonts w:cs="Calibri"/>
        </w:rPr>
        <w:t>rovides information and analysis on Federal funding provided to the States, Territories and local government.</w:t>
      </w:r>
    </w:p>
    <w:p w14:paraId="1ECDE4F9" w14:textId="77777777" w:rsidR="00FA0945" w:rsidRPr="00DD477A" w:rsidRDefault="53BF0693" w:rsidP="003D6589">
      <w:pPr>
        <w:pStyle w:val="Heading2"/>
      </w:pPr>
      <w:bookmarkStart w:id="1748" w:name="_Toc227749140"/>
      <w:r w:rsidRPr="00DD477A">
        <w:t>Budget Paper 4 (BP No. 4)</w:t>
      </w:r>
      <w:bookmarkEnd w:id="1748"/>
    </w:p>
    <w:p w14:paraId="5BD5F3F4" w14:textId="5B1E881D" w:rsidR="00FA0945" w:rsidRPr="00DD477A" w:rsidRDefault="53BF0693" w:rsidP="000A7DEC">
      <w:pPr>
        <w:rPr>
          <w:rFonts w:cs="Calibri"/>
        </w:rPr>
      </w:pPr>
      <w:r w:rsidRPr="00DD477A">
        <w:rPr>
          <w:rFonts w:cs="Calibri"/>
        </w:rPr>
        <w:t>Agency Resourcing</w:t>
      </w:r>
      <w:r w:rsidR="00BF653C" w:rsidRPr="00DD477A">
        <w:rPr>
          <w:rFonts w:cs="Calibri"/>
        </w:rPr>
        <w:t xml:space="preserve"> -</w:t>
      </w:r>
      <w:r w:rsidRPr="00DD477A">
        <w:rPr>
          <w:rFonts w:cs="Calibri"/>
        </w:rPr>
        <w:t xml:space="preserve"> </w:t>
      </w:r>
      <w:r w:rsidR="00BF653C" w:rsidRPr="00DD477A">
        <w:rPr>
          <w:rFonts w:cs="Calibri"/>
        </w:rPr>
        <w:t>c</w:t>
      </w:r>
      <w:r w:rsidRPr="00DD477A">
        <w:rPr>
          <w:rFonts w:cs="Calibri"/>
        </w:rPr>
        <w:t xml:space="preserve">ontains information on resourcing for Australian Government entities (including special appropriations, special accounts and a summary of agency resourcing). </w:t>
      </w:r>
    </w:p>
    <w:p w14:paraId="39FCCD21" w14:textId="63DCF096" w:rsidR="00FA0945" w:rsidRPr="00DD477A" w:rsidRDefault="53BF0693" w:rsidP="003D6589">
      <w:pPr>
        <w:pStyle w:val="Heading2"/>
      </w:pPr>
      <w:bookmarkStart w:id="1749" w:name="_Toc227749141"/>
      <w:r w:rsidRPr="00DD477A">
        <w:t xml:space="preserve">Central </w:t>
      </w:r>
      <w:r w:rsidR="00D54203" w:rsidRPr="00DD477A">
        <w:t>B</w:t>
      </w:r>
      <w:r w:rsidRPr="00DD477A">
        <w:t xml:space="preserve">udget </w:t>
      </w:r>
      <w:r w:rsidR="00D54203" w:rsidRPr="00DD477A">
        <w:t>M</w:t>
      </w:r>
      <w:r w:rsidRPr="00DD477A">
        <w:t xml:space="preserve">anagement </w:t>
      </w:r>
      <w:r w:rsidR="00D54203" w:rsidRPr="00DD477A">
        <w:t>S</w:t>
      </w:r>
      <w:r w:rsidRPr="00DD477A">
        <w:t>ystem</w:t>
      </w:r>
      <w:r w:rsidR="00895F72" w:rsidRPr="00DD477A">
        <w:t xml:space="preserve"> (CBMS)</w:t>
      </w:r>
      <w:bookmarkEnd w:id="1749"/>
    </w:p>
    <w:p w14:paraId="32563DA3" w14:textId="0B49A500" w:rsidR="00CD0900" w:rsidRPr="00DD477A" w:rsidRDefault="53BF0693" w:rsidP="000A7DEC">
      <w:pPr>
        <w:rPr>
          <w:rFonts w:cs="Calibri"/>
        </w:rPr>
      </w:pPr>
      <w:r w:rsidRPr="00DD477A">
        <w:rPr>
          <w:rFonts w:cs="Calibri"/>
        </w:rPr>
        <w:t>The Australian Government’s central budget and financial management information system administered by Finance. It contains the Commonwealth’s program list and produces the annual Appropriation Bills.</w:t>
      </w:r>
    </w:p>
    <w:p w14:paraId="3187571B" w14:textId="77777777" w:rsidR="00FA0945" w:rsidRPr="00DD477A" w:rsidRDefault="53BF0693" w:rsidP="003D6589">
      <w:pPr>
        <w:pStyle w:val="Heading2"/>
      </w:pPr>
      <w:bookmarkStart w:id="1750" w:name="_Toc227749142"/>
      <w:r w:rsidRPr="00DD477A">
        <w:t>Clear read principle</w:t>
      </w:r>
      <w:bookmarkEnd w:id="1750"/>
    </w:p>
    <w:p w14:paraId="25C02047" w14:textId="24BEB526" w:rsidR="00B06B0D" w:rsidRPr="00DD477A" w:rsidRDefault="53BF0693" w:rsidP="7185AFE5">
      <w:pPr>
        <w:rPr>
          <w:rFonts w:cs="Calibri"/>
          <w:bCs/>
          <w:iCs/>
        </w:rPr>
      </w:pPr>
      <w:r w:rsidRPr="00DD477A">
        <w:rPr>
          <w:rFonts w:cs="Calibri"/>
        </w:rPr>
        <w:t>The Commonwealth Resource Management Framework is designed to support an accountable and transparent public sector</w:t>
      </w:r>
      <w:r w:rsidR="00FB720E" w:rsidRPr="00DD477A">
        <w:rPr>
          <w:rFonts w:cs="Calibri"/>
        </w:rPr>
        <w:t>.</w:t>
      </w:r>
      <w:r w:rsidRPr="00DD477A">
        <w:rPr>
          <w:rFonts w:cs="Calibri"/>
        </w:rPr>
        <w:t xml:space="preserve"> To assist readers to form a judg</w:t>
      </w:r>
      <w:r w:rsidR="00571279" w:rsidRPr="00DD477A">
        <w:rPr>
          <w:rFonts w:cs="Calibri"/>
        </w:rPr>
        <w:t>e</w:t>
      </w:r>
      <w:r w:rsidRPr="00DD477A">
        <w:rPr>
          <w:rFonts w:cs="Calibri"/>
        </w:rPr>
        <w:t xml:space="preserve">ment, </w:t>
      </w:r>
      <w:r w:rsidR="00571279" w:rsidRPr="00DD477A">
        <w:rPr>
          <w:rFonts w:cs="Calibri"/>
        </w:rPr>
        <w:t xml:space="preserve">entity </w:t>
      </w:r>
      <w:r w:rsidRPr="00DD477A">
        <w:rPr>
          <w:rFonts w:cs="Calibri"/>
        </w:rPr>
        <w:t xml:space="preserve">reporting should provide a clear linkage (a </w:t>
      </w:r>
      <w:r w:rsidR="006714EB" w:rsidRPr="00DD477A">
        <w:rPr>
          <w:rFonts w:cs="Calibri"/>
        </w:rPr>
        <w:t>‘</w:t>
      </w:r>
      <w:r w:rsidRPr="00DD477A">
        <w:rPr>
          <w:rFonts w:cs="Calibri"/>
        </w:rPr>
        <w:t>clear read</w:t>
      </w:r>
      <w:r w:rsidR="006714EB" w:rsidRPr="00DD477A">
        <w:rPr>
          <w:rFonts w:cs="Calibri"/>
        </w:rPr>
        <w:t>’</w:t>
      </w:r>
      <w:r w:rsidRPr="00DD477A">
        <w:rPr>
          <w:rFonts w:cs="Calibri"/>
        </w:rPr>
        <w:t>) between the allocation and use of public resources, and the results being achieved. Entities should present information clearly and consistently (ensur</w:t>
      </w:r>
      <w:r w:rsidR="00714FA3" w:rsidRPr="00DD477A">
        <w:rPr>
          <w:rFonts w:cs="Calibri"/>
        </w:rPr>
        <w:t xml:space="preserve">ing </w:t>
      </w:r>
      <w:r w:rsidRPr="00DD477A">
        <w:rPr>
          <w:rFonts w:cs="Calibri"/>
        </w:rPr>
        <w:t>reconcil</w:t>
      </w:r>
      <w:r w:rsidR="009B1D25" w:rsidRPr="00DD477A">
        <w:rPr>
          <w:rFonts w:cs="Calibri"/>
        </w:rPr>
        <w:t>i</w:t>
      </w:r>
      <w:r w:rsidRPr="00DD477A">
        <w:rPr>
          <w:rFonts w:cs="Calibri"/>
        </w:rPr>
        <w:t>a</w:t>
      </w:r>
      <w:r w:rsidR="009B1D25" w:rsidRPr="00DD477A">
        <w:rPr>
          <w:rFonts w:cs="Calibri"/>
        </w:rPr>
        <w:t>tion</w:t>
      </w:r>
      <w:r w:rsidRPr="00DD477A">
        <w:rPr>
          <w:rFonts w:cs="Calibri"/>
        </w:rPr>
        <w:t>) between/across reporting documents.</w:t>
      </w:r>
    </w:p>
    <w:p w14:paraId="56A3085A" w14:textId="77777777" w:rsidR="00FA0945" w:rsidRPr="00DD477A" w:rsidRDefault="53BF0693" w:rsidP="003D6589">
      <w:pPr>
        <w:pStyle w:val="Heading2"/>
      </w:pPr>
      <w:bookmarkStart w:id="1751" w:name="_Toc227749143"/>
      <w:r w:rsidRPr="00DD477A">
        <w:t>Consolidated Revenue Fund</w:t>
      </w:r>
      <w:bookmarkEnd w:id="1751"/>
    </w:p>
    <w:p w14:paraId="47844640" w14:textId="4338387D" w:rsidR="00FA0945" w:rsidRPr="00DD477A" w:rsidRDefault="53BF0693" w:rsidP="000A7DEC">
      <w:pPr>
        <w:rPr>
          <w:rFonts w:cs="Calibri"/>
        </w:rPr>
      </w:pPr>
      <w:r w:rsidRPr="00DD477A">
        <w:rPr>
          <w:rFonts w:cs="Calibri"/>
        </w:rPr>
        <w:t xml:space="preserve">The principal operating fund from which money is drawn to pay for activities of the </w:t>
      </w:r>
      <w:r w:rsidR="006418EA" w:rsidRPr="00DD477A">
        <w:rPr>
          <w:rFonts w:cs="Calibri"/>
        </w:rPr>
        <w:t>government</w:t>
      </w:r>
      <w:r w:rsidRPr="00DD477A">
        <w:rPr>
          <w:rFonts w:cs="Calibri"/>
        </w:rPr>
        <w:t xml:space="preserve">. Section 81 of the Australian Constitution provides all revenue raised or monies received by the </w:t>
      </w:r>
      <w:r w:rsidR="006418EA" w:rsidRPr="00DD477A">
        <w:rPr>
          <w:rFonts w:cs="Calibri"/>
        </w:rPr>
        <w:t>e</w:t>
      </w:r>
      <w:r w:rsidRPr="00DD477A">
        <w:rPr>
          <w:rFonts w:cs="Calibri"/>
        </w:rPr>
        <w:t xml:space="preserve">xecutive </w:t>
      </w:r>
      <w:r w:rsidR="006418EA" w:rsidRPr="00DD477A">
        <w:rPr>
          <w:rFonts w:cs="Calibri"/>
        </w:rPr>
        <w:t>g</w:t>
      </w:r>
      <w:r w:rsidRPr="00DD477A">
        <w:rPr>
          <w:rFonts w:cs="Calibri"/>
        </w:rPr>
        <w:t>overnment forms one consolidated revenue fund</w:t>
      </w:r>
      <w:r w:rsidR="007E0CA6" w:rsidRPr="00DD477A">
        <w:rPr>
          <w:rFonts w:cs="Calibri"/>
        </w:rPr>
        <w:t xml:space="preserve"> (CRF)</w:t>
      </w:r>
      <w:r w:rsidR="00874E87" w:rsidRPr="00DD477A">
        <w:rPr>
          <w:rFonts w:cs="Calibri"/>
        </w:rPr>
        <w:t>,</w:t>
      </w:r>
      <w:r w:rsidRPr="00DD477A">
        <w:rPr>
          <w:rFonts w:cs="Calibri"/>
        </w:rPr>
        <w:t xml:space="preserve"> from which appropriations are made for the purposes of the Australian Government.</w:t>
      </w:r>
    </w:p>
    <w:p w14:paraId="3887F21F" w14:textId="77777777" w:rsidR="00FA0945" w:rsidRPr="00DD477A" w:rsidRDefault="53BF0693" w:rsidP="003D6589">
      <w:pPr>
        <w:pStyle w:val="Heading2"/>
      </w:pPr>
      <w:bookmarkStart w:id="1752" w:name="_Toc227749144"/>
      <w:r w:rsidRPr="00DD477A">
        <w:t>Contractor</w:t>
      </w:r>
      <w:bookmarkEnd w:id="1752"/>
    </w:p>
    <w:p w14:paraId="5260662E" w14:textId="5EDBEA66" w:rsidR="00FA0945" w:rsidRPr="00DD477A" w:rsidRDefault="53BF0693" w:rsidP="000A7DEC">
      <w:pPr>
        <w:rPr>
          <w:rFonts w:cs="Calibri"/>
        </w:rPr>
      </w:pPr>
      <w:r w:rsidRPr="00DD477A">
        <w:rPr>
          <w:rFonts w:cs="Calibri"/>
        </w:rPr>
        <w:t>A person engaged by an entity, usually on a temporary basis</w:t>
      </w:r>
      <w:r w:rsidR="00655C52" w:rsidRPr="00DD477A">
        <w:rPr>
          <w:rFonts w:cs="Calibri"/>
        </w:rPr>
        <w:t>,</w:t>
      </w:r>
      <w:r w:rsidR="00783A16" w:rsidRPr="00DD477A">
        <w:rPr>
          <w:rFonts w:cs="Calibri"/>
        </w:rPr>
        <w:t xml:space="preserve"> </w:t>
      </w:r>
      <w:r w:rsidR="00655C52" w:rsidRPr="00DD477A">
        <w:rPr>
          <w:rFonts w:cs="Calibri"/>
        </w:rPr>
        <w:t>t</w:t>
      </w:r>
      <w:r w:rsidRPr="00DD477A">
        <w:rPr>
          <w:rFonts w:cs="Calibri"/>
        </w:rPr>
        <w:t>reated as an employee of the entity for the purposes of program performance reporting.</w:t>
      </w:r>
    </w:p>
    <w:p w14:paraId="573CC129" w14:textId="77777777" w:rsidR="00FA0945" w:rsidRPr="00DD477A" w:rsidRDefault="53BF0693" w:rsidP="003D6589">
      <w:pPr>
        <w:pStyle w:val="Heading2"/>
      </w:pPr>
      <w:bookmarkStart w:id="1753" w:name="_Toc227749145"/>
      <w:r w:rsidRPr="00DD477A">
        <w:t>Departmental item</w:t>
      </w:r>
      <w:bookmarkEnd w:id="1753"/>
    </w:p>
    <w:p w14:paraId="50CB228D" w14:textId="7D4922E9" w:rsidR="00FA0945" w:rsidRPr="00DD477A" w:rsidRDefault="53BF0693" w:rsidP="000A7DEC">
      <w:pPr>
        <w:rPr>
          <w:rFonts w:cs="Calibri"/>
        </w:rPr>
      </w:pPr>
      <w:r w:rsidRPr="00DD477A">
        <w:rPr>
          <w:rFonts w:cs="Calibri"/>
        </w:rPr>
        <w:t xml:space="preserve">Resources (assets, liabilities, revenues and expenses) </w:t>
      </w:r>
      <w:r w:rsidR="002B721D" w:rsidRPr="00DD477A">
        <w:rPr>
          <w:rFonts w:cs="Calibri"/>
        </w:rPr>
        <w:t>directly controlled by</w:t>
      </w:r>
      <w:r w:rsidRPr="00DD477A">
        <w:rPr>
          <w:rFonts w:cs="Calibri"/>
        </w:rPr>
        <w:t xml:space="preserve"> the entity’s Accountable Authority</w:t>
      </w:r>
      <w:r w:rsidR="004B3000" w:rsidRPr="00DD477A">
        <w:rPr>
          <w:rFonts w:cs="Calibri"/>
        </w:rPr>
        <w:t xml:space="preserve"> tha</w:t>
      </w:r>
      <w:r w:rsidR="00443397" w:rsidRPr="00DD477A">
        <w:rPr>
          <w:rFonts w:cs="Calibri"/>
        </w:rPr>
        <w:t>t are components of a departmental program.</w:t>
      </w:r>
      <w:r w:rsidRPr="00DD477A">
        <w:rPr>
          <w:rFonts w:cs="Calibri"/>
        </w:rPr>
        <w:t xml:space="preserve"> Examples include entity running costs, accrued employee entitlements</w:t>
      </w:r>
      <w:r w:rsidR="00783A16" w:rsidRPr="00DD477A">
        <w:rPr>
          <w:rFonts w:cs="Calibri"/>
        </w:rPr>
        <w:t xml:space="preserve">, </w:t>
      </w:r>
      <w:r w:rsidRPr="00DD477A">
        <w:rPr>
          <w:rFonts w:cs="Calibri"/>
        </w:rPr>
        <w:t>net appropriations</w:t>
      </w:r>
      <w:r w:rsidR="00783A16" w:rsidRPr="00DD477A">
        <w:rPr>
          <w:rFonts w:cs="Calibri"/>
        </w:rPr>
        <w:t xml:space="preserve"> and outsourced activities funded and controlled by the entity</w:t>
      </w:r>
      <w:r w:rsidRPr="00DD477A">
        <w:rPr>
          <w:rFonts w:cs="Calibri"/>
        </w:rPr>
        <w:t xml:space="preserve">. </w:t>
      </w:r>
    </w:p>
    <w:p w14:paraId="1BF96134" w14:textId="77777777" w:rsidR="00FA0945" w:rsidRPr="00DD477A" w:rsidRDefault="53BF0693" w:rsidP="003D6589">
      <w:pPr>
        <w:pStyle w:val="Heading2"/>
      </w:pPr>
      <w:bookmarkStart w:id="1754" w:name="_Toc227749146"/>
      <w:r w:rsidRPr="00DD477A">
        <w:t>Entities</w:t>
      </w:r>
      <w:bookmarkEnd w:id="1754"/>
    </w:p>
    <w:p w14:paraId="4912C389" w14:textId="7392B67C" w:rsidR="00FA0945" w:rsidRPr="00DD477A" w:rsidRDefault="53BF0693" w:rsidP="53BF0693">
      <w:pPr>
        <w:rPr>
          <w:rFonts w:cs="Calibri"/>
          <w:i/>
          <w:iCs/>
        </w:rPr>
      </w:pPr>
      <w:r w:rsidRPr="00DD477A">
        <w:rPr>
          <w:rFonts w:cs="Calibri"/>
        </w:rPr>
        <w:t>Commonwealth entities and</w:t>
      </w:r>
      <w:r w:rsidR="0001549B" w:rsidRPr="00DD477A">
        <w:rPr>
          <w:rFonts w:cs="Calibri"/>
        </w:rPr>
        <w:t xml:space="preserve"> </w:t>
      </w:r>
      <w:r w:rsidRPr="00DD477A">
        <w:rPr>
          <w:rFonts w:cs="Calibri"/>
        </w:rPr>
        <w:t>companies</w:t>
      </w:r>
      <w:r w:rsidR="0001549B" w:rsidRPr="00DD477A">
        <w:rPr>
          <w:rFonts w:cs="Calibri"/>
        </w:rPr>
        <w:t>,</w:t>
      </w:r>
      <w:r w:rsidRPr="00DD477A">
        <w:rPr>
          <w:rFonts w:cs="Calibri"/>
        </w:rPr>
        <w:t xml:space="preserve"> as defined under the </w:t>
      </w:r>
      <w:r w:rsidR="0045115B" w:rsidRPr="00DD477A">
        <w:rPr>
          <w:rFonts w:cs="Calibri"/>
          <w:i/>
          <w:iCs/>
        </w:rPr>
        <w:t>Public Governance, Performance and Accountability Act 2013</w:t>
      </w:r>
      <w:r w:rsidR="0045115B" w:rsidRPr="00DD477A">
        <w:rPr>
          <w:rFonts w:cs="Calibri"/>
        </w:rPr>
        <w:t xml:space="preserve"> (PGPA Act)</w:t>
      </w:r>
      <w:r w:rsidR="0001549B" w:rsidRPr="00DD477A">
        <w:rPr>
          <w:rFonts w:cs="Calibri"/>
        </w:rPr>
        <w:t>,</w:t>
      </w:r>
      <w:r w:rsidR="0045115B" w:rsidRPr="00DD477A">
        <w:rPr>
          <w:rFonts w:cs="Calibri"/>
        </w:rPr>
        <w:t xml:space="preserve"> </w:t>
      </w:r>
      <w:r w:rsidRPr="00DD477A">
        <w:rPr>
          <w:rFonts w:cs="Calibri"/>
        </w:rPr>
        <w:t xml:space="preserve">within the </w:t>
      </w:r>
      <w:r w:rsidR="00681C3A" w:rsidRPr="00DD477A">
        <w:rPr>
          <w:rFonts w:cs="Calibri"/>
        </w:rPr>
        <w:t>GGS</w:t>
      </w:r>
      <w:r w:rsidR="00B83588" w:rsidRPr="00DD477A">
        <w:rPr>
          <w:rFonts w:cs="Calibri"/>
        </w:rPr>
        <w:t>,</w:t>
      </w:r>
      <w:r w:rsidRPr="00DD477A">
        <w:rPr>
          <w:rFonts w:cs="Calibri"/>
        </w:rPr>
        <w:t xml:space="preserve"> the High Court of Australia and the Future Fund Board of Guardians.</w:t>
      </w:r>
    </w:p>
    <w:p w14:paraId="6FE428B9" w14:textId="77777777" w:rsidR="00FA0945" w:rsidRPr="00DD477A" w:rsidRDefault="53BF0693" w:rsidP="003D6589">
      <w:pPr>
        <w:pStyle w:val="Heading2"/>
      </w:pPr>
      <w:bookmarkStart w:id="1755" w:name="_Toc227749147"/>
      <w:r w:rsidRPr="00DD477A">
        <w:t>Estimated actual expenses</w:t>
      </w:r>
      <w:bookmarkEnd w:id="1755"/>
    </w:p>
    <w:p w14:paraId="1EFB25C3" w14:textId="16A2FF7D" w:rsidR="00FA0945" w:rsidRPr="00DD477A" w:rsidRDefault="53BF0693" w:rsidP="000A7DEC">
      <w:pPr>
        <w:rPr>
          <w:rFonts w:cs="Calibri"/>
        </w:rPr>
      </w:pPr>
      <w:r w:rsidRPr="00DD477A">
        <w:rPr>
          <w:rFonts w:cs="Calibri"/>
        </w:rPr>
        <w:t xml:space="preserve">Details of the current year’s estimated final figures included in the Budget documentation. As the Budget is </w:t>
      </w:r>
      <w:r w:rsidR="00467790" w:rsidRPr="00DD477A">
        <w:rPr>
          <w:rFonts w:cs="Calibri"/>
        </w:rPr>
        <w:t xml:space="preserve">generally </w:t>
      </w:r>
      <w:r w:rsidRPr="00DD477A">
        <w:rPr>
          <w:rFonts w:cs="Calibri"/>
        </w:rPr>
        <w:t>released in May each year</w:t>
      </w:r>
      <w:r w:rsidR="00B44DB6">
        <w:rPr>
          <w:rFonts w:cs="Calibri"/>
        </w:rPr>
        <w:t xml:space="preserve"> (in convention</w:t>
      </w:r>
      <w:r w:rsidR="00A83459">
        <w:rPr>
          <w:rFonts w:cs="Calibri"/>
        </w:rPr>
        <w:t>al</w:t>
      </w:r>
      <w:r w:rsidR="00B44DB6">
        <w:rPr>
          <w:rFonts w:cs="Calibri"/>
        </w:rPr>
        <w:t xml:space="preserve"> Budget Year)</w:t>
      </w:r>
      <w:r w:rsidRPr="00DD477A">
        <w:rPr>
          <w:rFonts w:cs="Calibri"/>
        </w:rPr>
        <w:t xml:space="preserve">, </w:t>
      </w:r>
      <w:r w:rsidR="001A308B" w:rsidRPr="00DD477A">
        <w:rPr>
          <w:rFonts w:cs="Calibri"/>
        </w:rPr>
        <w:t xml:space="preserve">prior to the end of </w:t>
      </w:r>
      <w:r w:rsidRPr="00DD477A">
        <w:rPr>
          <w:rFonts w:cs="Calibri"/>
        </w:rPr>
        <w:t>the financial year</w:t>
      </w:r>
      <w:r w:rsidR="006D3512" w:rsidRPr="00DD477A">
        <w:rPr>
          <w:rFonts w:cs="Calibri"/>
        </w:rPr>
        <w:t xml:space="preserve"> on</w:t>
      </w:r>
      <w:r w:rsidRPr="00DD477A">
        <w:rPr>
          <w:rFonts w:cs="Calibri"/>
        </w:rPr>
        <w:t xml:space="preserve"> 30 June, the current year </w:t>
      </w:r>
      <w:r w:rsidR="006D3512" w:rsidRPr="00DD477A">
        <w:rPr>
          <w:rFonts w:cs="Calibri"/>
        </w:rPr>
        <w:t>figures</w:t>
      </w:r>
      <w:r w:rsidRPr="00DD477A">
        <w:rPr>
          <w:rFonts w:cs="Calibri"/>
        </w:rPr>
        <w:t xml:space="preserve"> </w:t>
      </w:r>
      <w:r w:rsidR="00E35BF0" w:rsidRPr="00DD477A">
        <w:rPr>
          <w:rFonts w:cs="Calibri"/>
        </w:rPr>
        <w:t>included</w:t>
      </w:r>
      <w:r w:rsidRPr="00DD477A">
        <w:rPr>
          <w:rFonts w:cs="Calibri"/>
        </w:rPr>
        <w:t xml:space="preserve"> for comparison with Budget amounts can only be estimates.</w:t>
      </w:r>
    </w:p>
    <w:p w14:paraId="23E47AB1" w14:textId="0D1A2EC2" w:rsidR="00FA0945" w:rsidRPr="00DD477A" w:rsidRDefault="53BF0693" w:rsidP="003D6589">
      <w:pPr>
        <w:pStyle w:val="Heading2"/>
      </w:pPr>
      <w:bookmarkStart w:id="1756" w:name="_Toc227749148"/>
      <w:r w:rsidRPr="00DD477A">
        <w:t>Expenses not requiring appropriation in the Budget</w:t>
      </w:r>
      <w:bookmarkStart w:id="1757" w:name="_Toc188529910"/>
      <w:r w:rsidR="001259DF">
        <w:t xml:space="preserve"> </w:t>
      </w:r>
      <w:r w:rsidRPr="00DD477A">
        <w:t>year</w:t>
      </w:r>
      <w:bookmarkEnd w:id="1756"/>
      <w:bookmarkEnd w:id="1757"/>
    </w:p>
    <w:p w14:paraId="0F438B68" w14:textId="17BCA723" w:rsidR="00FA0945" w:rsidRPr="00DD477A" w:rsidRDefault="53BF0693" w:rsidP="000A7DEC">
      <w:pPr>
        <w:rPr>
          <w:rFonts w:cs="Calibri"/>
        </w:rPr>
      </w:pPr>
      <w:r w:rsidRPr="00DD477A">
        <w:rPr>
          <w:rFonts w:cs="Calibri"/>
        </w:rPr>
        <w:t>Expenses which do not involve a cash flow impact in the Budget year are generally excluded from the calculation of an appropriation. An example of such an event is goods or services received free of charge that are then expensed (i.e.</w:t>
      </w:r>
      <w:r w:rsidR="79EC989C" w:rsidRPr="00DD477A">
        <w:rPr>
          <w:rFonts w:cs="Calibri"/>
        </w:rPr>
        <w:t>,</w:t>
      </w:r>
      <w:r w:rsidRPr="00DD477A">
        <w:rPr>
          <w:rFonts w:cs="Calibri"/>
        </w:rPr>
        <w:t xml:space="preserve"> the ANAO audit services — the ANAO does not charge </w:t>
      </w:r>
      <w:r w:rsidR="007E0CA6" w:rsidRPr="00DD477A">
        <w:rPr>
          <w:rFonts w:cs="Calibri"/>
        </w:rPr>
        <w:t xml:space="preserve">most entities </w:t>
      </w:r>
      <w:r w:rsidRPr="00DD477A">
        <w:rPr>
          <w:rFonts w:cs="Calibri"/>
        </w:rPr>
        <w:t>for audit services however the expense must be recognised). Similarly, bad debts are recognised as an expense but are not recognised for the purpose of calculating appropriation amounts sought from Parliament.</w:t>
      </w:r>
    </w:p>
    <w:p w14:paraId="2D47C39D" w14:textId="77777777" w:rsidR="00FA0945" w:rsidRPr="00DD477A" w:rsidRDefault="53BF0693" w:rsidP="003D6589">
      <w:pPr>
        <w:pStyle w:val="Heading2"/>
      </w:pPr>
      <w:bookmarkStart w:id="1758" w:name="_Toc227749149"/>
      <w:r w:rsidRPr="00DD477A">
        <w:t>Financial management information system</w:t>
      </w:r>
      <w:bookmarkEnd w:id="1758"/>
    </w:p>
    <w:p w14:paraId="352825AB" w14:textId="77777777" w:rsidR="00FA0945" w:rsidRPr="00DD477A" w:rsidRDefault="53BF0693" w:rsidP="000A7DEC">
      <w:pPr>
        <w:rPr>
          <w:rFonts w:cs="Calibri"/>
        </w:rPr>
      </w:pPr>
      <w:r w:rsidRPr="00DD477A">
        <w:rPr>
          <w:rFonts w:cs="Calibri"/>
        </w:rPr>
        <w:t>A system that holds the financial information of an entity.</w:t>
      </w:r>
    </w:p>
    <w:p w14:paraId="6039DD79" w14:textId="77777777" w:rsidR="00FA0945" w:rsidRPr="00DD477A" w:rsidRDefault="53BF0693" w:rsidP="003D6589">
      <w:pPr>
        <w:pStyle w:val="Heading2"/>
      </w:pPr>
      <w:bookmarkStart w:id="1759" w:name="_Toc227749150"/>
      <w:r w:rsidRPr="00DD477A">
        <w:t>Forward estimates period</w:t>
      </w:r>
      <w:bookmarkEnd w:id="1759"/>
    </w:p>
    <w:p w14:paraId="26F24852" w14:textId="5DA32D8B" w:rsidR="00FA0945" w:rsidRPr="00DD477A" w:rsidRDefault="53BF0693" w:rsidP="000A7DEC">
      <w:pPr>
        <w:rPr>
          <w:rFonts w:cs="Calibri"/>
        </w:rPr>
      </w:pPr>
      <w:r w:rsidRPr="00DD477A">
        <w:rPr>
          <w:rFonts w:cs="Calibri"/>
        </w:rPr>
        <w:t xml:space="preserve">The three </w:t>
      </w:r>
      <w:r w:rsidR="000261AD" w:rsidRPr="00DD477A">
        <w:rPr>
          <w:rFonts w:cs="Calibri"/>
        </w:rPr>
        <w:t xml:space="preserve">financial years </w:t>
      </w:r>
      <w:r w:rsidRPr="00DD477A">
        <w:rPr>
          <w:rFonts w:cs="Calibri"/>
        </w:rPr>
        <w:t xml:space="preserve">following the budget year. For example, </w:t>
      </w:r>
      <w:r w:rsidR="000261AD" w:rsidRPr="00DD477A">
        <w:rPr>
          <w:rFonts w:cs="Calibri"/>
        </w:rPr>
        <w:t>where</w:t>
      </w:r>
      <w:r w:rsidRPr="00DD477A">
        <w:rPr>
          <w:rFonts w:cs="Calibri"/>
        </w:rPr>
        <w:t xml:space="preserve"> </w:t>
      </w:r>
      <w:r w:rsidR="0081371C">
        <w:rPr>
          <w:rFonts w:cs="Calibri"/>
        </w:rPr>
        <w:t>2026</w:t>
      </w:r>
      <w:r w:rsidR="00C917CE">
        <w:rPr>
          <w:rFonts w:cs="Calibri"/>
        </w:rPr>
        <w:t>–</w:t>
      </w:r>
      <w:r w:rsidR="0081371C">
        <w:rPr>
          <w:rFonts w:cs="Calibri"/>
        </w:rPr>
        <w:t>27</w:t>
      </w:r>
      <w:r w:rsidR="00BA2416" w:rsidRPr="00DD477A">
        <w:rPr>
          <w:rFonts w:cs="Calibri"/>
        </w:rPr>
        <w:t xml:space="preserve"> </w:t>
      </w:r>
      <w:r w:rsidRPr="00DD477A">
        <w:rPr>
          <w:rFonts w:cs="Calibri"/>
        </w:rPr>
        <w:t xml:space="preserve">is the Budget year, </w:t>
      </w:r>
      <w:r w:rsidR="00B5347E">
        <w:rPr>
          <w:rFonts w:cs="Calibri"/>
        </w:rPr>
        <w:t>2027</w:t>
      </w:r>
      <w:r w:rsidR="00C917CE">
        <w:rPr>
          <w:rFonts w:cs="Calibri"/>
        </w:rPr>
        <w:t>–</w:t>
      </w:r>
      <w:r w:rsidR="00B5347E">
        <w:rPr>
          <w:rFonts w:cs="Calibri"/>
        </w:rPr>
        <w:t>28</w:t>
      </w:r>
      <w:r w:rsidR="00BA2416" w:rsidRPr="00DD477A">
        <w:rPr>
          <w:rFonts w:cs="Calibri"/>
        </w:rPr>
        <w:t xml:space="preserve"> </w:t>
      </w:r>
      <w:r w:rsidRPr="00DD477A">
        <w:rPr>
          <w:rFonts w:cs="Calibri"/>
        </w:rPr>
        <w:t xml:space="preserve">is forward year 1, </w:t>
      </w:r>
      <w:r w:rsidR="00B5347E">
        <w:rPr>
          <w:rFonts w:cs="Calibri"/>
        </w:rPr>
        <w:t>2028</w:t>
      </w:r>
      <w:r w:rsidR="00C917CE">
        <w:rPr>
          <w:rFonts w:cs="Calibri"/>
        </w:rPr>
        <w:t>–</w:t>
      </w:r>
      <w:r w:rsidR="00B5347E">
        <w:rPr>
          <w:rFonts w:cs="Calibri"/>
        </w:rPr>
        <w:t>29</w:t>
      </w:r>
      <w:r w:rsidR="00BA2416" w:rsidRPr="00DD477A">
        <w:rPr>
          <w:rFonts w:cs="Calibri"/>
        </w:rPr>
        <w:t xml:space="preserve"> </w:t>
      </w:r>
      <w:r w:rsidRPr="00DD477A">
        <w:rPr>
          <w:rFonts w:cs="Calibri"/>
        </w:rPr>
        <w:t xml:space="preserve">is forward year 2 and </w:t>
      </w:r>
      <w:r w:rsidR="00B5347E">
        <w:rPr>
          <w:rFonts w:cs="Calibri"/>
        </w:rPr>
        <w:t>2029</w:t>
      </w:r>
      <w:r w:rsidR="00C917CE">
        <w:rPr>
          <w:rFonts w:cs="Calibri"/>
        </w:rPr>
        <w:t>–</w:t>
      </w:r>
      <w:r w:rsidR="00B5347E">
        <w:rPr>
          <w:rFonts w:cs="Calibri"/>
        </w:rPr>
        <w:t>30</w:t>
      </w:r>
      <w:r w:rsidR="00BA2416" w:rsidRPr="00DD477A">
        <w:rPr>
          <w:rFonts w:cs="Calibri"/>
        </w:rPr>
        <w:t xml:space="preserve"> </w:t>
      </w:r>
      <w:r w:rsidRPr="00DD477A">
        <w:rPr>
          <w:rFonts w:cs="Calibri"/>
        </w:rPr>
        <w:t>is forward year 3.</w:t>
      </w:r>
    </w:p>
    <w:p w14:paraId="37CD31B4" w14:textId="69D78443" w:rsidR="00FA0945" w:rsidRPr="00DD477A" w:rsidRDefault="53BF0693" w:rsidP="003D6589">
      <w:pPr>
        <w:pStyle w:val="Heading2"/>
      </w:pPr>
      <w:bookmarkStart w:id="1760" w:name="_Toc227749151"/>
      <w:r w:rsidRPr="00DD477A">
        <w:t xml:space="preserve">General </w:t>
      </w:r>
      <w:r w:rsidR="00C66A7D">
        <w:t>G</w:t>
      </w:r>
      <w:r w:rsidRPr="00DD477A">
        <w:t xml:space="preserve">overnment </w:t>
      </w:r>
      <w:r w:rsidR="00C66A7D">
        <w:t>S</w:t>
      </w:r>
      <w:r w:rsidRPr="00DD477A">
        <w:t>ector</w:t>
      </w:r>
      <w:r w:rsidR="00C66A7D">
        <w:t xml:space="preserve"> (GGS)</w:t>
      </w:r>
      <w:bookmarkEnd w:id="1760"/>
    </w:p>
    <w:p w14:paraId="55F89DE8" w14:textId="77777777" w:rsidR="00FA0945" w:rsidRPr="00DD477A" w:rsidRDefault="53BF0693" w:rsidP="000A7DEC">
      <w:pPr>
        <w:rPr>
          <w:rFonts w:cs="Calibri"/>
        </w:rPr>
      </w:pPr>
      <w:r w:rsidRPr="00DD477A">
        <w:rPr>
          <w:rFonts w:cs="Calibri"/>
        </w:rPr>
        <w:t xml:space="preserve">A Government Finance Statistics’ classification of all entities that are controlled and largely funded by the Australian Government. The GGS provides public services that are mainly non-market in nature and for the collective consumption of the community or involve the transfer or redistribution of income. These services are largely financed through taxes and other compulsory levies, user charging and external funding. This sector comprises all government departments, offices and some other bodies. </w:t>
      </w:r>
    </w:p>
    <w:p w14:paraId="3DCEAD1D" w14:textId="77777777" w:rsidR="00FA0945" w:rsidRPr="00DD477A" w:rsidRDefault="53BF0693" w:rsidP="003D6589">
      <w:pPr>
        <w:pStyle w:val="Heading2"/>
      </w:pPr>
      <w:bookmarkStart w:id="1761" w:name="_Toc227749152"/>
      <w:r w:rsidRPr="00DD477A">
        <w:t>Government finance statistics</w:t>
      </w:r>
      <w:bookmarkEnd w:id="1761"/>
    </w:p>
    <w:p w14:paraId="3CD41797" w14:textId="08E2A480" w:rsidR="00FA0945" w:rsidRPr="00DD477A" w:rsidRDefault="53BF0693" w:rsidP="000A7DEC">
      <w:pPr>
        <w:rPr>
          <w:rFonts w:cs="Calibri"/>
        </w:rPr>
      </w:pPr>
      <w:r w:rsidRPr="00DD477A">
        <w:rPr>
          <w:rFonts w:cs="Calibri"/>
        </w:rPr>
        <w:t xml:space="preserve">A reporting framework that is a specialised statistical system designed to support economic analysis of the public sector. It allows for comprehensive assessments of the economic impact of government and is consistent with international statistical standards of the International Monetary Fund and the </w:t>
      </w:r>
      <w:r w:rsidR="007E0CA6" w:rsidRPr="00DD477A">
        <w:rPr>
          <w:rFonts w:cs="Calibri"/>
        </w:rPr>
        <w:t>Australian Bureau of Statistics</w:t>
      </w:r>
      <w:r w:rsidR="00FF1CB2">
        <w:rPr>
          <w:rFonts w:cs="Calibri"/>
        </w:rPr>
        <w:t>’</w:t>
      </w:r>
      <w:r w:rsidR="007E0CA6" w:rsidRPr="00DD477A">
        <w:rPr>
          <w:rFonts w:cs="Calibri"/>
        </w:rPr>
        <w:t xml:space="preserve"> </w:t>
      </w:r>
      <w:r w:rsidRPr="00DD477A">
        <w:rPr>
          <w:rFonts w:cs="Calibri"/>
        </w:rPr>
        <w:t>System of National Accounts.</w:t>
      </w:r>
      <w:r w:rsidR="007E0CA6" w:rsidRPr="00DD477A">
        <w:rPr>
          <w:rFonts w:cs="Calibri"/>
        </w:rPr>
        <w:t xml:space="preserve"> The BPs are prepared in accordance with this reporting framework, as required by the </w:t>
      </w:r>
      <w:hyperlink r:id="rId245" w:history="1">
        <w:r w:rsidR="007E0CA6" w:rsidRPr="00DD477A">
          <w:rPr>
            <w:rStyle w:val="Hyperlink"/>
            <w:rFonts w:cs="Calibri"/>
            <w:i/>
            <w:iCs/>
          </w:rPr>
          <w:t>Charter of Budget Honesty Act 1998</w:t>
        </w:r>
      </w:hyperlink>
      <w:r w:rsidR="007E0CA6" w:rsidRPr="00DD477A">
        <w:rPr>
          <w:rFonts w:cs="Calibri"/>
        </w:rPr>
        <w:t>.</w:t>
      </w:r>
    </w:p>
    <w:p w14:paraId="2F99BE78" w14:textId="77777777" w:rsidR="00FA0945" w:rsidRPr="00DD477A" w:rsidRDefault="53BF0693" w:rsidP="003D6589">
      <w:pPr>
        <w:pStyle w:val="Heading2"/>
      </w:pPr>
      <w:bookmarkStart w:id="1762" w:name="_Toc227749153"/>
      <w:r w:rsidRPr="00DD477A">
        <w:t>Intended result</w:t>
      </w:r>
      <w:bookmarkEnd w:id="1762"/>
    </w:p>
    <w:p w14:paraId="382CC76D" w14:textId="509CEA72" w:rsidR="00FA0945" w:rsidRPr="00DD477A" w:rsidRDefault="00007A7A" w:rsidP="000A7DEC">
      <w:pPr>
        <w:rPr>
          <w:rFonts w:cs="Calibri"/>
        </w:rPr>
      </w:pPr>
      <w:r w:rsidRPr="00DD477A">
        <w:rPr>
          <w:rFonts w:cs="Calibri"/>
        </w:rPr>
        <w:t>A</w:t>
      </w:r>
      <w:r w:rsidR="53BF0693" w:rsidRPr="00DD477A">
        <w:rPr>
          <w:rFonts w:cs="Calibri"/>
        </w:rPr>
        <w:t xml:space="preserve"> key part of an outcome statement </w:t>
      </w:r>
      <w:r w:rsidRPr="00DD477A">
        <w:rPr>
          <w:rFonts w:cs="Calibri"/>
        </w:rPr>
        <w:t>that</w:t>
      </w:r>
      <w:r w:rsidR="53BF0693" w:rsidRPr="00DD477A">
        <w:rPr>
          <w:rFonts w:cs="Calibri"/>
        </w:rPr>
        <w:t xml:space="preserve"> describes the goal or objective of an entity. The intended result is typically distilled from the </w:t>
      </w:r>
      <w:r w:rsidR="006418EA" w:rsidRPr="00DD477A">
        <w:rPr>
          <w:rFonts w:cs="Calibri"/>
        </w:rPr>
        <w:t>government</w:t>
      </w:r>
      <w:r w:rsidR="53BF0693" w:rsidRPr="00DD477A">
        <w:rPr>
          <w:rFonts w:cs="Calibri"/>
        </w:rPr>
        <w:t>’s economic, social, health or environmental policy goals.</w:t>
      </w:r>
    </w:p>
    <w:p w14:paraId="28EB8587" w14:textId="391227C2" w:rsidR="00BD560A" w:rsidRPr="00DD477A" w:rsidRDefault="53BF0693" w:rsidP="003D6589">
      <w:pPr>
        <w:pStyle w:val="Heading2"/>
      </w:pPr>
      <w:bookmarkStart w:id="1763" w:name="_Toc227749154"/>
      <w:r w:rsidRPr="00DD477A">
        <w:t xml:space="preserve">Machinery of </w:t>
      </w:r>
      <w:r w:rsidR="00813123" w:rsidRPr="00DD477A">
        <w:t>g</w:t>
      </w:r>
      <w:r w:rsidRPr="00DD477A">
        <w:t>overnment changes</w:t>
      </w:r>
      <w:bookmarkEnd w:id="1763"/>
    </w:p>
    <w:p w14:paraId="6E6E5937" w14:textId="1E51DCC9" w:rsidR="00BD560A" w:rsidRPr="00DD477A" w:rsidRDefault="000438AB" w:rsidP="001D30A2">
      <w:pPr>
        <w:rPr>
          <w:rFonts w:cs="Calibri"/>
        </w:rPr>
      </w:pPr>
      <w:r w:rsidRPr="00DD477A">
        <w:rPr>
          <w:rFonts w:cs="Calibri"/>
        </w:rPr>
        <w:t xml:space="preserve">A </w:t>
      </w:r>
      <w:r w:rsidR="6B6EE5C4" w:rsidRPr="00DD477A">
        <w:rPr>
          <w:rFonts w:cs="Calibri"/>
        </w:rPr>
        <w:t xml:space="preserve">change </w:t>
      </w:r>
      <w:r w:rsidRPr="00DD477A">
        <w:rPr>
          <w:rFonts w:cs="Calibri"/>
        </w:rPr>
        <w:t xml:space="preserve">that </w:t>
      </w:r>
      <w:r w:rsidR="6B6EE5C4" w:rsidRPr="00DD477A">
        <w:rPr>
          <w:rFonts w:cs="Calibri"/>
        </w:rPr>
        <w:t>occurs when the Government decides to change the way Commonwealth responsibilities are managed</w:t>
      </w:r>
      <w:r w:rsidR="00FA5DC8" w:rsidRPr="00DD477A">
        <w:rPr>
          <w:rFonts w:cs="Calibri"/>
        </w:rPr>
        <w:t>, which</w:t>
      </w:r>
      <w:r w:rsidR="00A542EC" w:rsidRPr="00DD477A">
        <w:rPr>
          <w:rFonts w:cs="Calibri"/>
        </w:rPr>
        <w:t xml:space="preserve"> ordinarily</w:t>
      </w:r>
      <w:r w:rsidR="00BA0E58" w:rsidRPr="00DD477A">
        <w:rPr>
          <w:rFonts w:cs="Calibri"/>
        </w:rPr>
        <w:t xml:space="preserve"> </w:t>
      </w:r>
      <w:r w:rsidR="6B6EE5C4" w:rsidRPr="00DD477A">
        <w:rPr>
          <w:rFonts w:cs="Calibri"/>
        </w:rPr>
        <w:t>involve</w:t>
      </w:r>
      <w:r w:rsidR="00A542EC" w:rsidRPr="00DD477A">
        <w:rPr>
          <w:rFonts w:cs="Calibri"/>
        </w:rPr>
        <w:t>s</w:t>
      </w:r>
      <w:r w:rsidR="6B6EE5C4" w:rsidRPr="00DD477A">
        <w:rPr>
          <w:rFonts w:cs="Calibri"/>
        </w:rPr>
        <w:t xml:space="preserve"> the movement of functions, resources and people from one </w:t>
      </w:r>
      <w:r w:rsidR="007F0366" w:rsidRPr="00DD477A">
        <w:rPr>
          <w:rFonts w:cs="Calibri"/>
        </w:rPr>
        <w:t xml:space="preserve">entity </w:t>
      </w:r>
      <w:r w:rsidR="6B6EE5C4" w:rsidRPr="00DD477A">
        <w:rPr>
          <w:rFonts w:cs="Calibri"/>
        </w:rPr>
        <w:t>to another.</w:t>
      </w:r>
    </w:p>
    <w:p w14:paraId="1A6196A2" w14:textId="77777777" w:rsidR="00FA0945" w:rsidRPr="00DD477A" w:rsidRDefault="53BF0693" w:rsidP="003D6589">
      <w:pPr>
        <w:pStyle w:val="Heading2"/>
      </w:pPr>
      <w:bookmarkStart w:id="1764" w:name="_Toc227749155"/>
      <w:r w:rsidRPr="00DD477A">
        <w:t>Measure</w:t>
      </w:r>
      <w:bookmarkEnd w:id="1764"/>
    </w:p>
    <w:p w14:paraId="2CDC7DE0" w14:textId="22A7460C" w:rsidR="00FA0945" w:rsidRPr="00DD477A" w:rsidRDefault="53BF0693" w:rsidP="000A7DEC">
      <w:pPr>
        <w:rPr>
          <w:rFonts w:cs="Calibri"/>
        </w:rPr>
      </w:pPr>
      <w:r w:rsidRPr="00DD477A">
        <w:rPr>
          <w:rFonts w:cs="Calibri"/>
        </w:rPr>
        <w:t>A new policy or savings decision of the government with financial impacts on the government's underlying cash balance</w:t>
      </w:r>
      <w:r w:rsidR="00B83588" w:rsidRPr="00DD477A">
        <w:rPr>
          <w:rFonts w:cs="Calibri"/>
        </w:rPr>
        <w:t>,</w:t>
      </w:r>
      <w:r w:rsidRPr="00DD477A">
        <w:rPr>
          <w:rFonts w:cs="Calibri"/>
        </w:rPr>
        <w:t xml:space="preserve"> fiscal balance</w:t>
      </w:r>
      <w:r w:rsidR="00B83588" w:rsidRPr="00DD477A">
        <w:rPr>
          <w:rFonts w:cs="Calibri"/>
        </w:rPr>
        <w:t>,</w:t>
      </w:r>
      <w:r w:rsidRPr="00DD477A">
        <w:rPr>
          <w:rFonts w:cs="Calibri"/>
        </w:rPr>
        <w:t xml:space="preserve"> operating balance</w:t>
      </w:r>
      <w:r w:rsidR="00B83588" w:rsidRPr="00DD477A">
        <w:rPr>
          <w:rFonts w:cs="Calibri"/>
        </w:rPr>
        <w:t>,</w:t>
      </w:r>
      <w:r w:rsidRPr="00DD477A">
        <w:rPr>
          <w:rFonts w:cs="Calibri"/>
        </w:rPr>
        <w:t xml:space="preserve"> headline cash balance</w:t>
      </w:r>
      <w:r w:rsidR="00B83588" w:rsidRPr="00DD477A">
        <w:rPr>
          <w:rFonts w:cs="Calibri"/>
        </w:rPr>
        <w:t>,</w:t>
      </w:r>
      <w:r w:rsidRPr="00DD477A">
        <w:rPr>
          <w:rFonts w:cs="Calibri"/>
        </w:rPr>
        <w:t xml:space="preserve"> net debt or net worth. Such proposals are normally made in the context of the annual Budget, and are typically published in BP No. 2, in the </w:t>
      </w:r>
      <w:r w:rsidR="00B736D5" w:rsidRPr="00DD477A">
        <w:rPr>
          <w:rFonts w:cs="Calibri"/>
        </w:rPr>
        <w:t>Mid-</w:t>
      </w:r>
      <w:r w:rsidR="006B68BC" w:rsidRPr="00DD477A">
        <w:rPr>
          <w:rFonts w:cs="Calibri"/>
        </w:rPr>
        <w:t>Y</w:t>
      </w:r>
      <w:r w:rsidR="00B736D5" w:rsidRPr="00DD477A">
        <w:rPr>
          <w:rFonts w:cs="Calibri"/>
        </w:rPr>
        <w:t xml:space="preserve">ear </w:t>
      </w:r>
      <w:r w:rsidR="006B68BC" w:rsidRPr="00DD477A">
        <w:rPr>
          <w:rFonts w:cs="Calibri"/>
        </w:rPr>
        <w:t>E</w:t>
      </w:r>
      <w:r w:rsidR="00B736D5" w:rsidRPr="00DD477A">
        <w:rPr>
          <w:rFonts w:cs="Calibri"/>
        </w:rPr>
        <w:t xml:space="preserve">conomic and </w:t>
      </w:r>
      <w:r w:rsidR="006B68BC" w:rsidRPr="00DD477A">
        <w:rPr>
          <w:rFonts w:cs="Calibri"/>
        </w:rPr>
        <w:t>F</w:t>
      </w:r>
      <w:r w:rsidR="00B736D5" w:rsidRPr="00DD477A">
        <w:rPr>
          <w:rFonts w:cs="Calibri"/>
        </w:rPr>
        <w:t xml:space="preserve">iscal </w:t>
      </w:r>
      <w:r w:rsidR="006B68BC" w:rsidRPr="00DD477A">
        <w:rPr>
          <w:rFonts w:cs="Calibri"/>
        </w:rPr>
        <w:t>O</w:t>
      </w:r>
      <w:r w:rsidR="00B736D5" w:rsidRPr="00DD477A">
        <w:rPr>
          <w:rFonts w:cs="Calibri"/>
        </w:rPr>
        <w:t>utlook</w:t>
      </w:r>
      <w:r w:rsidRPr="00DD477A">
        <w:rPr>
          <w:rFonts w:cs="Calibri"/>
        </w:rPr>
        <w:t xml:space="preserve"> and the</w:t>
      </w:r>
      <w:r w:rsidR="28681CA0" w:rsidRPr="00DD477A">
        <w:rPr>
          <w:rFonts w:cs="Calibri"/>
        </w:rPr>
        <w:t xml:space="preserve"> </w:t>
      </w:r>
      <w:r w:rsidRPr="00DD477A">
        <w:rPr>
          <w:rFonts w:cs="Calibri"/>
        </w:rPr>
        <w:t>Pre-election Economic and Fiscal Outlook.</w:t>
      </w:r>
    </w:p>
    <w:p w14:paraId="21D5B69F" w14:textId="17833D4F" w:rsidR="00FA0945" w:rsidRPr="00DD477A" w:rsidRDefault="53BF0693" w:rsidP="003D6589">
      <w:pPr>
        <w:pStyle w:val="Heading2"/>
      </w:pPr>
      <w:bookmarkStart w:id="1765" w:name="_Toc227749156"/>
      <w:r w:rsidRPr="00DD477A">
        <w:t xml:space="preserve">Mid-year </w:t>
      </w:r>
      <w:r w:rsidR="002561E6" w:rsidRPr="00DD477A">
        <w:t xml:space="preserve">Economic </w:t>
      </w:r>
      <w:r w:rsidRPr="00DD477A">
        <w:t xml:space="preserve">and </w:t>
      </w:r>
      <w:r w:rsidR="002561E6" w:rsidRPr="00DD477A">
        <w:t>Fiscal Outlook</w:t>
      </w:r>
      <w:bookmarkEnd w:id="1765"/>
    </w:p>
    <w:p w14:paraId="1ECBA6BD" w14:textId="77777777" w:rsidR="00FA0945" w:rsidRPr="00DD477A" w:rsidRDefault="53BF0693" w:rsidP="000A7DEC">
      <w:pPr>
        <w:rPr>
          <w:rFonts w:cs="Calibri"/>
        </w:rPr>
      </w:pPr>
      <w:r w:rsidRPr="00DD477A">
        <w:rPr>
          <w:rFonts w:cs="Calibri"/>
        </w:rPr>
        <w:t xml:space="preserve">The MYEFO provides an update of the government's budget estimates by examining expenses and revenues in the year to date, as well as provisions for new decisions that have been taken since the Budget. The report provides updated information to allow the assessment of the government’s fiscal performance against the fiscal strategy set out in its current fiscal strategy statement. </w:t>
      </w:r>
    </w:p>
    <w:p w14:paraId="05C86440" w14:textId="0FF0A1A5" w:rsidR="00FA0945" w:rsidRPr="00DD477A" w:rsidRDefault="53BF0693" w:rsidP="003D6589">
      <w:pPr>
        <w:pStyle w:val="Heading2"/>
      </w:pPr>
      <w:bookmarkStart w:id="1766" w:name="_Toc227749157"/>
      <w:r w:rsidRPr="00DD477A">
        <w:t xml:space="preserve">Official </w:t>
      </w:r>
      <w:r w:rsidR="004713D3" w:rsidRPr="00DD477A">
        <w:t>P</w:t>
      </w:r>
      <w:r w:rsidRPr="00DD477A">
        <w:t xml:space="preserve">ublic </w:t>
      </w:r>
      <w:r w:rsidR="004713D3" w:rsidRPr="00DD477A">
        <w:t>A</w:t>
      </w:r>
      <w:r w:rsidRPr="00DD477A">
        <w:t>ccount</w:t>
      </w:r>
      <w:bookmarkEnd w:id="1766"/>
    </w:p>
    <w:p w14:paraId="73BA9894" w14:textId="76D23CE5" w:rsidR="00FA0945" w:rsidRPr="00DD477A" w:rsidRDefault="00894B75" w:rsidP="000A7DEC">
      <w:pPr>
        <w:rPr>
          <w:rFonts w:cs="Calibri"/>
        </w:rPr>
      </w:pPr>
      <w:r w:rsidRPr="00DD477A">
        <w:rPr>
          <w:rFonts w:cs="Calibri"/>
        </w:rPr>
        <w:t>T</w:t>
      </w:r>
      <w:r w:rsidR="53BF0693" w:rsidRPr="00DD477A">
        <w:rPr>
          <w:rFonts w:cs="Calibri"/>
        </w:rPr>
        <w:t>he Australian Government’s central bank account held within the Reserve Bank of Australia</w:t>
      </w:r>
      <w:r w:rsidRPr="00DD477A">
        <w:rPr>
          <w:rFonts w:cs="Calibri"/>
        </w:rPr>
        <w:t xml:space="preserve"> </w:t>
      </w:r>
      <w:r w:rsidR="005B43C6" w:rsidRPr="00DD477A">
        <w:rPr>
          <w:rFonts w:cs="Calibri"/>
        </w:rPr>
        <w:t xml:space="preserve">and managed by Finance </w:t>
      </w:r>
      <w:r w:rsidRPr="00DD477A">
        <w:rPr>
          <w:rFonts w:cs="Calibri"/>
        </w:rPr>
        <w:t>that</w:t>
      </w:r>
      <w:r w:rsidR="53BF0693" w:rsidRPr="00DD477A">
        <w:rPr>
          <w:rFonts w:cs="Calibri"/>
        </w:rPr>
        <w:t xml:space="preserve"> reflects the operations of the Consolidated Revenue Fund.</w:t>
      </w:r>
    </w:p>
    <w:p w14:paraId="587C61D9" w14:textId="77777777" w:rsidR="00FA0945" w:rsidRPr="00DD477A" w:rsidRDefault="53BF0693" w:rsidP="003D6589">
      <w:pPr>
        <w:pStyle w:val="Heading2"/>
      </w:pPr>
      <w:bookmarkStart w:id="1767" w:name="_Toc227749158"/>
      <w:r w:rsidRPr="00DD477A">
        <w:t>Operating expenditure (of heritage and cultural assets)</w:t>
      </w:r>
      <w:bookmarkEnd w:id="1767"/>
    </w:p>
    <w:p w14:paraId="36C293E1" w14:textId="7A77021E" w:rsidR="0014140F" w:rsidRPr="00DD477A" w:rsidRDefault="00F6204A" w:rsidP="000A7DEC">
      <w:pPr>
        <w:rPr>
          <w:rFonts w:cs="Calibri"/>
        </w:rPr>
      </w:pPr>
      <w:r w:rsidRPr="00DD477A">
        <w:rPr>
          <w:rFonts w:cs="Calibri"/>
        </w:rPr>
        <w:t>E</w:t>
      </w:r>
      <w:r w:rsidR="53BF0693" w:rsidRPr="00DD477A">
        <w:rPr>
          <w:rFonts w:cs="Calibri"/>
        </w:rPr>
        <w:t>xpenditure items</w:t>
      </w:r>
      <w:r w:rsidR="00180098" w:rsidRPr="00DD477A">
        <w:rPr>
          <w:rFonts w:cs="Calibri"/>
        </w:rPr>
        <w:t>, excluding</w:t>
      </w:r>
      <w:r w:rsidR="53BF0693" w:rsidRPr="00DD477A">
        <w:rPr>
          <w:rFonts w:cs="Calibri"/>
        </w:rPr>
        <w:t xml:space="preserve"> </w:t>
      </w:r>
      <w:r w:rsidR="00180098" w:rsidRPr="00DD477A">
        <w:rPr>
          <w:rFonts w:cs="Calibri"/>
        </w:rPr>
        <w:t xml:space="preserve">Depreciation, </w:t>
      </w:r>
      <w:r w:rsidR="53BF0693" w:rsidRPr="00DD477A">
        <w:rPr>
          <w:rFonts w:cs="Calibri"/>
        </w:rPr>
        <w:t xml:space="preserve">that Collection Institutions might include in the </w:t>
      </w:r>
      <w:r w:rsidR="006714EB" w:rsidRPr="00DD477A">
        <w:rPr>
          <w:rFonts w:cs="Calibri"/>
        </w:rPr>
        <w:t>‘</w:t>
      </w:r>
      <w:r w:rsidR="53BF0693" w:rsidRPr="00DD477A">
        <w:rPr>
          <w:rFonts w:cs="Calibri"/>
        </w:rPr>
        <w:t>Operating expenditure for heritage and cultural assets</w:t>
      </w:r>
      <w:r w:rsidR="006714EB" w:rsidRPr="00DD477A">
        <w:rPr>
          <w:rFonts w:cs="Calibri"/>
        </w:rPr>
        <w:t>’</w:t>
      </w:r>
      <w:r w:rsidR="53BF0693" w:rsidRPr="00DD477A">
        <w:rPr>
          <w:rFonts w:cs="Calibri"/>
        </w:rPr>
        <w:t xml:space="preserve"> section of Table 3.6 and Table 3.11</w:t>
      </w:r>
      <w:r w:rsidRPr="00DD477A">
        <w:rPr>
          <w:rFonts w:cs="Calibri"/>
        </w:rPr>
        <w:t xml:space="preserve"> include</w:t>
      </w:r>
      <w:r w:rsidR="53BF0693" w:rsidRPr="00DD477A">
        <w:rPr>
          <w:rFonts w:cs="Calibri"/>
        </w:rPr>
        <w:t>:</w:t>
      </w:r>
    </w:p>
    <w:p w14:paraId="5687AEE7" w14:textId="63854067" w:rsidR="0021546B" w:rsidRPr="00DD477A" w:rsidRDefault="53BF0693" w:rsidP="00B54999">
      <w:pPr>
        <w:pStyle w:val="Bullet1"/>
      </w:pPr>
      <w:r w:rsidRPr="00DD477A">
        <w:t>supply of goods and services, for example, outsourced repairs to artwork or insurance costs</w:t>
      </w:r>
    </w:p>
    <w:p w14:paraId="70D60E58" w14:textId="02AD89AF" w:rsidR="0021546B" w:rsidRPr="00DD477A" w:rsidRDefault="53BF0693" w:rsidP="00B54999">
      <w:pPr>
        <w:pStyle w:val="Bullet1"/>
      </w:pPr>
      <w:r w:rsidRPr="00DD477A">
        <w:t>direct labour on-costs, for example, the salaries and associated costs of staff researching and</w:t>
      </w:r>
    </w:p>
    <w:p w14:paraId="42AB2E2C" w14:textId="797AFBA8" w:rsidR="0021546B" w:rsidRPr="00DD477A" w:rsidRDefault="53BF0693" w:rsidP="00B54999">
      <w:pPr>
        <w:pStyle w:val="Bullet1"/>
      </w:pPr>
      <w:r w:rsidRPr="00DD477A">
        <w:t xml:space="preserve">restoring items, lease of storage facilities </w:t>
      </w:r>
    </w:p>
    <w:p w14:paraId="042F3783" w14:textId="06A39204" w:rsidR="0021546B" w:rsidRPr="00DD477A" w:rsidRDefault="53BF0693" w:rsidP="00B54999">
      <w:pPr>
        <w:pStyle w:val="Bullet1"/>
      </w:pPr>
      <w:r w:rsidRPr="00DD477A">
        <w:t>associated utility costs (electricity, water, gas)</w:t>
      </w:r>
    </w:p>
    <w:p w14:paraId="56D4A628" w14:textId="2DBA644B" w:rsidR="0021546B" w:rsidRPr="00DD477A" w:rsidRDefault="53BF0693" w:rsidP="00B54999">
      <w:pPr>
        <w:pStyle w:val="Bullet1"/>
      </w:pPr>
      <w:r w:rsidRPr="00DD477A">
        <w:t>cataloguing costs</w:t>
      </w:r>
    </w:p>
    <w:p w14:paraId="73B0F9B1" w14:textId="14AA5CD6" w:rsidR="0021546B" w:rsidRPr="00DD477A" w:rsidRDefault="53BF0693" w:rsidP="00B54999">
      <w:pPr>
        <w:pStyle w:val="Bullet1"/>
      </w:pPr>
      <w:r w:rsidRPr="00DD477A">
        <w:t>containers and packaging and transportation</w:t>
      </w:r>
    </w:p>
    <w:p w14:paraId="3CFD50ED" w14:textId="02DB668F" w:rsidR="0021546B" w:rsidRPr="00DD477A" w:rsidRDefault="53BF0693" w:rsidP="00B54999">
      <w:pPr>
        <w:pStyle w:val="Bullet1"/>
      </w:pPr>
      <w:r w:rsidRPr="00DD477A">
        <w:t>cleaning of collections and storage facilities</w:t>
      </w:r>
      <w:r w:rsidR="00460F4E">
        <w:t xml:space="preserve"> and</w:t>
      </w:r>
    </w:p>
    <w:p w14:paraId="750BB484" w14:textId="30C225B3" w:rsidR="005B41EB" w:rsidRPr="00DD477A" w:rsidRDefault="53BF0693" w:rsidP="00B54999">
      <w:pPr>
        <w:pStyle w:val="Bullet1"/>
      </w:pPr>
      <w:r w:rsidRPr="00DD477A">
        <w:t xml:space="preserve">substitution costs (preparation of copies/surrogates of </w:t>
      </w:r>
      <w:r w:rsidR="00CD0F3A" w:rsidRPr="00DD477A">
        <w:t>artwork</w:t>
      </w:r>
      <w:r w:rsidRPr="00DD477A">
        <w:t xml:space="preserve"> for public display).</w:t>
      </w:r>
    </w:p>
    <w:p w14:paraId="2222C0D4" w14:textId="7BA016BF" w:rsidR="00FA0945" w:rsidRPr="00DD477A" w:rsidRDefault="53BF0693" w:rsidP="005B41EB">
      <w:r w:rsidRPr="00DD477A">
        <w:t>The costs above do not include full absorption costing such as an allocation for corporate administration costs or costs that are eligible to be capitalised.</w:t>
      </w:r>
    </w:p>
    <w:p w14:paraId="49E382A7" w14:textId="77777777" w:rsidR="00FA0945" w:rsidRPr="00DD477A" w:rsidRDefault="53BF0693" w:rsidP="003D6589">
      <w:pPr>
        <w:pStyle w:val="Heading2"/>
      </w:pPr>
      <w:bookmarkStart w:id="1768" w:name="_Toc227749159"/>
      <w:r w:rsidRPr="00DD477A">
        <w:t>Outcome</w:t>
      </w:r>
      <w:bookmarkEnd w:id="1768"/>
    </w:p>
    <w:p w14:paraId="38180E5F" w14:textId="77777777" w:rsidR="00FA0945" w:rsidRPr="00DD477A" w:rsidRDefault="53BF0693" w:rsidP="000A7DEC">
      <w:pPr>
        <w:rPr>
          <w:rFonts w:cs="Calibri"/>
        </w:rPr>
      </w:pPr>
      <w:r w:rsidRPr="00DD477A">
        <w:rPr>
          <w:rFonts w:cs="Calibri"/>
        </w:rPr>
        <w:t xml:space="preserve">An outcome is the intended result, consequence or impact of </w:t>
      </w:r>
      <w:r w:rsidR="006418EA" w:rsidRPr="00DD477A">
        <w:rPr>
          <w:rFonts w:cs="Calibri"/>
        </w:rPr>
        <w:t>government</w:t>
      </w:r>
      <w:r w:rsidRPr="00DD477A">
        <w:rPr>
          <w:rFonts w:cs="Calibri"/>
        </w:rPr>
        <w:t xml:space="preserve"> actions on the Australian community.</w:t>
      </w:r>
    </w:p>
    <w:p w14:paraId="0DEC13DA" w14:textId="77777777" w:rsidR="00FA0945" w:rsidRPr="00DD477A" w:rsidRDefault="53BF0693" w:rsidP="003D6589">
      <w:pPr>
        <w:pStyle w:val="Heading2"/>
      </w:pPr>
      <w:bookmarkStart w:id="1769" w:name="_Toc227749160"/>
      <w:r w:rsidRPr="00DD477A">
        <w:t>Outcome statement</w:t>
      </w:r>
      <w:bookmarkEnd w:id="1769"/>
    </w:p>
    <w:p w14:paraId="34C254A8" w14:textId="79CD7E37" w:rsidR="00FA0945" w:rsidRPr="00DD477A" w:rsidRDefault="53BF0693" w:rsidP="000A7DEC">
      <w:pPr>
        <w:rPr>
          <w:rFonts w:cs="Calibri"/>
        </w:rPr>
      </w:pPr>
      <w:r w:rsidRPr="00DD477A">
        <w:rPr>
          <w:rFonts w:cs="Calibri"/>
        </w:rPr>
        <w:t xml:space="preserve">An outcome statement </w:t>
      </w:r>
      <w:r w:rsidR="0067564C">
        <w:rPr>
          <w:rFonts w:cs="Calibri"/>
        </w:rPr>
        <w:t>describes</w:t>
      </w:r>
      <w:r w:rsidRPr="00DD477A">
        <w:rPr>
          <w:rFonts w:cs="Calibri"/>
        </w:rPr>
        <w:t xml:space="preserve"> the intended results, activities and target group</w:t>
      </w:r>
      <w:r w:rsidR="00D21D3F">
        <w:rPr>
          <w:rFonts w:cs="Calibri"/>
        </w:rPr>
        <w:t>/s</w:t>
      </w:r>
      <w:r w:rsidRPr="00DD477A">
        <w:rPr>
          <w:rFonts w:cs="Calibri"/>
        </w:rPr>
        <w:t xml:space="preserve"> of an Australian Government entity. An outcome statement serves three main purposes within the financial framework:</w:t>
      </w:r>
    </w:p>
    <w:p w14:paraId="1E368F4B" w14:textId="48F81722" w:rsidR="00FA0945" w:rsidRPr="00DD477A" w:rsidRDefault="53BF0693" w:rsidP="00B54999">
      <w:pPr>
        <w:pStyle w:val="Bullet1"/>
        <w:numPr>
          <w:ilvl w:val="0"/>
          <w:numId w:val="38"/>
        </w:numPr>
      </w:pPr>
      <w:r w:rsidRPr="00DD477A">
        <w:t xml:space="preserve">to explain and control the purposes for which </w:t>
      </w:r>
      <w:r w:rsidR="00560051" w:rsidRPr="00DD477A">
        <w:t>a</w:t>
      </w:r>
      <w:r w:rsidRPr="00DD477A">
        <w:t xml:space="preserve">nnual </w:t>
      </w:r>
      <w:r w:rsidR="00560051" w:rsidRPr="00DD477A">
        <w:t>a</w:t>
      </w:r>
      <w:r w:rsidRPr="00DD477A">
        <w:t>ppropriations are approved by the Parliament for use by entities</w:t>
      </w:r>
    </w:p>
    <w:p w14:paraId="2E23F70E" w14:textId="77777777" w:rsidR="0074521F" w:rsidRPr="00DD477A" w:rsidRDefault="53BF0693" w:rsidP="00B54999">
      <w:pPr>
        <w:pStyle w:val="Bullet1"/>
        <w:numPr>
          <w:ilvl w:val="0"/>
          <w:numId w:val="38"/>
        </w:numPr>
      </w:pPr>
      <w:r w:rsidRPr="00DD477A">
        <w:t>to provide a basis for annual budgeting, including (financial) reporting against the use of appropriated funds</w:t>
      </w:r>
    </w:p>
    <w:p w14:paraId="34C9A084" w14:textId="77777777" w:rsidR="00FA0945" w:rsidRPr="00DD477A" w:rsidRDefault="53BF0693" w:rsidP="00B54999">
      <w:pPr>
        <w:pStyle w:val="Bullet1"/>
        <w:numPr>
          <w:ilvl w:val="0"/>
          <w:numId w:val="38"/>
        </w:numPr>
      </w:pPr>
      <w:r w:rsidRPr="00DD477A">
        <w:t xml:space="preserve">to measure and assess entity and program non‐financial performance in contributing to </w:t>
      </w:r>
      <w:r w:rsidR="006418EA" w:rsidRPr="00DD477A">
        <w:t>government</w:t>
      </w:r>
      <w:r w:rsidRPr="00DD477A">
        <w:t xml:space="preserve"> policy objectives.</w:t>
      </w:r>
    </w:p>
    <w:p w14:paraId="361FA5EB" w14:textId="77777777" w:rsidR="003C2C71" w:rsidRPr="00DD477A" w:rsidRDefault="53BF0693" w:rsidP="003D6589">
      <w:pPr>
        <w:pStyle w:val="Heading2"/>
      </w:pPr>
      <w:bookmarkStart w:id="1770" w:name="_Toc227749161"/>
      <w:r w:rsidRPr="00DD477A">
        <w:t>PB Statements</w:t>
      </w:r>
      <w:bookmarkEnd w:id="1770"/>
    </w:p>
    <w:p w14:paraId="772D0A86" w14:textId="7858B908" w:rsidR="003C2C71" w:rsidRPr="00DD477A" w:rsidRDefault="53BF0693" w:rsidP="000A7DEC">
      <w:pPr>
        <w:rPr>
          <w:rFonts w:cs="Calibri"/>
        </w:rPr>
      </w:pPr>
      <w:r w:rsidRPr="00DD477A">
        <w:rPr>
          <w:rFonts w:cs="Calibri"/>
        </w:rPr>
        <w:t>Portfolio Budget Statements</w:t>
      </w:r>
      <w:r w:rsidR="00317277" w:rsidRPr="00DD477A">
        <w:rPr>
          <w:rFonts w:cs="Calibri"/>
        </w:rPr>
        <w:t>,</w:t>
      </w:r>
      <w:r w:rsidRPr="00DD477A">
        <w:rPr>
          <w:rFonts w:cs="Calibri"/>
        </w:rPr>
        <w:t xml:space="preserve"> also commonly referred to as the PB Statements.</w:t>
      </w:r>
    </w:p>
    <w:p w14:paraId="279F1136" w14:textId="77777777" w:rsidR="004E2865" w:rsidRPr="00DD477A" w:rsidRDefault="53BF0693" w:rsidP="003D6589">
      <w:pPr>
        <w:pStyle w:val="Heading2"/>
      </w:pPr>
      <w:bookmarkStart w:id="1771" w:name="_Toc227749162"/>
      <w:r w:rsidRPr="00DD477A">
        <w:t>PGPA Act flipchart and list</w:t>
      </w:r>
      <w:bookmarkEnd w:id="1771"/>
    </w:p>
    <w:p w14:paraId="1C641D09" w14:textId="16E844BE" w:rsidR="004E2865" w:rsidRPr="00DD477A" w:rsidRDefault="53BF0693" w:rsidP="000A7DEC">
      <w:pPr>
        <w:rPr>
          <w:rFonts w:cs="Calibri"/>
        </w:rPr>
      </w:pPr>
      <w:r w:rsidRPr="00DD477A">
        <w:rPr>
          <w:rFonts w:cs="Calibri"/>
        </w:rPr>
        <w:t xml:space="preserve">The </w:t>
      </w:r>
      <w:r w:rsidR="002928FD" w:rsidRPr="00DD477A">
        <w:rPr>
          <w:rFonts w:cs="Calibri"/>
        </w:rPr>
        <w:t xml:space="preserve">PGPA Act </w:t>
      </w:r>
      <w:r w:rsidRPr="00DD477A">
        <w:rPr>
          <w:rFonts w:cs="Calibri"/>
        </w:rPr>
        <w:t>Flipchart</w:t>
      </w:r>
      <w:r w:rsidR="002928FD" w:rsidRPr="00DD477A">
        <w:rPr>
          <w:rFonts w:cs="Calibri"/>
        </w:rPr>
        <w:t>,</w:t>
      </w:r>
      <w:r w:rsidRPr="00DD477A">
        <w:rPr>
          <w:rFonts w:cs="Calibri"/>
        </w:rPr>
        <w:t xml:space="preserve"> </w:t>
      </w:r>
      <w:r w:rsidR="002928FD" w:rsidRPr="00DD477A">
        <w:rPr>
          <w:rFonts w:cs="Calibri"/>
        </w:rPr>
        <w:t xml:space="preserve">located on Finance’s website, </w:t>
      </w:r>
      <w:r w:rsidRPr="00DD477A">
        <w:rPr>
          <w:rFonts w:cs="Calibri"/>
        </w:rPr>
        <w:t xml:space="preserve">is a reference of all </w:t>
      </w:r>
      <w:r w:rsidR="002928FD" w:rsidRPr="00DD477A">
        <w:rPr>
          <w:rFonts w:cs="Calibri"/>
        </w:rPr>
        <w:t xml:space="preserve">the </w:t>
      </w:r>
      <w:r w:rsidRPr="00DD477A">
        <w:rPr>
          <w:rFonts w:cs="Calibri"/>
        </w:rPr>
        <w:t xml:space="preserve">non-corporate and corporate Commonwealth entities and companies </w:t>
      </w:r>
      <w:r w:rsidR="002928FD" w:rsidRPr="00DD477A">
        <w:rPr>
          <w:rFonts w:cs="Calibri"/>
        </w:rPr>
        <w:t>(</w:t>
      </w:r>
      <w:r w:rsidRPr="00DD477A">
        <w:rPr>
          <w:rFonts w:cs="Calibri"/>
        </w:rPr>
        <w:t>government bodies</w:t>
      </w:r>
      <w:r w:rsidR="002928FD" w:rsidRPr="00DD477A">
        <w:rPr>
          <w:rFonts w:cs="Calibri"/>
        </w:rPr>
        <w:t>)</w:t>
      </w:r>
      <w:r w:rsidRPr="00DD477A">
        <w:rPr>
          <w:rFonts w:cs="Calibri"/>
        </w:rPr>
        <w:t xml:space="preserve"> that are subject to the PGPA Act.</w:t>
      </w:r>
    </w:p>
    <w:p w14:paraId="5DFDFBD0" w14:textId="7822A88A" w:rsidR="004E2865" w:rsidRPr="00DD477A" w:rsidRDefault="53BF0693" w:rsidP="002B4935">
      <w:pPr>
        <w:spacing w:after="120"/>
        <w:rPr>
          <w:rStyle w:val="Hyperlink"/>
          <w:rFonts w:cs="Calibri"/>
        </w:rPr>
      </w:pPr>
      <w:r w:rsidRPr="00DD477A">
        <w:rPr>
          <w:rFonts w:cs="Calibri"/>
        </w:rPr>
        <w:t>Commonwealth entities and companies on the Flipchart are organised by their portfolio.</w:t>
      </w:r>
    </w:p>
    <w:p w14:paraId="73B24808" w14:textId="796F3C7F" w:rsidR="0017331E" w:rsidRPr="00DD477A" w:rsidRDefault="53BF0693" w:rsidP="003D6589">
      <w:pPr>
        <w:pStyle w:val="Heading2"/>
      </w:pPr>
      <w:bookmarkStart w:id="1772" w:name="_Toc227749163"/>
      <w:r w:rsidRPr="00DD477A">
        <w:t>Portfolio Additional Estimates Statements</w:t>
      </w:r>
      <w:bookmarkEnd w:id="1772"/>
    </w:p>
    <w:p w14:paraId="19824336" w14:textId="36B08D45" w:rsidR="003D66F9" w:rsidRPr="00DD477A" w:rsidRDefault="53BF0693" w:rsidP="000A7DEC">
      <w:pPr>
        <w:rPr>
          <w:rFonts w:cs="Calibri"/>
        </w:rPr>
      </w:pPr>
      <w:r w:rsidRPr="00DD477A">
        <w:rPr>
          <w:rFonts w:cs="Calibri"/>
        </w:rPr>
        <w:t xml:space="preserve">The </w:t>
      </w:r>
      <w:r w:rsidR="00671FA8" w:rsidRPr="00DD477A">
        <w:rPr>
          <w:rFonts w:cs="Calibri"/>
        </w:rPr>
        <w:t>Portfolio Additional Estimates Statements (</w:t>
      </w:r>
      <w:r w:rsidRPr="00DD477A">
        <w:rPr>
          <w:rFonts w:cs="Calibri"/>
        </w:rPr>
        <w:t>PAES</w:t>
      </w:r>
      <w:r w:rsidR="00671FA8" w:rsidRPr="00DD477A">
        <w:rPr>
          <w:rFonts w:cs="Calibri"/>
        </w:rPr>
        <w:t>)</w:t>
      </w:r>
      <w:r w:rsidRPr="00DD477A">
        <w:rPr>
          <w:rFonts w:cs="Calibri"/>
        </w:rPr>
        <w:t xml:space="preserve"> </w:t>
      </w:r>
      <w:r w:rsidR="002928FD" w:rsidRPr="00DD477A">
        <w:rPr>
          <w:rFonts w:cs="Calibri"/>
        </w:rPr>
        <w:t>informs</w:t>
      </w:r>
      <w:r w:rsidRPr="00DD477A">
        <w:rPr>
          <w:rFonts w:cs="Calibri"/>
        </w:rPr>
        <w:t xml:space="preserve"> Parliament on updated entity expenditure estimates for the current budget year and reflect changes since the Budget. The PAES</w:t>
      </w:r>
      <w:r w:rsidR="002928FD" w:rsidRPr="00DD477A">
        <w:rPr>
          <w:rFonts w:cs="Calibri"/>
        </w:rPr>
        <w:t>,</w:t>
      </w:r>
      <w:r w:rsidRPr="00DD477A">
        <w:rPr>
          <w:rFonts w:cs="Calibri"/>
        </w:rPr>
        <w:t xml:space="preserve"> a supplement to the PB Statements</w:t>
      </w:r>
      <w:r w:rsidR="002928FD" w:rsidRPr="00DD477A">
        <w:rPr>
          <w:rFonts w:cs="Calibri"/>
        </w:rPr>
        <w:t>,</w:t>
      </w:r>
      <w:r w:rsidRPr="00DD477A">
        <w:rPr>
          <w:rFonts w:cs="Calibri"/>
        </w:rPr>
        <w:t xml:space="preserve"> explain</w:t>
      </w:r>
      <w:r w:rsidR="002928FD" w:rsidRPr="00DD477A">
        <w:rPr>
          <w:rFonts w:cs="Calibri"/>
        </w:rPr>
        <w:t>s</w:t>
      </w:r>
      <w:r w:rsidRPr="00DD477A">
        <w:rPr>
          <w:rFonts w:cs="Calibri"/>
        </w:rPr>
        <w:t xml:space="preserve"> subsequent changes to Budget estimates as they appear in the Additional Estimates Appropriation Bills </w:t>
      </w:r>
      <w:r w:rsidR="00A74B18" w:rsidRPr="00DD477A">
        <w:rPr>
          <w:rFonts w:cs="Calibri"/>
        </w:rPr>
        <w:t>(</w:t>
      </w:r>
      <w:r w:rsidR="001675A8" w:rsidRPr="00DD477A">
        <w:rPr>
          <w:rFonts w:cs="Calibri"/>
        </w:rPr>
        <w:t>No.</w:t>
      </w:r>
      <w:r w:rsidRPr="00DD477A">
        <w:rPr>
          <w:rFonts w:cs="Calibri"/>
        </w:rPr>
        <w:t xml:space="preserve"> 3 and 4</w:t>
      </w:r>
      <w:r w:rsidR="00A74B18" w:rsidRPr="00DD477A">
        <w:rPr>
          <w:rFonts w:cs="Calibri"/>
        </w:rPr>
        <w:t>)</w:t>
      </w:r>
      <w:r w:rsidRPr="00DD477A">
        <w:rPr>
          <w:rFonts w:cs="Calibri"/>
        </w:rPr>
        <w:t>.</w:t>
      </w:r>
    </w:p>
    <w:p w14:paraId="35591C1A" w14:textId="0B509C8A" w:rsidR="00FA0945" w:rsidRPr="00DD477A" w:rsidRDefault="53BF0693" w:rsidP="003D6589">
      <w:pPr>
        <w:pStyle w:val="Heading2"/>
      </w:pPr>
      <w:bookmarkStart w:id="1773" w:name="_Toc227749164"/>
      <w:r w:rsidRPr="00DD477A">
        <w:t xml:space="preserve">Portfolio </w:t>
      </w:r>
      <w:r w:rsidR="00CA1347">
        <w:t>B</w:t>
      </w:r>
      <w:r w:rsidRPr="00DD477A">
        <w:t xml:space="preserve">udget </w:t>
      </w:r>
      <w:r w:rsidR="00CA1347">
        <w:t>S</w:t>
      </w:r>
      <w:r w:rsidRPr="00DD477A">
        <w:t>tatements</w:t>
      </w:r>
      <w:bookmarkEnd w:id="1773"/>
    </w:p>
    <w:p w14:paraId="3697CEBD" w14:textId="77777777" w:rsidR="00FA0945" w:rsidRPr="00DD477A" w:rsidRDefault="53BF0693" w:rsidP="000A7DEC">
      <w:pPr>
        <w:rPr>
          <w:rFonts w:cs="Calibri"/>
        </w:rPr>
      </w:pPr>
      <w:r w:rsidRPr="00DD477A">
        <w:rPr>
          <w:rFonts w:cs="Calibri"/>
        </w:rPr>
        <w:t xml:space="preserve">Budget related paper detailing budget initiatives and explanations of appropriations specified by outcome and program by each entity within a </w:t>
      </w:r>
      <w:r w:rsidR="00396887" w:rsidRPr="00DD477A">
        <w:rPr>
          <w:rFonts w:cs="Calibri"/>
        </w:rPr>
        <w:t>portfolio</w:t>
      </w:r>
      <w:r w:rsidRPr="00DD477A">
        <w:rPr>
          <w:rFonts w:cs="Calibri"/>
        </w:rPr>
        <w:t>.</w:t>
      </w:r>
    </w:p>
    <w:p w14:paraId="357C95D9" w14:textId="66938EBC" w:rsidR="00204269" w:rsidRPr="00DD477A" w:rsidRDefault="53BF0693" w:rsidP="003D6589">
      <w:pPr>
        <w:pStyle w:val="Heading2"/>
      </w:pPr>
      <w:bookmarkStart w:id="1774" w:name="_Toc227749165"/>
      <w:r w:rsidRPr="00DD477A">
        <w:t>Pre-Election Fiscal Outlook</w:t>
      </w:r>
      <w:bookmarkEnd w:id="1774"/>
    </w:p>
    <w:p w14:paraId="078D7EC7" w14:textId="78ABC2FA" w:rsidR="00204269" w:rsidRPr="00DD477A" w:rsidRDefault="53BF0693" w:rsidP="000A7DEC">
      <w:pPr>
        <w:rPr>
          <w:rFonts w:cs="Calibri"/>
        </w:rPr>
      </w:pPr>
      <w:r w:rsidRPr="00DD477A">
        <w:rPr>
          <w:rFonts w:cs="Calibri"/>
        </w:rPr>
        <w:t xml:space="preserve">The PEFO provides an update, to the fullest extent possible, on all </w:t>
      </w:r>
      <w:r w:rsidR="006418EA" w:rsidRPr="00DD477A">
        <w:rPr>
          <w:rFonts w:cs="Calibri"/>
        </w:rPr>
        <w:t>government</w:t>
      </w:r>
      <w:r w:rsidRPr="00DD477A">
        <w:rPr>
          <w:rFonts w:cs="Calibri"/>
        </w:rPr>
        <w:t xml:space="preserve"> decisions and all other circumstances that may have a material effect on the economic, fiscal outlook </w:t>
      </w:r>
      <w:r w:rsidR="000A2C3C" w:rsidRPr="00DD477A">
        <w:rPr>
          <w:rFonts w:cs="Calibri"/>
        </w:rPr>
        <w:t>prior to issuance</w:t>
      </w:r>
      <w:r w:rsidRPr="00DD477A">
        <w:rPr>
          <w:rFonts w:cs="Calibri"/>
        </w:rPr>
        <w:t xml:space="preserve"> of the writs for the election.</w:t>
      </w:r>
    </w:p>
    <w:p w14:paraId="5A453CB5" w14:textId="77777777" w:rsidR="00204269" w:rsidRPr="00DD477A" w:rsidRDefault="53BF0693" w:rsidP="003D6589">
      <w:pPr>
        <w:pStyle w:val="Heading2"/>
      </w:pPr>
      <w:bookmarkStart w:id="1775" w:name="_Toc227749166"/>
      <w:r w:rsidRPr="00DD477A">
        <w:t>Primary Reporting and Information Management Aid</w:t>
      </w:r>
      <w:bookmarkEnd w:id="1775"/>
    </w:p>
    <w:p w14:paraId="2D36D03C" w14:textId="5A187089" w:rsidR="00204269" w:rsidRPr="00DD477A" w:rsidRDefault="53BF0693" w:rsidP="000A7DEC">
      <w:pPr>
        <w:rPr>
          <w:rFonts w:cs="Calibri"/>
        </w:rPr>
      </w:pPr>
      <w:r w:rsidRPr="00DD477A">
        <w:rPr>
          <w:rFonts w:cs="Calibri"/>
        </w:rPr>
        <w:t xml:space="preserve">The </w:t>
      </w:r>
      <w:r w:rsidR="00D616B1" w:rsidRPr="00DD477A">
        <w:rPr>
          <w:rFonts w:cs="Calibri"/>
        </w:rPr>
        <w:t>Primary Reporting and Information Management Aid (</w:t>
      </w:r>
      <w:r w:rsidRPr="00DD477A">
        <w:rPr>
          <w:rFonts w:cs="Calibri"/>
        </w:rPr>
        <w:t>PRIMA</w:t>
      </w:r>
      <w:r w:rsidR="00D616B1" w:rsidRPr="00DD477A">
        <w:rPr>
          <w:rFonts w:cs="Calibri"/>
        </w:rPr>
        <w:t>)</w:t>
      </w:r>
      <w:r w:rsidRPr="00DD477A">
        <w:rPr>
          <w:rFonts w:cs="Calibri"/>
        </w:rPr>
        <w:t xml:space="preserve"> </w:t>
      </w:r>
      <w:r w:rsidR="009C4E5B" w:rsidRPr="00DD477A">
        <w:rPr>
          <w:rFonts w:cs="Calibri"/>
        </w:rPr>
        <w:t xml:space="preserve">Forms provide model financial statements which include </w:t>
      </w:r>
      <w:r w:rsidRPr="00DD477A">
        <w:rPr>
          <w:rFonts w:cs="Calibri"/>
        </w:rPr>
        <w:t xml:space="preserve">the most common </w:t>
      </w:r>
      <w:r w:rsidR="001B49E5" w:rsidRPr="00DD477A">
        <w:rPr>
          <w:rFonts w:cs="Calibri"/>
        </w:rPr>
        <w:t xml:space="preserve">financial and related </w:t>
      </w:r>
      <w:r w:rsidRPr="00DD477A">
        <w:rPr>
          <w:rFonts w:cs="Calibri"/>
        </w:rPr>
        <w:t xml:space="preserve">disclosures and presentation affecting entities. There are two separate sets of PRIMA </w:t>
      </w:r>
      <w:r w:rsidR="009C4E5B" w:rsidRPr="00DD477A">
        <w:rPr>
          <w:rFonts w:cs="Calibri"/>
        </w:rPr>
        <w:t>Forms which illustrate the</w:t>
      </w:r>
      <w:r w:rsidRPr="00DD477A">
        <w:rPr>
          <w:rFonts w:cs="Calibri"/>
        </w:rPr>
        <w:t xml:space="preserve"> tiered reporting requirements </w:t>
      </w:r>
      <w:r w:rsidR="009C4E5B" w:rsidRPr="00DD477A">
        <w:rPr>
          <w:rFonts w:cs="Calibri"/>
        </w:rPr>
        <w:t xml:space="preserve">of the </w:t>
      </w:r>
      <w:hyperlink r:id="rId246" w:history="1">
        <w:r w:rsidR="009C4E5B" w:rsidRPr="00DD477A">
          <w:rPr>
            <w:rStyle w:val="Hyperlink"/>
            <w:rFonts w:cs="Calibri"/>
          </w:rPr>
          <w:t>Financial Reporting Rule</w:t>
        </w:r>
      </w:hyperlink>
      <w:r w:rsidR="009C4E5B" w:rsidRPr="00DD477A">
        <w:rPr>
          <w:rFonts w:cs="Calibri"/>
        </w:rPr>
        <w:t xml:space="preserve"> </w:t>
      </w:r>
      <w:r w:rsidRPr="00DD477A">
        <w:rPr>
          <w:rFonts w:cs="Calibri"/>
        </w:rPr>
        <w:t>(Tier 1, full disclosure; or Tier 2, Reduced Disclosure Requirements).</w:t>
      </w:r>
    </w:p>
    <w:p w14:paraId="2ADF5787" w14:textId="214754BC" w:rsidR="00204269" w:rsidRPr="00DD477A" w:rsidRDefault="53BF0693" w:rsidP="000A7DEC">
      <w:pPr>
        <w:rPr>
          <w:rFonts w:cs="Calibri"/>
        </w:rPr>
      </w:pPr>
      <w:r w:rsidRPr="00DD477A">
        <w:rPr>
          <w:rFonts w:cs="Calibri"/>
        </w:rPr>
        <w:t xml:space="preserve">The key principle of PRIMA </w:t>
      </w:r>
      <w:r w:rsidR="009C4E5B" w:rsidRPr="00DD477A">
        <w:rPr>
          <w:rFonts w:cs="Calibri"/>
        </w:rPr>
        <w:t xml:space="preserve">Forms </w:t>
      </w:r>
      <w:r w:rsidRPr="00DD477A">
        <w:rPr>
          <w:rFonts w:cs="Calibri"/>
        </w:rPr>
        <w:t>is to include disclosures that are required by most Australian Accounting Standards or the Financial Reporting Rule.</w:t>
      </w:r>
    </w:p>
    <w:p w14:paraId="552DA5B1" w14:textId="77777777" w:rsidR="00FA0945" w:rsidRPr="00DD477A" w:rsidRDefault="53BF0693" w:rsidP="003D6589">
      <w:pPr>
        <w:pStyle w:val="Heading2"/>
      </w:pPr>
      <w:bookmarkStart w:id="1776" w:name="_Toc227749167"/>
      <w:r w:rsidRPr="00DD477A">
        <w:t>Program</w:t>
      </w:r>
      <w:bookmarkEnd w:id="1776"/>
    </w:p>
    <w:p w14:paraId="533A545C" w14:textId="3BD0476B" w:rsidR="00FA0945" w:rsidRPr="00DD477A" w:rsidRDefault="53BF0693" w:rsidP="000A7DEC">
      <w:pPr>
        <w:rPr>
          <w:rFonts w:cs="Calibri"/>
        </w:rPr>
      </w:pPr>
      <w:r w:rsidRPr="00DD477A">
        <w:rPr>
          <w:rFonts w:cs="Calibri"/>
        </w:rPr>
        <w:t xml:space="preserve">Activity that delivers benefits, services or transfer payments to individuals, industry and/or the </w:t>
      </w:r>
      <w:r w:rsidR="006F2D46" w:rsidRPr="00DD477A">
        <w:rPr>
          <w:rFonts w:cs="Calibri"/>
        </w:rPr>
        <w:t>community, with</w:t>
      </w:r>
      <w:r w:rsidRPr="00DD477A">
        <w:rPr>
          <w:rFonts w:cs="Calibri"/>
        </w:rPr>
        <w:t xml:space="preserve"> the aim of achieving the intended result specified in an outcome statement.</w:t>
      </w:r>
    </w:p>
    <w:p w14:paraId="7FC33E2F" w14:textId="77777777" w:rsidR="00FA0945" w:rsidRPr="00DD477A" w:rsidRDefault="53BF0693" w:rsidP="003D6589">
      <w:pPr>
        <w:pStyle w:val="Heading2"/>
      </w:pPr>
      <w:bookmarkStart w:id="1777" w:name="_Toc227749168"/>
      <w:r w:rsidRPr="00DD477A">
        <w:t>Program support</w:t>
      </w:r>
      <w:bookmarkEnd w:id="1777"/>
    </w:p>
    <w:p w14:paraId="00359F71" w14:textId="76A22204" w:rsidR="00FA0945" w:rsidRPr="00DD477A" w:rsidRDefault="53BF0693" w:rsidP="000A7DEC">
      <w:pPr>
        <w:rPr>
          <w:rFonts w:cs="Calibri"/>
        </w:rPr>
      </w:pPr>
      <w:r w:rsidRPr="00DD477A">
        <w:rPr>
          <w:rFonts w:cs="Calibri"/>
        </w:rPr>
        <w:t>The entity’s running costs allocated to a program funded through an entity’s departmental appropriations.</w:t>
      </w:r>
    </w:p>
    <w:p w14:paraId="3194CEB2" w14:textId="48215AF9" w:rsidR="00FA0945" w:rsidRPr="00BF0A3E" w:rsidRDefault="53BF0693" w:rsidP="003D6589">
      <w:pPr>
        <w:pStyle w:val="Heading2"/>
      </w:pPr>
      <w:bookmarkStart w:id="1778" w:name="_Toc227749169"/>
      <w:r w:rsidRPr="00BF0A3E">
        <w:t>Public Governance, Performance and Accountability</w:t>
      </w:r>
      <w:r w:rsidR="00F76FB5" w:rsidRPr="00BF0A3E">
        <w:t xml:space="preserve"> </w:t>
      </w:r>
      <w:r w:rsidRPr="00BF0A3E">
        <w:t>Act 2013</w:t>
      </w:r>
      <w:bookmarkEnd w:id="1778"/>
    </w:p>
    <w:p w14:paraId="5334680F" w14:textId="3D4E635D" w:rsidR="0063372C" w:rsidRPr="00DD477A" w:rsidRDefault="53BF0693" w:rsidP="000A7DEC">
      <w:pPr>
        <w:rPr>
          <w:rFonts w:cs="Calibri"/>
        </w:rPr>
      </w:pPr>
      <w:r w:rsidRPr="00DD477A">
        <w:rPr>
          <w:rFonts w:cs="Calibri"/>
        </w:rPr>
        <w:t>The PGPA Act establishes a coherent system of governance and accountability for public resources, with an emphasis on planning, performance and reporting</w:t>
      </w:r>
      <w:r w:rsidR="00B3253E" w:rsidRPr="00DD477A">
        <w:rPr>
          <w:rFonts w:cs="Calibri"/>
        </w:rPr>
        <w:t xml:space="preserve"> that </w:t>
      </w:r>
      <w:r w:rsidRPr="00DD477A">
        <w:rPr>
          <w:rFonts w:cs="Calibri"/>
        </w:rPr>
        <w:t>applies to all Commonwealth entities and Commonwealth companies.</w:t>
      </w:r>
    </w:p>
    <w:p w14:paraId="1C88EC4E" w14:textId="25630A89" w:rsidR="0063372C" w:rsidRPr="00DD477A" w:rsidRDefault="53BF0693">
      <w:pPr>
        <w:rPr>
          <w:rFonts w:cs="Calibri"/>
        </w:rPr>
      </w:pPr>
      <w:r w:rsidRPr="00DD477A">
        <w:rPr>
          <w:rFonts w:cs="Calibri"/>
        </w:rPr>
        <w:t xml:space="preserve">The </w:t>
      </w:r>
      <w:r w:rsidR="00EF4031">
        <w:rPr>
          <w:rFonts w:cs="Calibri"/>
        </w:rPr>
        <w:t>most current</w:t>
      </w:r>
      <w:r w:rsidRPr="00DD477A">
        <w:rPr>
          <w:rFonts w:cs="Calibri"/>
        </w:rPr>
        <w:t xml:space="preserve"> version of the PGPA Act is available from </w:t>
      </w:r>
      <w:hyperlink r:id="rId247">
        <w:r w:rsidRPr="00DD477A">
          <w:rPr>
            <w:rStyle w:val="Hyperlink"/>
          </w:rPr>
          <w:t>www.legislation.gov.au</w:t>
        </w:r>
      </w:hyperlink>
      <w:r w:rsidR="00134238">
        <w:rPr>
          <w:rStyle w:val="Hyperlink"/>
        </w:rPr>
        <w:t>.</w:t>
      </w:r>
      <w:r w:rsidRPr="00DD477A">
        <w:rPr>
          <w:rFonts w:cs="Calibri"/>
          <w:color w:val="0070C0"/>
        </w:rPr>
        <w:t xml:space="preserve"> </w:t>
      </w:r>
    </w:p>
    <w:p w14:paraId="4BDE328B" w14:textId="18CC06AB" w:rsidR="00334C6F" w:rsidRPr="00DD477A" w:rsidRDefault="53BF0693" w:rsidP="003D6589">
      <w:pPr>
        <w:pStyle w:val="Heading2"/>
      </w:pPr>
      <w:bookmarkStart w:id="1779" w:name="_Toc227749170"/>
      <w:r w:rsidRPr="00DD477A">
        <w:t>Purpose</w:t>
      </w:r>
      <w:r w:rsidR="00854C41">
        <w:t>s</w:t>
      </w:r>
      <w:bookmarkEnd w:id="1779"/>
    </w:p>
    <w:p w14:paraId="2645DFE8" w14:textId="5F7C65D1" w:rsidR="00334C6F" w:rsidRPr="00DD477A" w:rsidRDefault="53BF0693" w:rsidP="000A7DEC">
      <w:pPr>
        <w:rPr>
          <w:rFonts w:cs="Calibri"/>
        </w:rPr>
      </w:pPr>
      <w:r w:rsidRPr="00DD477A">
        <w:rPr>
          <w:rFonts w:cs="Calibri"/>
        </w:rPr>
        <w:t xml:space="preserve">The purposes of a Commonwealth entity include the objectives, functions or role of the entity. For further information see </w:t>
      </w:r>
      <w:hyperlink r:id="rId248">
        <w:r w:rsidR="005E68CD">
          <w:rPr>
            <w:rStyle w:val="Hyperlink"/>
          </w:rPr>
          <w:t>RMG 132 Corporate plans for Commonwealth entities</w:t>
        </w:r>
      </w:hyperlink>
      <w:r w:rsidRPr="00DD477A">
        <w:rPr>
          <w:rFonts w:cs="Calibri"/>
        </w:rPr>
        <w:t>.</w:t>
      </w:r>
    </w:p>
    <w:p w14:paraId="61AB7FDA" w14:textId="26AC9828" w:rsidR="00497E40" w:rsidRPr="00DD477A" w:rsidRDefault="53BF0693" w:rsidP="003D6589">
      <w:pPr>
        <w:pStyle w:val="Heading2"/>
      </w:pPr>
      <w:bookmarkStart w:id="1780" w:name="_Toc227749171"/>
      <w:r w:rsidRPr="00DD477A">
        <w:t>Right-of-Use Asset</w:t>
      </w:r>
      <w:bookmarkEnd w:id="1780"/>
    </w:p>
    <w:p w14:paraId="0B54AD5C" w14:textId="72074022" w:rsidR="00497E40" w:rsidRPr="00DD477A" w:rsidRDefault="00497E40" w:rsidP="000A7DEC">
      <w:pPr>
        <w:rPr>
          <w:rFonts w:cs="Calibri"/>
        </w:rPr>
      </w:pPr>
      <w:hyperlink r:id="rId249" w:history="1">
        <w:r w:rsidRPr="00DD477A">
          <w:rPr>
            <w:rStyle w:val="Hyperlink"/>
            <w:rFonts w:cs="Calibri"/>
          </w:rPr>
          <w:t xml:space="preserve">AASB 16 </w:t>
        </w:r>
        <w:r w:rsidRPr="00DD477A">
          <w:rPr>
            <w:rStyle w:val="Hyperlink"/>
            <w:rFonts w:cs="Calibri"/>
            <w:i/>
            <w:iCs/>
          </w:rPr>
          <w:t>Leases</w:t>
        </w:r>
      </w:hyperlink>
      <w:r w:rsidR="00A0360B" w:rsidRPr="00DD477A">
        <w:rPr>
          <w:rFonts w:cs="Calibri"/>
          <w:i/>
          <w:iCs/>
        </w:rPr>
        <w:t xml:space="preserve"> </w:t>
      </w:r>
      <w:r w:rsidR="00A0360B" w:rsidRPr="00DD477A">
        <w:rPr>
          <w:rFonts w:cs="Calibri"/>
        </w:rPr>
        <w:t>(the Standard)</w:t>
      </w:r>
      <w:r w:rsidRPr="00DD477A">
        <w:rPr>
          <w:rFonts w:cs="Calibri"/>
        </w:rPr>
        <w:t xml:space="preserve"> remov</w:t>
      </w:r>
      <w:r w:rsidR="00EA2C25" w:rsidRPr="00DD477A">
        <w:rPr>
          <w:rFonts w:cs="Calibri"/>
        </w:rPr>
        <w:t>es</w:t>
      </w:r>
      <w:r w:rsidRPr="00DD477A">
        <w:rPr>
          <w:rFonts w:cs="Calibri"/>
        </w:rPr>
        <w:t xml:space="preserve"> the distinction between operating and finance leases for </w:t>
      </w:r>
      <w:r w:rsidR="00EA2C25" w:rsidRPr="00DD477A">
        <w:rPr>
          <w:rFonts w:cs="Calibri"/>
        </w:rPr>
        <w:t>lessees</w:t>
      </w:r>
      <w:r w:rsidRPr="00DD477A">
        <w:rPr>
          <w:rFonts w:cs="Calibri"/>
        </w:rPr>
        <w:t xml:space="preserve"> and </w:t>
      </w:r>
      <w:r w:rsidR="00EA2C25" w:rsidRPr="00DD477A">
        <w:rPr>
          <w:rFonts w:cs="Calibri"/>
        </w:rPr>
        <w:t>requires</w:t>
      </w:r>
      <w:r w:rsidRPr="00DD477A">
        <w:rPr>
          <w:rFonts w:cs="Calibri"/>
        </w:rPr>
        <w:t xml:space="preserve"> the recognition of a</w:t>
      </w:r>
      <w:r w:rsidR="004543B9" w:rsidRPr="00DD477A">
        <w:rPr>
          <w:rFonts w:cs="Calibri"/>
        </w:rPr>
        <w:t xml:space="preserve"> Right-of-</w:t>
      </w:r>
      <w:r w:rsidR="009B6020" w:rsidRPr="00DD477A">
        <w:rPr>
          <w:rFonts w:cs="Calibri"/>
        </w:rPr>
        <w:t>Use</w:t>
      </w:r>
      <w:r w:rsidRPr="00DD477A">
        <w:rPr>
          <w:rFonts w:cs="Calibri"/>
        </w:rPr>
        <w:t xml:space="preserve"> </w:t>
      </w:r>
      <w:r w:rsidR="009B6020" w:rsidRPr="00DD477A">
        <w:rPr>
          <w:rFonts w:cs="Calibri"/>
        </w:rPr>
        <w:t>(</w:t>
      </w:r>
      <w:r w:rsidR="009F3C94" w:rsidRPr="00DD477A">
        <w:rPr>
          <w:rFonts w:cs="Calibri"/>
        </w:rPr>
        <w:t>RoU</w:t>
      </w:r>
      <w:r w:rsidR="009B6020" w:rsidRPr="00DD477A">
        <w:rPr>
          <w:rFonts w:cs="Calibri"/>
        </w:rPr>
        <w:t>)</w:t>
      </w:r>
      <w:r w:rsidR="00A0360B" w:rsidRPr="00DD477A">
        <w:rPr>
          <w:rFonts w:cs="Calibri"/>
        </w:rPr>
        <w:t xml:space="preserve"> </w:t>
      </w:r>
      <w:r w:rsidRPr="00DD477A">
        <w:rPr>
          <w:rFonts w:cs="Calibri"/>
        </w:rPr>
        <w:t xml:space="preserve">asset and lease liability on the balance sheet for most leasing arrangements. </w:t>
      </w:r>
      <w:r w:rsidR="00A0360B" w:rsidRPr="00DD477A">
        <w:rPr>
          <w:rFonts w:cs="Calibri"/>
        </w:rPr>
        <w:t xml:space="preserve">From 1 July 2019, all Commonwealth entities and companies </w:t>
      </w:r>
      <w:r w:rsidR="00EA2C25" w:rsidRPr="00DD477A">
        <w:rPr>
          <w:rFonts w:cs="Calibri"/>
        </w:rPr>
        <w:t>are</w:t>
      </w:r>
      <w:r w:rsidR="00A0360B" w:rsidRPr="00DD477A">
        <w:rPr>
          <w:rFonts w:cs="Calibri"/>
        </w:rPr>
        <w:t xml:space="preserve"> required to report on their </w:t>
      </w:r>
      <w:r w:rsidR="009F3C94" w:rsidRPr="00DD477A">
        <w:rPr>
          <w:rFonts w:cs="Calibri"/>
        </w:rPr>
        <w:t>RoU</w:t>
      </w:r>
      <w:r w:rsidR="00A0360B" w:rsidRPr="00DD477A">
        <w:rPr>
          <w:rFonts w:cs="Calibri"/>
        </w:rPr>
        <w:t xml:space="preserve"> assets and associated lease liabilities in their financial statements.</w:t>
      </w:r>
      <w:r w:rsidR="009C4E5B" w:rsidRPr="00DD477A">
        <w:rPr>
          <w:rFonts w:cs="Calibri"/>
        </w:rPr>
        <w:t xml:space="preserve"> Please see </w:t>
      </w:r>
      <w:hyperlink r:id="rId250" w:history="1">
        <w:r w:rsidR="005E68CD">
          <w:rPr>
            <w:rStyle w:val="Hyperlink"/>
            <w:rFonts w:cs="Calibri"/>
          </w:rPr>
          <w:t>RMG</w:t>
        </w:r>
        <w:r w:rsidR="00694A56">
          <w:rPr>
            <w:rStyle w:val="Hyperlink"/>
            <w:rFonts w:cs="Calibri"/>
          </w:rPr>
          <w:t> </w:t>
        </w:r>
        <w:r w:rsidR="005E68CD">
          <w:rPr>
            <w:rStyle w:val="Hyperlink"/>
            <w:rFonts w:cs="Calibri"/>
          </w:rPr>
          <w:t>110</w:t>
        </w:r>
        <w:r w:rsidR="00694A56">
          <w:rPr>
            <w:rStyle w:val="Hyperlink"/>
            <w:rFonts w:cs="Calibri"/>
          </w:rPr>
          <w:t> </w:t>
        </w:r>
        <w:r w:rsidR="005E68CD">
          <w:rPr>
            <w:rStyle w:val="Hyperlink"/>
            <w:rFonts w:cs="Calibri"/>
          </w:rPr>
          <w:t>Accounting for leases</w:t>
        </w:r>
      </w:hyperlink>
      <w:r w:rsidR="009C4E5B" w:rsidRPr="00DD477A">
        <w:rPr>
          <w:rFonts w:cs="Calibri"/>
        </w:rPr>
        <w:t xml:space="preserve"> for more information. </w:t>
      </w:r>
    </w:p>
    <w:p w14:paraId="4A8B49C2" w14:textId="77777777" w:rsidR="00FA0945" w:rsidRPr="00DD477A" w:rsidRDefault="53BF0693" w:rsidP="003D6589">
      <w:pPr>
        <w:pStyle w:val="Heading2"/>
      </w:pPr>
      <w:bookmarkStart w:id="1781" w:name="_Toc227749172"/>
      <w:r w:rsidRPr="00DD477A">
        <w:t>Senate estimates hearings</w:t>
      </w:r>
      <w:bookmarkEnd w:id="1781"/>
    </w:p>
    <w:p w14:paraId="5C997F2D" w14:textId="0A20736C" w:rsidR="00FA0945" w:rsidRPr="00DD477A" w:rsidRDefault="53BF0693" w:rsidP="000A7DEC">
      <w:pPr>
        <w:rPr>
          <w:rFonts w:cs="Calibri"/>
        </w:rPr>
      </w:pPr>
      <w:hyperlink r:id="rId251" w:history="1">
        <w:r w:rsidRPr="00DD477A">
          <w:rPr>
            <w:rStyle w:val="Hyperlink"/>
            <w:rFonts w:cs="Calibri"/>
          </w:rPr>
          <w:t>Senate Standing Committees</w:t>
        </w:r>
      </w:hyperlink>
      <w:r w:rsidRPr="00DD477A">
        <w:rPr>
          <w:rFonts w:cs="Calibri"/>
        </w:rPr>
        <w:t xml:space="preserve"> hold hearings to scrutinise the Appropriation Bills and any explanatory documentation tabled to accompany them</w:t>
      </w:r>
      <w:r w:rsidR="009C4E5B" w:rsidRPr="00DD477A">
        <w:rPr>
          <w:rFonts w:cs="Calibri"/>
        </w:rPr>
        <w:t>, as well as examine estimates of government expenditure</w:t>
      </w:r>
      <w:r w:rsidRPr="00DD477A">
        <w:rPr>
          <w:rFonts w:cs="Calibri"/>
        </w:rPr>
        <w:t>. Public servants may be called to attend hearings as witnesses.</w:t>
      </w:r>
    </w:p>
    <w:p w14:paraId="07B0CA2D" w14:textId="5D29E08E" w:rsidR="00FA0945" w:rsidRPr="00DD477A" w:rsidRDefault="00396E7B" w:rsidP="003D6589">
      <w:pPr>
        <w:pStyle w:val="Heading2"/>
      </w:pPr>
      <w:bookmarkStart w:id="1782" w:name="_Toc227749173"/>
      <w:r>
        <w:t xml:space="preserve">National </w:t>
      </w:r>
      <w:r w:rsidR="53BF0693" w:rsidRPr="00DD477A">
        <w:t>Specific purpose payments</w:t>
      </w:r>
      <w:bookmarkEnd w:id="1782"/>
    </w:p>
    <w:p w14:paraId="6C2CF702" w14:textId="2AF402A2" w:rsidR="00396E7B" w:rsidRDefault="00396E7B" w:rsidP="000A7DEC">
      <w:pPr>
        <w:rPr>
          <w:rFonts w:cs="Calibri"/>
        </w:rPr>
      </w:pPr>
      <w:r>
        <w:rPr>
          <w:rFonts w:cs="Calibri"/>
        </w:rPr>
        <w:t>Are a funding mechanism through which the Australian Government supports state efforts in delivering services in key sectors (e.g. health, schools, skills and training disability services and affordable housing).</w:t>
      </w:r>
    </w:p>
    <w:p w14:paraId="2448D83F" w14:textId="6EA41923" w:rsidR="00FA0945" w:rsidRPr="00DD477A" w:rsidRDefault="00396E7B" w:rsidP="000A7DEC">
      <w:pPr>
        <w:rPr>
          <w:rFonts w:cs="Calibri"/>
        </w:rPr>
      </w:pPr>
      <w:r>
        <w:rPr>
          <w:rFonts w:cs="Calibri"/>
        </w:rPr>
        <w:t>The C</w:t>
      </w:r>
      <w:r w:rsidR="53BF0693" w:rsidRPr="00DD477A">
        <w:rPr>
          <w:rFonts w:cs="Calibri"/>
        </w:rPr>
        <w:t xml:space="preserve">ommonwealth </w:t>
      </w:r>
      <w:r>
        <w:rPr>
          <w:rFonts w:cs="Calibri"/>
        </w:rPr>
        <w:t xml:space="preserve">makes the </w:t>
      </w:r>
      <w:r w:rsidR="53BF0693" w:rsidRPr="00DD477A">
        <w:rPr>
          <w:rFonts w:cs="Calibri"/>
        </w:rPr>
        <w:t>payment to the States</w:t>
      </w:r>
      <w:r w:rsidR="006F2D46">
        <w:rPr>
          <w:rFonts w:cs="Calibri"/>
        </w:rPr>
        <w:t>,</w:t>
      </w:r>
      <w:r w:rsidR="53BF0693" w:rsidRPr="00DD477A">
        <w:rPr>
          <w:rFonts w:cs="Calibri"/>
        </w:rPr>
        <w:t xml:space="preserve"> for specific purposes in order</w:t>
      </w:r>
      <w:r w:rsidR="006F2D46">
        <w:rPr>
          <w:rFonts w:cs="Calibri"/>
        </w:rPr>
        <w:t>,</w:t>
      </w:r>
      <w:r w:rsidR="53BF0693" w:rsidRPr="00DD477A">
        <w:rPr>
          <w:rFonts w:cs="Calibri"/>
        </w:rPr>
        <w:t xml:space="preserve"> to pursue important national policy objectives in areas that </w:t>
      </w:r>
      <w:r>
        <w:rPr>
          <w:rFonts w:cs="Calibri"/>
        </w:rPr>
        <w:t>are</w:t>
      </w:r>
      <w:r w:rsidR="53BF0693" w:rsidRPr="00DD477A">
        <w:rPr>
          <w:rFonts w:cs="Calibri"/>
        </w:rPr>
        <w:t xml:space="preserve"> administered by the States.</w:t>
      </w:r>
    </w:p>
    <w:p w14:paraId="199CAFB2" w14:textId="77777777" w:rsidR="00FA0945" w:rsidRPr="00DD477A" w:rsidRDefault="53BF0693" w:rsidP="003D6589">
      <w:pPr>
        <w:pStyle w:val="Heading2"/>
      </w:pPr>
      <w:bookmarkStart w:id="1783" w:name="_Toc227749174"/>
      <w:r w:rsidRPr="00DD477A">
        <w:t>Sub-function</w:t>
      </w:r>
      <w:bookmarkEnd w:id="1783"/>
    </w:p>
    <w:p w14:paraId="2B0D0C18" w14:textId="77777777" w:rsidR="00FA0945" w:rsidRPr="00DD477A" w:rsidRDefault="53BF0693" w:rsidP="000A7DEC">
      <w:pPr>
        <w:rPr>
          <w:rFonts w:cs="Calibri"/>
        </w:rPr>
      </w:pPr>
      <w:r w:rsidRPr="00DD477A">
        <w:rPr>
          <w:rFonts w:cs="Calibri"/>
        </w:rPr>
        <w:t>Government Finance Statistics classification of government expenses.</w:t>
      </w:r>
    </w:p>
    <w:p w14:paraId="2C526ED3" w14:textId="77777777" w:rsidR="00FA0945" w:rsidRPr="00DD477A" w:rsidRDefault="53BF0693" w:rsidP="003D6589">
      <w:pPr>
        <w:pStyle w:val="Heading2"/>
      </w:pPr>
      <w:bookmarkStart w:id="1784" w:name="_Toc227749175"/>
      <w:r w:rsidRPr="00DD477A">
        <w:t>Target group</w:t>
      </w:r>
      <w:bookmarkEnd w:id="1784"/>
    </w:p>
    <w:p w14:paraId="717270F6" w14:textId="77777777" w:rsidR="00FA0945" w:rsidRPr="00DD477A" w:rsidRDefault="53BF0693" w:rsidP="000A7DEC">
      <w:pPr>
        <w:rPr>
          <w:rFonts w:cs="Calibri"/>
        </w:rPr>
      </w:pPr>
      <w:r w:rsidRPr="00DD477A">
        <w:rPr>
          <w:rFonts w:cs="Calibri"/>
        </w:rPr>
        <w:t>A specific group being targeted for assistance by government policy.</w:t>
      </w:r>
    </w:p>
    <w:p w14:paraId="4E64852D" w14:textId="77777777" w:rsidR="006A0F01" w:rsidRPr="00DD477A" w:rsidRDefault="53BF0693" w:rsidP="003D6589">
      <w:pPr>
        <w:pStyle w:val="Heading2"/>
      </w:pPr>
      <w:bookmarkStart w:id="1785" w:name="_Toc227749176"/>
      <w:r w:rsidRPr="00DD477A">
        <w:t>Third party payments</w:t>
      </w:r>
      <w:bookmarkEnd w:id="1785"/>
    </w:p>
    <w:p w14:paraId="0155FA46" w14:textId="08A330E9" w:rsidR="006A0F01" w:rsidRPr="00DD477A" w:rsidRDefault="53BF0693" w:rsidP="000A7DEC">
      <w:pPr>
        <w:rPr>
          <w:rFonts w:cs="Calibri"/>
        </w:rPr>
      </w:pPr>
      <w:r w:rsidRPr="00DD477A">
        <w:rPr>
          <w:rFonts w:cs="Calibri"/>
        </w:rPr>
        <w:t xml:space="preserve">Payments made on behalf of another entity, or by other entities on behalf of the </w:t>
      </w:r>
      <w:r w:rsidR="007F0366" w:rsidRPr="00DD477A">
        <w:rPr>
          <w:rFonts w:cs="Calibri"/>
        </w:rPr>
        <w:t>entity</w:t>
      </w:r>
      <w:r w:rsidRPr="00DD477A">
        <w:rPr>
          <w:rFonts w:cs="Calibri"/>
        </w:rPr>
        <w:t>. For example, payments made in relation to Special Appropriations.</w:t>
      </w:r>
    </w:p>
    <w:p w14:paraId="5A6F0A9F" w14:textId="77777777" w:rsidR="00FA0945" w:rsidRPr="00DD477A" w:rsidRDefault="53BF0693" w:rsidP="003D6589">
      <w:pPr>
        <w:pStyle w:val="Heading2"/>
      </w:pPr>
      <w:bookmarkStart w:id="1786" w:name="_Toc227749177"/>
      <w:r w:rsidRPr="00DD477A">
        <w:t>Transfer</w:t>
      </w:r>
      <w:bookmarkEnd w:id="1786"/>
    </w:p>
    <w:p w14:paraId="70F762A2" w14:textId="200673F1" w:rsidR="005D3E0C" w:rsidRPr="00DD477A" w:rsidRDefault="53BF0693" w:rsidP="000A7DEC">
      <w:pPr>
        <w:rPr>
          <w:rFonts w:cs="Calibri"/>
        </w:rPr>
      </w:pPr>
      <w:r w:rsidRPr="00DD477A">
        <w:rPr>
          <w:rFonts w:cs="Calibri"/>
        </w:rPr>
        <w:t>Cash paid to recipients of the applicable program</w:t>
      </w:r>
      <w:r w:rsidR="00517E36" w:rsidRPr="00DD477A">
        <w:rPr>
          <w:rFonts w:cs="Calibri"/>
        </w:rPr>
        <w:t>,</w:t>
      </w:r>
      <w:r w:rsidRPr="00DD477A">
        <w:rPr>
          <w:rFonts w:cs="Calibri"/>
        </w:rPr>
        <w:t xml:space="preserve"> includ</w:t>
      </w:r>
      <w:r w:rsidR="00D80BD3" w:rsidRPr="00DD477A">
        <w:rPr>
          <w:rFonts w:cs="Calibri"/>
        </w:rPr>
        <w:t>ing</w:t>
      </w:r>
      <w:r w:rsidRPr="00DD477A">
        <w:rPr>
          <w:rFonts w:cs="Calibri"/>
        </w:rPr>
        <w:t xml:space="preserve"> welfare payments and tax rebates.</w:t>
      </w:r>
    </w:p>
    <w:sectPr w:rsidR="005D3E0C" w:rsidRPr="00DD477A" w:rsidSect="0026790A">
      <w:pgSz w:w="11900" w:h="16840" w:code="9"/>
      <w:pgMar w:top="1418" w:right="851" w:bottom="1418"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DFC6" w14:textId="77777777" w:rsidR="00F66974" w:rsidRDefault="00F66974" w:rsidP="00DF7D78">
      <w:r>
        <w:separator/>
      </w:r>
    </w:p>
    <w:p w14:paraId="1493B4FB" w14:textId="77777777" w:rsidR="00F66974" w:rsidRDefault="00F66974" w:rsidP="00DF7D78"/>
    <w:p w14:paraId="0192B304" w14:textId="77777777" w:rsidR="00F66974" w:rsidRDefault="00F66974" w:rsidP="00DF7D78"/>
    <w:p w14:paraId="73EA4BE9" w14:textId="77777777" w:rsidR="00F66974" w:rsidRDefault="00F66974" w:rsidP="00DF7D78"/>
    <w:p w14:paraId="7E6F10F8" w14:textId="77777777" w:rsidR="00F66974" w:rsidRDefault="00F66974"/>
  </w:endnote>
  <w:endnote w:type="continuationSeparator" w:id="0">
    <w:p w14:paraId="2154D596" w14:textId="77777777" w:rsidR="00F66974" w:rsidRDefault="00F66974" w:rsidP="00DF7D78">
      <w:r>
        <w:continuationSeparator/>
      </w:r>
    </w:p>
    <w:p w14:paraId="4E928E71" w14:textId="77777777" w:rsidR="00F66974" w:rsidRDefault="00F66974" w:rsidP="00DF7D78"/>
    <w:p w14:paraId="676F72AB" w14:textId="77777777" w:rsidR="00F66974" w:rsidRDefault="00F66974" w:rsidP="00DF7D78"/>
    <w:p w14:paraId="398F005C" w14:textId="77777777" w:rsidR="00F66974" w:rsidRDefault="00F66974" w:rsidP="00DF7D78"/>
    <w:p w14:paraId="3E0D9506" w14:textId="77777777" w:rsidR="00F66974" w:rsidRDefault="00F66974"/>
  </w:endnote>
  <w:endnote w:type="continuationNotice" w:id="1">
    <w:p w14:paraId="65CC9C40" w14:textId="77777777" w:rsidR="00F66974" w:rsidRDefault="00F66974">
      <w:pPr>
        <w:spacing w:before="0" w:after="0" w:line="240" w:lineRule="auto"/>
      </w:pPr>
    </w:p>
    <w:p w14:paraId="75933D61" w14:textId="77777777" w:rsidR="00F66974" w:rsidRDefault="00F66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9999999">
    <w:altName w:val="Cambria"/>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2636" w14:textId="14404A8E" w:rsidR="008F2996" w:rsidRDefault="008F2996"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1644" w14:textId="77777777" w:rsidR="008F2996" w:rsidRDefault="008F2996">
    <w:pPr>
      <w:pStyle w:val="Footer"/>
    </w:pPr>
  </w:p>
  <w:sdt>
    <w:sdtPr>
      <w:rPr>
        <w:rStyle w:val="Classification"/>
      </w:rPr>
      <w:alias w:val="Status"/>
      <w:tag w:val=""/>
      <w:id w:val="1675842541"/>
      <w:showingPlcHdr/>
      <w:dataBinding w:prefixMappings="xmlns:ns0='http://purl.org/dc/elements/1.1/' xmlns:ns1='http://schemas.openxmlformats.org/package/2006/metadata/core-properties' " w:xpath="/ns1:coreProperties[1]/ns1:contentStatus[1]" w:storeItemID="{6C3C8BC8-F283-45AE-878A-BAB7291924A1}"/>
      <w:text/>
    </w:sdtPr>
    <w:sdtContent>
      <w:p w14:paraId="1490186E" w14:textId="374E0E78" w:rsidR="008F2996" w:rsidRDefault="00065AE3" w:rsidP="000A6A8B">
        <w:pPr>
          <w:pStyle w:val="Footer"/>
          <w:jc w:val="center"/>
          <w:rPr>
            <w:rStyle w:val="Classification"/>
          </w:rPr>
        </w:pPr>
        <w:r>
          <w:rPr>
            <w:rStyle w:val="Classification"/>
          </w:rPr>
          <w:t xml:space="preserve">     </w:t>
        </w:r>
      </w:p>
    </w:sdtContent>
  </w:sdt>
  <w:p w14:paraId="7705F2D3" w14:textId="77777777" w:rsidR="008F2996" w:rsidRPr="000A6A8B" w:rsidRDefault="008F2996"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4F4C" w14:textId="442EF834" w:rsidR="00AE1D34" w:rsidRPr="00065AE3" w:rsidRDefault="00AE1D34" w:rsidP="00F611EB">
    <w:pPr>
      <w:pStyle w:val="Footer"/>
      <w:tabs>
        <w:tab w:val="clear" w:pos="4513"/>
        <w:tab w:val="clear" w:pos="8819"/>
        <w:tab w:val="clear" w:pos="9026"/>
        <w:tab w:val="center" w:pos="4253"/>
        <w:tab w:val="right" w:pos="9639"/>
      </w:tabs>
      <w:jc w:val="right"/>
      <w:rPr>
        <w:rFonts w:ascii="Arial" w:hAnsi="Arial" w:cs="Arial"/>
        <w:noProof/>
        <w:color w:val="4A3F6E" w:themeColor="accent5" w:themeShade="BF"/>
      </w:rPr>
    </w:pPr>
    <w:r w:rsidRPr="00065AE3">
      <w:rPr>
        <w:rStyle w:val="ArialBlackBlue"/>
        <w:color w:val="4A3F6E" w:themeColor="accent5" w:themeShade="BF"/>
        <w:sz w:val="18"/>
        <w:szCs w:val="18"/>
      </w:rPr>
      <w:t xml:space="preserve">Guide to preparing the </w:t>
    </w:r>
    <w:r w:rsidR="00DC026B">
      <w:rPr>
        <w:rStyle w:val="ArialBlackBlue"/>
        <w:color w:val="4A3F6E" w:themeColor="accent5" w:themeShade="BF"/>
        <w:sz w:val="18"/>
        <w:szCs w:val="18"/>
      </w:rPr>
      <w:t>202</w:t>
    </w:r>
    <w:r w:rsidR="0027375D">
      <w:rPr>
        <w:rStyle w:val="ArialBlackBlue"/>
        <w:color w:val="4A3F6E" w:themeColor="accent5" w:themeShade="BF"/>
        <w:sz w:val="18"/>
        <w:szCs w:val="18"/>
      </w:rPr>
      <w:t>6</w:t>
    </w:r>
    <w:r w:rsidR="00DC026B">
      <w:rPr>
        <w:rStyle w:val="ArialBlackBlue"/>
        <w:color w:val="4A3F6E" w:themeColor="accent5" w:themeShade="BF"/>
        <w:sz w:val="18"/>
        <w:szCs w:val="18"/>
      </w:rPr>
      <w:t>-2</w:t>
    </w:r>
    <w:r w:rsidR="0027375D">
      <w:rPr>
        <w:rStyle w:val="ArialBlackBlue"/>
        <w:color w:val="4A3F6E" w:themeColor="accent5" w:themeShade="BF"/>
        <w:sz w:val="18"/>
        <w:szCs w:val="18"/>
      </w:rPr>
      <w:t>7</w:t>
    </w:r>
    <w:r w:rsidR="00DE5763" w:rsidRPr="00065AE3">
      <w:rPr>
        <w:rStyle w:val="ArialBlackBlue"/>
        <w:color w:val="4A3F6E" w:themeColor="accent5" w:themeShade="BF"/>
        <w:sz w:val="18"/>
        <w:szCs w:val="18"/>
      </w:rPr>
      <w:t xml:space="preserve"> </w:t>
    </w:r>
    <w:r w:rsidRPr="00065AE3">
      <w:rPr>
        <w:rStyle w:val="ArialBlackBlue"/>
        <w:color w:val="4A3F6E" w:themeColor="accent5" w:themeShade="BF"/>
        <w:sz w:val="18"/>
        <w:szCs w:val="18"/>
      </w:rPr>
      <w:t>Portfolio Budget Statements</w:t>
    </w:r>
    <w:r w:rsidR="00994760" w:rsidRPr="00065AE3">
      <w:rPr>
        <w:color w:val="4A3F6E" w:themeColor="accent5" w:themeShade="BF"/>
      </w:rPr>
      <w:t xml:space="preserve">  </w:t>
    </w:r>
    <w:r w:rsidRPr="00065AE3">
      <w:rPr>
        <w:rFonts w:ascii="Arial" w:hAnsi="Arial" w:cs="Arial"/>
        <w:color w:val="4A3F6E" w:themeColor="accent5" w:themeShade="BF"/>
      </w:rPr>
      <w:t>|</w:t>
    </w:r>
    <w:r w:rsidR="00994760" w:rsidRPr="00065AE3">
      <w:rPr>
        <w:rFonts w:ascii="Arial" w:hAnsi="Arial" w:cs="Arial"/>
        <w:color w:val="4A3F6E" w:themeColor="accent5" w:themeShade="BF"/>
      </w:rPr>
      <w:t xml:space="preserve">  </w:t>
    </w:r>
    <w:r w:rsidRPr="00065AE3">
      <w:rPr>
        <w:rFonts w:ascii="Arial" w:hAnsi="Arial" w:cs="Arial"/>
        <w:noProof/>
        <w:color w:val="4A3F6E" w:themeColor="accent5" w:themeShade="BF"/>
      </w:rPr>
      <w:fldChar w:fldCharType="begin"/>
    </w:r>
    <w:r w:rsidRPr="00065AE3">
      <w:rPr>
        <w:rFonts w:ascii="Arial" w:hAnsi="Arial" w:cs="Arial"/>
        <w:noProof/>
        <w:color w:val="4A3F6E" w:themeColor="accent5" w:themeShade="BF"/>
      </w:rPr>
      <w:instrText xml:space="preserve"> PAGE   \* MERGEFORMAT </w:instrText>
    </w:r>
    <w:r w:rsidRPr="00065AE3">
      <w:rPr>
        <w:rFonts w:ascii="Arial" w:hAnsi="Arial" w:cs="Arial"/>
        <w:noProof/>
        <w:color w:val="4A3F6E" w:themeColor="accent5" w:themeShade="BF"/>
      </w:rPr>
      <w:fldChar w:fldCharType="separate"/>
    </w:r>
    <w:r w:rsidRPr="00065AE3">
      <w:rPr>
        <w:rFonts w:ascii="Arial" w:hAnsi="Arial" w:cs="Arial"/>
        <w:noProof/>
        <w:color w:val="4A3F6E" w:themeColor="accent5" w:themeShade="BF"/>
      </w:rPr>
      <w:t>5</w:t>
    </w:r>
    <w:r w:rsidRPr="00065AE3">
      <w:rPr>
        <w:rFonts w:ascii="Arial" w:hAnsi="Arial" w:cs="Arial"/>
        <w:noProof/>
        <w:color w:val="4A3F6E" w:themeColor="accent5" w:themeShade="BF"/>
      </w:rPr>
      <w:fldChar w:fldCharType="end"/>
    </w:r>
  </w:p>
  <w:p w14:paraId="45598B54" w14:textId="79EC663C" w:rsidR="000D76A1" w:rsidRDefault="00855F71" w:rsidP="00F611EB">
    <w:pPr>
      <w:pStyle w:val="Header"/>
      <w:ind w:firstLine="0"/>
      <w:jc w:val="left"/>
    </w:pPr>
    <w:r>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E21C" w14:textId="3E979383" w:rsidR="006F5B7C" w:rsidRDefault="006F5B7C" w:rsidP="00EE7FD8">
    <w:pPr>
      <w:pStyle w:val="Footer"/>
      <w:jc w:val="right"/>
      <w:rPr>
        <w:rFonts w:ascii="Arial" w:hAnsi="Arial" w:cs="Arial"/>
        <w:noProof/>
      </w:rPr>
    </w:pPr>
    <w:r w:rsidRPr="00065AE3">
      <w:rPr>
        <w:rStyle w:val="ArialBlackBlue"/>
        <w:color w:val="4A3F6E" w:themeColor="accent5" w:themeShade="BF"/>
        <w:sz w:val="18"/>
        <w:szCs w:val="18"/>
      </w:rPr>
      <w:t xml:space="preserve">Guide to preparing the </w:t>
    </w:r>
    <w:r w:rsidR="0081371C">
      <w:rPr>
        <w:rStyle w:val="ArialBlackBlue"/>
        <w:color w:val="4A3F6E" w:themeColor="accent5" w:themeShade="BF"/>
        <w:sz w:val="18"/>
        <w:szCs w:val="18"/>
      </w:rPr>
      <w:t>2026-27</w:t>
    </w:r>
    <w:r w:rsidRPr="00065AE3">
      <w:rPr>
        <w:rStyle w:val="ArialBlackBlue"/>
        <w:color w:val="4A3F6E" w:themeColor="accent5" w:themeShade="BF"/>
        <w:sz w:val="18"/>
        <w:szCs w:val="18"/>
      </w:rPr>
      <w:t xml:space="preserve"> Portfolio Budget Statements</w:t>
    </w:r>
    <w:r w:rsidRPr="00065AE3">
      <w:rPr>
        <w:color w:val="4A3F6E" w:themeColor="accent5" w:themeShade="BF"/>
      </w:rPr>
      <w:t xml:space="preserve">  </w:t>
    </w:r>
    <w:r w:rsidRPr="53BF0693">
      <w:rPr>
        <w:rFonts w:ascii="Arial" w:hAnsi="Arial" w:cs="Arial"/>
      </w:rPr>
      <w:t>|</w:t>
    </w:r>
    <w:r>
      <w:rPr>
        <w:rFonts w:ascii="Arial" w:hAnsi="Arial" w:cs="Arial"/>
      </w:rPr>
      <w:t xml:space="preserve">  </w:t>
    </w:r>
    <w:r w:rsidRPr="53BF0693">
      <w:rPr>
        <w:rFonts w:ascii="Arial" w:hAnsi="Arial" w:cs="Arial"/>
        <w:noProof/>
      </w:rPr>
      <w:fldChar w:fldCharType="begin"/>
    </w:r>
    <w:r w:rsidRPr="53BF0693">
      <w:rPr>
        <w:rFonts w:ascii="Arial" w:hAnsi="Arial" w:cs="Arial"/>
        <w:noProof/>
      </w:rPr>
      <w:instrText xml:space="preserve"> PAGE   \* MERGEFORMAT </w:instrText>
    </w:r>
    <w:r w:rsidRPr="53BF0693">
      <w:rPr>
        <w:rFonts w:ascii="Arial" w:hAnsi="Arial" w:cs="Arial"/>
        <w:noProof/>
      </w:rPr>
      <w:fldChar w:fldCharType="separate"/>
    </w:r>
    <w:r>
      <w:rPr>
        <w:rFonts w:ascii="Arial" w:hAnsi="Arial" w:cs="Arial"/>
        <w:noProof/>
      </w:rPr>
      <w:t>9</w:t>
    </w:r>
    <w:r w:rsidRPr="53BF0693">
      <w:rPr>
        <w:rFonts w:ascii="Arial" w:hAnsi="Arial" w:cs="Arial"/>
        <w:noProof/>
      </w:rPr>
      <w:fldChar w:fldCharType="end"/>
    </w:r>
  </w:p>
  <w:p w14:paraId="350E0C3D" w14:textId="77777777" w:rsidR="006F5B7C" w:rsidRDefault="006F5B7C" w:rsidP="00F611EB">
    <w:pPr>
      <w:pStyle w:val="Header"/>
      <w:ind w:firstLine="0"/>
      <w:jc w:val="left"/>
    </w:pP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BC2C" w14:textId="336D5FD3" w:rsidR="000D76A1" w:rsidRDefault="00EE7FD8" w:rsidP="0015776A">
    <w:pPr>
      <w:pStyle w:val="Footer"/>
      <w:jc w:val="right"/>
    </w:pPr>
    <w:r w:rsidRPr="00065AE3">
      <w:rPr>
        <w:rStyle w:val="ArialBlackBlue"/>
        <w:color w:val="4A3F6E" w:themeColor="accent5" w:themeShade="BF"/>
        <w:sz w:val="18"/>
        <w:szCs w:val="18"/>
      </w:rPr>
      <w:t xml:space="preserve">Guide to preparing the </w:t>
    </w:r>
    <w:r w:rsidR="0081371C">
      <w:rPr>
        <w:rStyle w:val="ArialBlackBlue"/>
        <w:color w:val="4A3F6E" w:themeColor="accent5" w:themeShade="BF"/>
        <w:sz w:val="18"/>
        <w:szCs w:val="18"/>
      </w:rPr>
      <w:t>2026</w:t>
    </w:r>
    <w:r w:rsidR="002F1103">
      <w:rPr>
        <w:rStyle w:val="ArialBlackBlue"/>
        <w:color w:val="4A3F6E" w:themeColor="accent5" w:themeShade="BF"/>
        <w:sz w:val="18"/>
        <w:szCs w:val="18"/>
      </w:rPr>
      <w:t>–</w:t>
    </w:r>
    <w:r w:rsidR="0081371C">
      <w:rPr>
        <w:rStyle w:val="ArialBlackBlue"/>
        <w:color w:val="4A3F6E" w:themeColor="accent5" w:themeShade="BF"/>
        <w:sz w:val="18"/>
        <w:szCs w:val="18"/>
      </w:rPr>
      <w:t>27</w:t>
    </w:r>
    <w:r w:rsidRPr="00065AE3">
      <w:rPr>
        <w:rStyle w:val="ArialBlackBlue"/>
        <w:color w:val="4A3F6E" w:themeColor="accent5" w:themeShade="BF"/>
        <w:sz w:val="18"/>
        <w:szCs w:val="18"/>
      </w:rPr>
      <w:t xml:space="preserve"> Portfolio Budget Statements</w:t>
    </w:r>
    <w:r w:rsidR="00994760">
      <w:t xml:space="preserve">  </w:t>
    </w:r>
    <w:r w:rsidRPr="53BF0693">
      <w:rPr>
        <w:rFonts w:ascii="Arial" w:hAnsi="Arial" w:cs="Arial"/>
      </w:rPr>
      <w:t>|</w:t>
    </w:r>
    <w:r w:rsidR="00994760">
      <w:rPr>
        <w:rFonts w:ascii="Arial" w:hAnsi="Arial" w:cs="Arial"/>
      </w:rPr>
      <w:t xml:space="preserve">  </w:t>
    </w:r>
    <w:r w:rsidRPr="53BF0693">
      <w:rPr>
        <w:rFonts w:ascii="Arial" w:hAnsi="Arial" w:cs="Arial"/>
        <w:noProof/>
      </w:rPr>
      <w:fldChar w:fldCharType="begin"/>
    </w:r>
    <w:r w:rsidRPr="53BF0693">
      <w:rPr>
        <w:rFonts w:ascii="Arial" w:hAnsi="Arial" w:cs="Arial"/>
        <w:noProof/>
      </w:rPr>
      <w:instrText xml:space="preserve"> PAGE   \* MERGEFORMAT </w:instrText>
    </w:r>
    <w:r w:rsidRPr="53BF0693">
      <w:rPr>
        <w:rFonts w:ascii="Arial" w:hAnsi="Arial" w:cs="Arial"/>
        <w:noProof/>
      </w:rPr>
      <w:fldChar w:fldCharType="separate"/>
    </w:r>
    <w:r>
      <w:rPr>
        <w:rFonts w:ascii="Arial" w:hAnsi="Arial" w:cs="Arial"/>
        <w:noProof/>
      </w:rPr>
      <w:t>9</w:t>
    </w:r>
    <w:r w:rsidRPr="53BF0693">
      <w:rPr>
        <w:rFonts w:ascii="Arial" w:hAnsi="Arial" w:cs="Arial"/>
        <w:noProof/>
      </w:rPr>
      <w:fldChar w:fldCharType="end"/>
    </w:r>
    <w:r w:rsidR="00B119BD">
      <w:rPr>
        <w:rFonts w:ascii="Arial" w:hAnsi="Arial" w:cs="Arial"/>
        <w:noProof/>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7832" w14:textId="77777777" w:rsidR="00F66974" w:rsidRDefault="00F66974" w:rsidP="00DF7D78"/>
    <w:p w14:paraId="2CBDFC98" w14:textId="77777777" w:rsidR="00F66974" w:rsidRDefault="00F66974" w:rsidP="00DF7D78"/>
    <w:p w14:paraId="0F901250" w14:textId="77777777" w:rsidR="00F66974" w:rsidRDefault="00F66974" w:rsidP="00DF7D78"/>
    <w:p w14:paraId="251B384B" w14:textId="77777777" w:rsidR="00F66974" w:rsidRDefault="00F66974"/>
  </w:footnote>
  <w:footnote w:type="continuationSeparator" w:id="0">
    <w:p w14:paraId="0522FC82" w14:textId="77777777" w:rsidR="00F66974" w:rsidRDefault="00F66974" w:rsidP="00DF7D78">
      <w:r>
        <w:continuationSeparator/>
      </w:r>
    </w:p>
    <w:p w14:paraId="2A3DCA37" w14:textId="77777777" w:rsidR="00F66974" w:rsidRDefault="00F66974" w:rsidP="00DF7D78"/>
    <w:p w14:paraId="1F83624B" w14:textId="77777777" w:rsidR="00F66974" w:rsidRDefault="00F66974" w:rsidP="00DF7D78"/>
    <w:p w14:paraId="0E5EA793" w14:textId="77777777" w:rsidR="00F66974" w:rsidRDefault="00F66974" w:rsidP="00DF7D78"/>
    <w:p w14:paraId="604F5B16" w14:textId="77777777" w:rsidR="00F66974" w:rsidRDefault="00F66974"/>
  </w:footnote>
  <w:footnote w:type="continuationNotice" w:id="1">
    <w:p w14:paraId="72A61747" w14:textId="77777777" w:rsidR="00F66974" w:rsidRDefault="00F66974">
      <w:pPr>
        <w:spacing w:before="0" w:after="0" w:line="240" w:lineRule="auto"/>
      </w:pPr>
    </w:p>
    <w:p w14:paraId="68D7E3CB" w14:textId="77777777" w:rsidR="00F66974" w:rsidRDefault="00F66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9EF0" w14:textId="77777777" w:rsidR="008F2996" w:rsidRDefault="00000000">
    <w:pPr>
      <w:pStyle w:val="Header"/>
    </w:pPr>
    <w:r>
      <w:rPr>
        <w:noProof/>
      </w:rPr>
      <w:pict w14:anchorId="780D4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0.9pt;margin-top:-28.25pt;width:596.25pt;height:842.15pt;z-index:-251658238">
          <v:imagedata r:id="rId1" o:title="Long word cover_purpl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8007" w14:textId="0726D22A" w:rsidR="000D76A1" w:rsidRPr="00F611EB" w:rsidRDefault="00AE1D34" w:rsidP="00323568">
    <w:pPr>
      <w:pStyle w:val="Header"/>
      <w:tabs>
        <w:tab w:val="clear" w:pos="7655"/>
        <w:tab w:val="right" w:pos="9637"/>
      </w:tabs>
      <w:jc w:val="right"/>
      <w:rPr>
        <w:noProof/>
        <w:sz w:val="16"/>
        <w:szCs w:val="16"/>
      </w:rPr>
    </w:pPr>
    <w:r w:rsidRPr="006A429C">
      <w:rPr>
        <w:sz w:val="16"/>
        <w:szCs w:val="16"/>
      </w:rPr>
      <w:tab/>
    </w:r>
    <w:r w:rsidR="007C67CB">
      <w:rPr>
        <w:sz w:val="18"/>
      </w:rPr>
      <w:t>Entity</w:t>
    </w:r>
    <w:r w:rsidR="007C67CB" w:rsidRPr="00681881">
      <w:rPr>
        <w:sz w:val="18"/>
      </w:rPr>
      <w:t xml:space="preserve"> </w:t>
    </w:r>
    <w:r w:rsidR="00323568" w:rsidRPr="00681881">
      <w:rPr>
        <w:sz w:val="18"/>
      </w:rPr>
      <w:t>Guidance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566C" w14:textId="0AA0C9B1" w:rsidR="000D76A1" w:rsidRDefault="000D76A1" w:rsidP="00CB050D">
    <w:pPr>
      <w:pStyle w:val="Header"/>
    </w:pPr>
    <w:r>
      <w:rPr>
        <w:noProof/>
        <w:lang w:eastAsia="en-AU"/>
      </w:rPr>
      <mc:AlternateContent>
        <mc:Choice Requires="wps">
          <w:drawing>
            <wp:anchor distT="0" distB="0" distL="0" distR="0" simplePos="0" relativeHeight="251658244" behindDoc="0" locked="0" layoutInCell="1" allowOverlap="1" wp14:anchorId="55663316" wp14:editId="170F71E8">
              <wp:simplePos x="635" y="635"/>
              <wp:positionH relativeFrom="page">
                <wp:align>center</wp:align>
              </wp:positionH>
              <wp:positionV relativeFrom="page">
                <wp:align>top</wp:align>
              </wp:positionV>
              <wp:extent cx="443865" cy="443865"/>
              <wp:effectExtent l="0" t="0" r="635" b="10795"/>
              <wp:wrapNone/>
              <wp:docPr id="1765365427" name="Text Box 17653654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BC0DDA" w14:textId="566C6299"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63316" id="_x0000_t202" coordsize="21600,21600" o:spt="202" path="m,l,21600r21600,l21600,xe">
              <v:stroke joinstyle="miter"/>
              <v:path gradientshapeok="t" o:connecttype="rect"/>
            </v:shapetype>
            <v:shape id="Text Box 1765365427" o:spid="_x0000_s1035"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1BC0DDA" w14:textId="566C6299"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p w14:paraId="59BD4D37" w14:textId="77777777" w:rsidR="000D76A1" w:rsidRDefault="000D76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ECC4" w14:textId="128FF245" w:rsidR="008F2996" w:rsidRDefault="00000000" w:rsidP="000A6A8B">
    <w:pPr>
      <w:pStyle w:val="Header"/>
    </w:pPr>
    <w:r>
      <w:rPr>
        <w:noProof/>
      </w:rPr>
      <w:pict w14:anchorId="31A3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0.9pt;margin-top:-28.4pt;width:596.15pt;height:842.95pt;z-index:-251658239">
          <v:imagedata r:id="rId1" o:title="Long word cover_blue"/>
        </v:shape>
      </w:pict>
    </w:r>
    <w:sdt>
      <w:sdtPr>
        <w:rPr>
          <w:rStyle w:val="Classification"/>
        </w:rPr>
        <w:alias w:val="Status"/>
        <w:tag w:val=""/>
        <w:id w:val="1135987026"/>
        <w:showingPlcHdr/>
        <w:dataBinding w:prefixMappings="xmlns:ns0='http://purl.org/dc/elements/1.1/' xmlns:ns1='http://schemas.openxmlformats.org/package/2006/metadata/core-properties' " w:xpath="/ns1:coreProperties[1]/ns1:contentStatus[1]" w:storeItemID="{6C3C8BC8-F283-45AE-878A-BAB7291924A1}"/>
        <w:text/>
      </w:sdtPr>
      <w:sdtContent>
        <w:r w:rsidR="00065AE3">
          <w:rPr>
            <w:rStyle w:val="Classification"/>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D4C3" w14:textId="6B9DEF87" w:rsidR="006E6CBD" w:rsidRPr="006A429C" w:rsidRDefault="006E6CBD" w:rsidP="006E6CBD">
    <w:pPr>
      <w:pStyle w:val="Header"/>
      <w:tabs>
        <w:tab w:val="clear" w:pos="7655"/>
        <w:tab w:val="right" w:pos="9637"/>
      </w:tabs>
      <w:jc w:val="left"/>
      <w:rPr>
        <w:sz w:val="16"/>
        <w:szCs w:val="16"/>
      </w:rPr>
    </w:pPr>
    <w:r w:rsidRPr="006A429C">
      <w:rPr>
        <w:sz w:val="16"/>
        <w:szCs w:val="16"/>
      </w:rPr>
      <w:t>OFFICIAL</w:t>
    </w:r>
    <w:r w:rsidR="00994760">
      <w:rPr>
        <w:sz w:val="16"/>
        <w:szCs w:val="16"/>
      </w:rPr>
      <w:t xml:space="preserve"> </w:t>
    </w:r>
    <w:r w:rsidRPr="006A429C">
      <w:rPr>
        <w:sz w:val="16"/>
        <w:szCs w:val="16"/>
      </w:rPr>
      <w:tab/>
      <w:t>Department of Finance</w:t>
    </w:r>
    <w:r w:rsidRPr="006A429C">
      <w:rPr>
        <w:sz w:val="16"/>
        <w:szCs w:val="16"/>
      </w:rPr>
      <w:tab/>
    </w:r>
    <w:r w:rsidRPr="006A429C">
      <w:rPr>
        <w:sz w:val="16"/>
        <w:szCs w:val="16"/>
      </w:rPr>
      <w:tab/>
      <w:t>Attachment</w:t>
    </w:r>
    <w:r w:rsidRPr="006A429C">
      <w:rPr>
        <w:noProof/>
        <w:sz w:val="16"/>
        <w:szCs w:val="16"/>
      </w:rPr>
      <w:t xml:space="preserve"> A</w:t>
    </w:r>
  </w:p>
  <w:p w14:paraId="4C95397A" w14:textId="1843F079" w:rsidR="000D76A1" w:rsidRDefault="000D76A1" w:rsidP="00CB05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06D0" w14:textId="31590C2C" w:rsidR="00323568" w:rsidRPr="00681881" w:rsidRDefault="00C64A1A" w:rsidP="00323568">
    <w:pPr>
      <w:spacing w:before="0" w:after="0" w:line="240" w:lineRule="auto"/>
      <w:ind w:left="3181" w:hanging="771"/>
      <w:jc w:val="right"/>
      <w:rPr>
        <w:sz w:val="18"/>
      </w:rPr>
    </w:pPr>
    <w:r w:rsidRPr="00F611EB">
      <w:rPr>
        <w:sz w:val="16"/>
        <w:szCs w:val="16"/>
      </w:rPr>
      <w:tab/>
    </w:r>
    <w:r w:rsidR="00B77D6E">
      <w:rPr>
        <w:sz w:val="18"/>
      </w:rPr>
      <w:t>Entity</w:t>
    </w:r>
    <w:r w:rsidR="00B77D6E" w:rsidRPr="00681881">
      <w:rPr>
        <w:sz w:val="18"/>
      </w:rPr>
      <w:t xml:space="preserve"> </w:t>
    </w:r>
    <w:r w:rsidR="00323568" w:rsidRPr="00681881">
      <w:rPr>
        <w:sz w:val="18"/>
      </w:rPr>
      <w:t>Guidance</w:t>
    </w:r>
  </w:p>
  <w:p w14:paraId="68F7A2B1" w14:textId="798A2310" w:rsidR="000D76A1" w:rsidRPr="00F611EB" w:rsidRDefault="000D76A1" w:rsidP="00F611EB">
    <w:pPr>
      <w:pStyle w:val="Header"/>
      <w:tabs>
        <w:tab w:val="clear" w:pos="7655"/>
        <w:tab w:val="right" w:pos="9637"/>
      </w:tabs>
      <w:jc w:val="left"/>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3026" w14:textId="5FE53121" w:rsidR="000D76A1" w:rsidRDefault="000D76A1" w:rsidP="00CB050D">
    <w:pPr>
      <w:pStyle w:val="Header"/>
    </w:pPr>
    <w:r>
      <w:rPr>
        <w:noProof/>
        <w:lang w:eastAsia="en-AU"/>
      </w:rPr>
      <mc:AlternateContent>
        <mc:Choice Requires="wps">
          <w:drawing>
            <wp:anchor distT="0" distB="0" distL="0" distR="0" simplePos="0" relativeHeight="251658240" behindDoc="0" locked="0" layoutInCell="1" allowOverlap="1" wp14:anchorId="769A960D" wp14:editId="7353C5EF">
              <wp:simplePos x="635" y="635"/>
              <wp:positionH relativeFrom="page">
                <wp:align>center</wp:align>
              </wp:positionH>
              <wp:positionV relativeFrom="page">
                <wp:align>top</wp:align>
              </wp:positionV>
              <wp:extent cx="443865" cy="443865"/>
              <wp:effectExtent l="0" t="0" r="635" b="10795"/>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4F201C" w14:textId="058FA905"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A960D" id="_x0000_t202" coordsize="21600,21600" o:spt="202" path="m,l,21600r21600,l21600,xe">
              <v:stroke joinstyle="miter"/>
              <v:path gradientshapeok="t" o:connecttype="rect"/>
            </v:shapetype>
            <v:shape id="Text Box 13" o:spid="_x0000_s1031"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4F201C" w14:textId="058FA905"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BE7E" w14:textId="77777777" w:rsidR="006F5B7C" w:rsidRDefault="006F5B7C" w:rsidP="00CB050D">
    <w:pPr>
      <w:pStyle w:val="Header"/>
    </w:pPr>
    <w:r>
      <w:rPr>
        <w:noProof/>
        <w:lang w:eastAsia="en-AU"/>
      </w:rPr>
      <mc:AlternateContent>
        <mc:Choice Requires="wps">
          <w:drawing>
            <wp:anchor distT="0" distB="0" distL="0" distR="0" simplePos="0" relativeHeight="251658246" behindDoc="0" locked="0" layoutInCell="1" allowOverlap="1" wp14:anchorId="1D45DBDC" wp14:editId="1C10499C">
              <wp:simplePos x="635" y="635"/>
              <wp:positionH relativeFrom="page">
                <wp:align>center</wp:align>
              </wp:positionH>
              <wp:positionV relativeFrom="page">
                <wp:align>top</wp:align>
              </wp:positionV>
              <wp:extent cx="443865" cy="443865"/>
              <wp:effectExtent l="0" t="0" r="635" b="10795"/>
              <wp:wrapNone/>
              <wp:docPr id="995857364" name="Text Box 9958573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B00F0" w14:textId="77777777" w:rsidR="006F5B7C" w:rsidRPr="00F611EB" w:rsidRDefault="006F5B7C"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5DBDC" id="_x0000_t202" coordsize="21600,21600" o:spt="202" path="m,l,21600r21600,l21600,xe">
              <v:stroke joinstyle="miter"/>
              <v:path gradientshapeok="t" o:connecttype="rect"/>
            </v:shapetype>
            <v:shape id="Text Box 995857364" o:spid="_x0000_s1032"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34B00F0" w14:textId="77777777" w:rsidR="006F5B7C" w:rsidRPr="00F611EB" w:rsidRDefault="006F5B7C"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p w14:paraId="2296A3A9" w14:textId="77777777" w:rsidR="006F5B7C" w:rsidRDefault="006F5B7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5E12" w14:textId="6FE2B97F" w:rsidR="00323568" w:rsidRPr="00681881" w:rsidRDefault="006F5B7C" w:rsidP="00323568">
    <w:pPr>
      <w:spacing w:before="0" w:after="0" w:line="240" w:lineRule="auto"/>
      <w:ind w:left="3181" w:hanging="771"/>
      <w:jc w:val="right"/>
      <w:rPr>
        <w:sz w:val="18"/>
      </w:rPr>
    </w:pPr>
    <w:r w:rsidRPr="006A429C">
      <w:rPr>
        <w:sz w:val="16"/>
        <w:szCs w:val="16"/>
      </w:rPr>
      <w:tab/>
    </w:r>
    <w:r w:rsidR="00FD0126">
      <w:rPr>
        <w:sz w:val="18"/>
      </w:rPr>
      <w:t>Entity</w:t>
    </w:r>
    <w:r w:rsidR="00FD0126" w:rsidRPr="00681881">
      <w:rPr>
        <w:sz w:val="18"/>
      </w:rPr>
      <w:t xml:space="preserve"> Guidance</w:t>
    </w:r>
  </w:p>
  <w:p w14:paraId="04F32912" w14:textId="6572AEEE" w:rsidR="006F5B7C" w:rsidRPr="00F611EB" w:rsidRDefault="006F5B7C" w:rsidP="00323568">
    <w:pPr>
      <w:pStyle w:val="Header"/>
      <w:tabs>
        <w:tab w:val="clear" w:pos="7655"/>
        <w:tab w:val="right" w:pos="9637"/>
      </w:tabs>
      <w:jc w:val="left"/>
      <w:rPr>
        <w:noProof/>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51D8" w14:textId="77777777" w:rsidR="006F5B7C" w:rsidRDefault="006F5B7C" w:rsidP="00CB050D">
    <w:pPr>
      <w:pStyle w:val="Header"/>
    </w:pPr>
    <w:r>
      <w:rPr>
        <w:noProof/>
        <w:lang w:eastAsia="en-AU"/>
      </w:rPr>
      <mc:AlternateContent>
        <mc:Choice Requires="wps">
          <w:drawing>
            <wp:anchor distT="0" distB="0" distL="0" distR="0" simplePos="0" relativeHeight="251658245" behindDoc="0" locked="0" layoutInCell="1" allowOverlap="1" wp14:anchorId="37E4B279" wp14:editId="5B9FACC3">
              <wp:simplePos x="635" y="635"/>
              <wp:positionH relativeFrom="page">
                <wp:align>center</wp:align>
              </wp:positionH>
              <wp:positionV relativeFrom="page">
                <wp:align>top</wp:align>
              </wp:positionV>
              <wp:extent cx="443865" cy="443865"/>
              <wp:effectExtent l="0" t="0" r="635" b="10795"/>
              <wp:wrapNone/>
              <wp:docPr id="462761604" name="Text Box 46276160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62778" w14:textId="77777777" w:rsidR="006F5B7C" w:rsidRPr="00F611EB" w:rsidRDefault="006F5B7C"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4B279" id="_x0000_t202" coordsize="21600,21600" o:spt="202" path="m,l,21600r21600,l21600,xe">
              <v:stroke joinstyle="miter"/>
              <v:path gradientshapeok="t" o:connecttype="rect"/>
            </v:shapetype>
            <v:shape id="Text Box 462761604" o:spid="_x0000_s1033"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0062778" w14:textId="77777777" w:rsidR="006F5B7C" w:rsidRPr="00F611EB" w:rsidRDefault="006F5B7C"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p w14:paraId="77138BFB" w14:textId="77777777" w:rsidR="006F5B7C" w:rsidRDefault="006F5B7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3DDD" w14:textId="5BEBC69D" w:rsidR="000D76A1" w:rsidRDefault="000D76A1" w:rsidP="00CB050D">
    <w:pPr>
      <w:pStyle w:val="Header"/>
    </w:pPr>
    <w:r>
      <w:rPr>
        <w:noProof/>
        <w:lang w:eastAsia="en-AU"/>
      </w:rPr>
      <mc:AlternateContent>
        <mc:Choice Requires="wps">
          <w:drawing>
            <wp:anchor distT="0" distB="0" distL="0" distR="0" simplePos="0" relativeHeight="251658243" behindDoc="0" locked="0" layoutInCell="1" allowOverlap="1" wp14:anchorId="7F2F6F51" wp14:editId="4E97F512">
              <wp:simplePos x="635" y="635"/>
              <wp:positionH relativeFrom="page">
                <wp:align>center</wp:align>
              </wp:positionH>
              <wp:positionV relativeFrom="page">
                <wp:align>top</wp:align>
              </wp:positionV>
              <wp:extent cx="443865" cy="443865"/>
              <wp:effectExtent l="0" t="0" r="635" b="10795"/>
              <wp:wrapNone/>
              <wp:docPr id="1622730181" name="Text Box 16227301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F4DA4" w14:textId="6F02843C"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F6F51" id="_x0000_t202" coordsize="21600,21600" o:spt="202" path="m,l,21600r21600,l21600,xe">
              <v:stroke joinstyle="miter"/>
              <v:path gradientshapeok="t" o:connecttype="rect"/>
            </v:shapetype>
            <v:shape id="Text Box 1622730181" o:spid="_x0000_s1034"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E6F4DA4" w14:textId="6F02843C"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p w14:paraId="31F03368" w14:textId="77777777" w:rsidR="000D76A1" w:rsidRDefault="000D7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BA4E6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13A891E"/>
    <w:lvl w:ilvl="0">
      <w:start w:val="1"/>
      <w:numFmt w:val="bullet"/>
      <w:pStyle w:val="Bullet1"/>
      <w:lvlText w:val=""/>
      <w:lvlJc w:val="left"/>
      <w:pPr>
        <w:tabs>
          <w:tab w:val="num" w:pos="785"/>
        </w:tabs>
        <w:ind w:left="785" w:hanging="360"/>
      </w:pPr>
      <w:rPr>
        <w:rFonts w:ascii="Symbol" w:hAnsi="Symbol" w:hint="default"/>
      </w:rPr>
    </w:lvl>
  </w:abstractNum>
  <w:abstractNum w:abstractNumId="4" w15:restartNumberingAfterBreak="0">
    <w:nsid w:val="0116642B"/>
    <w:multiLevelType w:val="hybridMultilevel"/>
    <w:tmpl w:val="153859B6"/>
    <w:lvl w:ilvl="0" w:tplc="97589C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8925B3"/>
    <w:multiLevelType w:val="hybridMultilevel"/>
    <w:tmpl w:val="5736359E"/>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7D689F96">
      <w:start w:val="1"/>
      <w:numFmt w:val="bullet"/>
      <w:pStyle w:val="Bullet4"/>
      <w:lvlText w:val="»"/>
      <w:lvlJc w:val="left"/>
      <w:pPr>
        <w:ind w:left="2256" w:hanging="360"/>
      </w:pPr>
      <w:rPr>
        <w:rFonts w:ascii="Arial" w:hAnsi="Arial" w:hint="default"/>
      </w:rPr>
    </w:lvl>
    <w:lvl w:ilvl="3" w:tplc="0C09000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6" w15:restartNumberingAfterBreak="0">
    <w:nsid w:val="06215270"/>
    <w:multiLevelType w:val="hybridMultilevel"/>
    <w:tmpl w:val="4DE6E34A"/>
    <w:lvl w:ilvl="0" w:tplc="5360F4B6">
      <w:start w:val="1"/>
      <w:numFmt w:val="bullet"/>
      <w:pStyle w:val="Bullet3"/>
      <w:lvlText w:val=""/>
      <w:lvlJc w:val="left"/>
      <w:pPr>
        <w:ind w:left="1571" w:hanging="360"/>
      </w:pPr>
      <w:rPr>
        <w:rFonts w:ascii="Symbol" w:hAnsi="Symbol" w:hint="default"/>
      </w:rPr>
    </w:lvl>
    <w:lvl w:ilvl="1" w:tplc="C120A18A">
      <w:numFmt w:val="bullet"/>
      <w:lvlText w:val="-"/>
      <w:lvlJc w:val="left"/>
      <w:pPr>
        <w:ind w:left="720" w:hanging="360"/>
      </w:pPr>
      <w:rPr>
        <w:rFonts w:ascii="Calibri" w:eastAsiaTheme="minorHAnsi" w:hAnsi="Calibri" w:cs="Calibri"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062866C3"/>
    <w:multiLevelType w:val="hybridMultilevel"/>
    <w:tmpl w:val="0E261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7F5DA1"/>
    <w:multiLevelType w:val="hybridMultilevel"/>
    <w:tmpl w:val="5B0E82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2F6B80"/>
    <w:multiLevelType w:val="multilevel"/>
    <w:tmpl w:val="FC9ECCC4"/>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C4C6C25"/>
    <w:multiLevelType w:val="hybridMultilevel"/>
    <w:tmpl w:val="C8145CAC"/>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0C090005">
      <w:start w:val="1"/>
      <w:numFmt w:val="bullet"/>
      <w:lvlText w:val=""/>
      <w:lvlJc w:val="left"/>
      <w:pPr>
        <w:ind w:left="2256" w:hanging="360"/>
      </w:pPr>
      <w:rPr>
        <w:rFonts w:ascii="Wingdings" w:hAnsi="Wingdings" w:hint="default"/>
      </w:rPr>
    </w:lvl>
    <w:lvl w:ilvl="3" w:tplc="A25650F0">
      <w:start w:val="1"/>
      <w:numFmt w:val="bullet"/>
      <w:pStyle w:val="Bullet5"/>
      <w:lvlText w:val="▫"/>
      <w:lvlJc w:val="left"/>
      <w:pPr>
        <w:ind w:left="2976" w:hanging="360"/>
      </w:pPr>
      <w:rPr>
        <w:rFonts w:ascii="Arial" w:hAnsi="Aria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5B24BE"/>
    <w:multiLevelType w:val="hybridMultilevel"/>
    <w:tmpl w:val="26F62A6E"/>
    <w:lvl w:ilvl="0" w:tplc="103E7990">
      <w:start w:val="1"/>
      <w:numFmt w:val="bullet"/>
      <w:pStyle w:val="Boxed2Text-Bullet1"/>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D185843"/>
    <w:multiLevelType w:val="multilevel"/>
    <w:tmpl w:val="1868B212"/>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360" w:hanging="360"/>
      </w:pPr>
      <w:rPr>
        <w:rFonts w:ascii="Arial" w:eastAsia="Times New Roman" w:hAnsi="Arial" w:cs="Times New Roman"/>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C350DE"/>
    <w:multiLevelType w:val="multilevel"/>
    <w:tmpl w:val="887C7146"/>
    <w:lvl w:ilvl="0">
      <w:start w:val="1"/>
      <w:numFmt w:val="decimal"/>
      <w:pStyle w:val="OutlineNumbered1"/>
      <w:lvlText w:val="%1."/>
      <w:lvlJc w:val="left"/>
      <w:pPr>
        <w:tabs>
          <w:tab w:val="num" w:pos="425"/>
        </w:tabs>
        <w:ind w:left="425" w:hanging="425"/>
      </w:pPr>
    </w:lvl>
    <w:lvl w:ilvl="1">
      <w:start w:val="1"/>
      <w:numFmt w:val="decimal"/>
      <w:pStyle w:val="OutlineNumbered2"/>
      <w:lvlText w:val="%1.%2."/>
      <w:lvlJc w:val="left"/>
      <w:pPr>
        <w:tabs>
          <w:tab w:val="num" w:pos="850"/>
        </w:tabs>
        <w:ind w:left="850" w:hanging="425"/>
      </w:pPr>
    </w:lvl>
    <w:lvl w:ilvl="2">
      <w:start w:val="1"/>
      <w:numFmt w:val="decimal"/>
      <w:pStyle w:val="OutlineNumbered3"/>
      <w:lvlText w:val="%1.%2.%3."/>
      <w:lvlJc w:val="left"/>
      <w:pPr>
        <w:tabs>
          <w:tab w:val="num" w:pos="1275"/>
        </w:tabs>
        <w:ind w:left="1275"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31492C"/>
    <w:multiLevelType w:val="hybridMultilevel"/>
    <w:tmpl w:val="0C183610"/>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776BDC"/>
    <w:multiLevelType w:val="hybridMultilevel"/>
    <w:tmpl w:val="FCF637FE"/>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94214C9"/>
    <w:multiLevelType w:val="multilevel"/>
    <w:tmpl w:val="15BC10E0"/>
    <w:styleLink w:val="Bullets"/>
    <w:lvl w:ilvl="0">
      <w:start w:val="1"/>
      <w:numFmt w:val="bullet"/>
      <w:lvlText w:val="•"/>
      <w:lvlJc w:val="left"/>
      <w:pPr>
        <w:tabs>
          <w:tab w:val="num" w:pos="284"/>
        </w:tabs>
        <w:ind w:left="284" w:hanging="284"/>
      </w:pPr>
      <w:rPr>
        <w:rFonts w:ascii="Cambria" w:hAnsi="Cambria" w:hint="default"/>
        <w:color w:val="5BC6E8"/>
      </w:rPr>
    </w:lvl>
    <w:lvl w:ilvl="1">
      <w:start w:val="1"/>
      <w:numFmt w:val="bullet"/>
      <w:lvlText w:val="•"/>
      <w:lvlJc w:val="left"/>
      <w:pPr>
        <w:tabs>
          <w:tab w:val="num" w:pos="567"/>
        </w:tabs>
        <w:ind w:left="567" w:hanging="283"/>
      </w:pPr>
      <w:rPr>
        <w:rFonts w:ascii="Cambria" w:hAnsi="Cambria" w:hint="default"/>
        <w:color w:val="5BC6E8"/>
      </w:rPr>
    </w:lvl>
    <w:lvl w:ilvl="2">
      <w:start w:val="1"/>
      <w:numFmt w:val="bullet"/>
      <w:lvlText w:val="•"/>
      <w:lvlJc w:val="left"/>
      <w:pPr>
        <w:tabs>
          <w:tab w:val="num" w:pos="284"/>
        </w:tabs>
        <w:ind w:left="284" w:hanging="284"/>
      </w:pPr>
      <w:rPr>
        <w:rFonts w:ascii="Cambria" w:hAnsi="Cambria" w:hint="default"/>
        <w:color w:val="5BC6E8"/>
      </w:rPr>
    </w:lvl>
    <w:lvl w:ilvl="3">
      <w:start w:val="1"/>
      <w:numFmt w:val="bullet"/>
      <w:lvlText w:val="•"/>
      <w:lvlJc w:val="left"/>
      <w:pPr>
        <w:tabs>
          <w:tab w:val="num" w:pos="567"/>
        </w:tabs>
        <w:ind w:left="567" w:hanging="283"/>
      </w:pPr>
      <w:rPr>
        <w:rFonts w:ascii="Cambria" w:hAnsi="Cambria" w:hint="default"/>
        <w:color w:val="5BC6E8"/>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14708E"/>
        <w:sz w:val="16"/>
      </w:rPr>
    </w:lvl>
    <w:lvl w:ilvl="6">
      <w:start w:val="1"/>
      <w:numFmt w:val="bullet"/>
      <w:pStyle w:val="Tablebullets2ndindent"/>
      <w:lvlText w:val=""/>
      <w:lvlJc w:val="left"/>
      <w:pPr>
        <w:tabs>
          <w:tab w:val="num" w:pos="437"/>
        </w:tabs>
        <w:ind w:left="437" w:hanging="171"/>
      </w:pPr>
      <w:rPr>
        <w:rFonts w:ascii="Symbol" w:hAnsi="Symbol" w:hint="default"/>
        <w:color w:val="14708E"/>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B8246E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9B159F"/>
    <w:multiLevelType w:val="multilevel"/>
    <w:tmpl w:val="BF828C0C"/>
    <w:styleLink w:val="HeadingsList"/>
    <w:lvl w:ilvl="0">
      <w:start w:val="1"/>
      <w:numFmt w:val="decimal"/>
      <w:lvlText w:val="%1."/>
      <w:lvlJc w:val="left"/>
      <w:pPr>
        <w:ind w:left="567" w:hanging="567"/>
      </w:pPr>
      <w:rPr>
        <w:rFonts w:hint="default"/>
      </w:rPr>
    </w:lvl>
    <w:lvl w:ilvl="1">
      <w:start w:val="1"/>
      <w:numFmt w:val="decimal"/>
      <w:lvlText w:val="%1.%2"/>
      <w:lvlJc w:val="left"/>
      <w:pPr>
        <w:ind w:left="5529"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928"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BF350C3"/>
    <w:multiLevelType w:val="hybridMultilevel"/>
    <w:tmpl w:val="53682D52"/>
    <w:lvl w:ilvl="0" w:tplc="299836E4">
      <w:start w:val="1"/>
      <w:numFmt w:val="bullet"/>
      <w:pStyle w:val="Repor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FE327B"/>
    <w:multiLevelType w:val="hybridMultilevel"/>
    <w:tmpl w:val="4F88A1B8"/>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EAA6B6B"/>
    <w:multiLevelType w:val="hybridMultilevel"/>
    <w:tmpl w:val="3912F07A"/>
    <w:lvl w:ilvl="0" w:tplc="07B05118">
      <w:start w:val="1"/>
      <w:numFmt w:val="bullet"/>
      <w:pStyle w:val="Reports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406BB9"/>
    <w:multiLevelType w:val="hybridMultilevel"/>
    <w:tmpl w:val="B6B8283A"/>
    <w:lvl w:ilvl="0" w:tplc="88522B6A">
      <w:start w:val="1"/>
      <w:numFmt w:val="bullet"/>
      <w:pStyle w:val="Reports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85342A"/>
    <w:multiLevelType w:val="hybridMultilevel"/>
    <w:tmpl w:val="08CA7BC4"/>
    <w:lvl w:ilvl="0" w:tplc="883A8436">
      <w:start w:val="1"/>
      <w:numFmt w:val="lowerLetter"/>
      <w:pStyle w:val="Lettered"/>
      <w:lvlText w:val="%1)"/>
      <w:lvlJc w:val="left"/>
      <w:pPr>
        <w:ind w:left="360" w:hanging="360"/>
      </w:pPr>
      <w:rPr>
        <w:rFonts w:hint="default"/>
        <w:color w:val="auto"/>
      </w:rPr>
    </w:lvl>
    <w:lvl w:ilvl="1" w:tplc="C120A18A">
      <w:numFmt w:val="bullet"/>
      <w:lvlText w:val="-"/>
      <w:lvlJc w:val="left"/>
      <w:pPr>
        <w:ind w:left="72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0DE7F83"/>
    <w:multiLevelType w:val="hybridMultilevel"/>
    <w:tmpl w:val="44804D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1A67BF6"/>
    <w:multiLevelType w:val="hybridMultilevel"/>
    <w:tmpl w:val="C1928B5C"/>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1C51D87"/>
    <w:multiLevelType w:val="hybridMultilevel"/>
    <w:tmpl w:val="11A08FBE"/>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9A7704D"/>
    <w:multiLevelType w:val="hybridMultilevel"/>
    <w:tmpl w:val="2EB2C5AE"/>
    <w:lvl w:ilvl="0" w:tplc="8EE44D74">
      <w:start w:val="1"/>
      <w:numFmt w:val="bullet"/>
      <w:pStyle w:val="TableText-Medium-DotPoints"/>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0"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31" w15:restartNumberingAfterBreak="0">
    <w:nsid w:val="3DB633C1"/>
    <w:multiLevelType w:val="hybridMultilevel"/>
    <w:tmpl w:val="7C2C47D2"/>
    <w:lvl w:ilvl="0" w:tplc="0C090005">
      <w:start w:val="1"/>
      <w:numFmt w:val="bullet"/>
      <w:lvlText w:val=""/>
      <w:lvlJc w:val="left"/>
      <w:pPr>
        <w:ind w:left="1024" w:hanging="360"/>
      </w:pPr>
      <w:rPr>
        <w:rFonts w:ascii="Wingdings" w:hAnsi="Wingdings" w:hint="default"/>
      </w:rPr>
    </w:lvl>
    <w:lvl w:ilvl="1" w:tplc="0C090003" w:tentative="1">
      <w:start w:val="1"/>
      <w:numFmt w:val="bullet"/>
      <w:lvlText w:val="o"/>
      <w:lvlJc w:val="left"/>
      <w:pPr>
        <w:ind w:left="1744" w:hanging="360"/>
      </w:pPr>
      <w:rPr>
        <w:rFonts w:ascii="Courier New" w:hAnsi="Courier New" w:cs="Courier New" w:hint="default"/>
      </w:rPr>
    </w:lvl>
    <w:lvl w:ilvl="2" w:tplc="0C090005" w:tentative="1">
      <w:start w:val="1"/>
      <w:numFmt w:val="bullet"/>
      <w:lvlText w:val=""/>
      <w:lvlJc w:val="left"/>
      <w:pPr>
        <w:ind w:left="2464" w:hanging="360"/>
      </w:pPr>
      <w:rPr>
        <w:rFonts w:ascii="Wingdings" w:hAnsi="Wingdings" w:hint="default"/>
      </w:rPr>
    </w:lvl>
    <w:lvl w:ilvl="3" w:tplc="0C090001" w:tentative="1">
      <w:start w:val="1"/>
      <w:numFmt w:val="bullet"/>
      <w:lvlText w:val=""/>
      <w:lvlJc w:val="left"/>
      <w:pPr>
        <w:ind w:left="3184" w:hanging="360"/>
      </w:pPr>
      <w:rPr>
        <w:rFonts w:ascii="Symbol" w:hAnsi="Symbol" w:hint="default"/>
      </w:rPr>
    </w:lvl>
    <w:lvl w:ilvl="4" w:tplc="0C090003" w:tentative="1">
      <w:start w:val="1"/>
      <w:numFmt w:val="bullet"/>
      <w:lvlText w:val="o"/>
      <w:lvlJc w:val="left"/>
      <w:pPr>
        <w:ind w:left="3904" w:hanging="360"/>
      </w:pPr>
      <w:rPr>
        <w:rFonts w:ascii="Courier New" w:hAnsi="Courier New" w:cs="Courier New" w:hint="default"/>
      </w:rPr>
    </w:lvl>
    <w:lvl w:ilvl="5" w:tplc="0C090005" w:tentative="1">
      <w:start w:val="1"/>
      <w:numFmt w:val="bullet"/>
      <w:lvlText w:val=""/>
      <w:lvlJc w:val="left"/>
      <w:pPr>
        <w:ind w:left="4624" w:hanging="360"/>
      </w:pPr>
      <w:rPr>
        <w:rFonts w:ascii="Wingdings" w:hAnsi="Wingdings" w:hint="default"/>
      </w:rPr>
    </w:lvl>
    <w:lvl w:ilvl="6" w:tplc="0C090001" w:tentative="1">
      <w:start w:val="1"/>
      <w:numFmt w:val="bullet"/>
      <w:lvlText w:val=""/>
      <w:lvlJc w:val="left"/>
      <w:pPr>
        <w:ind w:left="5344" w:hanging="360"/>
      </w:pPr>
      <w:rPr>
        <w:rFonts w:ascii="Symbol" w:hAnsi="Symbol" w:hint="default"/>
      </w:rPr>
    </w:lvl>
    <w:lvl w:ilvl="7" w:tplc="0C090003" w:tentative="1">
      <w:start w:val="1"/>
      <w:numFmt w:val="bullet"/>
      <w:lvlText w:val="o"/>
      <w:lvlJc w:val="left"/>
      <w:pPr>
        <w:ind w:left="6064" w:hanging="360"/>
      </w:pPr>
      <w:rPr>
        <w:rFonts w:ascii="Courier New" w:hAnsi="Courier New" w:cs="Courier New" w:hint="default"/>
      </w:rPr>
    </w:lvl>
    <w:lvl w:ilvl="8" w:tplc="0C090005" w:tentative="1">
      <w:start w:val="1"/>
      <w:numFmt w:val="bullet"/>
      <w:lvlText w:val=""/>
      <w:lvlJc w:val="left"/>
      <w:pPr>
        <w:ind w:left="6784" w:hanging="360"/>
      </w:pPr>
      <w:rPr>
        <w:rFonts w:ascii="Wingdings" w:hAnsi="Wingdings" w:hint="default"/>
      </w:rPr>
    </w:lvl>
  </w:abstractNum>
  <w:abstractNum w:abstractNumId="32" w15:restartNumberingAfterBreak="0">
    <w:nsid w:val="43FB49B7"/>
    <w:multiLevelType w:val="singleLevel"/>
    <w:tmpl w:val="9EDE5682"/>
    <w:name w:val="Alpha Paragraph"/>
    <w:lvl w:ilvl="0">
      <w:start w:val="1"/>
      <w:numFmt w:val="lowerLetter"/>
      <w:lvlRestart w:val="0"/>
      <w:lvlText w:val="(%1)"/>
      <w:lvlJc w:val="left"/>
      <w:pPr>
        <w:tabs>
          <w:tab w:val="num" w:pos="567"/>
        </w:tabs>
        <w:ind w:left="567" w:hanging="567"/>
      </w:pPr>
      <w:rPr>
        <w:b w:val="0"/>
        <w:i w:val="0"/>
        <w:color w:val="000000"/>
      </w:rPr>
    </w:lvl>
  </w:abstractNum>
  <w:abstractNum w:abstractNumId="33" w15:restartNumberingAfterBreak="0">
    <w:nsid w:val="469330DA"/>
    <w:multiLevelType w:val="hybridMultilevel"/>
    <w:tmpl w:val="56B83D3C"/>
    <w:lvl w:ilvl="0" w:tplc="0C09000F">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97124E"/>
    <w:multiLevelType w:val="hybridMultilevel"/>
    <w:tmpl w:val="AB964362"/>
    <w:lvl w:ilvl="0" w:tplc="84727AC4">
      <w:start w:val="1"/>
      <w:numFmt w:val="bullet"/>
      <w:pStyle w:val="TableText-Normal-DotPoint"/>
      <w:lvlText w:val=""/>
      <w:lvlJc w:val="left"/>
      <w:pPr>
        <w:ind w:left="490" w:hanging="360"/>
      </w:pPr>
      <w:rPr>
        <w:rFonts w:ascii="Symbol" w:hAnsi="Symbol" w:hint="default"/>
      </w:rPr>
    </w:lvl>
    <w:lvl w:ilvl="1" w:tplc="0C090003" w:tentative="1">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1930" w:hanging="360"/>
      </w:pPr>
      <w:rPr>
        <w:rFonts w:ascii="Wingdings" w:hAnsi="Wingdings" w:hint="default"/>
      </w:rPr>
    </w:lvl>
    <w:lvl w:ilvl="3" w:tplc="0C090001" w:tentative="1">
      <w:start w:val="1"/>
      <w:numFmt w:val="bullet"/>
      <w:lvlText w:val=""/>
      <w:lvlJc w:val="left"/>
      <w:pPr>
        <w:ind w:left="2650" w:hanging="360"/>
      </w:pPr>
      <w:rPr>
        <w:rFonts w:ascii="Symbol" w:hAnsi="Symbol" w:hint="default"/>
      </w:rPr>
    </w:lvl>
    <w:lvl w:ilvl="4" w:tplc="0C090003" w:tentative="1">
      <w:start w:val="1"/>
      <w:numFmt w:val="bullet"/>
      <w:lvlText w:val="o"/>
      <w:lvlJc w:val="left"/>
      <w:pPr>
        <w:ind w:left="3370" w:hanging="360"/>
      </w:pPr>
      <w:rPr>
        <w:rFonts w:ascii="Courier New" w:hAnsi="Courier New" w:cs="Courier New" w:hint="default"/>
      </w:rPr>
    </w:lvl>
    <w:lvl w:ilvl="5" w:tplc="0C090005" w:tentative="1">
      <w:start w:val="1"/>
      <w:numFmt w:val="bullet"/>
      <w:lvlText w:val=""/>
      <w:lvlJc w:val="left"/>
      <w:pPr>
        <w:ind w:left="4090" w:hanging="360"/>
      </w:pPr>
      <w:rPr>
        <w:rFonts w:ascii="Wingdings" w:hAnsi="Wingdings" w:hint="default"/>
      </w:rPr>
    </w:lvl>
    <w:lvl w:ilvl="6" w:tplc="0C090001" w:tentative="1">
      <w:start w:val="1"/>
      <w:numFmt w:val="bullet"/>
      <w:lvlText w:val=""/>
      <w:lvlJc w:val="left"/>
      <w:pPr>
        <w:ind w:left="4810" w:hanging="360"/>
      </w:pPr>
      <w:rPr>
        <w:rFonts w:ascii="Symbol" w:hAnsi="Symbol" w:hint="default"/>
      </w:rPr>
    </w:lvl>
    <w:lvl w:ilvl="7" w:tplc="0C090003" w:tentative="1">
      <w:start w:val="1"/>
      <w:numFmt w:val="bullet"/>
      <w:lvlText w:val="o"/>
      <w:lvlJc w:val="left"/>
      <w:pPr>
        <w:ind w:left="5530" w:hanging="360"/>
      </w:pPr>
      <w:rPr>
        <w:rFonts w:ascii="Courier New" w:hAnsi="Courier New" w:cs="Courier New" w:hint="default"/>
      </w:rPr>
    </w:lvl>
    <w:lvl w:ilvl="8" w:tplc="0C090005" w:tentative="1">
      <w:start w:val="1"/>
      <w:numFmt w:val="bullet"/>
      <w:lvlText w:val=""/>
      <w:lvlJc w:val="left"/>
      <w:pPr>
        <w:ind w:left="6250" w:hanging="360"/>
      </w:pPr>
      <w:rPr>
        <w:rFonts w:ascii="Wingdings" w:hAnsi="Wingdings" w:hint="default"/>
      </w:rPr>
    </w:lvl>
  </w:abstractNum>
  <w:abstractNum w:abstractNumId="35" w15:restartNumberingAfterBreak="0">
    <w:nsid w:val="4F1523F7"/>
    <w:multiLevelType w:val="multilevel"/>
    <w:tmpl w:val="AA8AE88E"/>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542"/>
        </w:tabs>
        <w:ind w:left="7542"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decimal"/>
      <w:lvlRestart w:val="0"/>
      <w:suff w:val="space"/>
      <w:lvlText w:val="Figure %7:"/>
      <w:lvlJc w:val="left"/>
      <w:pPr>
        <w:ind w:left="0" w:firstLine="0"/>
      </w:pPr>
      <w:rPr>
        <w:rFonts w:hint="default"/>
      </w:rPr>
    </w:lvl>
    <w:lvl w:ilvl="7">
      <w:start w:val="1"/>
      <w:numFmt w:val="decimal"/>
      <w:lvlRestart w:val="0"/>
      <w:suff w:val="space"/>
      <w:lvlText w:val="Note %8:"/>
      <w:lvlJc w:val="left"/>
      <w:pPr>
        <w:ind w:left="0" w:firstLine="0"/>
      </w:pPr>
      <w:rPr>
        <w:rFonts w:hint="default"/>
      </w:rPr>
    </w:lvl>
    <w:lvl w:ilvl="8">
      <w:start w:val="1"/>
      <w:numFmt w:val="decimal"/>
      <w:lvlRestart w:val="1"/>
      <w:suff w:val="space"/>
      <w:lvlText w:val="Table %1.%9:"/>
      <w:lvlJc w:val="left"/>
      <w:pPr>
        <w:ind w:left="0" w:firstLine="0"/>
      </w:pPr>
      <w:rPr>
        <w:rFonts w:hint="default"/>
      </w:rPr>
    </w:lvl>
  </w:abstractNum>
  <w:abstractNum w:abstractNumId="36" w15:restartNumberingAfterBreak="0">
    <w:nsid w:val="4FD617A6"/>
    <w:multiLevelType w:val="multilevel"/>
    <w:tmpl w:val="136A11C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992"/>
        </w:tabs>
        <w:ind w:left="992" w:hanging="472"/>
      </w:pPr>
      <w:rPr>
        <w:rFonts w:ascii="Times New Roman" w:hAnsi="Times New Roman" w:cs="Times New Roman"/>
      </w:rPr>
    </w:lvl>
    <w:lvl w:ilvl="2">
      <w:start w:val="1"/>
      <w:numFmt w:val="bullet"/>
      <w:lvlText w:val=":"/>
      <w:lvlJc w:val="left"/>
      <w:pPr>
        <w:tabs>
          <w:tab w:val="num" w:pos="1464"/>
        </w:tabs>
        <w:ind w:left="1464"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137C62"/>
    <w:multiLevelType w:val="hybridMultilevel"/>
    <w:tmpl w:val="0406BD90"/>
    <w:lvl w:ilvl="0" w:tplc="0C090005">
      <w:start w:val="1"/>
      <w:numFmt w:val="bullet"/>
      <w:lvlText w:val=""/>
      <w:lvlJc w:val="left"/>
      <w:pPr>
        <w:ind w:left="850" w:hanging="360"/>
      </w:pPr>
      <w:rPr>
        <w:rFonts w:ascii="Wingdings" w:hAnsi="Wingdings"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38" w15:restartNumberingAfterBreak="0">
    <w:nsid w:val="55F26A75"/>
    <w:multiLevelType w:val="hybridMultilevel"/>
    <w:tmpl w:val="1E5AB388"/>
    <w:lvl w:ilvl="0" w:tplc="0C09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62105CF"/>
    <w:multiLevelType w:val="hybridMultilevel"/>
    <w:tmpl w:val="2EF273DA"/>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6BC2D5C"/>
    <w:multiLevelType w:val="hybridMultilevel"/>
    <w:tmpl w:val="C1928B5C"/>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2" w15:restartNumberingAfterBreak="0">
    <w:nsid w:val="5A2912D4"/>
    <w:multiLevelType w:val="multilevel"/>
    <w:tmpl w:val="5B5C3386"/>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47696A"/>
    <w:multiLevelType w:val="hybridMultilevel"/>
    <w:tmpl w:val="C6C2B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A053F2"/>
    <w:multiLevelType w:val="hybridMultilevel"/>
    <w:tmpl w:val="B3B46F80"/>
    <w:lvl w:ilvl="0" w:tplc="DD50C990">
      <w:start w:val="1"/>
      <w:numFmt w:val="bullet"/>
      <w:pStyle w:val="TableTex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C6743E"/>
    <w:multiLevelType w:val="multilevel"/>
    <w:tmpl w:val="5BAA0F78"/>
    <w:lvl w:ilvl="0">
      <w:start w:val="1"/>
      <w:numFmt w:val="decimal"/>
      <w:pStyle w:val="Heading1"/>
      <w:lvlText w:val="%1"/>
      <w:lvlJc w:val="left"/>
      <w:pPr>
        <w:ind w:left="114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8516" w:hanging="720"/>
      </w:pPr>
      <w:rPr>
        <w:rFonts w:hint="default"/>
      </w:rPr>
    </w:lvl>
    <w:lvl w:ilvl="3">
      <w:start w:val="1"/>
      <w:numFmt w:val="decimal"/>
      <w:pStyle w:val="Heading4"/>
      <w:lvlText w:val="%1.%2.%3.%4"/>
      <w:lvlJc w:val="left"/>
      <w:pPr>
        <w:ind w:left="1857" w:hanging="864"/>
      </w:pPr>
      <w:rPr>
        <w:rFonts w:hint="default"/>
        <w:b w:val="0"/>
        <w:bCs/>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5CF55B8D"/>
    <w:multiLevelType w:val="hybridMultilevel"/>
    <w:tmpl w:val="E91EE160"/>
    <w:lvl w:ilvl="0" w:tplc="0C090005">
      <w:start w:val="1"/>
      <w:numFmt w:val="bullet"/>
      <w:lvlText w:val=""/>
      <w:lvlJc w:val="left"/>
      <w:pPr>
        <w:ind w:left="850" w:hanging="360"/>
      </w:pPr>
      <w:rPr>
        <w:rFonts w:ascii="Wingdings" w:hAnsi="Wingdings"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4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8" w15:restartNumberingAfterBreak="0">
    <w:nsid w:val="5E6874D5"/>
    <w:multiLevelType w:val="hybridMultilevel"/>
    <w:tmpl w:val="4592749A"/>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FB746CA"/>
    <w:multiLevelType w:val="multilevel"/>
    <w:tmpl w:val="FC9ECCC4"/>
    <w:numStyleLink w:val="Numberedlist"/>
  </w:abstractNum>
  <w:abstractNum w:abstractNumId="50" w15:restartNumberingAfterBreak="0">
    <w:nsid w:val="5FB97BCA"/>
    <w:multiLevelType w:val="multilevel"/>
    <w:tmpl w:val="402AEC22"/>
    <w:lvl w:ilvl="0">
      <w:start w:val="1"/>
      <w:numFmt w:val="decimal"/>
      <w:lvlText w:val="%1."/>
      <w:lvlJc w:val="left"/>
      <w:pPr>
        <w:ind w:left="284" w:hanging="284"/>
      </w:pPr>
      <w:rPr>
        <w:rFonts w:hint="default"/>
      </w:rPr>
    </w:lvl>
    <w:lvl w:ilvl="1">
      <w:start w:val="1"/>
      <w:numFmt w:val="decimal"/>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1" w15:restartNumberingAfterBreak="0">
    <w:nsid w:val="636A2B8D"/>
    <w:multiLevelType w:val="hybridMultilevel"/>
    <w:tmpl w:val="3C562292"/>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6AE754E"/>
    <w:multiLevelType w:val="hybridMultilevel"/>
    <w:tmpl w:val="1666AD14"/>
    <w:lvl w:ilvl="0" w:tplc="0C42AF5A">
      <w:start w:val="1"/>
      <w:numFmt w:val="bullet"/>
      <w:pStyle w:val="Bullet2"/>
      <w:lvlText w:val=""/>
      <w:lvlJc w:val="left"/>
      <w:pPr>
        <w:ind w:left="785"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8223251"/>
    <w:multiLevelType w:val="hybridMultilevel"/>
    <w:tmpl w:val="1618F458"/>
    <w:lvl w:ilvl="0" w:tplc="A04ABC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ECE2292"/>
    <w:multiLevelType w:val="hybridMultilevel"/>
    <w:tmpl w:val="025487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6"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7" w15:restartNumberingAfterBreak="0">
    <w:nsid w:val="75F05A6A"/>
    <w:multiLevelType w:val="hybridMultilevel"/>
    <w:tmpl w:val="7C2E7720"/>
    <w:lvl w:ilvl="0" w:tplc="937EE2EA">
      <w:start w:val="1"/>
      <w:numFmt w:val="lowerLetter"/>
      <w:pStyle w:val="LetteredList"/>
      <w:lvlText w:val="%1."/>
      <w:lvlJc w:val="left"/>
      <w:pPr>
        <w:ind w:left="717" w:hanging="360"/>
      </w:p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8" w15:restartNumberingAfterBreak="0">
    <w:nsid w:val="77067A8B"/>
    <w:multiLevelType w:val="hybridMultilevel"/>
    <w:tmpl w:val="38627860"/>
    <w:lvl w:ilvl="0" w:tplc="781E763E">
      <w:start w:val="1"/>
      <w:numFmt w:val="decimal"/>
      <w:pStyle w:val="Numbered"/>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8924434"/>
    <w:multiLevelType w:val="hybridMultilevel"/>
    <w:tmpl w:val="72B062F0"/>
    <w:lvl w:ilvl="0" w:tplc="0C09000F">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A1F3CF6"/>
    <w:multiLevelType w:val="hybridMultilevel"/>
    <w:tmpl w:val="C1928B5C"/>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C6468F4"/>
    <w:multiLevelType w:val="hybridMultilevel"/>
    <w:tmpl w:val="8A7AF19E"/>
    <w:lvl w:ilvl="0" w:tplc="E08CE728">
      <w:start w:val="1"/>
      <w:numFmt w:val="bullet"/>
      <w:pStyle w:val="ListBullet5"/>
      <w:lvlText w:val="▪"/>
      <w:lvlJc w:val="left"/>
      <w:pPr>
        <w:ind w:left="1004" w:hanging="360"/>
      </w:pPr>
      <w:rPr>
        <w:rFonts w:ascii="Arial" w:hAnsi="Arial" w:hint="default"/>
      </w:rPr>
    </w:lvl>
    <w:lvl w:ilvl="1" w:tplc="DCBCD73A">
      <w:numFmt w:val="bullet"/>
      <w:lvlText w:val="-"/>
      <w:lvlJc w:val="left"/>
      <w:pPr>
        <w:ind w:left="1724" w:hanging="360"/>
      </w:pPr>
      <w:rPr>
        <w:rFonts w:ascii="Arial" w:eastAsia="Cambria" w:hAnsi="Arial" w:cs="Arial" w:hint="default"/>
        <w:b/>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2" w15:restartNumberingAfterBreak="0">
    <w:nsid w:val="7FDE363A"/>
    <w:multiLevelType w:val="hybridMultilevel"/>
    <w:tmpl w:val="335EEAC0"/>
    <w:lvl w:ilvl="0" w:tplc="5A980F64">
      <w:start w:val="1"/>
      <w:numFmt w:val="lowerLetter"/>
      <w:lvlText w:val="(%1)"/>
      <w:lvlJc w:val="left"/>
      <w:pPr>
        <w:ind w:left="816" w:hanging="360"/>
      </w:pPr>
      <w:rPr>
        <w:rFonts w:hint="default"/>
      </w:rPr>
    </w:lvl>
    <w:lvl w:ilvl="1" w:tplc="0C090019" w:tentative="1">
      <w:start w:val="1"/>
      <w:numFmt w:val="lowerLetter"/>
      <w:lvlText w:val="%2."/>
      <w:lvlJc w:val="left"/>
      <w:pPr>
        <w:ind w:left="1536" w:hanging="360"/>
      </w:pPr>
    </w:lvl>
    <w:lvl w:ilvl="2" w:tplc="0C09001B" w:tentative="1">
      <w:start w:val="1"/>
      <w:numFmt w:val="lowerRoman"/>
      <w:lvlText w:val="%3."/>
      <w:lvlJc w:val="right"/>
      <w:pPr>
        <w:ind w:left="2256" w:hanging="180"/>
      </w:pPr>
    </w:lvl>
    <w:lvl w:ilvl="3" w:tplc="0C09000F" w:tentative="1">
      <w:start w:val="1"/>
      <w:numFmt w:val="decimal"/>
      <w:lvlText w:val="%4."/>
      <w:lvlJc w:val="left"/>
      <w:pPr>
        <w:ind w:left="2976" w:hanging="360"/>
      </w:pPr>
    </w:lvl>
    <w:lvl w:ilvl="4" w:tplc="0C090019" w:tentative="1">
      <w:start w:val="1"/>
      <w:numFmt w:val="lowerLetter"/>
      <w:lvlText w:val="%5."/>
      <w:lvlJc w:val="left"/>
      <w:pPr>
        <w:ind w:left="3696" w:hanging="360"/>
      </w:pPr>
    </w:lvl>
    <w:lvl w:ilvl="5" w:tplc="0C09001B" w:tentative="1">
      <w:start w:val="1"/>
      <w:numFmt w:val="lowerRoman"/>
      <w:lvlText w:val="%6."/>
      <w:lvlJc w:val="right"/>
      <w:pPr>
        <w:ind w:left="4416" w:hanging="180"/>
      </w:pPr>
    </w:lvl>
    <w:lvl w:ilvl="6" w:tplc="0C09000F" w:tentative="1">
      <w:start w:val="1"/>
      <w:numFmt w:val="decimal"/>
      <w:lvlText w:val="%7."/>
      <w:lvlJc w:val="left"/>
      <w:pPr>
        <w:ind w:left="5136" w:hanging="360"/>
      </w:pPr>
    </w:lvl>
    <w:lvl w:ilvl="7" w:tplc="0C090019" w:tentative="1">
      <w:start w:val="1"/>
      <w:numFmt w:val="lowerLetter"/>
      <w:lvlText w:val="%8."/>
      <w:lvlJc w:val="left"/>
      <w:pPr>
        <w:ind w:left="5856" w:hanging="360"/>
      </w:pPr>
    </w:lvl>
    <w:lvl w:ilvl="8" w:tplc="0C09001B" w:tentative="1">
      <w:start w:val="1"/>
      <w:numFmt w:val="lowerRoman"/>
      <w:lvlText w:val="%9."/>
      <w:lvlJc w:val="right"/>
      <w:pPr>
        <w:ind w:left="6576" w:hanging="180"/>
      </w:pPr>
    </w:lvl>
  </w:abstractNum>
  <w:num w:numId="1" w16cid:durableId="1292521563">
    <w:abstractNumId w:val="55"/>
  </w:num>
  <w:num w:numId="2" w16cid:durableId="564221359">
    <w:abstractNumId w:val="9"/>
  </w:num>
  <w:num w:numId="3" w16cid:durableId="1030953258">
    <w:abstractNumId w:val="20"/>
  </w:num>
  <w:num w:numId="4" w16cid:durableId="1033654217">
    <w:abstractNumId w:val="41"/>
  </w:num>
  <w:num w:numId="5" w16cid:durableId="602373875">
    <w:abstractNumId w:val="47"/>
  </w:num>
  <w:num w:numId="6" w16cid:durableId="1681665704">
    <w:abstractNumId w:val="3"/>
  </w:num>
  <w:num w:numId="7" w16cid:durableId="1823036315">
    <w:abstractNumId w:val="2"/>
  </w:num>
  <w:num w:numId="8" w16cid:durableId="969674112">
    <w:abstractNumId w:val="35"/>
  </w:num>
  <w:num w:numId="9" w16cid:durableId="855920696">
    <w:abstractNumId w:val="18"/>
  </w:num>
  <w:num w:numId="10" w16cid:durableId="1771390400">
    <w:abstractNumId w:val="19"/>
  </w:num>
  <w:num w:numId="11" w16cid:durableId="19454568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9879445">
    <w:abstractNumId w:val="52"/>
  </w:num>
  <w:num w:numId="13" w16cid:durableId="728848870">
    <w:abstractNumId w:val="50"/>
  </w:num>
  <w:num w:numId="14" w16cid:durableId="586233613">
    <w:abstractNumId w:val="24"/>
  </w:num>
  <w:num w:numId="15" w16cid:durableId="2080205148">
    <w:abstractNumId w:val="62"/>
  </w:num>
  <w:num w:numId="16" w16cid:durableId="1779907856">
    <w:abstractNumId w:val="5"/>
  </w:num>
  <w:num w:numId="17" w16cid:durableId="1006521945">
    <w:abstractNumId w:val="10"/>
  </w:num>
  <w:num w:numId="18" w16cid:durableId="1405956436">
    <w:abstractNumId w:val="34"/>
  </w:num>
  <w:num w:numId="19" w16cid:durableId="198051491">
    <w:abstractNumId w:val="12"/>
  </w:num>
  <w:num w:numId="20" w16cid:durableId="1460488707">
    <w:abstractNumId w:val="44"/>
  </w:num>
  <w:num w:numId="21" w16cid:durableId="166482490">
    <w:abstractNumId w:val="59"/>
    <w:lvlOverride w:ilvl="0">
      <w:startOverride w:val="1"/>
    </w:lvlOverride>
  </w:num>
  <w:num w:numId="22" w16cid:durableId="379398501">
    <w:abstractNumId w:val="25"/>
  </w:num>
  <w:num w:numId="23" w16cid:durableId="721708766">
    <w:abstractNumId w:val="28"/>
  </w:num>
  <w:num w:numId="24" w16cid:durableId="462961584">
    <w:abstractNumId w:val="39"/>
  </w:num>
  <w:num w:numId="25" w16cid:durableId="670790405">
    <w:abstractNumId w:val="48"/>
  </w:num>
  <w:num w:numId="26" w16cid:durableId="86315320">
    <w:abstractNumId w:val="40"/>
  </w:num>
  <w:num w:numId="27" w16cid:durableId="247812584">
    <w:abstractNumId w:val="22"/>
  </w:num>
  <w:num w:numId="28" w16cid:durableId="1519852457">
    <w:abstractNumId w:val="17"/>
  </w:num>
  <w:num w:numId="29" w16cid:durableId="2141455315">
    <w:abstractNumId w:val="57"/>
  </w:num>
  <w:num w:numId="30" w16cid:durableId="666710068">
    <w:abstractNumId w:val="23"/>
  </w:num>
  <w:num w:numId="31" w16cid:durableId="28575200">
    <w:abstractNumId w:val="61"/>
  </w:num>
  <w:num w:numId="32" w16cid:durableId="1418592500">
    <w:abstractNumId w:val="30"/>
  </w:num>
  <w:num w:numId="33" w16cid:durableId="1791896051">
    <w:abstractNumId w:val="30"/>
    <w:lvlOverride w:ilvl="0">
      <w:startOverride w:val="1"/>
    </w:lvlOverride>
  </w:num>
  <w:num w:numId="34" w16cid:durableId="361562390">
    <w:abstractNumId w:val="21"/>
  </w:num>
  <w:num w:numId="35" w16cid:durableId="1763840603">
    <w:abstractNumId w:val="51"/>
  </w:num>
  <w:num w:numId="36" w16cid:durableId="547227931">
    <w:abstractNumId w:val="6"/>
  </w:num>
  <w:num w:numId="37" w16cid:durableId="1539506283">
    <w:abstractNumId w:val="33"/>
  </w:num>
  <w:num w:numId="38" w16cid:durableId="1510873812">
    <w:abstractNumId w:val="38"/>
  </w:num>
  <w:num w:numId="39" w16cid:durableId="1585072013">
    <w:abstractNumId w:val="13"/>
  </w:num>
  <w:num w:numId="40" w16cid:durableId="2104523317">
    <w:abstractNumId w:val="11"/>
  </w:num>
  <w:num w:numId="41" w16cid:durableId="830868719">
    <w:abstractNumId w:val="45"/>
  </w:num>
  <w:num w:numId="42" w16cid:durableId="1460681799">
    <w:abstractNumId w:val="27"/>
  </w:num>
  <w:num w:numId="43" w16cid:durableId="1640962954">
    <w:abstractNumId w:val="60"/>
  </w:num>
  <w:num w:numId="44" w16cid:durableId="1363945524">
    <w:abstractNumId w:val="16"/>
  </w:num>
  <w:num w:numId="45" w16cid:durableId="11809761">
    <w:abstractNumId w:val="58"/>
  </w:num>
  <w:num w:numId="46" w16cid:durableId="673071766">
    <w:abstractNumId w:val="58"/>
    <w:lvlOverride w:ilvl="0">
      <w:startOverride w:val="1"/>
    </w:lvlOverride>
  </w:num>
  <w:num w:numId="47" w16cid:durableId="2108847086">
    <w:abstractNumId w:val="58"/>
    <w:lvlOverride w:ilvl="0">
      <w:startOverride w:val="1"/>
    </w:lvlOverride>
  </w:num>
  <w:num w:numId="48" w16cid:durableId="131561384">
    <w:abstractNumId w:val="58"/>
    <w:lvlOverride w:ilvl="0">
      <w:startOverride w:val="1"/>
    </w:lvlOverride>
  </w:num>
  <w:num w:numId="49" w16cid:durableId="1797797432">
    <w:abstractNumId w:val="58"/>
    <w:lvlOverride w:ilvl="0">
      <w:startOverride w:val="1"/>
    </w:lvlOverride>
  </w:num>
  <w:num w:numId="50" w16cid:durableId="368992213">
    <w:abstractNumId w:val="58"/>
    <w:lvlOverride w:ilvl="0">
      <w:startOverride w:val="1"/>
    </w:lvlOverride>
  </w:num>
  <w:num w:numId="51" w16cid:durableId="1393581539">
    <w:abstractNumId w:val="58"/>
    <w:lvlOverride w:ilvl="0">
      <w:startOverride w:val="1"/>
    </w:lvlOverride>
  </w:num>
  <w:num w:numId="52" w16cid:durableId="878710265">
    <w:abstractNumId w:val="58"/>
    <w:lvlOverride w:ilvl="0">
      <w:startOverride w:val="1"/>
    </w:lvlOverride>
  </w:num>
  <w:num w:numId="53" w16cid:durableId="16036890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2072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42057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79729420">
    <w:abstractNumId w:val="1"/>
  </w:num>
  <w:num w:numId="57" w16cid:durableId="1318654634">
    <w:abstractNumId w:val="0"/>
  </w:num>
  <w:num w:numId="58" w16cid:durableId="1128089190">
    <w:abstractNumId w:val="53"/>
  </w:num>
  <w:num w:numId="59" w16cid:durableId="1737240802">
    <w:abstractNumId w:val="4"/>
  </w:num>
  <w:num w:numId="60" w16cid:durableId="696123860">
    <w:abstractNumId w:val="56"/>
  </w:num>
  <w:num w:numId="61" w16cid:durableId="1305045607">
    <w:abstractNumId w:val="14"/>
    <w:lvlOverride w:ilvl="0">
      <w:startOverride w:val="1"/>
    </w:lvlOverride>
  </w:num>
  <w:num w:numId="62" w16cid:durableId="806627516">
    <w:abstractNumId w:val="45"/>
  </w:num>
  <w:num w:numId="63" w16cid:durableId="786781451">
    <w:abstractNumId w:val="43"/>
  </w:num>
  <w:num w:numId="64" w16cid:durableId="1392998034">
    <w:abstractNumId w:val="45"/>
  </w:num>
  <w:num w:numId="65" w16cid:durableId="1466045938">
    <w:abstractNumId w:val="45"/>
  </w:num>
  <w:num w:numId="66" w16cid:durableId="1100830382">
    <w:abstractNumId w:val="45"/>
  </w:num>
  <w:num w:numId="67" w16cid:durableId="177237649">
    <w:abstractNumId w:val="49"/>
  </w:num>
  <w:num w:numId="68" w16cid:durableId="815876315">
    <w:abstractNumId w:val="26"/>
  </w:num>
  <w:num w:numId="69" w16cid:durableId="1505319052">
    <w:abstractNumId w:val="58"/>
    <w:lvlOverride w:ilvl="0">
      <w:startOverride w:val="1"/>
    </w:lvlOverride>
  </w:num>
  <w:num w:numId="70" w16cid:durableId="2130931975">
    <w:abstractNumId w:val="46"/>
  </w:num>
  <w:num w:numId="71" w16cid:durableId="1739786383">
    <w:abstractNumId w:val="7"/>
  </w:num>
  <w:num w:numId="72" w16cid:durableId="1314486496">
    <w:abstractNumId w:val="8"/>
  </w:num>
  <w:num w:numId="73" w16cid:durableId="1656178611">
    <w:abstractNumId w:val="37"/>
  </w:num>
  <w:num w:numId="74" w16cid:durableId="1157772223">
    <w:abstractNumId w:val="54"/>
  </w:num>
  <w:num w:numId="75" w16cid:durableId="1244922267">
    <w:abstractNumId w:val="31"/>
  </w:num>
  <w:num w:numId="76" w16cid:durableId="1767194569">
    <w:abstractNumId w:val="29"/>
  </w:num>
  <w:num w:numId="77" w16cid:durableId="1933859700">
    <w:abstractNumId w:val="4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removeDateAndTime/>
  <w:activeWritingStyle w:appName="MSWord" w:lang="en-AU" w:vendorID="64" w:dllVersion="0" w:nlCheck="1" w:checkStyle="0"/>
  <w:stylePaneSortMethod w:val="0000"/>
  <w:defaultTabStop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1EE"/>
    <w:rsid w:val="00000259"/>
    <w:rsid w:val="00000450"/>
    <w:rsid w:val="00000725"/>
    <w:rsid w:val="00000DB8"/>
    <w:rsid w:val="00000E09"/>
    <w:rsid w:val="00001858"/>
    <w:rsid w:val="00001EE6"/>
    <w:rsid w:val="0000212B"/>
    <w:rsid w:val="000023DE"/>
    <w:rsid w:val="0000250B"/>
    <w:rsid w:val="00002586"/>
    <w:rsid w:val="000027EC"/>
    <w:rsid w:val="00002FDE"/>
    <w:rsid w:val="000031B3"/>
    <w:rsid w:val="000034FA"/>
    <w:rsid w:val="000035CD"/>
    <w:rsid w:val="00003664"/>
    <w:rsid w:val="00003A8D"/>
    <w:rsid w:val="000041E1"/>
    <w:rsid w:val="00004428"/>
    <w:rsid w:val="00004526"/>
    <w:rsid w:val="000049E9"/>
    <w:rsid w:val="00004D73"/>
    <w:rsid w:val="00004EA4"/>
    <w:rsid w:val="00004FF0"/>
    <w:rsid w:val="00005327"/>
    <w:rsid w:val="00005407"/>
    <w:rsid w:val="000054D7"/>
    <w:rsid w:val="0000566F"/>
    <w:rsid w:val="000057EB"/>
    <w:rsid w:val="00005F3B"/>
    <w:rsid w:val="000061DD"/>
    <w:rsid w:val="0000667E"/>
    <w:rsid w:val="00006697"/>
    <w:rsid w:val="00006921"/>
    <w:rsid w:val="000069A6"/>
    <w:rsid w:val="00007226"/>
    <w:rsid w:val="00007430"/>
    <w:rsid w:val="00007A71"/>
    <w:rsid w:val="00007A7A"/>
    <w:rsid w:val="00007BD8"/>
    <w:rsid w:val="00007C37"/>
    <w:rsid w:val="00007C7E"/>
    <w:rsid w:val="00007CC7"/>
    <w:rsid w:val="00007ED3"/>
    <w:rsid w:val="00010010"/>
    <w:rsid w:val="000103CA"/>
    <w:rsid w:val="00010501"/>
    <w:rsid w:val="00010665"/>
    <w:rsid w:val="000106DB"/>
    <w:rsid w:val="000109F6"/>
    <w:rsid w:val="00010A3E"/>
    <w:rsid w:val="00010D51"/>
    <w:rsid w:val="00010E44"/>
    <w:rsid w:val="00010F01"/>
    <w:rsid w:val="0001164D"/>
    <w:rsid w:val="00011854"/>
    <w:rsid w:val="000118BD"/>
    <w:rsid w:val="000128B4"/>
    <w:rsid w:val="00012D27"/>
    <w:rsid w:val="00012FDA"/>
    <w:rsid w:val="00013303"/>
    <w:rsid w:val="000137DD"/>
    <w:rsid w:val="00013CB8"/>
    <w:rsid w:val="0001454D"/>
    <w:rsid w:val="00014A1D"/>
    <w:rsid w:val="00014B3C"/>
    <w:rsid w:val="00014C36"/>
    <w:rsid w:val="00014DCE"/>
    <w:rsid w:val="00015144"/>
    <w:rsid w:val="000152A0"/>
    <w:rsid w:val="0001532B"/>
    <w:rsid w:val="0001549B"/>
    <w:rsid w:val="00015D58"/>
    <w:rsid w:val="00015F15"/>
    <w:rsid w:val="00016621"/>
    <w:rsid w:val="000169B9"/>
    <w:rsid w:val="000169D2"/>
    <w:rsid w:val="00016E16"/>
    <w:rsid w:val="00017006"/>
    <w:rsid w:val="000173A6"/>
    <w:rsid w:val="000179CA"/>
    <w:rsid w:val="00017AC3"/>
    <w:rsid w:val="00017AED"/>
    <w:rsid w:val="00017B03"/>
    <w:rsid w:val="00017E60"/>
    <w:rsid w:val="00020486"/>
    <w:rsid w:val="00020498"/>
    <w:rsid w:val="000204FA"/>
    <w:rsid w:val="0002067C"/>
    <w:rsid w:val="00020744"/>
    <w:rsid w:val="0002085E"/>
    <w:rsid w:val="00020870"/>
    <w:rsid w:val="00020D8C"/>
    <w:rsid w:val="0002122C"/>
    <w:rsid w:val="000213E3"/>
    <w:rsid w:val="000214C9"/>
    <w:rsid w:val="0002168E"/>
    <w:rsid w:val="000217B0"/>
    <w:rsid w:val="000218CC"/>
    <w:rsid w:val="0002198B"/>
    <w:rsid w:val="00021D79"/>
    <w:rsid w:val="00021D8D"/>
    <w:rsid w:val="0002276D"/>
    <w:rsid w:val="00022801"/>
    <w:rsid w:val="0002296F"/>
    <w:rsid w:val="000234AC"/>
    <w:rsid w:val="00023641"/>
    <w:rsid w:val="0002365E"/>
    <w:rsid w:val="00023985"/>
    <w:rsid w:val="00023D10"/>
    <w:rsid w:val="00024001"/>
    <w:rsid w:val="00024031"/>
    <w:rsid w:val="0002459B"/>
    <w:rsid w:val="00024924"/>
    <w:rsid w:val="00024A05"/>
    <w:rsid w:val="00024A49"/>
    <w:rsid w:val="00024A7B"/>
    <w:rsid w:val="00024B8C"/>
    <w:rsid w:val="00024FB9"/>
    <w:rsid w:val="00025364"/>
    <w:rsid w:val="00025731"/>
    <w:rsid w:val="00025DA4"/>
    <w:rsid w:val="00025DD2"/>
    <w:rsid w:val="00025E0E"/>
    <w:rsid w:val="00025F88"/>
    <w:rsid w:val="00026044"/>
    <w:rsid w:val="00026053"/>
    <w:rsid w:val="0002613B"/>
    <w:rsid w:val="0002617A"/>
    <w:rsid w:val="000261AD"/>
    <w:rsid w:val="000262BC"/>
    <w:rsid w:val="0002651C"/>
    <w:rsid w:val="000265B2"/>
    <w:rsid w:val="00026975"/>
    <w:rsid w:val="00026CA3"/>
    <w:rsid w:val="00026CAE"/>
    <w:rsid w:val="00026F3C"/>
    <w:rsid w:val="000274BE"/>
    <w:rsid w:val="00027573"/>
    <w:rsid w:val="000276A4"/>
    <w:rsid w:val="000277A4"/>
    <w:rsid w:val="00027821"/>
    <w:rsid w:val="0002782F"/>
    <w:rsid w:val="0002792D"/>
    <w:rsid w:val="0002795E"/>
    <w:rsid w:val="00027BB8"/>
    <w:rsid w:val="00027F2A"/>
    <w:rsid w:val="0003015B"/>
    <w:rsid w:val="000305A5"/>
    <w:rsid w:val="000305C5"/>
    <w:rsid w:val="00030850"/>
    <w:rsid w:val="00030C1F"/>
    <w:rsid w:val="00030E90"/>
    <w:rsid w:val="00030FF1"/>
    <w:rsid w:val="00030FF2"/>
    <w:rsid w:val="0003152E"/>
    <w:rsid w:val="000315D9"/>
    <w:rsid w:val="00031AF6"/>
    <w:rsid w:val="00031B8A"/>
    <w:rsid w:val="00032190"/>
    <w:rsid w:val="00032260"/>
    <w:rsid w:val="000322FF"/>
    <w:rsid w:val="0003283E"/>
    <w:rsid w:val="00032868"/>
    <w:rsid w:val="00032981"/>
    <w:rsid w:val="00032A18"/>
    <w:rsid w:val="00032B6F"/>
    <w:rsid w:val="0003330B"/>
    <w:rsid w:val="0003349E"/>
    <w:rsid w:val="00033997"/>
    <w:rsid w:val="00033A88"/>
    <w:rsid w:val="00033B2E"/>
    <w:rsid w:val="00033BE0"/>
    <w:rsid w:val="00033DE5"/>
    <w:rsid w:val="00033ED3"/>
    <w:rsid w:val="00033FAA"/>
    <w:rsid w:val="00034139"/>
    <w:rsid w:val="00034271"/>
    <w:rsid w:val="000342D1"/>
    <w:rsid w:val="0003460F"/>
    <w:rsid w:val="00034744"/>
    <w:rsid w:val="00034764"/>
    <w:rsid w:val="000349DD"/>
    <w:rsid w:val="0003513F"/>
    <w:rsid w:val="0003517E"/>
    <w:rsid w:val="00035B73"/>
    <w:rsid w:val="00035D04"/>
    <w:rsid w:val="00036140"/>
    <w:rsid w:val="00036172"/>
    <w:rsid w:val="0003645A"/>
    <w:rsid w:val="000367F4"/>
    <w:rsid w:val="00036AE6"/>
    <w:rsid w:val="00036EC8"/>
    <w:rsid w:val="00037182"/>
    <w:rsid w:val="00037DCB"/>
    <w:rsid w:val="00037E7B"/>
    <w:rsid w:val="00037F7F"/>
    <w:rsid w:val="000407F5"/>
    <w:rsid w:val="00040893"/>
    <w:rsid w:val="00040D3D"/>
    <w:rsid w:val="00041191"/>
    <w:rsid w:val="00041451"/>
    <w:rsid w:val="00041F25"/>
    <w:rsid w:val="00041F55"/>
    <w:rsid w:val="00042418"/>
    <w:rsid w:val="00042619"/>
    <w:rsid w:val="000426D2"/>
    <w:rsid w:val="00042946"/>
    <w:rsid w:val="00042E01"/>
    <w:rsid w:val="000430E1"/>
    <w:rsid w:val="00043183"/>
    <w:rsid w:val="000434A8"/>
    <w:rsid w:val="000437A9"/>
    <w:rsid w:val="000438AB"/>
    <w:rsid w:val="00043BF1"/>
    <w:rsid w:val="00043FCB"/>
    <w:rsid w:val="00044180"/>
    <w:rsid w:val="000442BA"/>
    <w:rsid w:val="000444D2"/>
    <w:rsid w:val="00044547"/>
    <w:rsid w:val="00044726"/>
    <w:rsid w:val="00044743"/>
    <w:rsid w:val="00044A8E"/>
    <w:rsid w:val="0004519C"/>
    <w:rsid w:val="0004576F"/>
    <w:rsid w:val="000457F9"/>
    <w:rsid w:val="0004584F"/>
    <w:rsid w:val="00045AC1"/>
    <w:rsid w:val="00045B1A"/>
    <w:rsid w:val="00045D47"/>
    <w:rsid w:val="000462A3"/>
    <w:rsid w:val="00046859"/>
    <w:rsid w:val="00046FFD"/>
    <w:rsid w:val="00047316"/>
    <w:rsid w:val="0004756E"/>
    <w:rsid w:val="00047731"/>
    <w:rsid w:val="0004790A"/>
    <w:rsid w:val="00047DED"/>
    <w:rsid w:val="00050328"/>
    <w:rsid w:val="00050350"/>
    <w:rsid w:val="00050548"/>
    <w:rsid w:val="000505BA"/>
    <w:rsid w:val="00050805"/>
    <w:rsid w:val="000508B5"/>
    <w:rsid w:val="00050C5F"/>
    <w:rsid w:val="00050C9C"/>
    <w:rsid w:val="0005103A"/>
    <w:rsid w:val="0005119C"/>
    <w:rsid w:val="0005148C"/>
    <w:rsid w:val="00051799"/>
    <w:rsid w:val="00051A38"/>
    <w:rsid w:val="00051EC4"/>
    <w:rsid w:val="00051F95"/>
    <w:rsid w:val="00051FBE"/>
    <w:rsid w:val="0005210A"/>
    <w:rsid w:val="00052610"/>
    <w:rsid w:val="00052626"/>
    <w:rsid w:val="000526A4"/>
    <w:rsid w:val="00052C3C"/>
    <w:rsid w:val="00052D40"/>
    <w:rsid w:val="00052E7C"/>
    <w:rsid w:val="00052ECD"/>
    <w:rsid w:val="00053398"/>
    <w:rsid w:val="0005348F"/>
    <w:rsid w:val="00053543"/>
    <w:rsid w:val="00053950"/>
    <w:rsid w:val="00053CAA"/>
    <w:rsid w:val="0005416B"/>
    <w:rsid w:val="000544A6"/>
    <w:rsid w:val="000544B8"/>
    <w:rsid w:val="0005475B"/>
    <w:rsid w:val="000549E2"/>
    <w:rsid w:val="00054A36"/>
    <w:rsid w:val="00054B08"/>
    <w:rsid w:val="00054D2E"/>
    <w:rsid w:val="00054E4D"/>
    <w:rsid w:val="00054F81"/>
    <w:rsid w:val="00055116"/>
    <w:rsid w:val="000551CE"/>
    <w:rsid w:val="0005529B"/>
    <w:rsid w:val="00055337"/>
    <w:rsid w:val="00055486"/>
    <w:rsid w:val="00055515"/>
    <w:rsid w:val="0005553E"/>
    <w:rsid w:val="00055824"/>
    <w:rsid w:val="00055885"/>
    <w:rsid w:val="00055972"/>
    <w:rsid w:val="00055A39"/>
    <w:rsid w:val="00055D8C"/>
    <w:rsid w:val="0005600C"/>
    <w:rsid w:val="00056081"/>
    <w:rsid w:val="00056101"/>
    <w:rsid w:val="000561B4"/>
    <w:rsid w:val="00056260"/>
    <w:rsid w:val="000563BB"/>
    <w:rsid w:val="00056B55"/>
    <w:rsid w:val="00056B9F"/>
    <w:rsid w:val="00056CAE"/>
    <w:rsid w:val="00057191"/>
    <w:rsid w:val="000574BC"/>
    <w:rsid w:val="000575CA"/>
    <w:rsid w:val="0005762B"/>
    <w:rsid w:val="00057BA1"/>
    <w:rsid w:val="00060073"/>
    <w:rsid w:val="000600AA"/>
    <w:rsid w:val="000600D1"/>
    <w:rsid w:val="000603C7"/>
    <w:rsid w:val="00060678"/>
    <w:rsid w:val="00060C29"/>
    <w:rsid w:val="000619C0"/>
    <w:rsid w:val="00061A52"/>
    <w:rsid w:val="00061AFD"/>
    <w:rsid w:val="00061BE9"/>
    <w:rsid w:val="000621E9"/>
    <w:rsid w:val="0006237C"/>
    <w:rsid w:val="0006274D"/>
    <w:rsid w:val="000627E4"/>
    <w:rsid w:val="00062A44"/>
    <w:rsid w:val="00062CB6"/>
    <w:rsid w:val="00063027"/>
    <w:rsid w:val="0006304D"/>
    <w:rsid w:val="0006325C"/>
    <w:rsid w:val="000633EB"/>
    <w:rsid w:val="0006357A"/>
    <w:rsid w:val="00063581"/>
    <w:rsid w:val="0006372F"/>
    <w:rsid w:val="00063C83"/>
    <w:rsid w:val="00063D96"/>
    <w:rsid w:val="00063FB8"/>
    <w:rsid w:val="000640D8"/>
    <w:rsid w:val="000642A9"/>
    <w:rsid w:val="0006442B"/>
    <w:rsid w:val="0006469E"/>
    <w:rsid w:val="00064891"/>
    <w:rsid w:val="0006499B"/>
    <w:rsid w:val="0006513F"/>
    <w:rsid w:val="000651CC"/>
    <w:rsid w:val="000652E1"/>
    <w:rsid w:val="0006545C"/>
    <w:rsid w:val="00065798"/>
    <w:rsid w:val="00065820"/>
    <w:rsid w:val="000658C3"/>
    <w:rsid w:val="0006590F"/>
    <w:rsid w:val="00065AE3"/>
    <w:rsid w:val="00065B38"/>
    <w:rsid w:val="00065EFD"/>
    <w:rsid w:val="000662C5"/>
    <w:rsid w:val="000663FF"/>
    <w:rsid w:val="00066966"/>
    <w:rsid w:val="00066F68"/>
    <w:rsid w:val="00067185"/>
    <w:rsid w:val="000675C0"/>
    <w:rsid w:val="00067633"/>
    <w:rsid w:val="0006792E"/>
    <w:rsid w:val="00067983"/>
    <w:rsid w:val="00067A82"/>
    <w:rsid w:val="00067CB2"/>
    <w:rsid w:val="00067ED8"/>
    <w:rsid w:val="00070467"/>
    <w:rsid w:val="00070634"/>
    <w:rsid w:val="000707DF"/>
    <w:rsid w:val="00070CA8"/>
    <w:rsid w:val="00070F3A"/>
    <w:rsid w:val="00070FD9"/>
    <w:rsid w:val="00071040"/>
    <w:rsid w:val="0007114A"/>
    <w:rsid w:val="000711B1"/>
    <w:rsid w:val="000717B5"/>
    <w:rsid w:val="00071B5B"/>
    <w:rsid w:val="00071D1C"/>
    <w:rsid w:val="00071D4D"/>
    <w:rsid w:val="00071DD0"/>
    <w:rsid w:val="00072122"/>
    <w:rsid w:val="0007250A"/>
    <w:rsid w:val="000729A5"/>
    <w:rsid w:val="00072AF3"/>
    <w:rsid w:val="00072CE9"/>
    <w:rsid w:val="000733FF"/>
    <w:rsid w:val="0007367B"/>
    <w:rsid w:val="00073C8F"/>
    <w:rsid w:val="00073DDA"/>
    <w:rsid w:val="00073F12"/>
    <w:rsid w:val="00073FAC"/>
    <w:rsid w:val="00073FB6"/>
    <w:rsid w:val="000740AF"/>
    <w:rsid w:val="000744C4"/>
    <w:rsid w:val="00074797"/>
    <w:rsid w:val="00074A89"/>
    <w:rsid w:val="00074C68"/>
    <w:rsid w:val="00074F18"/>
    <w:rsid w:val="00075227"/>
    <w:rsid w:val="00075AB6"/>
    <w:rsid w:val="00075FEF"/>
    <w:rsid w:val="00076100"/>
    <w:rsid w:val="0007613A"/>
    <w:rsid w:val="000761B7"/>
    <w:rsid w:val="000763E0"/>
    <w:rsid w:val="000769D0"/>
    <w:rsid w:val="00077467"/>
    <w:rsid w:val="0007756E"/>
    <w:rsid w:val="00077695"/>
    <w:rsid w:val="00077785"/>
    <w:rsid w:val="000779C7"/>
    <w:rsid w:val="00077C67"/>
    <w:rsid w:val="00077D03"/>
    <w:rsid w:val="00077D9C"/>
    <w:rsid w:val="00080319"/>
    <w:rsid w:val="00080570"/>
    <w:rsid w:val="00080C32"/>
    <w:rsid w:val="00080E7B"/>
    <w:rsid w:val="00080EC2"/>
    <w:rsid w:val="0008107D"/>
    <w:rsid w:val="000813D3"/>
    <w:rsid w:val="00081523"/>
    <w:rsid w:val="00081787"/>
    <w:rsid w:val="000819FD"/>
    <w:rsid w:val="00081E7D"/>
    <w:rsid w:val="00082196"/>
    <w:rsid w:val="000821E2"/>
    <w:rsid w:val="000829F4"/>
    <w:rsid w:val="00082DA2"/>
    <w:rsid w:val="00082E41"/>
    <w:rsid w:val="0008306A"/>
    <w:rsid w:val="00083627"/>
    <w:rsid w:val="000836A9"/>
    <w:rsid w:val="000836CB"/>
    <w:rsid w:val="00083822"/>
    <w:rsid w:val="00083B3C"/>
    <w:rsid w:val="00083C0E"/>
    <w:rsid w:val="00083EDB"/>
    <w:rsid w:val="00084367"/>
    <w:rsid w:val="00084670"/>
    <w:rsid w:val="00084759"/>
    <w:rsid w:val="00084975"/>
    <w:rsid w:val="00084C5E"/>
    <w:rsid w:val="00084E2F"/>
    <w:rsid w:val="00085095"/>
    <w:rsid w:val="000850F7"/>
    <w:rsid w:val="00085122"/>
    <w:rsid w:val="00085230"/>
    <w:rsid w:val="000853D0"/>
    <w:rsid w:val="000855D8"/>
    <w:rsid w:val="000856FB"/>
    <w:rsid w:val="00085825"/>
    <w:rsid w:val="0008587A"/>
    <w:rsid w:val="00085887"/>
    <w:rsid w:val="00085C63"/>
    <w:rsid w:val="00085D0D"/>
    <w:rsid w:val="0008630B"/>
    <w:rsid w:val="000863D1"/>
    <w:rsid w:val="0008648E"/>
    <w:rsid w:val="0008654C"/>
    <w:rsid w:val="00086724"/>
    <w:rsid w:val="00086759"/>
    <w:rsid w:val="00086922"/>
    <w:rsid w:val="00086BC6"/>
    <w:rsid w:val="00086CAB"/>
    <w:rsid w:val="00086E05"/>
    <w:rsid w:val="00086F8E"/>
    <w:rsid w:val="00086FC3"/>
    <w:rsid w:val="00087019"/>
    <w:rsid w:val="00087286"/>
    <w:rsid w:val="00087475"/>
    <w:rsid w:val="000874D1"/>
    <w:rsid w:val="00087771"/>
    <w:rsid w:val="00087818"/>
    <w:rsid w:val="00087A25"/>
    <w:rsid w:val="00087EE7"/>
    <w:rsid w:val="000900CD"/>
    <w:rsid w:val="0009021D"/>
    <w:rsid w:val="000903B6"/>
    <w:rsid w:val="00090919"/>
    <w:rsid w:val="00090962"/>
    <w:rsid w:val="0009102C"/>
    <w:rsid w:val="000912BF"/>
    <w:rsid w:val="0009152D"/>
    <w:rsid w:val="000918B2"/>
    <w:rsid w:val="000919BD"/>
    <w:rsid w:val="00091ACC"/>
    <w:rsid w:val="00091CFC"/>
    <w:rsid w:val="0009253F"/>
    <w:rsid w:val="000925CA"/>
    <w:rsid w:val="0009277D"/>
    <w:rsid w:val="000928AF"/>
    <w:rsid w:val="00092B11"/>
    <w:rsid w:val="00092C77"/>
    <w:rsid w:val="0009359A"/>
    <w:rsid w:val="00093831"/>
    <w:rsid w:val="00093A6E"/>
    <w:rsid w:val="00093F2A"/>
    <w:rsid w:val="00094A21"/>
    <w:rsid w:val="00094ED2"/>
    <w:rsid w:val="0009565B"/>
    <w:rsid w:val="00095958"/>
    <w:rsid w:val="000959DF"/>
    <w:rsid w:val="00095B8A"/>
    <w:rsid w:val="00095C21"/>
    <w:rsid w:val="00095EF7"/>
    <w:rsid w:val="00096030"/>
    <w:rsid w:val="00096B6E"/>
    <w:rsid w:val="00096C37"/>
    <w:rsid w:val="00096CCA"/>
    <w:rsid w:val="000972B0"/>
    <w:rsid w:val="00097617"/>
    <w:rsid w:val="00097A01"/>
    <w:rsid w:val="00097A05"/>
    <w:rsid w:val="00097DBF"/>
    <w:rsid w:val="000A001C"/>
    <w:rsid w:val="000A0143"/>
    <w:rsid w:val="000A033F"/>
    <w:rsid w:val="000A0993"/>
    <w:rsid w:val="000A0A1E"/>
    <w:rsid w:val="000A0D92"/>
    <w:rsid w:val="000A0E70"/>
    <w:rsid w:val="000A11B2"/>
    <w:rsid w:val="000A13CA"/>
    <w:rsid w:val="000A1B34"/>
    <w:rsid w:val="000A1BC8"/>
    <w:rsid w:val="000A201A"/>
    <w:rsid w:val="000A206B"/>
    <w:rsid w:val="000A2153"/>
    <w:rsid w:val="000A22DA"/>
    <w:rsid w:val="000A2905"/>
    <w:rsid w:val="000A2C3C"/>
    <w:rsid w:val="000A2CA0"/>
    <w:rsid w:val="000A2DCB"/>
    <w:rsid w:val="000A2F6E"/>
    <w:rsid w:val="000A300D"/>
    <w:rsid w:val="000A3255"/>
    <w:rsid w:val="000A35BB"/>
    <w:rsid w:val="000A376B"/>
    <w:rsid w:val="000A38C6"/>
    <w:rsid w:val="000A3D31"/>
    <w:rsid w:val="000A3F50"/>
    <w:rsid w:val="000A3FDA"/>
    <w:rsid w:val="000A4045"/>
    <w:rsid w:val="000A4089"/>
    <w:rsid w:val="000A4B2F"/>
    <w:rsid w:val="000A4B30"/>
    <w:rsid w:val="000A4C21"/>
    <w:rsid w:val="000A4CAF"/>
    <w:rsid w:val="000A4DFC"/>
    <w:rsid w:val="000A53AF"/>
    <w:rsid w:val="000A5647"/>
    <w:rsid w:val="000A57E8"/>
    <w:rsid w:val="000A5D4D"/>
    <w:rsid w:val="000A5E0F"/>
    <w:rsid w:val="000A5EEF"/>
    <w:rsid w:val="000A6297"/>
    <w:rsid w:val="000A6800"/>
    <w:rsid w:val="000A6823"/>
    <w:rsid w:val="000A6A8B"/>
    <w:rsid w:val="000A72A5"/>
    <w:rsid w:val="000A77B9"/>
    <w:rsid w:val="000A77C7"/>
    <w:rsid w:val="000A7A2B"/>
    <w:rsid w:val="000A7DEC"/>
    <w:rsid w:val="000A7EE8"/>
    <w:rsid w:val="000B0012"/>
    <w:rsid w:val="000B025E"/>
    <w:rsid w:val="000B0672"/>
    <w:rsid w:val="000B068E"/>
    <w:rsid w:val="000B0ACB"/>
    <w:rsid w:val="000B0B4C"/>
    <w:rsid w:val="000B11F3"/>
    <w:rsid w:val="000B12F6"/>
    <w:rsid w:val="000B16FC"/>
    <w:rsid w:val="000B16FE"/>
    <w:rsid w:val="000B189A"/>
    <w:rsid w:val="000B1B52"/>
    <w:rsid w:val="000B206F"/>
    <w:rsid w:val="000B216F"/>
    <w:rsid w:val="000B21AC"/>
    <w:rsid w:val="000B28EB"/>
    <w:rsid w:val="000B2ADC"/>
    <w:rsid w:val="000B2F30"/>
    <w:rsid w:val="000B31AD"/>
    <w:rsid w:val="000B3304"/>
    <w:rsid w:val="000B35E4"/>
    <w:rsid w:val="000B39CA"/>
    <w:rsid w:val="000B42E7"/>
    <w:rsid w:val="000B4433"/>
    <w:rsid w:val="000B44DF"/>
    <w:rsid w:val="000B4A52"/>
    <w:rsid w:val="000B4C26"/>
    <w:rsid w:val="000B4CED"/>
    <w:rsid w:val="000B4EB4"/>
    <w:rsid w:val="000B5160"/>
    <w:rsid w:val="000B517E"/>
    <w:rsid w:val="000B5260"/>
    <w:rsid w:val="000B5963"/>
    <w:rsid w:val="000B5B88"/>
    <w:rsid w:val="000B5B99"/>
    <w:rsid w:val="000B5D8F"/>
    <w:rsid w:val="000B5EEC"/>
    <w:rsid w:val="000B5F8F"/>
    <w:rsid w:val="000B6093"/>
    <w:rsid w:val="000B634F"/>
    <w:rsid w:val="000B6491"/>
    <w:rsid w:val="000B667A"/>
    <w:rsid w:val="000B6B7B"/>
    <w:rsid w:val="000B6CA3"/>
    <w:rsid w:val="000B6E36"/>
    <w:rsid w:val="000B6EA3"/>
    <w:rsid w:val="000B6EC8"/>
    <w:rsid w:val="000B7306"/>
    <w:rsid w:val="000B74EF"/>
    <w:rsid w:val="000B7659"/>
    <w:rsid w:val="000B7911"/>
    <w:rsid w:val="000B7C09"/>
    <w:rsid w:val="000B7C83"/>
    <w:rsid w:val="000B7E42"/>
    <w:rsid w:val="000C07E1"/>
    <w:rsid w:val="000C0888"/>
    <w:rsid w:val="000C1047"/>
    <w:rsid w:val="000C160B"/>
    <w:rsid w:val="000C18CF"/>
    <w:rsid w:val="000C194B"/>
    <w:rsid w:val="000C1A58"/>
    <w:rsid w:val="000C1D71"/>
    <w:rsid w:val="000C1F6B"/>
    <w:rsid w:val="000C23E0"/>
    <w:rsid w:val="000C24EC"/>
    <w:rsid w:val="000C2645"/>
    <w:rsid w:val="000C2A48"/>
    <w:rsid w:val="000C2E1D"/>
    <w:rsid w:val="000C302A"/>
    <w:rsid w:val="000C32C7"/>
    <w:rsid w:val="000C33B6"/>
    <w:rsid w:val="000C346C"/>
    <w:rsid w:val="000C34FB"/>
    <w:rsid w:val="000C3924"/>
    <w:rsid w:val="000C395D"/>
    <w:rsid w:val="000C3966"/>
    <w:rsid w:val="000C39CA"/>
    <w:rsid w:val="000C3D1F"/>
    <w:rsid w:val="000C3D7C"/>
    <w:rsid w:val="000C404D"/>
    <w:rsid w:val="000C42A6"/>
    <w:rsid w:val="000C440E"/>
    <w:rsid w:val="000C446F"/>
    <w:rsid w:val="000C4820"/>
    <w:rsid w:val="000C5235"/>
    <w:rsid w:val="000C53A8"/>
    <w:rsid w:val="000C5449"/>
    <w:rsid w:val="000C55B3"/>
    <w:rsid w:val="000C5D50"/>
    <w:rsid w:val="000C5E93"/>
    <w:rsid w:val="000C5F75"/>
    <w:rsid w:val="000C5F8B"/>
    <w:rsid w:val="000C6078"/>
    <w:rsid w:val="000C61C2"/>
    <w:rsid w:val="000C6992"/>
    <w:rsid w:val="000C699D"/>
    <w:rsid w:val="000C6D2A"/>
    <w:rsid w:val="000C6D86"/>
    <w:rsid w:val="000C704B"/>
    <w:rsid w:val="000C71FD"/>
    <w:rsid w:val="000C7417"/>
    <w:rsid w:val="000C7A01"/>
    <w:rsid w:val="000C7A2B"/>
    <w:rsid w:val="000C7F31"/>
    <w:rsid w:val="000D0413"/>
    <w:rsid w:val="000D04F3"/>
    <w:rsid w:val="000D0820"/>
    <w:rsid w:val="000D0B3A"/>
    <w:rsid w:val="000D0C38"/>
    <w:rsid w:val="000D0EA7"/>
    <w:rsid w:val="000D0F45"/>
    <w:rsid w:val="000D1142"/>
    <w:rsid w:val="000D1925"/>
    <w:rsid w:val="000D2200"/>
    <w:rsid w:val="000D23AB"/>
    <w:rsid w:val="000D28F8"/>
    <w:rsid w:val="000D2A16"/>
    <w:rsid w:val="000D2A59"/>
    <w:rsid w:val="000D342F"/>
    <w:rsid w:val="000D3875"/>
    <w:rsid w:val="000D3A90"/>
    <w:rsid w:val="000D3C9F"/>
    <w:rsid w:val="000D3D6D"/>
    <w:rsid w:val="000D47CA"/>
    <w:rsid w:val="000D4EA4"/>
    <w:rsid w:val="000D4EE5"/>
    <w:rsid w:val="000D5300"/>
    <w:rsid w:val="000D5624"/>
    <w:rsid w:val="000D5628"/>
    <w:rsid w:val="000D5E12"/>
    <w:rsid w:val="000D5E51"/>
    <w:rsid w:val="000D60B1"/>
    <w:rsid w:val="000D6117"/>
    <w:rsid w:val="000D663B"/>
    <w:rsid w:val="000D6820"/>
    <w:rsid w:val="000D7509"/>
    <w:rsid w:val="000D76A1"/>
    <w:rsid w:val="000D781A"/>
    <w:rsid w:val="000D7933"/>
    <w:rsid w:val="000D7965"/>
    <w:rsid w:val="000D7B43"/>
    <w:rsid w:val="000D7CBF"/>
    <w:rsid w:val="000D7E96"/>
    <w:rsid w:val="000D7F15"/>
    <w:rsid w:val="000E01A5"/>
    <w:rsid w:val="000E036D"/>
    <w:rsid w:val="000E0572"/>
    <w:rsid w:val="000E0B97"/>
    <w:rsid w:val="000E0C4E"/>
    <w:rsid w:val="000E10AD"/>
    <w:rsid w:val="000E12E7"/>
    <w:rsid w:val="000E1572"/>
    <w:rsid w:val="000E1681"/>
    <w:rsid w:val="000E1A93"/>
    <w:rsid w:val="000E1BDE"/>
    <w:rsid w:val="000E1E65"/>
    <w:rsid w:val="000E23B7"/>
    <w:rsid w:val="000E261E"/>
    <w:rsid w:val="000E279E"/>
    <w:rsid w:val="000E2AAE"/>
    <w:rsid w:val="000E2D89"/>
    <w:rsid w:val="000E3261"/>
    <w:rsid w:val="000E3774"/>
    <w:rsid w:val="000E386D"/>
    <w:rsid w:val="000E3921"/>
    <w:rsid w:val="000E3980"/>
    <w:rsid w:val="000E3A4B"/>
    <w:rsid w:val="000E3CD3"/>
    <w:rsid w:val="000E3FA7"/>
    <w:rsid w:val="000E3FFA"/>
    <w:rsid w:val="000E412B"/>
    <w:rsid w:val="000E4294"/>
    <w:rsid w:val="000E46A4"/>
    <w:rsid w:val="000E4881"/>
    <w:rsid w:val="000E4BFB"/>
    <w:rsid w:val="000E4D82"/>
    <w:rsid w:val="000E4FB3"/>
    <w:rsid w:val="000E5302"/>
    <w:rsid w:val="000E5859"/>
    <w:rsid w:val="000E59BC"/>
    <w:rsid w:val="000E5BA8"/>
    <w:rsid w:val="000E5DA9"/>
    <w:rsid w:val="000E5EBE"/>
    <w:rsid w:val="000E6010"/>
    <w:rsid w:val="000E614D"/>
    <w:rsid w:val="000E692C"/>
    <w:rsid w:val="000E69EB"/>
    <w:rsid w:val="000E6D69"/>
    <w:rsid w:val="000E6F1C"/>
    <w:rsid w:val="000E71F7"/>
    <w:rsid w:val="000E72F1"/>
    <w:rsid w:val="000E77EC"/>
    <w:rsid w:val="000E7921"/>
    <w:rsid w:val="000E7B79"/>
    <w:rsid w:val="000E7C7D"/>
    <w:rsid w:val="000E7D46"/>
    <w:rsid w:val="000F0236"/>
    <w:rsid w:val="000F041B"/>
    <w:rsid w:val="000F0482"/>
    <w:rsid w:val="000F074D"/>
    <w:rsid w:val="000F07CE"/>
    <w:rsid w:val="000F0A12"/>
    <w:rsid w:val="000F0BEE"/>
    <w:rsid w:val="000F0D6A"/>
    <w:rsid w:val="000F1477"/>
    <w:rsid w:val="000F17BE"/>
    <w:rsid w:val="000F1A93"/>
    <w:rsid w:val="000F1B06"/>
    <w:rsid w:val="000F1BAB"/>
    <w:rsid w:val="000F1E23"/>
    <w:rsid w:val="000F23F3"/>
    <w:rsid w:val="000F2562"/>
    <w:rsid w:val="000F26BA"/>
    <w:rsid w:val="000F2A0E"/>
    <w:rsid w:val="000F2A6B"/>
    <w:rsid w:val="000F2AC5"/>
    <w:rsid w:val="000F2EF0"/>
    <w:rsid w:val="000F349B"/>
    <w:rsid w:val="000F34AC"/>
    <w:rsid w:val="000F3686"/>
    <w:rsid w:val="000F3D84"/>
    <w:rsid w:val="000F4DA7"/>
    <w:rsid w:val="000F4E93"/>
    <w:rsid w:val="000F557E"/>
    <w:rsid w:val="000F55D7"/>
    <w:rsid w:val="000F5722"/>
    <w:rsid w:val="000F5797"/>
    <w:rsid w:val="000F58A2"/>
    <w:rsid w:val="000F59E8"/>
    <w:rsid w:val="000F5F46"/>
    <w:rsid w:val="000F626C"/>
    <w:rsid w:val="000F6823"/>
    <w:rsid w:val="000F6B5A"/>
    <w:rsid w:val="000F6C6C"/>
    <w:rsid w:val="000F6E40"/>
    <w:rsid w:val="000F7131"/>
    <w:rsid w:val="000F79B4"/>
    <w:rsid w:val="000F7CDE"/>
    <w:rsid w:val="0010018D"/>
    <w:rsid w:val="001008AF"/>
    <w:rsid w:val="00101165"/>
    <w:rsid w:val="0010117F"/>
    <w:rsid w:val="00101267"/>
    <w:rsid w:val="00101488"/>
    <w:rsid w:val="001015CF"/>
    <w:rsid w:val="001018EA"/>
    <w:rsid w:val="0010198F"/>
    <w:rsid w:val="0010211A"/>
    <w:rsid w:val="00102387"/>
    <w:rsid w:val="001024F0"/>
    <w:rsid w:val="00102531"/>
    <w:rsid w:val="00102A2A"/>
    <w:rsid w:val="00102E5B"/>
    <w:rsid w:val="00102F5B"/>
    <w:rsid w:val="001030E5"/>
    <w:rsid w:val="0010325E"/>
    <w:rsid w:val="0010338E"/>
    <w:rsid w:val="001036D2"/>
    <w:rsid w:val="00103C5C"/>
    <w:rsid w:val="00103DC7"/>
    <w:rsid w:val="001042E8"/>
    <w:rsid w:val="001043D1"/>
    <w:rsid w:val="00104462"/>
    <w:rsid w:val="001044F9"/>
    <w:rsid w:val="00104986"/>
    <w:rsid w:val="00104E63"/>
    <w:rsid w:val="0010563B"/>
    <w:rsid w:val="00105712"/>
    <w:rsid w:val="0010579C"/>
    <w:rsid w:val="00105DD4"/>
    <w:rsid w:val="00105E8A"/>
    <w:rsid w:val="00106304"/>
    <w:rsid w:val="001065BF"/>
    <w:rsid w:val="00106818"/>
    <w:rsid w:val="00106A6D"/>
    <w:rsid w:val="00106A94"/>
    <w:rsid w:val="00106BE3"/>
    <w:rsid w:val="00107029"/>
    <w:rsid w:val="0011020C"/>
    <w:rsid w:val="0011048E"/>
    <w:rsid w:val="001105E6"/>
    <w:rsid w:val="001106C6"/>
    <w:rsid w:val="00111274"/>
    <w:rsid w:val="001112CD"/>
    <w:rsid w:val="00111548"/>
    <w:rsid w:val="001118D4"/>
    <w:rsid w:val="0011219F"/>
    <w:rsid w:val="001123F1"/>
    <w:rsid w:val="0011247C"/>
    <w:rsid w:val="00112D6B"/>
    <w:rsid w:val="00112EEE"/>
    <w:rsid w:val="00112F6B"/>
    <w:rsid w:val="00113389"/>
    <w:rsid w:val="001134C1"/>
    <w:rsid w:val="001134FA"/>
    <w:rsid w:val="00113504"/>
    <w:rsid w:val="00113586"/>
    <w:rsid w:val="00113BE2"/>
    <w:rsid w:val="00113C7C"/>
    <w:rsid w:val="00113F11"/>
    <w:rsid w:val="00114108"/>
    <w:rsid w:val="0011410E"/>
    <w:rsid w:val="00114AF5"/>
    <w:rsid w:val="00114B3B"/>
    <w:rsid w:val="00114CE5"/>
    <w:rsid w:val="001150D4"/>
    <w:rsid w:val="001150EB"/>
    <w:rsid w:val="001154AD"/>
    <w:rsid w:val="00115580"/>
    <w:rsid w:val="001155B6"/>
    <w:rsid w:val="00115D3A"/>
    <w:rsid w:val="001160A7"/>
    <w:rsid w:val="0011639D"/>
    <w:rsid w:val="00116866"/>
    <w:rsid w:val="001169B8"/>
    <w:rsid w:val="00116F5D"/>
    <w:rsid w:val="001172F2"/>
    <w:rsid w:val="001173D4"/>
    <w:rsid w:val="001174F1"/>
    <w:rsid w:val="001176CC"/>
    <w:rsid w:val="00117BD5"/>
    <w:rsid w:val="00117E15"/>
    <w:rsid w:val="00117EF6"/>
    <w:rsid w:val="00120A35"/>
    <w:rsid w:val="00120E25"/>
    <w:rsid w:val="00120F2D"/>
    <w:rsid w:val="0012115A"/>
    <w:rsid w:val="00121217"/>
    <w:rsid w:val="0012169B"/>
    <w:rsid w:val="0012172E"/>
    <w:rsid w:val="0012183E"/>
    <w:rsid w:val="00121917"/>
    <w:rsid w:val="00121A72"/>
    <w:rsid w:val="00121C3B"/>
    <w:rsid w:val="001223F5"/>
    <w:rsid w:val="00122DF1"/>
    <w:rsid w:val="00122E45"/>
    <w:rsid w:val="00123138"/>
    <w:rsid w:val="0012336D"/>
    <w:rsid w:val="001233B8"/>
    <w:rsid w:val="0012349E"/>
    <w:rsid w:val="0012362E"/>
    <w:rsid w:val="001236C7"/>
    <w:rsid w:val="001236FB"/>
    <w:rsid w:val="001238E0"/>
    <w:rsid w:val="00123B3F"/>
    <w:rsid w:val="00123E63"/>
    <w:rsid w:val="001240D0"/>
    <w:rsid w:val="001240DF"/>
    <w:rsid w:val="00124265"/>
    <w:rsid w:val="00124793"/>
    <w:rsid w:val="00124B02"/>
    <w:rsid w:val="00124CAA"/>
    <w:rsid w:val="00124EF9"/>
    <w:rsid w:val="001252A5"/>
    <w:rsid w:val="001256A6"/>
    <w:rsid w:val="00125780"/>
    <w:rsid w:val="001259DF"/>
    <w:rsid w:val="00125FC2"/>
    <w:rsid w:val="0012621B"/>
    <w:rsid w:val="001266E6"/>
    <w:rsid w:val="00126943"/>
    <w:rsid w:val="00126A9D"/>
    <w:rsid w:val="00126C0C"/>
    <w:rsid w:val="00126DAA"/>
    <w:rsid w:val="00126F55"/>
    <w:rsid w:val="00127012"/>
    <w:rsid w:val="00127076"/>
    <w:rsid w:val="00127100"/>
    <w:rsid w:val="001276B6"/>
    <w:rsid w:val="001276E9"/>
    <w:rsid w:val="0013008A"/>
    <w:rsid w:val="001300B0"/>
    <w:rsid w:val="001300FC"/>
    <w:rsid w:val="001303E7"/>
    <w:rsid w:val="00130E2A"/>
    <w:rsid w:val="00130FB2"/>
    <w:rsid w:val="00131163"/>
    <w:rsid w:val="0013119E"/>
    <w:rsid w:val="001311DF"/>
    <w:rsid w:val="00131318"/>
    <w:rsid w:val="001315D0"/>
    <w:rsid w:val="00131E42"/>
    <w:rsid w:val="00132014"/>
    <w:rsid w:val="0013207D"/>
    <w:rsid w:val="0013215C"/>
    <w:rsid w:val="001321B8"/>
    <w:rsid w:val="00132251"/>
    <w:rsid w:val="00132780"/>
    <w:rsid w:val="00132D4A"/>
    <w:rsid w:val="00132FA6"/>
    <w:rsid w:val="00133272"/>
    <w:rsid w:val="00133736"/>
    <w:rsid w:val="001337A1"/>
    <w:rsid w:val="00133ACC"/>
    <w:rsid w:val="00133B66"/>
    <w:rsid w:val="00133C28"/>
    <w:rsid w:val="00133C2F"/>
    <w:rsid w:val="00134238"/>
    <w:rsid w:val="00134327"/>
    <w:rsid w:val="00134798"/>
    <w:rsid w:val="00134CEE"/>
    <w:rsid w:val="00134D34"/>
    <w:rsid w:val="00135488"/>
    <w:rsid w:val="00135843"/>
    <w:rsid w:val="00135A4E"/>
    <w:rsid w:val="00135CB2"/>
    <w:rsid w:val="00135FBA"/>
    <w:rsid w:val="00136347"/>
    <w:rsid w:val="00136530"/>
    <w:rsid w:val="00136544"/>
    <w:rsid w:val="00136682"/>
    <w:rsid w:val="00136741"/>
    <w:rsid w:val="00136B5F"/>
    <w:rsid w:val="00136F8A"/>
    <w:rsid w:val="0013701A"/>
    <w:rsid w:val="0013775D"/>
    <w:rsid w:val="001377F0"/>
    <w:rsid w:val="001377F9"/>
    <w:rsid w:val="00137BC2"/>
    <w:rsid w:val="00137FD5"/>
    <w:rsid w:val="0014000C"/>
    <w:rsid w:val="001400C6"/>
    <w:rsid w:val="001400E0"/>
    <w:rsid w:val="00140144"/>
    <w:rsid w:val="0014052E"/>
    <w:rsid w:val="00140DBB"/>
    <w:rsid w:val="0014121A"/>
    <w:rsid w:val="0014140F"/>
    <w:rsid w:val="001415A8"/>
    <w:rsid w:val="00141608"/>
    <w:rsid w:val="00141972"/>
    <w:rsid w:val="00141D0F"/>
    <w:rsid w:val="001420A0"/>
    <w:rsid w:val="001420A4"/>
    <w:rsid w:val="00142276"/>
    <w:rsid w:val="00142316"/>
    <w:rsid w:val="00142413"/>
    <w:rsid w:val="0014243A"/>
    <w:rsid w:val="00142BE4"/>
    <w:rsid w:val="00143012"/>
    <w:rsid w:val="0014305E"/>
    <w:rsid w:val="00143207"/>
    <w:rsid w:val="0014333B"/>
    <w:rsid w:val="001433B2"/>
    <w:rsid w:val="001434C8"/>
    <w:rsid w:val="00143617"/>
    <w:rsid w:val="00143DC0"/>
    <w:rsid w:val="00143E21"/>
    <w:rsid w:val="00143FCF"/>
    <w:rsid w:val="00144017"/>
    <w:rsid w:val="001442AE"/>
    <w:rsid w:val="00144A18"/>
    <w:rsid w:val="00144C35"/>
    <w:rsid w:val="00144F3B"/>
    <w:rsid w:val="001455E0"/>
    <w:rsid w:val="00145659"/>
    <w:rsid w:val="001457EE"/>
    <w:rsid w:val="001459A2"/>
    <w:rsid w:val="00145C48"/>
    <w:rsid w:val="00145E47"/>
    <w:rsid w:val="00145F58"/>
    <w:rsid w:val="00146531"/>
    <w:rsid w:val="00146B12"/>
    <w:rsid w:val="00146CA1"/>
    <w:rsid w:val="00146DEA"/>
    <w:rsid w:val="0014701B"/>
    <w:rsid w:val="0014717F"/>
    <w:rsid w:val="0014765A"/>
    <w:rsid w:val="0014770B"/>
    <w:rsid w:val="0014772E"/>
    <w:rsid w:val="00147929"/>
    <w:rsid w:val="00147972"/>
    <w:rsid w:val="00147C25"/>
    <w:rsid w:val="001501A8"/>
    <w:rsid w:val="0015038A"/>
    <w:rsid w:val="00150391"/>
    <w:rsid w:val="00150472"/>
    <w:rsid w:val="00150473"/>
    <w:rsid w:val="00150BE9"/>
    <w:rsid w:val="00150D9C"/>
    <w:rsid w:val="00151003"/>
    <w:rsid w:val="0015195A"/>
    <w:rsid w:val="00151984"/>
    <w:rsid w:val="00151BE2"/>
    <w:rsid w:val="00151E98"/>
    <w:rsid w:val="00151FCD"/>
    <w:rsid w:val="00151FDF"/>
    <w:rsid w:val="00152C09"/>
    <w:rsid w:val="00153476"/>
    <w:rsid w:val="00153830"/>
    <w:rsid w:val="00153BB3"/>
    <w:rsid w:val="00153C02"/>
    <w:rsid w:val="00153C64"/>
    <w:rsid w:val="00153F0D"/>
    <w:rsid w:val="001540B3"/>
    <w:rsid w:val="001541EA"/>
    <w:rsid w:val="001542D2"/>
    <w:rsid w:val="00154371"/>
    <w:rsid w:val="00154520"/>
    <w:rsid w:val="00154BA2"/>
    <w:rsid w:val="00154CB1"/>
    <w:rsid w:val="00155053"/>
    <w:rsid w:val="001557AB"/>
    <w:rsid w:val="001558E0"/>
    <w:rsid w:val="00155B83"/>
    <w:rsid w:val="00155C03"/>
    <w:rsid w:val="0015613B"/>
    <w:rsid w:val="0015629B"/>
    <w:rsid w:val="001562B6"/>
    <w:rsid w:val="0015658B"/>
    <w:rsid w:val="00156C1B"/>
    <w:rsid w:val="00156F55"/>
    <w:rsid w:val="0015776A"/>
    <w:rsid w:val="0015783F"/>
    <w:rsid w:val="001578C0"/>
    <w:rsid w:val="00157BAB"/>
    <w:rsid w:val="00157D1C"/>
    <w:rsid w:val="00157FD8"/>
    <w:rsid w:val="001606FF"/>
    <w:rsid w:val="001607C5"/>
    <w:rsid w:val="00160801"/>
    <w:rsid w:val="00160815"/>
    <w:rsid w:val="001609B3"/>
    <w:rsid w:val="00160BA5"/>
    <w:rsid w:val="00160E84"/>
    <w:rsid w:val="00160EE4"/>
    <w:rsid w:val="00161013"/>
    <w:rsid w:val="00161098"/>
    <w:rsid w:val="001611D8"/>
    <w:rsid w:val="001612A4"/>
    <w:rsid w:val="00161318"/>
    <w:rsid w:val="00161369"/>
    <w:rsid w:val="001613A0"/>
    <w:rsid w:val="001614E3"/>
    <w:rsid w:val="00161A00"/>
    <w:rsid w:val="00162117"/>
    <w:rsid w:val="00162421"/>
    <w:rsid w:val="001624AD"/>
    <w:rsid w:val="00162755"/>
    <w:rsid w:val="0016286B"/>
    <w:rsid w:val="00162A21"/>
    <w:rsid w:val="00162A92"/>
    <w:rsid w:val="00162EEB"/>
    <w:rsid w:val="00163095"/>
    <w:rsid w:val="0016320B"/>
    <w:rsid w:val="00163A78"/>
    <w:rsid w:val="00163BCE"/>
    <w:rsid w:val="00164C91"/>
    <w:rsid w:val="00164CF1"/>
    <w:rsid w:val="00164D9D"/>
    <w:rsid w:val="00164F0B"/>
    <w:rsid w:val="00164F37"/>
    <w:rsid w:val="001652BA"/>
    <w:rsid w:val="001654B8"/>
    <w:rsid w:val="00165676"/>
    <w:rsid w:val="001656A6"/>
    <w:rsid w:val="00165903"/>
    <w:rsid w:val="0016610C"/>
    <w:rsid w:val="0016628F"/>
    <w:rsid w:val="00166415"/>
    <w:rsid w:val="00166619"/>
    <w:rsid w:val="00166714"/>
    <w:rsid w:val="00166798"/>
    <w:rsid w:val="00166A5E"/>
    <w:rsid w:val="00166C74"/>
    <w:rsid w:val="00166DFA"/>
    <w:rsid w:val="00166E35"/>
    <w:rsid w:val="00166F54"/>
    <w:rsid w:val="00167345"/>
    <w:rsid w:val="001675A8"/>
    <w:rsid w:val="00167621"/>
    <w:rsid w:val="001676A8"/>
    <w:rsid w:val="00167C0B"/>
    <w:rsid w:val="001700F9"/>
    <w:rsid w:val="00170787"/>
    <w:rsid w:val="001707EE"/>
    <w:rsid w:val="0017088C"/>
    <w:rsid w:val="00170AA0"/>
    <w:rsid w:val="001710B9"/>
    <w:rsid w:val="001710EA"/>
    <w:rsid w:val="00171243"/>
    <w:rsid w:val="001713A1"/>
    <w:rsid w:val="00171829"/>
    <w:rsid w:val="00171AAB"/>
    <w:rsid w:val="00171BB2"/>
    <w:rsid w:val="001728FF"/>
    <w:rsid w:val="00172B0B"/>
    <w:rsid w:val="00172C33"/>
    <w:rsid w:val="0017331E"/>
    <w:rsid w:val="001733B4"/>
    <w:rsid w:val="0017365E"/>
    <w:rsid w:val="001736DF"/>
    <w:rsid w:val="00173A29"/>
    <w:rsid w:val="00173AFD"/>
    <w:rsid w:val="00173B12"/>
    <w:rsid w:val="001745C4"/>
    <w:rsid w:val="001745EB"/>
    <w:rsid w:val="00174B1A"/>
    <w:rsid w:val="00174DA3"/>
    <w:rsid w:val="0017521A"/>
    <w:rsid w:val="0017537C"/>
    <w:rsid w:val="0017540D"/>
    <w:rsid w:val="001754FC"/>
    <w:rsid w:val="0017584E"/>
    <w:rsid w:val="0017589F"/>
    <w:rsid w:val="00175B01"/>
    <w:rsid w:val="00175EB8"/>
    <w:rsid w:val="00175F5A"/>
    <w:rsid w:val="0017600B"/>
    <w:rsid w:val="00176157"/>
    <w:rsid w:val="001761F2"/>
    <w:rsid w:val="00176384"/>
    <w:rsid w:val="00176513"/>
    <w:rsid w:val="001768C3"/>
    <w:rsid w:val="00176B04"/>
    <w:rsid w:val="00176D8A"/>
    <w:rsid w:val="00176FBC"/>
    <w:rsid w:val="001771B9"/>
    <w:rsid w:val="0017737D"/>
    <w:rsid w:val="001774BB"/>
    <w:rsid w:val="00177750"/>
    <w:rsid w:val="00177791"/>
    <w:rsid w:val="00177909"/>
    <w:rsid w:val="00177A19"/>
    <w:rsid w:val="00177ABE"/>
    <w:rsid w:val="00177BAC"/>
    <w:rsid w:val="00180088"/>
    <w:rsid w:val="00180098"/>
    <w:rsid w:val="00180259"/>
    <w:rsid w:val="0018067E"/>
    <w:rsid w:val="001807A9"/>
    <w:rsid w:val="001812D2"/>
    <w:rsid w:val="00181598"/>
    <w:rsid w:val="001819E3"/>
    <w:rsid w:val="00181AC9"/>
    <w:rsid w:val="00181B76"/>
    <w:rsid w:val="00181FDE"/>
    <w:rsid w:val="00182191"/>
    <w:rsid w:val="001826CB"/>
    <w:rsid w:val="001831E3"/>
    <w:rsid w:val="00183215"/>
    <w:rsid w:val="001838CF"/>
    <w:rsid w:val="00183B4C"/>
    <w:rsid w:val="00184155"/>
    <w:rsid w:val="0018426B"/>
    <w:rsid w:val="00184F40"/>
    <w:rsid w:val="00184FBD"/>
    <w:rsid w:val="001851B2"/>
    <w:rsid w:val="00185231"/>
    <w:rsid w:val="0018530B"/>
    <w:rsid w:val="00185599"/>
    <w:rsid w:val="00185A85"/>
    <w:rsid w:val="00185C92"/>
    <w:rsid w:val="00185CA8"/>
    <w:rsid w:val="0018601D"/>
    <w:rsid w:val="00186419"/>
    <w:rsid w:val="001864F0"/>
    <w:rsid w:val="00186663"/>
    <w:rsid w:val="001873F6"/>
    <w:rsid w:val="00187438"/>
    <w:rsid w:val="001878EF"/>
    <w:rsid w:val="001878FF"/>
    <w:rsid w:val="00187A9E"/>
    <w:rsid w:val="00187C4E"/>
    <w:rsid w:val="001900FA"/>
    <w:rsid w:val="0019033A"/>
    <w:rsid w:val="00190554"/>
    <w:rsid w:val="001908FB"/>
    <w:rsid w:val="00191258"/>
    <w:rsid w:val="00191BD8"/>
    <w:rsid w:val="00191C36"/>
    <w:rsid w:val="00191EB0"/>
    <w:rsid w:val="00192246"/>
    <w:rsid w:val="001923C9"/>
    <w:rsid w:val="00192595"/>
    <w:rsid w:val="001925C7"/>
    <w:rsid w:val="00192786"/>
    <w:rsid w:val="00192C36"/>
    <w:rsid w:val="0019339F"/>
    <w:rsid w:val="001938CA"/>
    <w:rsid w:val="00193E30"/>
    <w:rsid w:val="001940C6"/>
    <w:rsid w:val="001940FB"/>
    <w:rsid w:val="001943BB"/>
    <w:rsid w:val="001946A1"/>
    <w:rsid w:val="00194976"/>
    <w:rsid w:val="001949A4"/>
    <w:rsid w:val="00194C9B"/>
    <w:rsid w:val="00194C9E"/>
    <w:rsid w:val="001952BB"/>
    <w:rsid w:val="00195343"/>
    <w:rsid w:val="001954FB"/>
    <w:rsid w:val="001957DC"/>
    <w:rsid w:val="00195B50"/>
    <w:rsid w:val="00196397"/>
    <w:rsid w:val="001963FC"/>
    <w:rsid w:val="00196D01"/>
    <w:rsid w:val="00196F30"/>
    <w:rsid w:val="00197550"/>
    <w:rsid w:val="00197B62"/>
    <w:rsid w:val="00197BAE"/>
    <w:rsid w:val="00197BED"/>
    <w:rsid w:val="00197D34"/>
    <w:rsid w:val="00197D38"/>
    <w:rsid w:val="00197E01"/>
    <w:rsid w:val="00197E7A"/>
    <w:rsid w:val="001A035E"/>
    <w:rsid w:val="001A038A"/>
    <w:rsid w:val="001A0595"/>
    <w:rsid w:val="001A09ED"/>
    <w:rsid w:val="001A0CFD"/>
    <w:rsid w:val="001A0D79"/>
    <w:rsid w:val="001A1128"/>
    <w:rsid w:val="001A1256"/>
    <w:rsid w:val="001A12F5"/>
    <w:rsid w:val="001A163D"/>
    <w:rsid w:val="001A1888"/>
    <w:rsid w:val="001A18C3"/>
    <w:rsid w:val="001A1C8E"/>
    <w:rsid w:val="001A2884"/>
    <w:rsid w:val="001A29BF"/>
    <w:rsid w:val="001A2AAF"/>
    <w:rsid w:val="001A3065"/>
    <w:rsid w:val="001A308B"/>
    <w:rsid w:val="001A324D"/>
    <w:rsid w:val="001A3562"/>
    <w:rsid w:val="001A3776"/>
    <w:rsid w:val="001A3AAE"/>
    <w:rsid w:val="001A3AC3"/>
    <w:rsid w:val="001A3FFC"/>
    <w:rsid w:val="001A40A4"/>
    <w:rsid w:val="001A471B"/>
    <w:rsid w:val="001A4930"/>
    <w:rsid w:val="001A4BB6"/>
    <w:rsid w:val="001A4F2B"/>
    <w:rsid w:val="001A4F9C"/>
    <w:rsid w:val="001A54BC"/>
    <w:rsid w:val="001A5C7F"/>
    <w:rsid w:val="001A5CBC"/>
    <w:rsid w:val="001A5EEB"/>
    <w:rsid w:val="001A6088"/>
    <w:rsid w:val="001A6168"/>
    <w:rsid w:val="001A64E2"/>
    <w:rsid w:val="001A64F1"/>
    <w:rsid w:val="001A6C51"/>
    <w:rsid w:val="001A6CC1"/>
    <w:rsid w:val="001A6F0A"/>
    <w:rsid w:val="001A720C"/>
    <w:rsid w:val="001A727C"/>
    <w:rsid w:val="001A73DB"/>
    <w:rsid w:val="001A7755"/>
    <w:rsid w:val="001A7AC4"/>
    <w:rsid w:val="001B02FE"/>
    <w:rsid w:val="001B0468"/>
    <w:rsid w:val="001B0748"/>
    <w:rsid w:val="001B0BCE"/>
    <w:rsid w:val="001B1408"/>
    <w:rsid w:val="001B19A2"/>
    <w:rsid w:val="001B1E58"/>
    <w:rsid w:val="001B2125"/>
    <w:rsid w:val="001B21CB"/>
    <w:rsid w:val="001B22F4"/>
    <w:rsid w:val="001B2612"/>
    <w:rsid w:val="001B298A"/>
    <w:rsid w:val="001B2B7D"/>
    <w:rsid w:val="001B2B8B"/>
    <w:rsid w:val="001B2F15"/>
    <w:rsid w:val="001B350F"/>
    <w:rsid w:val="001B36F7"/>
    <w:rsid w:val="001B3C88"/>
    <w:rsid w:val="001B435E"/>
    <w:rsid w:val="001B43AE"/>
    <w:rsid w:val="001B455A"/>
    <w:rsid w:val="001B49E3"/>
    <w:rsid w:val="001B49E5"/>
    <w:rsid w:val="001B4BE2"/>
    <w:rsid w:val="001B4CBC"/>
    <w:rsid w:val="001B4DCC"/>
    <w:rsid w:val="001B5281"/>
    <w:rsid w:val="001B5853"/>
    <w:rsid w:val="001B5A81"/>
    <w:rsid w:val="001B5E54"/>
    <w:rsid w:val="001B66EF"/>
    <w:rsid w:val="001B68FE"/>
    <w:rsid w:val="001B6934"/>
    <w:rsid w:val="001B7526"/>
    <w:rsid w:val="001B76B4"/>
    <w:rsid w:val="001C0165"/>
    <w:rsid w:val="001C03E2"/>
    <w:rsid w:val="001C05B1"/>
    <w:rsid w:val="001C095F"/>
    <w:rsid w:val="001C0A8C"/>
    <w:rsid w:val="001C0B28"/>
    <w:rsid w:val="001C0BFA"/>
    <w:rsid w:val="001C0C4A"/>
    <w:rsid w:val="001C120B"/>
    <w:rsid w:val="001C1225"/>
    <w:rsid w:val="001C1405"/>
    <w:rsid w:val="001C19A1"/>
    <w:rsid w:val="001C1A37"/>
    <w:rsid w:val="001C2506"/>
    <w:rsid w:val="001C2897"/>
    <w:rsid w:val="001C2C54"/>
    <w:rsid w:val="001C2FA8"/>
    <w:rsid w:val="001C322C"/>
    <w:rsid w:val="001C3955"/>
    <w:rsid w:val="001C3BD9"/>
    <w:rsid w:val="001C40B8"/>
    <w:rsid w:val="001C4488"/>
    <w:rsid w:val="001C4517"/>
    <w:rsid w:val="001C4CC8"/>
    <w:rsid w:val="001C50BD"/>
    <w:rsid w:val="001C51F0"/>
    <w:rsid w:val="001C5333"/>
    <w:rsid w:val="001C543C"/>
    <w:rsid w:val="001C54F4"/>
    <w:rsid w:val="001C585F"/>
    <w:rsid w:val="001C5F1E"/>
    <w:rsid w:val="001C6026"/>
    <w:rsid w:val="001C614F"/>
    <w:rsid w:val="001C631F"/>
    <w:rsid w:val="001C63E8"/>
    <w:rsid w:val="001C640E"/>
    <w:rsid w:val="001C67E8"/>
    <w:rsid w:val="001C69C7"/>
    <w:rsid w:val="001C6B23"/>
    <w:rsid w:val="001C6B6A"/>
    <w:rsid w:val="001C6B9F"/>
    <w:rsid w:val="001C6C32"/>
    <w:rsid w:val="001C70EB"/>
    <w:rsid w:val="001C70F1"/>
    <w:rsid w:val="001C71BD"/>
    <w:rsid w:val="001C71F3"/>
    <w:rsid w:val="001C7714"/>
    <w:rsid w:val="001C779F"/>
    <w:rsid w:val="001C7AC1"/>
    <w:rsid w:val="001C7F0F"/>
    <w:rsid w:val="001D0412"/>
    <w:rsid w:val="001D0506"/>
    <w:rsid w:val="001D07E5"/>
    <w:rsid w:val="001D0C59"/>
    <w:rsid w:val="001D0FA1"/>
    <w:rsid w:val="001D1076"/>
    <w:rsid w:val="001D1678"/>
    <w:rsid w:val="001D16F2"/>
    <w:rsid w:val="001D1AEF"/>
    <w:rsid w:val="001D1BC1"/>
    <w:rsid w:val="001D1D02"/>
    <w:rsid w:val="001D222D"/>
    <w:rsid w:val="001D2404"/>
    <w:rsid w:val="001D2967"/>
    <w:rsid w:val="001D2D83"/>
    <w:rsid w:val="001D30A2"/>
    <w:rsid w:val="001D312B"/>
    <w:rsid w:val="001D40BF"/>
    <w:rsid w:val="001D478D"/>
    <w:rsid w:val="001D4976"/>
    <w:rsid w:val="001D4C61"/>
    <w:rsid w:val="001D505F"/>
    <w:rsid w:val="001D525B"/>
    <w:rsid w:val="001D5761"/>
    <w:rsid w:val="001D5A6E"/>
    <w:rsid w:val="001D5C16"/>
    <w:rsid w:val="001D5DB2"/>
    <w:rsid w:val="001D5E9C"/>
    <w:rsid w:val="001D61E6"/>
    <w:rsid w:val="001D633C"/>
    <w:rsid w:val="001D67FF"/>
    <w:rsid w:val="001D6966"/>
    <w:rsid w:val="001D69ED"/>
    <w:rsid w:val="001D6A91"/>
    <w:rsid w:val="001D6AB0"/>
    <w:rsid w:val="001D6FDB"/>
    <w:rsid w:val="001D738F"/>
    <w:rsid w:val="001D73DE"/>
    <w:rsid w:val="001D7546"/>
    <w:rsid w:val="001D756B"/>
    <w:rsid w:val="001D7666"/>
    <w:rsid w:val="001D7739"/>
    <w:rsid w:val="001D77B1"/>
    <w:rsid w:val="001D77E0"/>
    <w:rsid w:val="001D7952"/>
    <w:rsid w:val="001D7AB4"/>
    <w:rsid w:val="001D7B93"/>
    <w:rsid w:val="001D7EB4"/>
    <w:rsid w:val="001E00E8"/>
    <w:rsid w:val="001E09E2"/>
    <w:rsid w:val="001E0F03"/>
    <w:rsid w:val="001E1918"/>
    <w:rsid w:val="001E1ADE"/>
    <w:rsid w:val="001E1DC0"/>
    <w:rsid w:val="001E244F"/>
    <w:rsid w:val="001E274B"/>
    <w:rsid w:val="001E27E0"/>
    <w:rsid w:val="001E2865"/>
    <w:rsid w:val="001E2A5F"/>
    <w:rsid w:val="001E2B8C"/>
    <w:rsid w:val="001E2BE4"/>
    <w:rsid w:val="001E2DF4"/>
    <w:rsid w:val="001E4130"/>
    <w:rsid w:val="001E417B"/>
    <w:rsid w:val="001E43CA"/>
    <w:rsid w:val="001E452A"/>
    <w:rsid w:val="001E48F8"/>
    <w:rsid w:val="001E4E61"/>
    <w:rsid w:val="001E50E7"/>
    <w:rsid w:val="001E5187"/>
    <w:rsid w:val="001E53A9"/>
    <w:rsid w:val="001E5530"/>
    <w:rsid w:val="001E5799"/>
    <w:rsid w:val="001E5C76"/>
    <w:rsid w:val="001E6156"/>
    <w:rsid w:val="001E643F"/>
    <w:rsid w:val="001E667F"/>
    <w:rsid w:val="001E668D"/>
    <w:rsid w:val="001E6A38"/>
    <w:rsid w:val="001E6C29"/>
    <w:rsid w:val="001E6F2F"/>
    <w:rsid w:val="001E7112"/>
    <w:rsid w:val="001E7187"/>
    <w:rsid w:val="001E7374"/>
    <w:rsid w:val="001E7A6E"/>
    <w:rsid w:val="001E7CDA"/>
    <w:rsid w:val="001E7F11"/>
    <w:rsid w:val="001F04DD"/>
    <w:rsid w:val="001F06C6"/>
    <w:rsid w:val="001F06EC"/>
    <w:rsid w:val="001F0725"/>
    <w:rsid w:val="001F0970"/>
    <w:rsid w:val="001F0CED"/>
    <w:rsid w:val="001F14DE"/>
    <w:rsid w:val="001F1677"/>
    <w:rsid w:val="001F1CAD"/>
    <w:rsid w:val="001F1D74"/>
    <w:rsid w:val="001F233D"/>
    <w:rsid w:val="001F258D"/>
    <w:rsid w:val="001F2594"/>
    <w:rsid w:val="001F2C97"/>
    <w:rsid w:val="001F2D02"/>
    <w:rsid w:val="001F2F2B"/>
    <w:rsid w:val="001F3092"/>
    <w:rsid w:val="001F3629"/>
    <w:rsid w:val="001F391D"/>
    <w:rsid w:val="001F3B8A"/>
    <w:rsid w:val="001F3BDE"/>
    <w:rsid w:val="001F42DF"/>
    <w:rsid w:val="001F43A1"/>
    <w:rsid w:val="001F494D"/>
    <w:rsid w:val="001F4D72"/>
    <w:rsid w:val="001F4E98"/>
    <w:rsid w:val="001F4FB8"/>
    <w:rsid w:val="001F5612"/>
    <w:rsid w:val="001F5901"/>
    <w:rsid w:val="001F5996"/>
    <w:rsid w:val="001F5E0A"/>
    <w:rsid w:val="001F5F09"/>
    <w:rsid w:val="001F5FDA"/>
    <w:rsid w:val="001F62B9"/>
    <w:rsid w:val="001F64C5"/>
    <w:rsid w:val="001F6853"/>
    <w:rsid w:val="001F68C6"/>
    <w:rsid w:val="001F6B5B"/>
    <w:rsid w:val="001F706E"/>
    <w:rsid w:val="001F72A9"/>
    <w:rsid w:val="001F7463"/>
    <w:rsid w:val="001F74E3"/>
    <w:rsid w:val="001F7633"/>
    <w:rsid w:val="001F7696"/>
    <w:rsid w:val="001F79EB"/>
    <w:rsid w:val="001F7D8F"/>
    <w:rsid w:val="00200055"/>
    <w:rsid w:val="002000DF"/>
    <w:rsid w:val="002009CF"/>
    <w:rsid w:val="00200AF3"/>
    <w:rsid w:val="00200D7B"/>
    <w:rsid w:val="002011F7"/>
    <w:rsid w:val="0020122A"/>
    <w:rsid w:val="0020174E"/>
    <w:rsid w:val="002017CF"/>
    <w:rsid w:val="002017E7"/>
    <w:rsid w:val="002018B7"/>
    <w:rsid w:val="00201EE4"/>
    <w:rsid w:val="00202406"/>
    <w:rsid w:val="00202731"/>
    <w:rsid w:val="00202A41"/>
    <w:rsid w:val="00202DC8"/>
    <w:rsid w:val="0020350A"/>
    <w:rsid w:val="002037BD"/>
    <w:rsid w:val="00203C0B"/>
    <w:rsid w:val="00203F5D"/>
    <w:rsid w:val="00204269"/>
    <w:rsid w:val="00204768"/>
    <w:rsid w:val="00204BAB"/>
    <w:rsid w:val="002050CE"/>
    <w:rsid w:val="002050D0"/>
    <w:rsid w:val="00205120"/>
    <w:rsid w:val="002053C4"/>
    <w:rsid w:val="002054DF"/>
    <w:rsid w:val="00205826"/>
    <w:rsid w:val="00205FB6"/>
    <w:rsid w:val="002065CA"/>
    <w:rsid w:val="00206B0B"/>
    <w:rsid w:val="00206C30"/>
    <w:rsid w:val="00207093"/>
    <w:rsid w:val="00207450"/>
    <w:rsid w:val="002078B6"/>
    <w:rsid w:val="00207A00"/>
    <w:rsid w:val="00207B94"/>
    <w:rsid w:val="002101DC"/>
    <w:rsid w:val="00210F43"/>
    <w:rsid w:val="002112E3"/>
    <w:rsid w:val="00211343"/>
    <w:rsid w:val="0021134F"/>
    <w:rsid w:val="00211471"/>
    <w:rsid w:val="00211EB9"/>
    <w:rsid w:val="00212C70"/>
    <w:rsid w:val="002130F5"/>
    <w:rsid w:val="002135E1"/>
    <w:rsid w:val="00213797"/>
    <w:rsid w:val="00213814"/>
    <w:rsid w:val="00213BF8"/>
    <w:rsid w:val="00213C46"/>
    <w:rsid w:val="00213C76"/>
    <w:rsid w:val="00213F8A"/>
    <w:rsid w:val="0021411C"/>
    <w:rsid w:val="002145B7"/>
    <w:rsid w:val="00214A17"/>
    <w:rsid w:val="00214B5F"/>
    <w:rsid w:val="00214C7F"/>
    <w:rsid w:val="00214CA1"/>
    <w:rsid w:val="00214EC4"/>
    <w:rsid w:val="002150D3"/>
    <w:rsid w:val="0021546B"/>
    <w:rsid w:val="002157D5"/>
    <w:rsid w:val="002158CB"/>
    <w:rsid w:val="00215C9B"/>
    <w:rsid w:val="00215FBE"/>
    <w:rsid w:val="0021607E"/>
    <w:rsid w:val="002164C4"/>
    <w:rsid w:val="0021652C"/>
    <w:rsid w:val="00216811"/>
    <w:rsid w:val="00216DE1"/>
    <w:rsid w:val="00216E71"/>
    <w:rsid w:val="002173C0"/>
    <w:rsid w:val="0021740A"/>
    <w:rsid w:val="00217410"/>
    <w:rsid w:val="002177AC"/>
    <w:rsid w:val="00217BC8"/>
    <w:rsid w:val="0022029E"/>
    <w:rsid w:val="0022056F"/>
    <w:rsid w:val="002205A1"/>
    <w:rsid w:val="00220C19"/>
    <w:rsid w:val="00221664"/>
    <w:rsid w:val="002218D2"/>
    <w:rsid w:val="00221B63"/>
    <w:rsid w:val="00221E4C"/>
    <w:rsid w:val="00221EBF"/>
    <w:rsid w:val="00222307"/>
    <w:rsid w:val="002223F1"/>
    <w:rsid w:val="00222556"/>
    <w:rsid w:val="00222700"/>
    <w:rsid w:val="002227A6"/>
    <w:rsid w:val="002229DE"/>
    <w:rsid w:val="00222B0D"/>
    <w:rsid w:val="00222E17"/>
    <w:rsid w:val="002231E7"/>
    <w:rsid w:val="00223219"/>
    <w:rsid w:val="00223229"/>
    <w:rsid w:val="002234EA"/>
    <w:rsid w:val="002238C1"/>
    <w:rsid w:val="00223A9C"/>
    <w:rsid w:val="00223AA3"/>
    <w:rsid w:val="00223B9A"/>
    <w:rsid w:val="00223C8C"/>
    <w:rsid w:val="00225037"/>
    <w:rsid w:val="00225053"/>
    <w:rsid w:val="0022514F"/>
    <w:rsid w:val="00225198"/>
    <w:rsid w:val="00225387"/>
    <w:rsid w:val="00225585"/>
    <w:rsid w:val="002258A3"/>
    <w:rsid w:val="00225A13"/>
    <w:rsid w:val="00225AD4"/>
    <w:rsid w:val="00225BB2"/>
    <w:rsid w:val="00225D11"/>
    <w:rsid w:val="00226805"/>
    <w:rsid w:val="002268A8"/>
    <w:rsid w:val="00226922"/>
    <w:rsid w:val="00226FCC"/>
    <w:rsid w:val="002270D6"/>
    <w:rsid w:val="0022713C"/>
    <w:rsid w:val="00227438"/>
    <w:rsid w:val="002278AB"/>
    <w:rsid w:val="0022791F"/>
    <w:rsid w:val="00227A15"/>
    <w:rsid w:val="00230790"/>
    <w:rsid w:val="00230A74"/>
    <w:rsid w:val="00230A88"/>
    <w:rsid w:val="00230D1E"/>
    <w:rsid w:val="00230DF0"/>
    <w:rsid w:val="00230FB7"/>
    <w:rsid w:val="002311C5"/>
    <w:rsid w:val="00231E03"/>
    <w:rsid w:val="0023200C"/>
    <w:rsid w:val="00232039"/>
    <w:rsid w:val="0023216D"/>
    <w:rsid w:val="002323B6"/>
    <w:rsid w:val="002329D1"/>
    <w:rsid w:val="0023312E"/>
    <w:rsid w:val="00233EB4"/>
    <w:rsid w:val="00233EB6"/>
    <w:rsid w:val="00234054"/>
    <w:rsid w:val="00234208"/>
    <w:rsid w:val="00234398"/>
    <w:rsid w:val="00234507"/>
    <w:rsid w:val="002345C2"/>
    <w:rsid w:val="002346A4"/>
    <w:rsid w:val="002348CA"/>
    <w:rsid w:val="00234C71"/>
    <w:rsid w:val="00234E99"/>
    <w:rsid w:val="00234EDC"/>
    <w:rsid w:val="00235069"/>
    <w:rsid w:val="00235366"/>
    <w:rsid w:val="002353B5"/>
    <w:rsid w:val="002353F4"/>
    <w:rsid w:val="00235518"/>
    <w:rsid w:val="00235EAB"/>
    <w:rsid w:val="00236189"/>
    <w:rsid w:val="002362A7"/>
    <w:rsid w:val="002363BC"/>
    <w:rsid w:val="00236936"/>
    <w:rsid w:val="0023693A"/>
    <w:rsid w:val="00236BAE"/>
    <w:rsid w:val="00236E39"/>
    <w:rsid w:val="00237064"/>
    <w:rsid w:val="00237394"/>
    <w:rsid w:val="00237562"/>
    <w:rsid w:val="0023767E"/>
    <w:rsid w:val="002376FB"/>
    <w:rsid w:val="002377D9"/>
    <w:rsid w:val="002377FB"/>
    <w:rsid w:val="00237C38"/>
    <w:rsid w:val="00237CCD"/>
    <w:rsid w:val="00237D6A"/>
    <w:rsid w:val="002402AF"/>
    <w:rsid w:val="00240370"/>
    <w:rsid w:val="002406F9"/>
    <w:rsid w:val="00240A1F"/>
    <w:rsid w:val="00240BCD"/>
    <w:rsid w:val="00240D4E"/>
    <w:rsid w:val="00240F58"/>
    <w:rsid w:val="002413A0"/>
    <w:rsid w:val="00241472"/>
    <w:rsid w:val="00241752"/>
    <w:rsid w:val="00241C2E"/>
    <w:rsid w:val="00242120"/>
    <w:rsid w:val="00242181"/>
    <w:rsid w:val="00242509"/>
    <w:rsid w:val="0024262B"/>
    <w:rsid w:val="00242771"/>
    <w:rsid w:val="002431BC"/>
    <w:rsid w:val="002431FC"/>
    <w:rsid w:val="002433D4"/>
    <w:rsid w:val="002433DB"/>
    <w:rsid w:val="00243535"/>
    <w:rsid w:val="00243657"/>
    <w:rsid w:val="00243F7F"/>
    <w:rsid w:val="00244016"/>
    <w:rsid w:val="002442E0"/>
    <w:rsid w:val="0024487C"/>
    <w:rsid w:val="002448FF"/>
    <w:rsid w:val="00244BA7"/>
    <w:rsid w:val="00244BC8"/>
    <w:rsid w:val="00244EBA"/>
    <w:rsid w:val="00245555"/>
    <w:rsid w:val="0024564D"/>
    <w:rsid w:val="00245921"/>
    <w:rsid w:val="00245A15"/>
    <w:rsid w:val="00245AD3"/>
    <w:rsid w:val="00246398"/>
    <w:rsid w:val="002463BE"/>
    <w:rsid w:val="002464E4"/>
    <w:rsid w:val="002466D2"/>
    <w:rsid w:val="00246887"/>
    <w:rsid w:val="00246B4B"/>
    <w:rsid w:val="00246E48"/>
    <w:rsid w:val="0024756D"/>
    <w:rsid w:val="002476CF"/>
    <w:rsid w:val="00247835"/>
    <w:rsid w:val="00247962"/>
    <w:rsid w:val="0025031A"/>
    <w:rsid w:val="002503BA"/>
    <w:rsid w:val="002504A2"/>
    <w:rsid w:val="00250658"/>
    <w:rsid w:val="002506C8"/>
    <w:rsid w:val="00250714"/>
    <w:rsid w:val="00250821"/>
    <w:rsid w:val="00250AA0"/>
    <w:rsid w:val="00250BDD"/>
    <w:rsid w:val="00250C16"/>
    <w:rsid w:val="00250F9B"/>
    <w:rsid w:val="00251795"/>
    <w:rsid w:val="002519D5"/>
    <w:rsid w:val="00251D08"/>
    <w:rsid w:val="00251F2F"/>
    <w:rsid w:val="00252166"/>
    <w:rsid w:val="002521B4"/>
    <w:rsid w:val="00252661"/>
    <w:rsid w:val="002527B4"/>
    <w:rsid w:val="002528D0"/>
    <w:rsid w:val="002529C5"/>
    <w:rsid w:val="00252A82"/>
    <w:rsid w:val="00252A90"/>
    <w:rsid w:val="00252BF3"/>
    <w:rsid w:val="00253410"/>
    <w:rsid w:val="00253449"/>
    <w:rsid w:val="00253B7A"/>
    <w:rsid w:val="00253C5A"/>
    <w:rsid w:val="00253DD1"/>
    <w:rsid w:val="00253F8B"/>
    <w:rsid w:val="002542FB"/>
    <w:rsid w:val="00254348"/>
    <w:rsid w:val="00254697"/>
    <w:rsid w:val="00254837"/>
    <w:rsid w:val="002549B3"/>
    <w:rsid w:val="00254C5B"/>
    <w:rsid w:val="0025530C"/>
    <w:rsid w:val="0025566E"/>
    <w:rsid w:val="00255757"/>
    <w:rsid w:val="00255D66"/>
    <w:rsid w:val="002561E6"/>
    <w:rsid w:val="0025628F"/>
    <w:rsid w:val="0025679D"/>
    <w:rsid w:val="00256896"/>
    <w:rsid w:val="00256B10"/>
    <w:rsid w:val="00256EFC"/>
    <w:rsid w:val="0025710B"/>
    <w:rsid w:val="002576F2"/>
    <w:rsid w:val="00257FB6"/>
    <w:rsid w:val="00260152"/>
    <w:rsid w:val="00260A84"/>
    <w:rsid w:val="00260DB3"/>
    <w:rsid w:val="002616C9"/>
    <w:rsid w:val="00261938"/>
    <w:rsid w:val="00261989"/>
    <w:rsid w:val="00261AB2"/>
    <w:rsid w:val="002620C7"/>
    <w:rsid w:val="002621F2"/>
    <w:rsid w:val="00262336"/>
    <w:rsid w:val="002625F3"/>
    <w:rsid w:val="00262A31"/>
    <w:rsid w:val="00262A85"/>
    <w:rsid w:val="00262DE5"/>
    <w:rsid w:val="00263912"/>
    <w:rsid w:val="00263C24"/>
    <w:rsid w:val="00263E79"/>
    <w:rsid w:val="0026410E"/>
    <w:rsid w:val="002642CF"/>
    <w:rsid w:val="00264CAA"/>
    <w:rsid w:val="00264D96"/>
    <w:rsid w:val="00265450"/>
    <w:rsid w:val="0026562D"/>
    <w:rsid w:val="002656B3"/>
    <w:rsid w:val="002656F5"/>
    <w:rsid w:val="00265990"/>
    <w:rsid w:val="002659CC"/>
    <w:rsid w:val="00265A19"/>
    <w:rsid w:val="002660EF"/>
    <w:rsid w:val="002661D6"/>
    <w:rsid w:val="002662ED"/>
    <w:rsid w:val="002667FE"/>
    <w:rsid w:val="00266C54"/>
    <w:rsid w:val="002672A4"/>
    <w:rsid w:val="00267316"/>
    <w:rsid w:val="002673A2"/>
    <w:rsid w:val="002676E6"/>
    <w:rsid w:val="00267724"/>
    <w:rsid w:val="0026790A"/>
    <w:rsid w:val="00267ADD"/>
    <w:rsid w:val="00267F5D"/>
    <w:rsid w:val="002703E1"/>
    <w:rsid w:val="0027054E"/>
    <w:rsid w:val="00270823"/>
    <w:rsid w:val="002709C9"/>
    <w:rsid w:val="00270A29"/>
    <w:rsid w:val="002718EE"/>
    <w:rsid w:val="00271A28"/>
    <w:rsid w:val="00271A45"/>
    <w:rsid w:val="00271B43"/>
    <w:rsid w:val="00271B87"/>
    <w:rsid w:val="00271C37"/>
    <w:rsid w:val="00271D8E"/>
    <w:rsid w:val="00271FF8"/>
    <w:rsid w:val="00272027"/>
    <w:rsid w:val="0027243D"/>
    <w:rsid w:val="002725D7"/>
    <w:rsid w:val="002727B4"/>
    <w:rsid w:val="00272849"/>
    <w:rsid w:val="00272C28"/>
    <w:rsid w:val="00272C78"/>
    <w:rsid w:val="00272CCE"/>
    <w:rsid w:val="002732E9"/>
    <w:rsid w:val="00273410"/>
    <w:rsid w:val="00273726"/>
    <w:rsid w:val="0027375D"/>
    <w:rsid w:val="002741D3"/>
    <w:rsid w:val="00274252"/>
    <w:rsid w:val="002746C6"/>
    <w:rsid w:val="002749DF"/>
    <w:rsid w:val="00274AAF"/>
    <w:rsid w:val="00274C6B"/>
    <w:rsid w:val="00274DF0"/>
    <w:rsid w:val="00274E8A"/>
    <w:rsid w:val="002751B0"/>
    <w:rsid w:val="002752CE"/>
    <w:rsid w:val="00275456"/>
    <w:rsid w:val="002754A8"/>
    <w:rsid w:val="002754DF"/>
    <w:rsid w:val="00275D7F"/>
    <w:rsid w:val="00275F18"/>
    <w:rsid w:val="00276774"/>
    <w:rsid w:val="0027684C"/>
    <w:rsid w:val="0027695E"/>
    <w:rsid w:val="00276A4F"/>
    <w:rsid w:val="00276B9F"/>
    <w:rsid w:val="00276FB4"/>
    <w:rsid w:val="00277260"/>
    <w:rsid w:val="002772FD"/>
    <w:rsid w:val="00277F86"/>
    <w:rsid w:val="00280088"/>
    <w:rsid w:val="00280803"/>
    <w:rsid w:val="002808B0"/>
    <w:rsid w:val="002810AF"/>
    <w:rsid w:val="002813A4"/>
    <w:rsid w:val="00281E87"/>
    <w:rsid w:val="00281F3E"/>
    <w:rsid w:val="0028218C"/>
    <w:rsid w:val="0028226C"/>
    <w:rsid w:val="002822E0"/>
    <w:rsid w:val="00282468"/>
    <w:rsid w:val="00282604"/>
    <w:rsid w:val="002826B2"/>
    <w:rsid w:val="0028285D"/>
    <w:rsid w:val="00282A0E"/>
    <w:rsid w:val="00282B62"/>
    <w:rsid w:val="00282DC6"/>
    <w:rsid w:val="00282E8C"/>
    <w:rsid w:val="00283119"/>
    <w:rsid w:val="0028392C"/>
    <w:rsid w:val="00283D5C"/>
    <w:rsid w:val="00283F4D"/>
    <w:rsid w:val="0028410E"/>
    <w:rsid w:val="00284531"/>
    <w:rsid w:val="00284584"/>
    <w:rsid w:val="00284ABB"/>
    <w:rsid w:val="00284B55"/>
    <w:rsid w:val="00284C08"/>
    <w:rsid w:val="00284F2B"/>
    <w:rsid w:val="00284F83"/>
    <w:rsid w:val="002850A2"/>
    <w:rsid w:val="002851B4"/>
    <w:rsid w:val="002851CB"/>
    <w:rsid w:val="00285377"/>
    <w:rsid w:val="0028538E"/>
    <w:rsid w:val="00285763"/>
    <w:rsid w:val="00285791"/>
    <w:rsid w:val="00285CFB"/>
    <w:rsid w:val="0028602A"/>
    <w:rsid w:val="00286570"/>
    <w:rsid w:val="00286628"/>
    <w:rsid w:val="002867F0"/>
    <w:rsid w:val="00286851"/>
    <w:rsid w:val="0028688B"/>
    <w:rsid w:val="002868A9"/>
    <w:rsid w:val="00286D96"/>
    <w:rsid w:val="002872C3"/>
    <w:rsid w:val="00287834"/>
    <w:rsid w:val="00287835"/>
    <w:rsid w:val="00287908"/>
    <w:rsid w:val="0029039F"/>
    <w:rsid w:val="002904F9"/>
    <w:rsid w:val="00290937"/>
    <w:rsid w:val="00290B0B"/>
    <w:rsid w:val="00290DD0"/>
    <w:rsid w:val="00290FB5"/>
    <w:rsid w:val="0029108B"/>
    <w:rsid w:val="002910FC"/>
    <w:rsid w:val="002913ED"/>
    <w:rsid w:val="002914FA"/>
    <w:rsid w:val="002915EB"/>
    <w:rsid w:val="002917B1"/>
    <w:rsid w:val="002917F3"/>
    <w:rsid w:val="00291BE7"/>
    <w:rsid w:val="00291DD3"/>
    <w:rsid w:val="00291E34"/>
    <w:rsid w:val="00292124"/>
    <w:rsid w:val="0029239C"/>
    <w:rsid w:val="00292683"/>
    <w:rsid w:val="00292881"/>
    <w:rsid w:val="002928FD"/>
    <w:rsid w:val="002929EF"/>
    <w:rsid w:val="00292BF1"/>
    <w:rsid w:val="00292D11"/>
    <w:rsid w:val="00292DF7"/>
    <w:rsid w:val="002937D1"/>
    <w:rsid w:val="00293806"/>
    <w:rsid w:val="00293C1E"/>
    <w:rsid w:val="00293DE2"/>
    <w:rsid w:val="00294183"/>
    <w:rsid w:val="002941A0"/>
    <w:rsid w:val="0029449C"/>
    <w:rsid w:val="00294ACC"/>
    <w:rsid w:val="00294AE3"/>
    <w:rsid w:val="00294F04"/>
    <w:rsid w:val="00294F1C"/>
    <w:rsid w:val="002956C7"/>
    <w:rsid w:val="00295BB6"/>
    <w:rsid w:val="00295C79"/>
    <w:rsid w:val="002960BC"/>
    <w:rsid w:val="00296378"/>
    <w:rsid w:val="0029643E"/>
    <w:rsid w:val="00296741"/>
    <w:rsid w:val="00296B09"/>
    <w:rsid w:val="00296BD9"/>
    <w:rsid w:val="00296DC4"/>
    <w:rsid w:val="002970A6"/>
    <w:rsid w:val="00297159"/>
    <w:rsid w:val="002974DF"/>
    <w:rsid w:val="002977D2"/>
    <w:rsid w:val="00297AA2"/>
    <w:rsid w:val="002A0438"/>
    <w:rsid w:val="002A0597"/>
    <w:rsid w:val="002A08E2"/>
    <w:rsid w:val="002A0B36"/>
    <w:rsid w:val="002A0BFA"/>
    <w:rsid w:val="002A0C97"/>
    <w:rsid w:val="002A0F02"/>
    <w:rsid w:val="002A12F2"/>
    <w:rsid w:val="002A130F"/>
    <w:rsid w:val="002A1452"/>
    <w:rsid w:val="002A1606"/>
    <w:rsid w:val="002A16AD"/>
    <w:rsid w:val="002A1962"/>
    <w:rsid w:val="002A1A41"/>
    <w:rsid w:val="002A1AD0"/>
    <w:rsid w:val="002A1CE8"/>
    <w:rsid w:val="002A1E06"/>
    <w:rsid w:val="002A259D"/>
    <w:rsid w:val="002A2894"/>
    <w:rsid w:val="002A2928"/>
    <w:rsid w:val="002A2989"/>
    <w:rsid w:val="002A2A62"/>
    <w:rsid w:val="002A2BB7"/>
    <w:rsid w:val="002A2BD5"/>
    <w:rsid w:val="002A2DBA"/>
    <w:rsid w:val="002A3229"/>
    <w:rsid w:val="002A3338"/>
    <w:rsid w:val="002A37BF"/>
    <w:rsid w:val="002A3B92"/>
    <w:rsid w:val="002A3B9A"/>
    <w:rsid w:val="002A3BC2"/>
    <w:rsid w:val="002A3C5B"/>
    <w:rsid w:val="002A4001"/>
    <w:rsid w:val="002A4931"/>
    <w:rsid w:val="002A4A2D"/>
    <w:rsid w:val="002A501E"/>
    <w:rsid w:val="002A50AB"/>
    <w:rsid w:val="002A5177"/>
    <w:rsid w:val="002A577D"/>
    <w:rsid w:val="002A5A16"/>
    <w:rsid w:val="002A5C4D"/>
    <w:rsid w:val="002A5C51"/>
    <w:rsid w:val="002A5E00"/>
    <w:rsid w:val="002A5F0E"/>
    <w:rsid w:val="002A6080"/>
    <w:rsid w:val="002A62A3"/>
    <w:rsid w:val="002A63CD"/>
    <w:rsid w:val="002A6415"/>
    <w:rsid w:val="002A6725"/>
    <w:rsid w:val="002A6B2C"/>
    <w:rsid w:val="002A6D86"/>
    <w:rsid w:val="002A6F26"/>
    <w:rsid w:val="002A712C"/>
    <w:rsid w:val="002A71A2"/>
    <w:rsid w:val="002A7862"/>
    <w:rsid w:val="002A7A5E"/>
    <w:rsid w:val="002A7BBA"/>
    <w:rsid w:val="002A7F05"/>
    <w:rsid w:val="002B027B"/>
    <w:rsid w:val="002B03D0"/>
    <w:rsid w:val="002B0888"/>
    <w:rsid w:val="002B0949"/>
    <w:rsid w:val="002B0B83"/>
    <w:rsid w:val="002B0D20"/>
    <w:rsid w:val="002B0FEA"/>
    <w:rsid w:val="002B14B4"/>
    <w:rsid w:val="002B152A"/>
    <w:rsid w:val="002B1661"/>
    <w:rsid w:val="002B16FF"/>
    <w:rsid w:val="002B1E47"/>
    <w:rsid w:val="002B1E92"/>
    <w:rsid w:val="002B22A7"/>
    <w:rsid w:val="002B2426"/>
    <w:rsid w:val="002B2656"/>
    <w:rsid w:val="002B27EC"/>
    <w:rsid w:val="002B2BB2"/>
    <w:rsid w:val="002B2C06"/>
    <w:rsid w:val="002B2C1F"/>
    <w:rsid w:val="002B2DCA"/>
    <w:rsid w:val="002B31DC"/>
    <w:rsid w:val="002B337D"/>
    <w:rsid w:val="002B33F7"/>
    <w:rsid w:val="002B35B7"/>
    <w:rsid w:val="002B386A"/>
    <w:rsid w:val="002B43A1"/>
    <w:rsid w:val="002B43B6"/>
    <w:rsid w:val="002B4935"/>
    <w:rsid w:val="002B4B9D"/>
    <w:rsid w:val="002B4CBD"/>
    <w:rsid w:val="002B4D4C"/>
    <w:rsid w:val="002B4FE2"/>
    <w:rsid w:val="002B5145"/>
    <w:rsid w:val="002B5225"/>
    <w:rsid w:val="002B5690"/>
    <w:rsid w:val="002B56BD"/>
    <w:rsid w:val="002B56EF"/>
    <w:rsid w:val="002B5920"/>
    <w:rsid w:val="002B5930"/>
    <w:rsid w:val="002B6308"/>
    <w:rsid w:val="002B63F9"/>
    <w:rsid w:val="002B640C"/>
    <w:rsid w:val="002B641F"/>
    <w:rsid w:val="002B68CB"/>
    <w:rsid w:val="002B6C1D"/>
    <w:rsid w:val="002B7155"/>
    <w:rsid w:val="002B721D"/>
    <w:rsid w:val="002B7516"/>
    <w:rsid w:val="002B7654"/>
    <w:rsid w:val="002B76F7"/>
    <w:rsid w:val="002B7CFE"/>
    <w:rsid w:val="002C09BA"/>
    <w:rsid w:val="002C0C38"/>
    <w:rsid w:val="002C0E7B"/>
    <w:rsid w:val="002C1362"/>
    <w:rsid w:val="002C13A6"/>
    <w:rsid w:val="002C1678"/>
    <w:rsid w:val="002C1779"/>
    <w:rsid w:val="002C18C5"/>
    <w:rsid w:val="002C1932"/>
    <w:rsid w:val="002C197C"/>
    <w:rsid w:val="002C1BC1"/>
    <w:rsid w:val="002C1DC6"/>
    <w:rsid w:val="002C1E1B"/>
    <w:rsid w:val="002C1FEB"/>
    <w:rsid w:val="002C218A"/>
    <w:rsid w:val="002C2697"/>
    <w:rsid w:val="002C2852"/>
    <w:rsid w:val="002C2872"/>
    <w:rsid w:val="002C28AD"/>
    <w:rsid w:val="002C2DB9"/>
    <w:rsid w:val="002C3317"/>
    <w:rsid w:val="002C3352"/>
    <w:rsid w:val="002C36E3"/>
    <w:rsid w:val="002C3833"/>
    <w:rsid w:val="002C3981"/>
    <w:rsid w:val="002C3F22"/>
    <w:rsid w:val="002C3F45"/>
    <w:rsid w:val="002C42BE"/>
    <w:rsid w:val="002C42DC"/>
    <w:rsid w:val="002C446F"/>
    <w:rsid w:val="002C4696"/>
    <w:rsid w:val="002C47C4"/>
    <w:rsid w:val="002C491B"/>
    <w:rsid w:val="002C4956"/>
    <w:rsid w:val="002C4DCB"/>
    <w:rsid w:val="002C52B8"/>
    <w:rsid w:val="002C5447"/>
    <w:rsid w:val="002C5521"/>
    <w:rsid w:val="002C571A"/>
    <w:rsid w:val="002C579E"/>
    <w:rsid w:val="002C6124"/>
    <w:rsid w:val="002C68B1"/>
    <w:rsid w:val="002C6EBE"/>
    <w:rsid w:val="002C70B4"/>
    <w:rsid w:val="002C7151"/>
    <w:rsid w:val="002C73BC"/>
    <w:rsid w:val="002C78E5"/>
    <w:rsid w:val="002C79AB"/>
    <w:rsid w:val="002C7A97"/>
    <w:rsid w:val="002C7DEA"/>
    <w:rsid w:val="002D03E5"/>
    <w:rsid w:val="002D0446"/>
    <w:rsid w:val="002D0701"/>
    <w:rsid w:val="002D0838"/>
    <w:rsid w:val="002D0848"/>
    <w:rsid w:val="002D0ACC"/>
    <w:rsid w:val="002D0D31"/>
    <w:rsid w:val="002D0F33"/>
    <w:rsid w:val="002D0FCE"/>
    <w:rsid w:val="002D1005"/>
    <w:rsid w:val="002D14C9"/>
    <w:rsid w:val="002D1A5D"/>
    <w:rsid w:val="002D1E1A"/>
    <w:rsid w:val="002D2090"/>
    <w:rsid w:val="002D20B4"/>
    <w:rsid w:val="002D2187"/>
    <w:rsid w:val="002D26AC"/>
    <w:rsid w:val="002D27FE"/>
    <w:rsid w:val="002D28C9"/>
    <w:rsid w:val="002D2AA2"/>
    <w:rsid w:val="002D2E1F"/>
    <w:rsid w:val="002D2E3C"/>
    <w:rsid w:val="002D2ECF"/>
    <w:rsid w:val="002D2EE4"/>
    <w:rsid w:val="002D30EE"/>
    <w:rsid w:val="002D3120"/>
    <w:rsid w:val="002D31F0"/>
    <w:rsid w:val="002D33D1"/>
    <w:rsid w:val="002D33E3"/>
    <w:rsid w:val="002D3838"/>
    <w:rsid w:val="002D3BA4"/>
    <w:rsid w:val="002D3CBF"/>
    <w:rsid w:val="002D477A"/>
    <w:rsid w:val="002D4E01"/>
    <w:rsid w:val="002D5381"/>
    <w:rsid w:val="002D5A5E"/>
    <w:rsid w:val="002D60B5"/>
    <w:rsid w:val="002D60CC"/>
    <w:rsid w:val="002D6547"/>
    <w:rsid w:val="002D6BCD"/>
    <w:rsid w:val="002D6C97"/>
    <w:rsid w:val="002D6E6F"/>
    <w:rsid w:val="002D6FB0"/>
    <w:rsid w:val="002D73FB"/>
    <w:rsid w:val="002D7BF8"/>
    <w:rsid w:val="002D7CF6"/>
    <w:rsid w:val="002D7EAC"/>
    <w:rsid w:val="002E0632"/>
    <w:rsid w:val="002E08C1"/>
    <w:rsid w:val="002E0940"/>
    <w:rsid w:val="002E0B2C"/>
    <w:rsid w:val="002E0D0C"/>
    <w:rsid w:val="002E0D42"/>
    <w:rsid w:val="002E0E04"/>
    <w:rsid w:val="002E0E5C"/>
    <w:rsid w:val="002E0F86"/>
    <w:rsid w:val="002E0FCD"/>
    <w:rsid w:val="002E1181"/>
    <w:rsid w:val="002E1497"/>
    <w:rsid w:val="002E150F"/>
    <w:rsid w:val="002E1539"/>
    <w:rsid w:val="002E16E7"/>
    <w:rsid w:val="002E17C4"/>
    <w:rsid w:val="002E1BBA"/>
    <w:rsid w:val="002E1D33"/>
    <w:rsid w:val="002E20CD"/>
    <w:rsid w:val="002E21BB"/>
    <w:rsid w:val="002E2BDF"/>
    <w:rsid w:val="002E2DC6"/>
    <w:rsid w:val="002E3029"/>
    <w:rsid w:val="002E304B"/>
    <w:rsid w:val="002E3207"/>
    <w:rsid w:val="002E362A"/>
    <w:rsid w:val="002E381E"/>
    <w:rsid w:val="002E3ACE"/>
    <w:rsid w:val="002E3B59"/>
    <w:rsid w:val="002E3CB8"/>
    <w:rsid w:val="002E3F5A"/>
    <w:rsid w:val="002E4168"/>
    <w:rsid w:val="002E42A9"/>
    <w:rsid w:val="002E4628"/>
    <w:rsid w:val="002E4E19"/>
    <w:rsid w:val="002E5470"/>
    <w:rsid w:val="002E57DC"/>
    <w:rsid w:val="002E58F0"/>
    <w:rsid w:val="002E5B5D"/>
    <w:rsid w:val="002E66B1"/>
    <w:rsid w:val="002E6799"/>
    <w:rsid w:val="002E6A67"/>
    <w:rsid w:val="002E6BDD"/>
    <w:rsid w:val="002E6D20"/>
    <w:rsid w:val="002E6DE4"/>
    <w:rsid w:val="002E6FDF"/>
    <w:rsid w:val="002E70A1"/>
    <w:rsid w:val="002E71DC"/>
    <w:rsid w:val="002E7527"/>
    <w:rsid w:val="002E7528"/>
    <w:rsid w:val="002E7BEC"/>
    <w:rsid w:val="002E7CE0"/>
    <w:rsid w:val="002F04DD"/>
    <w:rsid w:val="002F060E"/>
    <w:rsid w:val="002F06AA"/>
    <w:rsid w:val="002F0743"/>
    <w:rsid w:val="002F07A0"/>
    <w:rsid w:val="002F07C3"/>
    <w:rsid w:val="002F0879"/>
    <w:rsid w:val="002F0AF2"/>
    <w:rsid w:val="002F0DFA"/>
    <w:rsid w:val="002F1103"/>
    <w:rsid w:val="002F12AD"/>
    <w:rsid w:val="002F1556"/>
    <w:rsid w:val="002F164F"/>
    <w:rsid w:val="002F187B"/>
    <w:rsid w:val="002F18F2"/>
    <w:rsid w:val="002F19BF"/>
    <w:rsid w:val="002F1D87"/>
    <w:rsid w:val="002F228F"/>
    <w:rsid w:val="002F25CB"/>
    <w:rsid w:val="002F2AAB"/>
    <w:rsid w:val="002F2E98"/>
    <w:rsid w:val="002F3094"/>
    <w:rsid w:val="002F3849"/>
    <w:rsid w:val="002F3A16"/>
    <w:rsid w:val="002F3B61"/>
    <w:rsid w:val="002F3D22"/>
    <w:rsid w:val="002F40FE"/>
    <w:rsid w:val="002F4EE4"/>
    <w:rsid w:val="002F5017"/>
    <w:rsid w:val="002F5145"/>
    <w:rsid w:val="002F5437"/>
    <w:rsid w:val="002F5443"/>
    <w:rsid w:val="002F55F8"/>
    <w:rsid w:val="002F58E8"/>
    <w:rsid w:val="002F5E9E"/>
    <w:rsid w:val="002F5F27"/>
    <w:rsid w:val="002F6118"/>
    <w:rsid w:val="002F6340"/>
    <w:rsid w:val="002F6904"/>
    <w:rsid w:val="002F6A77"/>
    <w:rsid w:val="002F6F9D"/>
    <w:rsid w:val="002F723B"/>
    <w:rsid w:val="002F76AE"/>
    <w:rsid w:val="002F7BE9"/>
    <w:rsid w:val="00300209"/>
    <w:rsid w:val="003002A5"/>
    <w:rsid w:val="003007E2"/>
    <w:rsid w:val="00300C99"/>
    <w:rsid w:val="00300CA1"/>
    <w:rsid w:val="00300F0A"/>
    <w:rsid w:val="00300FE1"/>
    <w:rsid w:val="00301144"/>
    <w:rsid w:val="00301193"/>
    <w:rsid w:val="00301235"/>
    <w:rsid w:val="00301442"/>
    <w:rsid w:val="0030156E"/>
    <w:rsid w:val="00301AFF"/>
    <w:rsid w:val="00301BCF"/>
    <w:rsid w:val="00302103"/>
    <w:rsid w:val="0030211D"/>
    <w:rsid w:val="0030219F"/>
    <w:rsid w:val="003022D8"/>
    <w:rsid w:val="0030235B"/>
    <w:rsid w:val="00302920"/>
    <w:rsid w:val="003029EA"/>
    <w:rsid w:val="00302C01"/>
    <w:rsid w:val="003030C8"/>
    <w:rsid w:val="00303541"/>
    <w:rsid w:val="00303984"/>
    <w:rsid w:val="00303AD5"/>
    <w:rsid w:val="003045CA"/>
    <w:rsid w:val="003045E1"/>
    <w:rsid w:val="00305389"/>
    <w:rsid w:val="003054F8"/>
    <w:rsid w:val="003058FE"/>
    <w:rsid w:val="0030599E"/>
    <w:rsid w:val="0030650A"/>
    <w:rsid w:val="00306AE3"/>
    <w:rsid w:val="003070DC"/>
    <w:rsid w:val="00307A72"/>
    <w:rsid w:val="00307DD7"/>
    <w:rsid w:val="003100AF"/>
    <w:rsid w:val="003107BE"/>
    <w:rsid w:val="00310DF8"/>
    <w:rsid w:val="00310E5E"/>
    <w:rsid w:val="00311076"/>
    <w:rsid w:val="00311130"/>
    <w:rsid w:val="0031164E"/>
    <w:rsid w:val="0031182B"/>
    <w:rsid w:val="0031187D"/>
    <w:rsid w:val="00311A41"/>
    <w:rsid w:val="00311A4C"/>
    <w:rsid w:val="00311B30"/>
    <w:rsid w:val="00311B64"/>
    <w:rsid w:val="00311B68"/>
    <w:rsid w:val="00311B7B"/>
    <w:rsid w:val="00311BE7"/>
    <w:rsid w:val="00311E10"/>
    <w:rsid w:val="00312453"/>
    <w:rsid w:val="003126E5"/>
    <w:rsid w:val="00312760"/>
    <w:rsid w:val="0031276A"/>
    <w:rsid w:val="00312D4F"/>
    <w:rsid w:val="00312FE5"/>
    <w:rsid w:val="00313246"/>
    <w:rsid w:val="00313331"/>
    <w:rsid w:val="00313809"/>
    <w:rsid w:val="00313C95"/>
    <w:rsid w:val="00313D12"/>
    <w:rsid w:val="00313E97"/>
    <w:rsid w:val="00313F4F"/>
    <w:rsid w:val="0031408B"/>
    <w:rsid w:val="003141CD"/>
    <w:rsid w:val="003142F6"/>
    <w:rsid w:val="00314347"/>
    <w:rsid w:val="0031487D"/>
    <w:rsid w:val="003148B7"/>
    <w:rsid w:val="00314AE9"/>
    <w:rsid w:val="00314C45"/>
    <w:rsid w:val="00314C8D"/>
    <w:rsid w:val="003151D8"/>
    <w:rsid w:val="00315434"/>
    <w:rsid w:val="00315488"/>
    <w:rsid w:val="003158C3"/>
    <w:rsid w:val="00315F4E"/>
    <w:rsid w:val="003160EE"/>
    <w:rsid w:val="0031628B"/>
    <w:rsid w:val="003163C7"/>
    <w:rsid w:val="00316A9F"/>
    <w:rsid w:val="00316CF5"/>
    <w:rsid w:val="00316F3C"/>
    <w:rsid w:val="00316F9F"/>
    <w:rsid w:val="00317277"/>
    <w:rsid w:val="00317655"/>
    <w:rsid w:val="0031790E"/>
    <w:rsid w:val="00317B4B"/>
    <w:rsid w:val="00317C54"/>
    <w:rsid w:val="00317F74"/>
    <w:rsid w:val="00320054"/>
    <w:rsid w:val="003200DD"/>
    <w:rsid w:val="003201E3"/>
    <w:rsid w:val="00320351"/>
    <w:rsid w:val="00320843"/>
    <w:rsid w:val="00320953"/>
    <w:rsid w:val="00320B05"/>
    <w:rsid w:val="00320C03"/>
    <w:rsid w:val="00320C61"/>
    <w:rsid w:val="00320CF6"/>
    <w:rsid w:val="00320CFA"/>
    <w:rsid w:val="00320E43"/>
    <w:rsid w:val="003215CF"/>
    <w:rsid w:val="00321D28"/>
    <w:rsid w:val="00321E09"/>
    <w:rsid w:val="003220AB"/>
    <w:rsid w:val="00322115"/>
    <w:rsid w:val="00322224"/>
    <w:rsid w:val="0032254F"/>
    <w:rsid w:val="003227D1"/>
    <w:rsid w:val="00323104"/>
    <w:rsid w:val="003234C0"/>
    <w:rsid w:val="00323568"/>
    <w:rsid w:val="00323CAE"/>
    <w:rsid w:val="00323D64"/>
    <w:rsid w:val="00323F33"/>
    <w:rsid w:val="00323F53"/>
    <w:rsid w:val="003240F6"/>
    <w:rsid w:val="0032414D"/>
    <w:rsid w:val="003244E9"/>
    <w:rsid w:val="0032473C"/>
    <w:rsid w:val="003249FB"/>
    <w:rsid w:val="00324A3A"/>
    <w:rsid w:val="00324E3A"/>
    <w:rsid w:val="0032512C"/>
    <w:rsid w:val="00325226"/>
    <w:rsid w:val="003252D5"/>
    <w:rsid w:val="003255C3"/>
    <w:rsid w:val="00325A2E"/>
    <w:rsid w:val="00325AB0"/>
    <w:rsid w:val="00325C1A"/>
    <w:rsid w:val="00325DAA"/>
    <w:rsid w:val="00325F2F"/>
    <w:rsid w:val="003260B8"/>
    <w:rsid w:val="00326AA3"/>
    <w:rsid w:val="00326EBD"/>
    <w:rsid w:val="003270DA"/>
    <w:rsid w:val="003274CD"/>
    <w:rsid w:val="003276FB"/>
    <w:rsid w:val="00327A87"/>
    <w:rsid w:val="00327B2E"/>
    <w:rsid w:val="00327BFF"/>
    <w:rsid w:val="00330415"/>
    <w:rsid w:val="0033055B"/>
    <w:rsid w:val="0033084E"/>
    <w:rsid w:val="00330A15"/>
    <w:rsid w:val="00330A84"/>
    <w:rsid w:val="00330D35"/>
    <w:rsid w:val="00330D8C"/>
    <w:rsid w:val="00330E0D"/>
    <w:rsid w:val="00330E59"/>
    <w:rsid w:val="00331461"/>
    <w:rsid w:val="003315E9"/>
    <w:rsid w:val="00331883"/>
    <w:rsid w:val="00331C0F"/>
    <w:rsid w:val="00331D68"/>
    <w:rsid w:val="00331D78"/>
    <w:rsid w:val="00332938"/>
    <w:rsid w:val="00332B55"/>
    <w:rsid w:val="00332B84"/>
    <w:rsid w:val="00332E2C"/>
    <w:rsid w:val="00332EF4"/>
    <w:rsid w:val="00333274"/>
    <w:rsid w:val="0033399E"/>
    <w:rsid w:val="00333B7D"/>
    <w:rsid w:val="00333CA3"/>
    <w:rsid w:val="0033433D"/>
    <w:rsid w:val="00334BA6"/>
    <w:rsid w:val="00334C6F"/>
    <w:rsid w:val="00334F8A"/>
    <w:rsid w:val="0033519F"/>
    <w:rsid w:val="00335280"/>
    <w:rsid w:val="003353A6"/>
    <w:rsid w:val="00335770"/>
    <w:rsid w:val="003358CC"/>
    <w:rsid w:val="00335A7B"/>
    <w:rsid w:val="00335B6F"/>
    <w:rsid w:val="003367A8"/>
    <w:rsid w:val="00336855"/>
    <w:rsid w:val="00336B58"/>
    <w:rsid w:val="00336D55"/>
    <w:rsid w:val="00336FC6"/>
    <w:rsid w:val="003370B5"/>
    <w:rsid w:val="00337226"/>
    <w:rsid w:val="00337433"/>
    <w:rsid w:val="003377DA"/>
    <w:rsid w:val="003377F1"/>
    <w:rsid w:val="003378C9"/>
    <w:rsid w:val="00337902"/>
    <w:rsid w:val="00337A1A"/>
    <w:rsid w:val="00337B17"/>
    <w:rsid w:val="00337D61"/>
    <w:rsid w:val="00337E01"/>
    <w:rsid w:val="00337EF3"/>
    <w:rsid w:val="00340094"/>
    <w:rsid w:val="0034034E"/>
    <w:rsid w:val="0034045A"/>
    <w:rsid w:val="0034054B"/>
    <w:rsid w:val="003408EA"/>
    <w:rsid w:val="00340D32"/>
    <w:rsid w:val="003414F5"/>
    <w:rsid w:val="003416C7"/>
    <w:rsid w:val="0034176D"/>
    <w:rsid w:val="00341BA3"/>
    <w:rsid w:val="00341DFA"/>
    <w:rsid w:val="00341E46"/>
    <w:rsid w:val="003423F5"/>
    <w:rsid w:val="003424C3"/>
    <w:rsid w:val="0034269F"/>
    <w:rsid w:val="003428F9"/>
    <w:rsid w:val="00342C52"/>
    <w:rsid w:val="00342ECE"/>
    <w:rsid w:val="003430F1"/>
    <w:rsid w:val="00343600"/>
    <w:rsid w:val="003437CD"/>
    <w:rsid w:val="00343947"/>
    <w:rsid w:val="00343A8E"/>
    <w:rsid w:val="00343C48"/>
    <w:rsid w:val="00343C72"/>
    <w:rsid w:val="00343D83"/>
    <w:rsid w:val="00343F50"/>
    <w:rsid w:val="00343FA4"/>
    <w:rsid w:val="00343FA8"/>
    <w:rsid w:val="003442B2"/>
    <w:rsid w:val="003442F5"/>
    <w:rsid w:val="0034442B"/>
    <w:rsid w:val="003445B7"/>
    <w:rsid w:val="00344CCF"/>
    <w:rsid w:val="00344D28"/>
    <w:rsid w:val="00344D99"/>
    <w:rsid w:val="00344E09"/>
    <w:rsid w:val="00344F02"/>
    <w:rsid w:val="0034530D"/>
    <w:rsid w:val="00345B7A"/>
    <w:rsid w:val="00345E6B"/>
    <w:rsid w:val="00346097"/>
    <w:rsid w:val="00346128"/>
    <w:rsid w:val="00346167"/>
    <w:rsid w:val="0034654F"/>
    <w:rsid w:val="00346AAB"/>
    <w:rsid w:val="00346E34"/>
    <w:rsid w:val="00346E69"/>
    <w:rsid w:val="00346E8F"/>
    <w:rsid w:val="003470E7"/>
    <w:rsid w:val="00347122"/>
    <w:rsid w:val="003473D9"/>
    <w:rsid w:val="00347499"/>
    <w:rsid w:val="0034755C"/>
    <w:rsid w:val="00347622"/>
    <w:rsid w:val="0034784C"/>
    <w:rsid w:val="0034785D"/>
    <w:rsid w:val="00347994"/>
    <w:rsid w:val="00347A17"/>
    <w:rsid w:val="00347B58"/>
    <w:rsid w:val="00347BF6"/>
    <w:rsid w:val="00347C35"/>
    <w:rsid w:val="00347D8D"/>
    <w:rsid w:val="0035072D"/>
    <w:rsid w:val="00350DEB"/>
    <w:rsid w:val="00350ECA"/>
    <w:rsid w:val="00350FA1"/>
    <w:rsid w:val="00350FC5"/>
    <w:rsid w:val="0035104C"/>
    <w:rsid w:val="00351130"/>
    <w:rsid w:val="0035119D"/>
    <w:rsid w:val="003515C9"/>
    <w:rsid w:val="003519AB"/>
    <w:rsid w:val="00351B52"/>
    <w:rsid w:val="0035204F"/>
    <w:rsid w:val="003523C8"/>
    <w:rsid w:val="0035249A"/>
    <w:rsid w:val="003525F1"/>
    <w:rsid w:val="0035283E"/>
    <w:rsid w:val="00352DF4"/>
    <w:rsid w:val="0035390E"/>
    <w:rsid w:val="0035394F"/>
    <w:rsid w:val="0035430A"/>
    <w:rsid w:val="00354656"/>
    <w:rsid w:val="0035467D"/>
    <w:rsid w:val="00354928"/>
    <w:rsid w:val="00354A54"/>
    <w:rsid w:val="00354A56"/>
    <w:rsid w:val="00355038"/>
    <w:rsid w:val="00355125"/>
    <w:rsid w:val="003553E9"/>
    <w:rsid w:val="00355C5A"/>
    <w:rsid w:val="00356280"/>
    <w:rsid w:val="0035681D"/>
    <w:rsid w:val="00356972"/>
    <w:rsid w:val="00356C62"/>
    <w:rsid w:val="00357141"/>
    <w:rsid w:val="003576A1"/>
    <w:rsid w:val="0035776D"/>
    <w:rsid w:val="00357A1B"/>
    <w:rsid w:val="00357C9B"/>
    <w:rsid w:val="00357E60"/>
    <w:rsid w:val="00357E6A"/>
    <w:rsid w:val="00357E8E"/>
    <w:rsid w:val="00357E9B"/>
    <w:rsid w:val="003600A3"/>
    <w:rsid w:val="00360283"/>
    <w:rsid w:val="003606E0"/>
    <w:rsid w:val="0036076F"/>
    <w:rsid w:val="00360883"/>
    <w:rsid w:val="003608FA"/>
    <w:rsid w:val="00360968"/>
    <w:rsid w:val="00360A80"/>
    <w:rsid w:val="003612DF"/>
    <w:rsid w:val="003613CE"/>
    <w:rsid w:val="003613DA"/>
    <w:rsid w:val="00361771"/>
    <w:rsid w:val="00361D64"/>
    <w:rsid w:val="00361D91"/>
    <w:rsid w:val="003623A3"/>
    <w:rsid w:val="003625AB"/>
    <w:rsid w:val="003625C6"/>
    <w:rsid w:val="00362741"/>
    <w:rsid w:val="00362B18"/>
    <w:rsid w:val="00362C3B"/>
    <w:rsid w:val="00362EE0"/>
    <w:rsid w:val="00363311"/>
    <w:rsid w:val="003636E3"/>
    <w:rsid w:val="00363758"/>
    <w:rsid w:val="003639AC"/>
    <w:rsid w:val="00363AC2"/>
    <w:rsid w:val="00363CF2"/>
    <w:rsid w:val="00363D6D"/>
    <w:rsid w:val="00363E96"/>
    <w:rsid w:val="003644E7"/>
    <w:rsid w:val="00364878"/>
    <w:rsid w:val="00364BE9"/>
    <w:rsid w:val="00364C0D"/>
    <w:rsid w:val="00365006"/>
    <w:rsid w:val="0036529B"/>
    <w:rsid w:val="003659C5"/>
    <w:rsid w:val="00365BCC"/>
    <w:rsid w:val="00365EEE"/>
    <w:rsid w:val="00365F66"/>
    <w:rsid w:val="003666ED"/>
    <w:rsid w:val="00366A75"/>
    <w:rsid w:val="00366F9C"/>
    <w:rsid w:val="0036747A"/>
    <w:rsid w:val="003674B8"/>
    <w:rsid w:val="00367563"/>
    <w:rsid w:val="00367AB2"/>
    <w:rsid w:val="00370569"/>
    <w:rsid w:val="00370940"/>
    <w:rsid w:val="00370B71"/>
    <w:rsid w:val="00370C20"/>
    <w:rsid w:val="00370E76"/>
    <w:rsid w:val="0037101E"/>
    <w:rsid w:val="003714D2"/>
    <w:rsid w:val="003718D1"/>
    <w:rsid w:val="00371A04"/>
    <w:rsid w:val="00371C8C"/>
    <w:rsid w:val="00371D7F"/>
    <w:rsid w:val="00371FF1"/>
    <w:rsid w:val="003722B5"/>
    <w:rsid w:val="00372423"/>
    <w:rsid w:val="00372500"/>
    <w:rsid w:val="00372BAC"/>
    <w:rsid w:val="00372BCE"/>
    <w:rsid w:val="00373226"/>
    <w:rsid w:val="003737B1"/>
    <w:rsid w:val="00373A3F"/>
    <w:rsid w:val="00373CC1"/>
    <w:rsid w:val="00373ECC"/>
    <w:rsid w:val="00373ECD"/>
    <w:rsid w:val="003743E3"/>
    <w:rsid w:val="00374870"/>
    <w:rsid w:val="00374898"/>
    <w:rsid w:val="00374DC8"/>
    <w:rsid w:val="00374FCF"/>
    <w:rsid w:val="0037524E"/>
    <w:rsid w:val="0037560D"/>
    <w:rsid w:val="00375687"/>
    <w:rsid w:val="00375C59"/>
    <w:rsid w:val="00375D68"/>
    <w:rsid w:val="00375DE7"/>
    <w:rsid w:val="00375F8F"/>
    <w:rsid w:val="00376455"/>
    <w:rsid w:val="0037649E"/>
    <w:rsid w:val="00376613"/>
    <w:rsid w:val="003766B2"/>
    <w:rsid w:val="00376D9C"/>
    <w:rsid w:val="00376F18"/>
    <w:rsid w:val="0037718B"/>
    <w:rsid w:val="003774A2"/>
    <w:rsid w:val="003779B0"/>
    <w:rsid w:val="00377B1A"/>
    <w:rsid w:val="00377D2A"/>
    <w:rsid w:val="003804B6"/>
    <w:rsid w:val="00380547"/>
    <w:rsid w:val="00380600"/>
    <w:rsid w:val="003806F8"/>
    <w:rsid w:val="00380A03"/>
    <w:rsid w:val="003812B2"/>
    <w:rsid w:val="0038163F"/>
    <w:rsid w:val="003816D6"/>
    <w:rsid w:val="0038175B"/>
    <w:rsid w:val="00381976"/>
    <w:rsid w:val="00381B78"/>
    <w:rsid w:val="00381FC0"/>
    <w:rsid w:val="00382459"/>
    <w:rsid w:val="003826FC"/>
    <w:rsid w:val="00382708"/>
    <w:rsid w:val="00382D6E"/>
    <w:rsid w:val="00382E5B"/>
    <w:rsid w:val="00382E8F"/>
    <w:rsid w:val="00383215"/>
    <w:rsid w:val="00383324"/>
    <w:rsid w:val="0038354C"/>
    <w:rsid w:val="00383D31"/>
    <w:rsid w:val="00384200"/>
    <w:rsid w:val="003846AF"/>
    <w:rsid w:val="003847DD"/>
    <w:rsid w:val="00384A06"/>
    <w:rsid w:val="00384CFD"/>
    <w:rsid w:val="00384D17"/>
    <w:rsid w:val="00385479"/>
    <w:rsid w:val="003854D9"/>
    <w:rsid w:val="003858C5"/>
    <w:rsid w:val="0038594D"/>
    <w:rsid w:val="00385D63"/>
    <w:rsid w:val="00385F48"/>
    <w:rsid w:val="003862BF"/>
    <w:rsid w:val="00386974"/>
    <w:rsid w:val="0038698A"/>
    <w:rsid w:val="003872AA"/>
    <w:rsid w:val="00387310"/>
    <w:rsid w:val="00387355"/>
    <w:rsid w:val="003879EE"/>
    <w:rsid w:val="00387AC1"/>
    <w:rsid w:val="00387E31"/>
    <w:rsid w:val="00387F42"/>
    <w:rsid w:val="00390132"/>
    <w:rsid w:val="003901D8"/>
    <w:rsid w:val="00390383"/>
    <w:rsid w:val="003908FF"/>
    <w:rsid w:val="0039092E"/>
    <w:rsid w:val="0039098D"/>
    <w:rsid w:val="00391112"/>
    <w:rsid w:val="003911FC"/>
    <w:rsid w:val="00391B0E"/>
    <w:rsid w:val="00391FE7"/>
    <w:rsid w:val="00392344"/>
    <w:rsid w:val="003924D6"/>
    <w:rsid w:val="00392643"/>
    <w:rsid w:val="003927BC"/>
    <w:rsid w:val="0039282B"/>
    <w:rsid w:val="00392AA2"/>
    <w:rsid w:val="00392DAF"/>
    <w:rsid w:val="00392E1F"/>
    <w:rsid w:val="0039310C"/>
    <w:rsid w:val="00393208"/>
    <w:rsid w:val="0039355B"/>
    <w:rsid w:val="0039357E"/>
    <w:rsid w:val="003936B4"/>
    <w:rsid w:val="003936C3"/>
    <w:rsid w:val="00393B5F"/>
    <w:rsid w:val="00393D6A"/>
    <w:rsid w:val="0039400A"/>
    <w:rsid w:val="003941BD"/>
    <w:rsid w:val="00394A0E"/>
    <w:rsid w:val="00394AA6"/>
    <w:rsid w:val="00394BA2"/>
    <w:rsid w:val="003951E6"/>
    <w:rsid w:val="0039523A"/>
    <w:rsid w:val="00395467"/>
    <w:rsid w:val="003954AB"/>
    <w:rsid w:val="0039556E"/>
    <w:rsid w:val="00395AC4"/>
    <w:rsid w:val="00395B53"/>
    <w:rsid w:val="00395BAE"/>
    <w:rsid w:val="00395E44"/>
    <w:rsid w:val="00396356"/>
    <w:rsid w:val="003965A8"/>
    <w:rsid w:val="003966F7"/>
    <w:rsid w:val="00396887"/>
    <w:rsid w:val="0039697E"/>
    <w:rsid w:val="00396B40"/>
    <w:rsid w:val="00396D5F"/>
    <w:rsid w:val="00396DC5"/>
    <w:rsid w:val="00396E4B"/>
    <w:rsid w:val="00396E7B"/>
    <w:rsid w:val="00396EEC"/>
    <w:rsid w:val="00396F99"/>
    <w:rsid w:val="0039739F"/>
    <w:rsid w:val="003978C0"/>
    <w:rsid w:val="00397CD7"/>
    <w:rsid w:val="003A016E"/>
    <w:rsid w:val="003A05FA"/>
    <w:rsid w:val="003A08F2"/>
    <w:rsid w:val="003A0AE9"/>
    <w:rsid w:val="003A1130"/>
    <w:rsid w:val="003A192E"/>
    <w:rsid w:val="003A1A81"/>
    <w:rsid w:val="003A1BAD"/>
    <w:rsid w:val="003A1E4E"/>
    <w:rsid w:val="003A1F1E"/>
    <w:rsid w:val="003A20C7"/>
    <w:rsid w:val="003A23E2"/>
    <w:rsid w:val="003A2423"/>
    <w:rsid w:val="003A25EF"/>
    <w:rsid w:val="003A277B"/>
    <w:rsid w:val="003A289D"/>
    <w:rsid w:val="003A28BB"/>
    <w:rsid w:val="003A2973"/>
    <w:rsid w:val="003A29BC"/>
    <w:rsid w:val="003A2A4B"/>
    <w:rsid w:val="003A2DEE"/>
    <w:rsid w:val="003A2E39"/>
    <w:rsid w:val="003A3BAC"/>
    <w:rsid w:val="003A3DDD"/>
    <w:rsid w:val="003A3E02"/>
    <w:rsid w:val="003A3F45"/>
    <w:rsid w:val="003A45E5"/>
    <w:rsid w:val="003A47EE"/>
    <w:rsid w:val="003A4860"/>
    <w:rsid w:val="003A4B20"/>
    <w:rsid w:val="003A4C38"/>
    <w:rsid w:val="003A5052"/>
    <w:rsid w:val="003A517F"/>
    <w:rsid w:val="003A5509"/>
    <w:rsid w:val="003A5807"/>
    <w:rsid w:val="003A5BF4"/>
    <w:rsid w:val="003A5DF7"/>
    <w:rsid w:val="003A62EC"/>
    <w:rsid w:val="003A6D2C"/>
    <w:rsid w:val="003A6D9C"/>
    <w:rsid w:val="003A6E1B"/>
    <w:rsid w:val="003A7058"/>
    <w:rsid w:val="003A71C5"/>
    <w:rsid w:val="003A7DA7"/>
    <w:rsid w:val="003A7E44"/>
    <w:rsid w:val="003B003A"/>
    <w:rsid w:val="003B0AA4"/>
    <w:rsid w:val="003B15B4"/>
    <w:rsid w:val="003B1792"/>
    <w:rsid w:val="003B1B53"/>
    <w:rsid w:val="003B1CE1"/>
    <w:rsid w:val="003B1D97"/>
    <w:rsid w:val="003B2C6F"/>
    <w:rsid w:val="003B2E7F"/>
    <w:rsid w:val="003B3079"/>
    <w:rsid w:val="003B30D7"/>
    <w:rsid w:val="003B3227"/>
    <w:rsid w:val="003B3311"/>
    <w:rsid w:val="003B346F"/>
    <w:rsid w:val="003B3AB0"/>
    <w:rsid w:val="003B3DEC"/>
    <w:rsid w:val="003B3FD8"/>
    <w:rsid w:val="003B402B"/>
    <w:rsid w:val="003B42E0"/>
    <w:rsid w:val="003B453D"/>
    <w:rsid w:val="003B47B3"/>
    <w:rsid w:val="003B48DA"/>
    <w:rsid w:val="003B4BEB"/>
    <w:rsid w:val="003B4F12"/>
    <w:rsid w:val="003B52E6"/>
    <w:rsid w:val="003B56AB"/>
    <w:rsid w:val="003B5AB2"/>
    <w:rsid w:val="003B62F5"/>
    <w:rsid w:val="003B63ED"/>
    <w:rsid w:val="003B64E5"/>
    <w:rsid w:val="003B669C"/>
    <w:rsid w:val="003B6F5C"/>
    <w:rsid w:val="003B73BA"/>
    <w:rsid w:val="003B742F"/>
    <w:rsid w:val="003B779D"/>
    <w:rsid w:val="003B7D2A"/>
    <w:rsid w:val="003B7F30"/>
    <w:rsid w:val="003C0198"/>
    <w:rsid w:val="003C05AB"/>
    <w:rsid w:val="003C089A"/>
    <w:rsid w:val="003C0955"/>
    <w:rsid w:val="003C0B9E"/>
    <w:rsid w:val="003C0E5E"/>
    <w:rsid w:val="003C0F5E"/>
    <w:rsid w:val="003C1044"/>
    <w:rsid w:val="003C1080"/>
    <w:rsid w:val="003C10AE"/>
    <w:rsid w:val="003C10C3"/>
    <w:rsid w:val="003C1A4C"/>
    <w:rsid w:val="003C21C6"/>
    <w:rsid w:val="003C2336"/>
    <w:rsid w:val="003C2572"/>
    <w:rsid w:val="003C28AB"/>
    <w:rsid w:val="003C28CC"/>
    <w:rsid w:val="003C2A24"/>
    <w:rsid w:val="003C2BC9"/>
    <w:rsid w:val="003C2C71"/>
    <w:rsid w:val="003C2DB0"/>
    <w:rsid w:val="003C310D"/>
    <w:rsid w:val="003C3736"/>
    <w:rsid w:val="003C38E2"/>
    <w:rsid w:val="003C3A62"/>
    <w:rsid w:val="003C3A6A"/>
    <w:rsid w:val="003C3C28"/>
    <w:rsid w:val="003C3EC6"/>
    <w:rsid w:val="003C40F7"/>
    <w:rsid w:val="003C43AC"/>
    <w:rsid w:val="003C4BAC"/>
    <w:rsid w:val="003C4C6A"/>
    <w:rsid w:val="003C51AF"/>
    <w:rsid w:val="003C51FB"/>
    <w:rsid w:val="003C553E"/>
    <w:rsid w:val="003C55C9"/>
    <w:rsid w:val="003C58D9"/>
    <w:rsid w:val="003C5961"/>
    <w:rsid w:val="003C5A64"/>
    <w:rsid w:val="003C5A90"/>
    <w:rsid w:val="003C60DA"/>
    <w:rsid w:val="003C647A"/>
    <w:rsid w:val="003C6767"/>
    <w:rsid w:val="003C681B"/>
    <w:rsid w:val="003C68A2"/>
    <w:rsid w:val="003C68FE"/>
    <w:rsid w:val="003C692B"/>
    <w:rsid w:val="003C6E01"/>
    <w:rsid w:val="003C7042"/>
    <w:rsid w:val="003C748C"/>
    <w:rsid w:val="003C7591"/>
    <w:rsid w:val="003C7595"/>
    <w:rsid w:val="003C75EA"/>
    <w:rsid w:val="003C7A9D"/>
    <w:rsid w:val="003C7CF0"/>
    <w:rsid w:val="003D0187"/>
    <w:rsid w:val="003D0546"/>
    <w:rsid w:val="003D063C"/>
    <w:rsid w:val="003D06E7"/>
    <w:rsid w:val="003D070A"/>
    <w:rsid w:val="003D07B8"/>
    <w:rsid w:val="003D0AB1"/>
    <w:rsid w:val="003D0E98"/>
    <w:rsid w:val="003D141D"/>
    <w:rsid w:val="003D18AF"/>
    <w:rsid w:val="003D1B46"/>
    <w:rsid w:val="003D1E2A"/>
    <w:rsid w:val="003D1EB2"/>
    <w:rsid w:val="003D2C33"/>
    <w:rsid w:val="003D2D24"/>
    <w:rsid w:val="003D2E2A"/>
    <w:rsid w:val="003D2E67"/>
    <w:rsid w:val="003D2FC2"/>
    <w:rsid w:val="003D304C"/>
    <w:rsid w:val="003D30D7"/>
    <w:rsid w:val="003D31AF"/>
    <w:rsid w:val="003D31CB"/>
    <w:rsid w:val="003D334D"/>
    <w:rsid w:val="003D3E80"/>
    <w:rsid w:val="003D4078"/>
    <w:rsid w:val="003D40E2"/>
    <w:rsid w:val="003D418D"/>
    <w:rsid w:val="003D41A1"/>
    <w:rsid w:val="003D43D4"/>
    <w:rsid w:val="003D4EF2"/>
    <w:rsid w:val="003D4F20"/>
    <w:rsid w:val="003D5356"/>
    <w:rsid w:val="003D54E7"/>
    <w:rsid w:val="003D551E"/>
    <w:rsid w:val="003D5546"/>
    <w:rsid w:val="003D5F22"/>
    <w:rsid w:val="003D623C"/>
    <w:rsid w:val="003D6367"/>
    <w:rsid w:val="003D6553"/>
    <w:rsid w:val="003D6589"/>
    <w:rsid w:val="003D659C"/>
    <w:rsid w:val="003D65AA"/>
    <w:rsid w:val="003D66F9"/>
    <w:rsid w:val="003D68EB"/>
    <w:rsid w:val="003D6905"/>
    <w:rsid w:val="003D6BD8"/>
    <w:rsid w:val="003D6FCF"/>
    <w:rsid w:val="003D72D5"/>
    <w:rsid w:val="003D755D"/>
    <w:rsid w:val="003D7583"/>
    <w:rsid w:val="003D77F1"/>
    <w:rsid w:val="003D79EF"/>
    <w:rsid w:val="003D7D52"/>
    <w:rsid w:val="003E05CE"/>
    <w:rsid w:val="003E0908"/>
    <w:rsid w:val="003E0F3A"/>
    <w:rsid w:val="003E1099"/>
    <w:rsid w:val="003E110B"/>
    <w:rsid w:val="003E1123"/>
    <w:rsid w:val="003E1259"/>
    <w:rsid w:val="003E15EA"/>
    <w:rsid w:val="003E1D88"/>
    <w:rsid w:val="003E1D9E"/>
    <w:rsid w:val="003E1E57"/>
    <w:rsid w:val="003E210E"/>
    <w:rsid w:val="003E253C"/>
    <w:rsid w:val="003E2598"/>
    <w:rsid w:val="003E26AD"/>
    <w:rsid w:val="003E2918"/>
    <w:rsid w:val="003E293A"/>
    <w:rsid w:val="003E2C8D"/>
    <w:rsid w:val="003E2F57"/>
    <w:rsid w:val="003E309A"/>
    <w:rsid w:val="003E315E"/>
    <w:rsid w:val="003E381B"/>
    <w:rsid w:val="003E3BDE"/>
    <w:rsid w:val="003E3C9D"/>
    <w:rsid w:val="003E3E2E"/>
    <w:rsid w:val="003E3EA5"/>
    <w:rsid w:val="003E422B"/>
    <w:rsid w:val="003E4595"/>
    <w:rsid w:val="003E45B8"/>
    <w:rsid w:val="003E494F"/>
    <w:rsid w:val="003E4DB0"/>
    <w:rsid w:val="003E58B4"/>
    <w:rsid w:val="003E5A1A"/>
    <w:rsid w:val="003E6A41"/>
    <w:rsid w:val="003E6C43"/>
    <w:rsid w:val="003E6F25"/>
    <w:rsid w:val="003E7982"/>
    <w:rsid w:val="003E799D"/>
    <w:rsid w:val="003E79EE"/>
    <w:rsid w:val="003E7AE9"/>
    <w:rsid w:val="003E7FE1"/>
    <w:rsid w:val="003F030C"/>
    <w:rsid w:val="003F0643"/>
    <w:rsid w:val="003F1129"/>
    <w:rsid w:val="003F196E"/>
    <w:rsid w:val="003F1D73"/>
    <w:rsid w:val="003F1EF4"/>
    <w:rsid w:val="003F21EE"/>
    <w:rsid w:val="003F2776"/>
    <w:rsid w:val="003F2AF6"/>
    <w:rsid w:val="003F2C98"/>
    <w:rsid w:val="003F2F2F"/>
    <w:rsid w:val="003F2FD2"/>
    <w:rsid w:val="003F3356"/>
    <w:rsid w:val="003F381D"/>
    <w:rsid w:val="003F3FB6"/>
    <w:rsid w:val="003F464D"/>
    <w:rsid w:val="003F4693"/>
    <w:rsid w:val="003F48C3"/>
    <w:rsid w:val="003F494C"/>
    <w:rsid w:val="003F4D8D"/>
    <w:rsid w:val="003F4E9F"/>
    <w:rsid w:val="003F53E4"/>
    <w:rsid w:val="003F5B4E"/>
    <w:rsid w:val="003F5F22"/>
    <w:rsid w:val="003F5F6A"/>
    <w:rsid w:val="003F5FC6"/>
    <w:rsid w:val="003F60C1"/>
    <w:rsid w:val="003F647E"/>
    <w:rsid w:val="003F6BDA"/>
    <w:rsid w:val="003F6CA7"/>
    <w:rsid w:val="003F6EF6"/>
    <w:rsid w:val="003F7499"/>
    <w:rsid w:val="003F761D"/>
    <w:rsid w:val="003F76BF"/>
    <w:rsid w:val="003F7C5A"/>
    <w:rsid w:val="003F7F2E"/>
    <w:rsid w:val="0040034E"/>
    <w:rsid w:val="004004B2"/>
    <w:rsid w:val="0040076E"/>
    <w:rsid w:val="00400873"/>
    <w:rsid w:val="004008F2"/>
    <w:rsid w:val="00400DB3"/>
    <w:rsid w:val="004012B0"/>
    <w:rsid w:val="0040141A"/>
    <w:rsid w:val="004018FF"/>
    <w:rsid w:val="00401943"/>
    <w:rsid w:val="00401C82"/>
    <w:rsid w:val="00401DFC"/>
    <w:rsid w:val="0040213C"/>
    <w:rsid w:val="004027E5"/>
    <w:rsid w:val="00402939"/>
    <w:rsid w:val="00402F43"/>
    <w:rsid w:val="0040306D"/>
    <w:rsid w:val="00403308"/>
    <w:rsid w:val="0040361D"/>
    <w:rsid w:val="00403719"/>
    <w:rsid w:val="004039CC"/>
    <w:rsid w:val="00403A22"/>
    <w:rsid w:val="00403AED"/>
    <w:rsid w:val="00403D7E"/>
    <w:rsid w:val="00403DC4"/>
    <w:rsid w:val="00403DFF"/>
    <w:rsid w:val="00403E7D"/>
    <w:rsid w:val="00404233"/>
    <w:rsid w:val="00404241"/>
    <w:rsid w:val="00404DBE"/>
    <w:rsid w:val="00404EBB"/>
    <w:rsid w:val="0040504F"/>
    <w:rsid w:val="004052AF"/>
    <w:rsid w:val="00405346"/>
    <w:rsid w:val="00405BC4"/>
    <w:rsid w:val="004061B1"/>
    <w:rsid w:val="004065A7"/>
    <w:rsid w:val="004066A6"/>
    <w:rsid w:val="004066D5"/>
    <w:rsid w:val="004066DD"/>
    <w:rsid w:val="004067D4"/>
    <w:rsid w:val="00406A92"/>
    <w:rsid w:val="00406ADB"/>
    <w:rsid w:val="0040713F"/>
    <w:rsid w:val="00407169"/>
    <w:rsid w:val="004072CD"/>
    <w:rsid w:val="00407501"/>
    <w:rsid w:val="00410133"/>
    <w:rsid w:val="004105CF"/>
    <w:rsid w:val="00410664"/>
    <w:rsid w:val="00410748"/>
    <w:rsid w:val="0041082D"/>
    <w:rsid w:val="00411378"/>
    <w:rsid w:val="00411516"/>
    <w:rsid w:val="004119AE"/>
    <w:rsid w:val="00411B91"/>
    <w:rsid w:val="00411C69"/>
    <w:rsid w:val="00411F6B"/>
    <w:rsid w:val="00411FC4"/>
    <w:rsid w:val="004120AD"/>
    <w:rsid w:val="004120CB"/>
    <w:rsid w:val="00412A42"/>
    <w:rsid w:val="00413248"/>
    <w:rsid w:val="00413383"/>
    <w:rsid w:val="00413BDF"/>
    <w:rsid w:val="0041421B"/>
    <w:rsid w:val="004143B6"/>
    <w:rsid w:val="00414422"/>
    <w:rsid w:val="00414619"/>
    <w:rsid w:val="00414804"/>
    <w:rsid w:val="0041491F"/>
    <w:rsid w:val="00414ACF"/>
    <w:rsid w:val="00414E22"/>
    <w:rsid w:val="00415071"/>
    <w:rsid w:val="00415467"/>
    <w:rsid w:val="004154EA"/>
    <w:rsid w:val="004157BD"/>
    <w:rsid w:val="004157CA"/>
    <w:rsid w:val="0041585A"/>
    <w:rsid w:val="00416320"/>
    <w:rsid w:val="00416377"/>
    <w:rsid w:val="004166AC"/>
    <w:rsid w:val="00416987"/>
    <w:rsid w:val="00416CBF"/>
    <w:rsid w:val="00416D63"/>
    <w:rsid w:val="00417104"/>
    <w:rsid w:val="004174D2"/>
    <w:rsid w:val="00417C14"/>
    <w:rsid w:val="00420013"/>
    <w:rsid w:val="0042010D"/>
    <w:rsid w:val="0042016D"/>
    <w:rsid w:val="0042022F"/>
    <w:rsid w:val="0042096A"/>
    <w:rsid w:val="00420A4F"/>
    <w:rsid w:val="00420B83"/>
    <w:rsid w:val="0042108E"/>
    <w:rsid w:val="0042133E"/>
    <w:rsid w:val="00421370"/>
    <w:rsid w:val="004215DD"/>
    <w:rsid w:val="0042164B"/>
    <w:rsid w:val="0042167E"/>
    <w:rsid w:val="00422480"/>
    <w:rsid w:val="004229EC"/>
    <w:rsid w:val="00422EAB"/>
    <w:rsid w:val="00422FC1"/>
    <w:rsid w:val="00423365"/>
    <w:rsid w:val="00423402"/>
    <w:rsid w:val="004234D4"/>
    <w:rsid w:val="00423598"/>
    <w:rsid w:val="004235E0"/>
    <w:rsid w:val="0042396C"/>
    <w:rsid w:val="00423D08"/>
    <w:rsid w:val="00423F31"/>
    <w:rsid w:val="00423FC1"/>
    <w:rsid w:val="004244FE"/>
    <w:rsid w:val="00424968"/>
    <w:rsid w:val="00424A26"/>
    <w:rsid w:val="00424BE4"/>
    <w:rsid w:val="00424FE7"/>
    <w:rsid w:val="00425289"/>
    <w:rsid w:val="00425390"/>
    <w:rsid w:val="004254FC"/>
    <w:rsid w:val="00425834"/>
    <w:rsid w:val="00425967"/>
    <w:rsid w:val="00425F07"/>
    <w:rsid w:val="00426120"/>
    <w:rsid w:val="00426296"/>
    <w:rsid w:val="0042668E"/>
    <w:rsid w:val="004268C4"/>
    <w:rsid w:val="00426927"/>
    <w:rsid w:val="00426931"/>
    <w:rsid w:val="00426BA4"/>
    <w:rsid w:val="00426EE4"/>
    <w:rsid w:val="0042705E"/>
    <w:rsid w:val="00427677"/>
    <w:rsid w:val="00427722"/>
    <w:rsid w:val="00427921"/>
    <w:rsid w:val="00427A89"/>
    <w:rsid w:val="00427CD7"/>
    <w:rsid w:val="00427D5F"/>
    <w:rsid w:val="00427E88"/>
    <w:rsid w:val="0043005C"/>
    <w:rsid w:val="004301B3"/>
    <w:rsid w:val="00430811"/>
    <w:rsid w:val="00430AD5"/>
    <w:rsid w:val="00430CAD"/>
    <w:rsid w:val="00430CE6"/>
    <w:rsid w:val="00430CF6"/>
    <w:rsid w:val="00431073"/>
    <w:rsid w:val="004314B2"/>
    <w:rsid w:val="00431899"/>
    <w:rsid w:val="004319B4"/>
    <w:rsid w:val="00431ECB"/>
    <w:rsid w:val="00431F4E"/>
    <w:rsid w:val="00432666"/>
    <w:rsid w:val="00432E8E"/>
    <w:rsid w:val="00433124"/>
    <w:rsid w:val="00433327"/>
    <w:rsid w:val="00433742"/>
    <w:rsid w:val="00433875"/>
    <w:rsid w:val="0043387D"/>
    <w:rsid w:val="00433AB3"/>
    <w:rsid w:val="00433E09"/>
    <w:rsid w:val="00434266"/>
    <w:rsid w:val="00434278"/>
    <w:rsid w:val="004344D9"/>
    <w:rsid w:val="00434BDA"/>
    <w:rsid w:val="00434C70"/>
    <w:rsid w:val="00434F0D"/>
    <w:rsid w:val="004353FD"/>
    <w:rsid w:val="004356C0"/>
    <w:rsid w:val="004356F5"/>
    <w:rsid w:val="00435941"/>
    <w:rsid w:val="00435C2D"/>
    <w:rsid w:val="00435F90"/>
    <w:rsid w:val="0043633B"/>
    <w:rsid w:val="00436B14"/>
    <w:rsid w:val="0043734D"/>
    <w:rsid w:val="00437625"/>
    <w:rsid w:val="0043783B"/>
    <w:rsid w:val="0043786E"/>
    <w:rsid w:val="004379F7"/>
    <w:rsid w:val="00440142"/>
    <w:rsid w:val="004405BD"/>
    <w:rsid w:val="004416C4"/>
    <w:rsid w:val="00441ECD"/>
    <w:rsid w:val="00441FB8"/>
    <w:rsid w:val="00442152"/>
    <w:rsid w:val="00442164"/>
    <w:rsid w:val="0044223A"/>
    <w:rsid w:val="00442873"/>
    <w:rsid w:val="004428B1"/>
    <w:rsid w:val="00442B62"/>
    <w:rsid w:val="0044337D"/>
    <w:rsid w:val="00443397"/>
    <w:rsid w:val="00443533"/>
    <w:rsid w:val="004436FC"/>
    <w:rsid w:val="004437AB"/>
    <w:rsid w:val="00443935"/>
    <w:rsid w:val="00443964"/>
    <w:rsid w:val="00444045"/>
    <w:rsid w:val="0044436F"/>
    <w:rsid w:val="0044438C"/>
    <w:rsid w:val="004444C5"/>
    <w:rsid w:val="004447A1"/>
    <w:rsid w:val="00444A7F"/>
    <w:rsid w:val="00444D6B"/>
    <w:rsid w:val="00444E8C"/>
    <w:rsid w:val="00444F70"/>
    <w:rsid w:val="00445143"/>
    <w:rsid w:val="00445218"/>
    <w:rsid w:val="004454E8"/>
    <w:rsid w:val="0044572D"/>
    <w:rsid w:val="00445A0A"/>
    <w:rsid w:val="00445AB2"/>
    <w:rsid w:val="00445CD0"/>
    <w:rsid w:val="00445D94"/>
    <w:rsid w:val="00445F4B"/>
    <w:rsid w:val="0044601F"/>
    <w:rsid w:val="0044640A"/>
    <w:rsid w:val="00446512"/>
    <w:rsid w:val="0044684C"/>
    <w:rsid w:val="00446930"/>
    <w:rsid w:val="00446ACF"/>
    <w:rsid w:val="00446C16"/>
    <w:rsid w:val="00446F92"/>
    <w:rsid w:val="004471B8"/>
    <w:rsid w:val="0044751D"/>
    <w:rsid w:val="00447703"/>
    <w:rsid w:val="004478BD"/>
    <w:rsid w:val="00447D0D"/>
    <w:rsid w:val="00447FCD"/>
    <w:rsid w:val="00450017"/>
    <w:rsid w:val="004503C2"/>
    <w:rsid w:val="00450579"/>
    <w:rsid w:val="004506E6"/>
    <w:rsid w:val="00450725"/>
    <w:rsid w:val="00450735"/>
    <w:rsid w:val="004508A5"/>
    <w:rsid w:val="00450B54"/>
    <w:rsid w:val="00450BE4"/>
    <w:rsid w:val="00450C31"/>
    <w:rsid w:val="00450ECE"/>
    <w:rsid w:val="00451065"/>
    <w:rsid w:val="0045115B"/>
    <w:rsid w:val="00451474"/>
    <w:rsid w:val="004515E4"/>
    <w:rsid w:val="00451667"/>
    <w:rsid w:val="00451AC8"/>
    <w:rsid w:val="00451CD3"/>
    <w:rsid w:val="00451D14"/>
    <w:rsid w:val="00451E13"/>
    <w:rsid w:val="00451F9C"/>
    <w:rsid w:val="004526F6"/>
    <w:rsid w:val="00452ABD"/>
    <w:rsid w:val="004530E6"/>
    <w:rsid w:val="00453241"/>
    <w:rsid w:val="0045349D"/>
    <w:rsid w:val="004539AD"/>
    <w:rsid w:val="004539FF"/>
    <w:rsid w:val="00453F0C"/>
    <w:rsid w:val="00454218"/>
    <w:rsid w:val="00454299"/>
    <w:rsid w:val="004543A2"/>
    <w:rsid w:val="004543B9"/>
    <w:rsid w:val="004545D7"/>
    <w:rsid w:val="00454729"/>
    <w:rsid w:val="0045475E"/>
    <w:rsid w:val="00454846"/>
    <w:rsid w:val="0045486A"/>
    <w:rsid w:val="004549A4"/>
    <w:rsid w:val="00454BE5"/>
    <w:rsid w:val="0045500F"/>
    <w:rsid w:val="00455554"/>
    <w:rsid w:val="00455633"/>
    <w:rsid w:val="00455C74"/>
    <w:rsid w:val="00455CBD"/>
    <w:rsid w:val="004560C8"/>
    <w:rsid w:val="00456465"/>
    <w:rsid w:val="0045663B"/>
    <w:rsid w:val="00456A1F"/>
    <w:rsid w:val="00456B0F"/>
    <w:rsid w:val="00456BE8"/>
    <w:rsid w:val="00456C8A"/>
    <w:rsid w:val="004574A9"/>
    <w:rsid w:val="0045791B"/>
    <w:rsid w:val="00457ACD"/>
    <w:rsid w:val="00457C99"/>
    <w:rsid w:val="00457EFD"/>
    <w:rsid w:val="00460287"/>
    <w:rsid w:val="004609EB"/>
    <w:rsid w:val="00460BBF"/>
    <w:rsid w:val="00460CA1"/>
    <w:rsid w:val="00460F4E"/>
    <w:rsid w:val="004612B6"/>
    <w:rsid w:val="004613CB"/>
    <w:rsid w:val="00461527"/>
    <w:rsid w:val="0046190E"/>
    <w:rsid w:val="00462104"/>
    <w:rsid w:val="00462343"/>
    <w:rsid w:val="00462DD8"/>
    <w:rsid w:val="00463391"/>
    <w:rsid w:val="004634CD"/>
    <w:rsid w:val="004639B8"/>
    <w:rsid w:val="00463BDC"/>
    <w:rsid w:val="00463BDF"/>
    <w:rsid w:val="00463CDC"/>
    <w:rsid w:val="00463CED"/>
    <w:rsid w:val="00463D87"/>
    <w:rsid w:val="0046434E"/>
    <w:rsid w:val="004644CD"/>
    <w:rsid w:val="004645A6"/>
    <w:rsid w:val="00464729"/>
    <w:rsid w:val="004649F6"/>
    <w:rsid w:val="00464DA7"/>
    <w:rsid w:val="004651F9"/>
    <w:rsid w:val="004653F3"/>
    <w:rsid w:val="004656B5"/>
    <w:rsid w:val="00465737"/>
    <w:rsid w:val="004659E8"/>
    <w:rsid w:val="00465BDE"/>
    <w:rsid w:val="00465C32"/>
    <w:rsid w:val="00465CD8"/>
    <w:rsid w:val="00466019"/>
    <w:rsid w:val="00466304"/>
    <w:rsid w:val="00466425"/>
    <w:rsid w:val="0046690F"/>
    <w:rsid w:val="00466A17"/>
    <w:rsid w:val="00466C28"/>
    <w:rsid w:val="00466DEB"/>
    <w:rsid w:val="00467101"/>
    <w:rsid w:val="004671CD"/>
    <w:rsid w:val="004673FC"/>
    <w:rsid w:val="0046770B"/>
    <w:rsid w:val="00467790"/>
    <w:rsid w:val="00467E06"/>
    <w:rsid w:val="00467F8F"/>
    <w:rsid w:val="00470474"/>
    <w:rsid w:val="004704BD"/>
    <w:rsid w:val="0047051C"/>
    <w:rsid w:val="0047088E"/>
    <w:rsid w:val="00470C70"/>
    <w:rsid w:val="00470E22"/>
    <w:rsid w:val="00470F8A"/>
    <w:rsid w:val="004710CC"/>
    <w:rsid w:val="004712A9"/>
    <w:rsid w:val="004713D3"/>
    <w:rsid w:val="004715C2"/>
    <w:rsid w:val="0047193A"/>
    <w:rsid w:val="004719F3"/>
    <w:rsid w:val="00471B2A"/>
    <w:rsid w:val="00472188"/>
    <w:rsid w:val="00472232"/>
    <w:rsid w:val="00472574"/>
    <w:rsid w:val="004727F2"/>
    <w:rsid w:val="004728A6"/>
    <w:rsid w:val="004731A1"/>
    <w:rsid w:val="0047375A"/>
    <w:rsid w:val="004737B3"/>
    <w:rsid w:val="004739BB"/>
    <w:rsid w:val="00473A10"/>
    <w:rsid w:val="00473D66"/>
    <w:rsid w:val="00473E84"/>
    <w:rsid w:val="00474122"/>
    <w:rsid w:val="004742A0"/>
    <w:rsid w:val="00474652"/>
    <w:rsid w:val="0047479B"/>
    <w:rsid w:val="0047496B"/>
    <w:rsid w:val="00474F84"/>
    <w:rsid w:val="00474FF6"/>
    <w:rsid w:val="004753CF"/>
    <w:rsid w:val="004756C2"/>
    <w:rsid w:val="0047570C"/>
    <w:rsid w:val="00475ACF"/>
    <w:rsid w:val="00475B3D"/>
    <w:rsid w:val="00476156"/>
    <w:rsid w:val="004761F5"/>
    <w:rsid w:val="00476397"/>
    <w:rsid w:val="0047643E"/>
    <w:rsid w:val="0047664B"/>
    <w:rsid w:val="00476916"/>
    <w:rsid w:val="00476A13"/>
    <w:rsid w:val="00476A1F"/>
    <w:rsid w:val="00476FEB"/>
    <w:rsid w:val="00476FFF"/>
    <w:rsid w:val="004777A3"/>
    <w:rsid w:val="004778EA"/>
    <w:rsid w:val="00477C4E"/>
    <w:rsid w:val="00477FB6"/>
    <w:rsid w:val="00477FB9"/>
    <w:rsid w:val="004801DE"/>
    <w:rsid w:val="00480535"/>
    <w:rsid w:val="004809BD"/>
    <w:rsid w:val="00480DBA"/>
    <w:rsid w:val="00480FF1"/>
    <w:rsid w:val="00481062"/>
    <w:rsid w:val="004813DF"/>
    <w:rsid w:val="00481558"/>
    <w:rsid w:val="004815F3"/>
    <w:rsid w:val="00481BB6"/>
    <w:rsid w:val="00481ED7"/>
    <w:rsid w:val="0048258F"/>
    <w:rsid w:val="00482662"/>
    <w:rsid w:val="004827CA"/>
    <w:rsid w:val="00482ACA"/>
    <w:rsid w:val="00482CBD"/>
    <w:rsid w:val="00482D6D"/>
    <w:rsid w:val="004830CB"/>
    <w:rsid w:val="004832C3"/>
    <w:rsid w:val="00483416"/>
    <w:rsid w:val="0048377E"/>
    <w:rsid w:val="00483903"/>
    <w:rsid w:val="00483B28"/>
    <w:rsid w:val="00483DBF"/>
    <w:rsid w:val="00483F48"/>
    <w:rsid w:val="0048460A"/>
    <w:rsid w:val="00484694"/>
    <w:rsid w:val="0048469B"/>
    <w:rsid w:val="004849DA"/>
    <w:rsid w:val="00484F8A"/>
    <w:rsid w:val="00485188"/>
    <w:rsid w:val="00485460"/>
    <w:rsid w:val="00485578"/>
    <w:rsid w:val="0048583A"/>
    <w:rsid w:val="004862D5"/>
    <w:rsid w:val="004863DA"/>
    <w:rsid w:val="004865D1"/>
    <w:rsid w:val="00486804"/>
    <w:rsid w:val="00486873"/>
    <w:rsid w:val="00486F68"/>
    <w:rsid w:val="0048735D"/>
    <w:rsid w:val="00487465"/>
    <w:rsid w:val="00487843"/>
    <w:rsid w:val="00487A03"/>
    <w:rsid w:val="00487D89"/>
    <w:rsid w:val="00490069"/>
    <w:rsid w:val="0049062D"/>
    <w:rsid w:val="00490914"/>
    <w:rsid w:val="0049098A"/>
    <w:rsid w:val="00490B4D"/>
    <w:rsid w:val="00490EF1"/>
    <w:rsid w:val="004910B8"/>
    <w:rsid w:val="004913DE"/>
    <w:rsid w:val="00491498"/>
    <w:rsid w:val="00491638"/>
    <w:rsid w:val="0049169D"/>
    <w:rsid w:val="00491957"/>
    <w:rsid w:val="00492034"/>
    <w:rsid w:val="0049208E"/>
    <w:rsid w:val="004920FC"/>
    <w:rsid w:val="00492274"/>
    <w:rsid w:val="0049231E"/>
    <w:rsid w:val="0049238D"/>
    <w:rsid w:val="004923B1"/>
    <w:rsid w:val="0049255F"/>
    <w:rsid w:val="004929D8"/>
    <w:rsid w:val="00492B5D"/>
    <w:rsid w:val="00492B60"/>
    <w:rsid w:val="00492F3A"/>
    <w:rsid w:val="004932F4"/>
    <w:rsid w:val="00493460"/>
    <w:rsid w:val="00493554"/>
    <w:rsid w:val="00493884"/>
    <w:rsid w:val="004939B2"/>
    <w:rsid w:val="004939CF"/>
    <w:rsid w:val="00493D0B"/>
    <w:rsid w:val="00493D63"/>
    <w:rsid w:val="00493EAD"/>
    <w:rsid w:val="00493ED2"/>
    <w:rsid w:val="004944B2"/>
    <w:rsid w:val="004944CE"/>
    <w:rsid w:val="004945BF"/>
    <w:rsid w:val="00494935"/>
    <w:rsid w:val="0049495F"/>
    <w:rsid w:val="004949C2"/>
    <w:rsid w:val="00494BDA"/>
    <w:rsid w:val="00494CD0"/>
    <w:rsid w:val="00494D4E"/>
    <w:rsid w:val="004950C9"/>
    <w:rsid w:val="00495123"/>
    <w:rsid w:val="0049533A"/>
    <w:rsid w:val="0049561C"/>
    <w:rsid w:val="00495729"/>
    <w:rsid w:val="004960E4"/>
    <w:rsid w:val="004964F0"/>
    <w:rsid w:val="00496582"/>
    <w:rsid w:val="004967BA"/>
    <w:rsid w:val="00496ACF"/>
    <w:rsid w:val="00496C86"/>
    <w:rsid w:val="00496FE8"/>
    <w:rsid w:val="00497297"/>
    <w:rsid w:val="004973DE"/>
    <w:rsid w:val="0049781E"/>
    <w:rsid w:val="004978B4"/>
    <w:rsid w:val="00497945"/>
    <w:rsid w:val="00497A1F"/>
    <w:rsid w:val="00497B53"/>
    <w:rsid w:val="00497E40"/>
    <w:rsid w:val="00497F89"/>
    <w:rsid w:val="004A00FE"/>
    <w:rsid w:val="004A0126"/>
    <w:rsid w:val="004A020E"/>
    <w:rsid w:val="004A024B"/>
    <w:rsid w:val="004A04D4"/>
    <w:rsid w:val="004A0734"/>
    <w:rsid w:val="004A0B0D"/>
    <w:rsid w:val="004A0BE8"/>
    <w:rsid w:val="004A0E92"/>
    <w:rsid w:val="004A1259"/>
    <w:rsid w:val="004A14EF"/>
    <w:rsid w:val="004A15AC"/>
    <w:rsid w:val="004A170B"/>
    <w:rsid w:val="004A17C4"/>
    <w:rsid w:val="004A1BA0"/>
    <w:rsid w:val="004A1D56"/>
    <w:rsid w:val="004A1DFA"/>
    <w:rsid w:val="004A1E52"/>
    <w:rsid w:val="004A211F"/>
    <w:rsid w:val="004A2739"/>
    <w:rsid w:val="004A2AFB"/>
    <w:rsid w:val="004A30CC"/>
    <w:rsid w:val="004A3289"/>
    <w:rsid w:val="004A38C9"/>
    <w:rsid w:val="004A39B5"/>
    <w:rsid w:val="004A3EE8"/>
    <w:rsid w:val="004A42EE"/>
    <w:rsid w:val="004A4940"/>
    <w:rsid w:val="004A497D"/>
    <w:rsid w:val="004A4C99"/>
    <w:rsid w:val="004A506D"/>
    <w:rsid w:val="004A529C"/>
    <w:rsid w:val="004A5842"/>
    <w:rsid w:val="004A5AC6"/>
    <w:rsid w:val="004A5BAA"/>
    <w:rsid w:val="004A60BD"/>
    <w:rsid w:val="004A60C9"/>
    <w:rsid w:val="004A63B9"/>
    <w:rsid w:val="004A6846"/>
    <w:rsid w:val="004A6E51"/>
    <w:rsid w:val="004A798F"/>
    <w:rsid w:val="004A7D38"/>
    <w:rsid w:val="004B02FD"/>
    <w:rsid w:val="004B0C9E"/>
    <w:rsid w:val="004B0FDD"/>
    <w:rsid w:val="004B1078"/>
    <w:rsid w:val="004B10B9"/>
    <w:rsid w:val="004B14D9"/>
    <w:rsid w:val="004B16BE"/>
    <w:rsid w:val="004B1ABE"/>
    <w:rsid w:val="004B1B11"/>
    <w:rsid w:val="004B1B61"/>
    <w:rsid w:val="004B1BB5"/>
    <w:rsid w:val="004B2170"/>
    <w:rsid w:val="004B240F"/>
    <w:rsid w:val="004B2C47"/>
    <w:rsid w:val="004B3000"/>
    <w:rsid w:val="004B345F"/>
    <w:rsid w:val="004B3498"/>
    <w:rsid w:val="004B35D0"/>
    <w:rsid w:val="004B3612"/>
    <w:rsid w:val="004B366F"/>
    <w:rsid w:val="004B367F"/>
    <w:rsid w:val="004B36A0"/>
    <w:rsid w:val="004B3775"/>
    <w:rsid w:val="004B3867"/>
    <w:rsid w:val="004B394C"/>
    <w:rsid w:val="004B39BB"/>
    <w:rsid w:val="004B3AF6"/>
    <w:rsid w:val="004B3CC9"/>
    <w:rsid w:val="004B3F64"/>
    <w:rsid w:val="004B3FB1"/>
    <w:rsid w:val="004B4016"/>
    <w:rsid w:val="004B4136"/>
    <w:rsid w:val="004B4224"/>
    <w:rsid w:val="004B4377"/>
    <w:rsid w:val="004B4816"/>
    <w:rsid w:val="004B5136"/>
    <w:rsid w:val="004B51B0"/>
    <w:rsid w:val="004B5238"/>
    <w:rsid w:val="004B568F"/>
    <w:rsid w:val="004B57AF"/>
    <w:rsid w:val="004B5952"/>
    <w:rsid w:val="004B59B8"/>
    <w:rsid w:val="004B5A9E"/>
    <w:rsid w:val="004B5B96"/>
    <w:rsid w:val="004B5F4F"/>
    <w:rsid w:val="004B6162"/>
    <w:rsid w:val="004B6719"/>
    <w:rsid w:val="004B672C"/>
    <w:rsid w:val="004B7025"/>
    <w:rsid w:val="004B7612"/>
    <w:rsid w:val="004B76F7"/>
    <w:rsid w:val="004B7A1B"/>
    <w:rsid w:val="004B7CC2"/>
    <w:rsid w:val="004C0101"/>
    <w:rsid w:val="004C0484"/>
    <w:rsid w:val="004C06A4"/>
    <w:rsid w:val="004C0AC5"/>
    <w:rsid w:val="004C0CA8"/>
    <w:rsid w:val="004C0DE8"/>
    <w:rsid w:val="004C0E3C"/>
    <w:rsid w:val="004C1139"/>
    <w:rsid w:val="004C1399"/>
    <w:rsid w:val="004C1431"/>
    <w:rsid w:val="004C157F"/>
    <w:rsid w:val="004C1925"/>
    <w:rsid w:val="004C1956"/>
    <w:rsid w:val="004C1A83"/>
    <w:rsid w:val="004C1C21"/>
    <w:rsid w:val="004C1DA7"/>
    <w:rsid w:val="004C1ED7"/>
    <w:rsid w:val="004C20EF"/>
    <w:rsid w:val="004C2169"/>
    <w:rsid w:val="004C22FD"/>
    <w:rsid w:val="004C23F5"/>
    <w:rsid w:val="004C27B5"/>
    <w:rsid w:val="004C27F4"/>
    <w:rsid w:val="004C2828"/>
    <w:rsid w:val="004C29D4"/>
    <w:rsid w:val="004C2A06"/>
    <w:rsid w:val="004C2F06"/>
    <w:rsid w:val="004C3132"/>
    <w:rsid w:val="004C314C"/>
    <w:rsid w:val="004C31B9"/>
    <w:rsid w:val="004C346C"/>
    <w:rsid w:val="004C36FC"/>
    <w:rsid w:val="004C37EE"/>
    <w:rsid w:val="004C3B5A"/>
    <w:rsid w:val="004C41FC"/>
    <w:rsid w:val="004C49F0"/>
    <w:rsid w:val="004C51BD"/>
    <w:rsid w:val="004C5261"/>
    <w:rsid w:val="004C53F0"/>
    <w:rsid w:val="004C54DA"/>
    <w:rsid w:val="004C5563"/>
    <w:rsid w:val="004C56AD"/>
    <w:rsid w:val="004C5773"/>
    <w:rsid w:val="004C5851"/>
    <w:rsid w:val="004C5A64"/>
    <w:rsid w:val="004C5E2E"/>
    <w:rsid w:val="004C680A"/>
    <w:rsid w:val="004C6813"/>
    <w:rsid w:val="004C6903"/>
    <w:rsid w:val="004C7624"/>
    <w:rsid w:val="004C771A"/>
    <w:rsid w:val="004C77E7"/>
    <w:rsid w:val="004C7C8F"/>
    <w:rsid w:val="004D00B0"/>
    <w:rsid w:val="004D0115"/>
    <w:rsid w:val="004D0254"/>
    <w:rsid w:val="004D0820"/>
    <w:rsid w:val="004D0F69"/>
    <w:rsid w:val="004D1504"/>
    <w:rsid w:val="004D16E3"/>
    <w:rsid w:val="004D1814"/>
    <w:rsid w:val="004D1A3B"/>
    <w:rsid w:val="004D1F72"/>
    <w:rsid w:val="004D240B"/>
    <w:rsid w:val="004D25B7"/>
    <w:rsid w:val="004D2660"/>
    <w:rsid w:val="004D284E"/>
    <w:rsid w:val="004D29D4"/>
    <w:rsid w:val="004D2AB8"/>
    <w:rsid w:val="004D2E74"/>
    <w:rsid w:val="004D335E"/>
    <w:rsid w:val="004D3574"/>
    <w:rsid w:val="004D3937"/>
    <w:rsid w:val="004D3A58"/>
    <w:rsid w:val="004D3F60"/>
    <w:rsid w:val="004D3F82"/>
    <w:rsid w:val="004D4119"/>
    <w:rsid w:val="004D46D0"/>
    <w:rsid w:val="004D479A"/>
    <w:rsid w:val="004D48BB"/>
    <w:rsid w:val="004D4A17"/>
    <w:rsid w:val="004D4B57"/>
    <w:rsid w:val="004D4BA1"/>
    <w:rsid w:val="004D4C93"/>
    <w:rsid w:val="004D4E35"/>
    <w:rsid w:val="004D5013"/>
    <w:rsid w:val="004D564D"/>
    <w:rsid w:val="004D5807"/>
    <w:rsid w:val="004D5A5C"/>
    <w:rsid w:val="004D5BF6"/>
    <w:rsid w:val="004D5CD3"/>
    <w:rsid w:val="004D5D21"/>
    <w:rsid w:val="004D606D"/>
    <w:rsid w:val="004D616B"/>
    <w:rsid w:val="004D64A6"/>
    <w:rsid w:val="004D65F0"/>
    <w:rsid w:val="004D682E"/>
    <w:rsid w:val="004D68FF"/>
    <w:rsid w:val="004D6C6C"/>
    <w:rsid w:val="004D6FC6"/>
    <w:rsid w:val="004D761E"/>
    <w:rsid w:val="004D77BD"/>
    <w:rsid w:val="004D784F"/>
    <w:rsid w:val="004D7856"/>
    <w:rsid w:val="004D7B28"/>
    <w:rsid w:val="004D7E46"/>
    <w:rsid w:val="004D7EA2"/>
    <w:rsid w:val="004E02FB"/>
    <w:rsid w:val="004E058E"/>
    <w:rsid w:val="004E058F"/>
    <w:rsid w:val="004E0923"/>
    <w:rsid w:val="004E0ABC"/>
    <w:rsid w:val="004E0AFF"/>
    <w:rsid w:val="004E0BF5"/>
    <w:rsid w:val="004E0FFA"/>
    <w:rsid w:val="004E127A"/>
    <w:rsid w:val="004E1419"/>
    <w:rsid w:val="004E165E"/>
    <w:rsid w:val="004E16EF"/>
    <w:rsid w:val="004E1A7E"/>
    <w:rsid w:val="004E1AFC"/>
    <w:rsid w:val="004E1F47"/>
    <w:rsid w:val="004E1F51"/>
    <w:rsid w:val="004E2201"/>
    <w:rsid w:val="004E2497"/>
    <w:rsid w:val="004E2597"/>
    <w:rsid w:val="004E2865"/>
    <w:rsid w:val="004E28C0"/>
    <w:rsid w:val="004E293A"/>
    <w:rsid w:val="004E29B4"/>
    <w:rsid w:val="004E2BCE"/>
    <w:rsid w:val="004E2CE3"/>
    <w:rsid w:val="004E2CF0"/>
    <w:rsid w:val="004E2D67"/>
    <w:rsid w:val="004E2DA9"/>
    <w:rsid w:val="004E3018"/>
    <w:rsid w:val="004E3070"/>
    <w:rsid w:val="004E3102"/>
    <w:rsid w:val="004E3223"/>
    <w:rsid w:val="004E33F1"/>
    <w:rsid w:val="004E34EA"/>
    <w:rsid w:val="004E36FB"/>
    <w:rsid w:val="004E37CE"/>
    <w:rsid w:val="004E39B3"/>
    <w:rsid w:val="004E3B87"/>
    <w:rsid w:val="004E3BA5"/>
    <w:rsid w:val="004E3C6F"/>
    <w:rsid w:val="004E40DE"/>
    <w:rsid w:val="004E4E52"/>
    <w:rsid w:val="004E4F6C"/>
    <w:rsid w:val="004E54E5"/>
    <w:rsid w:val="004E5556"/>
    <w:rsid w:val="004E5874"/>
    <w:rsid w:val="004E58F5"/>
    <w:rsid w:val="004E66A6"/>
    <w:rsid w:val="004E7531"/>
    <w:rsid w:val="004E76A4"/>
    <w:rsid w:val="004E780E"/>
    <w:rsid w:val="004E7A44"/>
    <w:rsid w:val="004E7B5C"/>
    <w:rsid w:val="004E7E3D"/>
    <w:rsid w:val="004E7EC4"/>
    <w:rsid w:val="004E7FCC"/>
    <w:rsid w:val="004F0045"/>
    <w:rsid w:val="004F00AC"/>
    <w:rsid w:val="004F02B4"/>
    <w:rsid w:val="004F0860"/>
    <w:rsid w:val="004F0BE7"/>
    <w:rsid w:val="004F0F04"/>
    <w:rsid w:val="004F1025"/>
    <w:rsid w:val="004F164A"/>
    <w:rsid w:val="004F25CA"/>
    <w:rsid w:val="004F288E"/>
    <w:rsid w:val="004F2BEF"/>
    <w:rsid w:val="004F2E37"/>
    <w:rsid w:val="004F32B8"/>
    <w:rsid w:val="004F3549"/>
    <w:rsid w:val="004F3C2A"/>
    <w:rsid w:val="004F3C32"/>
    <w:rsid w:val="004F3FB1"/>
    <w:rsid w:val="004F41D5"/>
    <w:rsid w:val="004F4272"/>
    <w:rsid w:val="004F43AF"/>
    <w:rsid w:val="004F45B5"/>
    <w:rsid w:val="004F46E9"/>
    <w:rsid w:val="004F4943"/>
    <w:rsid w:val="004F4DBB"/>
    <w:rsid w:val="004F50E3"/>
    <w:rsid w:val="004F529B"/>
    <w:rsid w:val="004F59C4"/>
    <w:rsid w:val="004F5D2F"/>
    <w:rsid w:val="004F5D7D"/>
    <w:rsid w:val="004F5DC1"/>
    <w:rsid w:val="004F5F88"/>
    <w:rsid w:val="004F627C"/>
    <w:rsid w:val="004F6418"/>
    <w:rsid w:val="004F64AF"/>
    <w:rsid w:val="004F6B15"/>
    <w:rsid w:val="004F6BE8"/>
    <w:rsid w:val="004F6CD0"/>
    <w:rsid w:val="004F6FDB"/>
    <w:rsid w:val="004F7054"/>
    <w:rsid w:val="004F7071"/>
    <w:rsid w:val="004F790D"/>
    <w:rsid w:val="004F7C89"/>
    <w:rsid w:val="004F7C8C"/>
    <w:rsid w:val="004F7CAA"/>
    <w:rsid w:val="00500151"/>
    <w:rsid w:val="00500246"/>
    <w:rsid w:val="005002F0"/>
    <w:rsid w:val="00500637"/>
    <w:rsid w:val="00500997"/>
    <w:rsid w:val="00500A45"/>
    <w:rsid w:val="00501231"/>
    <w:rsid w:val="0050160D"/>
    <w:rsid w:val="00501D69"/>
    <w:rsid w:val="00501F5A"/>
    <w:rsid w:val="005021F0"/>
    <w:rsid w:val="005023D4"/>
    <w:rsid w:val="00502432"/>
    <w:rsid w:val="0050273A"/>
    <w:rsid w:val="005027A6"/>
    <w:rsid w:val="00502E65"/>
    <w:rsid w:val="00502FF5"/>
    <w:rsid w:val="00503244"/>
    <w:rsid w:val="0050362D"/>
    <w:rsid w:val="005037BC"/>
    <w:rsid w:val="0050433C"/>
    <w:rsid w:val="0050491E"/>
    <w:rsid w:val="00504D7E"/>
    <w:rsid w:val="00504E22"/>
    <w:rsid w:val="005054F9"/>
    <w:rsid w:val="00505D9F"/>
    <w:rsid w:val="00506243"/>
    <w:rsid w:val="005063FB"/>
    <w:rsid w:val="00506EC0"/>
    <w:rsid w:val="00506FD3"/>
    <w:rsid w:val="00506FF0"/>
    <w:rsid w:val="0050725A"/>
    <w:rsid w:val="00507417"/>
    <w:rsid w:val="0050745C"/>
    <w:rsid w:val="00507532"/>
    <w:rsid w:val="005077A4"/>
    <w:rsid w:val="005077B9"/>
    <w:rsid w:val="00507881"/>
    <w:rsid w:val="00507A76"/>
    <w:rsid w:val="00507D63"/>
    <w:rsid w:val="00507DED"/>
    <w:rsid w:val="005100D3"/>
    <w:rsid w:val="00510512"/>
    <w:rsid w:val="00510569"/>
    <w:rsid w:val="0051070E"/>
    <w:rsid w:val="00510921"/>
    <w:rsid w:val="00510AD3"/>
    <w:rsid w:val="00510BB8"/>
    <w:rsid w:val="005110CF"/>
    <w:rsid w:val="00511313"/>
    <w:rsid w:val="00511C8D"/>
    <w:rsid w:val="00511DF0"/>
    <w:rsid w:val="0051203F"/>
    <w:rsid w:val="00512077"/>
    <w:rsid w:val="005120CE"/>
    <w:rsid w:val="0051237F"/>
    <w:rsid w:val="00512589"/>
    <w:rsid w:val="00512A73"/>
    <w:rsid w:val="00512AA9"/>
    <w:rsid w:val="00512B1D"/>
    <w:rsid w:val="00512D49"/>
    <w:rsid w:val="00513348"/>
    <w:rsid w:val="0051349A"/>
    <w:rsid w:val="0051399A"/>
    <w:rsid w:val="005142F3"/>
    <w:rsid w:val="005145F6"/>
    <w:rsid w:val="005148E0"/>
    <w:rsid w:val="00514AC8"/>
    <w:rsid w:val="00514EAD"/>
    <w:rsid w:val="00514F71"/>
    <w:rsid w:val="00515380"/>
    <w:rsid w:val="00515764"/>
    <w:rsid w:val="00515787"/>
    <w:rsid w:val="00515BA2"/>
    <w:rsid w:val="00515C56"/>
    <w:rsid w:val="00515F48"/>
    <w:rsid w:val="00515FA2"/>
    <w:rsid w:val="00516358"/>
    <w:rsid w:val="00516CC2"/>
    <w:rsid w:val="00516F9C"/>
    <w:rsid w:val="005171AB"/>
    <w:rsid w:val="0051732D"/>
    <w:rsid w:val="0051770C"/>
    <w:rsid w:val="00517B27"/>
    <w:rsid w:val="00517B3D"/>
    <w:rsid w:val="00517DB6"/>
    <w:rsid w:val="00517E36"/>
    <w:rsid w:val="00520274"/>
    <w:rsid w:val="005202FB"/>
    <w:rsid w:val="005208CB"/>
    <w:rsid w:val="00520F3C"/>
    <w:rsid w:val="00521450"/>
    <w:rsid w:val="005215C0"/>
    <w:rsid w:val="005217D3"/>
    <w:rsid w:val="005217FE"/>
    <w:rsid w:val="00521D95"/>
    <w:rsid w:val="005223D5"/>
    <w:rsid w:val="0052256F"/>
    <w:rsid w:val="0052262B"/>
    <w:rsid w:val="005227F8"/>
    <w:rsid w:val="00522B9F"/>
    <w:rsid w:val="00522E47"/>
    <w:rsid w:val="0052306B"/>
    <w:rsid w:val="0052389B"/>
    <w:rsid w:val="00523B20"/>
    <w:rsid w:val="00523D13"/>
    <w:rsid w:val="00523D2F"/>
    <w:rsid w:val="00523EF7"/>
    <w:rsid w:val="005245ED"/>
    <w:rsid w:val="00524985"/>
    <w:rsid w:val="00524AF2"/>
    <w:rsid w:val="00524CFC"/>
    <w:rsid w:val="005253BF"/>
    <w:rsid w:val="00525AAF"/>
    <w:rsid w:val="00525D6A"/>
    <w:rsid w:val="00525DB3"/>
    <w:rsid w:val="0052639C"/>
    <w:rsid w:val="0052694E"/>
    <w:rsid w:val="00526B64"/>
    <w:rsid w:val="00526C1A"/>
    <w:rsid w:val="0052717F"/>
    <w:rsid w:val="00527353"/>
    <w:rsid w:val="005275E7"/>
    <w:rsid w:val="005277D0"/>
    <w:rsid w:val="00527B0B"/>
    <w:rsid w:val="00527B86"/>
    <w:rsid w:val="00527C65"/>
    <w:rsid w:val="00527FE3"/>
    <w:rsid w:val="00530060"/>
    <w:rsid w:val="00530178"/>
    <w:rsid w:val="00530295"/>
    <w:rsid w:val="005303E9"/>
    <w:rsid w:val="00530518"/>
    <w:rsid w:val="00530565"/>
    <w:rsid w:val="00530691"/>
    <w:rsid w:val="00530846"/>
    <w:rsid w:val="00530CED"/>
    <w:rsid w:val="005310E6"/>
    <w:rsid w:val="0053120C"/>
    <w:rsid w:val="005315AD"/>
    <w:rsid w:val="00531826"/>
    <w:rsid w:val="00531849"/>
    <w:rsid w:val="00531CAD"/>
    <w:rsid w:val="00532116"/>
    <w:rsid w:val="00532320"/>
    <w:rsid w:val="00532595"/>
    <w:rsid w:val="005326B3"/>
    <w:rsid w:val="00532704"/>
    <w:rsid w:val="00532B3E"/>
    <w:rsid w:val="00532C1F"/>
    <w:rsid w:val="00533417"/>
    <w:rsid w:val="00533851"/>
    <w:rsid w:val="0053394F"/>
    <w:rsid w:val="00533B5D"/>
    <w:rsid w:val="00533B9C"/>
    <w:rsid w:val="00533BE8"/>
    <w:rsid w:val="00533D2D"/>
    <w:rsid w:val="00533F8B"/>
    <w:rsid w:val="00534A53"/>
    <w:rsid w:val="00534C8A"/>
    <w:rsid w:val="00534D9B"/>
    <w:rsid w:val="005350AE"/>
    <w:rsid w:val="00535A18"/>
    <w:rsid w:val="00535A65"/>
    <w:rsid w:val="00535AE8"/>
    <w:rsid w:val="00535CC1"/>
    <w:rsid w:val="00535E3F"/>
    <w:rsid w:val="0053621C"/>
    <w:rsid w:val="005362D1"/>
    <w:rsid w:val="005362D8"/>
    <w:rsid w:val="005363D1"/>
    <w:rsid w:val="00536494"/>
    <w:rsid w:val="005368A5"/>
    <w:rsid w:val="005369BC"/>
    <w:rsid w:val="00536D59"/>
    <w:rsid w:val="00536DEC"/>
    <w:rsid w:val="00536E93"/>
    <w:rsid w:val="005374FE"/>
    <w:rsid w:val="0053773D"/>
    <w:rsid w:val="0053778E"/>
    <w:rsid w:val="0053783A"/>
    <w:rsid w:val="005378E8"/>
    <w:rsid w:val="005379D4"/>
    <w:rsid w:val="00537A8A"/>
    <w:rsid w:val="00537A98"/>
    <w:rsid w:val="00537F2E"/>
    <w:rsid w:val="005401E3"/>
    <w:rsid w:val="00540286"/>
    <w:rsid w:val="005407CB"/>
    <w:rsid w:val="00540A9A"/>
    <w:rsid w:val="00540AE3"/>
    <w:rsid w:val="00540BAF"/>
    <w:rsid w:val="00540DCB"/>
    <w:rsid w:val="00540FEF"/>
    <w:rsid w:val="005410B3"/>
    <w:rsid w:val="005411B7"/>
    <w:rsid w:val="0054180F"/>
    <w:rsid w:val="0054188B"/>
    <w:rsid w:val="00541907"/>
    <w:rsid w:val="00541E6C"/>
    <w:rsid w:val="00541FE5"/>
    <w:rsid w:val="005420D6"/>
    <w:rsid w:val="005428AA"/>
    <w:rsid w:val="00542AF1"/>
    <w:rsid w:val="00542B0E"/>
    <w:rsid w:val="00543830"/>
    <w:rsid w:val="00543A4D"/>
    <w:rsid w:val="00543B85"/>
    <w:rsid w:val="005441F7"/>
    <w:rsid w:val="0054425E"/>
    <w:rsid w:val="005442FC"/>
    <w:rsid w:val="00544583"/>
    <w:rsid w:val="00544776"/>
    <w:rsid w:val="00544BAA"/>
    <w:rsid w:val="005452A6"/>
    <w:rsid w:val="00545B84"/>
    <w:rsid w:val="00545E5E"/>
    <w:rsid w:val="0054607D"/>
    <w:rsid w:val="0054617E"/>
    <w:rsid w:val="0054621D"/>
    <w:rsid w:val="005465CD"/>
    <w:rsid w:val="00546A92"/>
    <w:rsid w:val="00547503"/>
    <w:rsid w:val="00547CFC"/>
    <w:rsid w:val="00550312"/>
    <w:rsid w:val="00550841"/>
    <w:rsid w:val="005509F3"/>
    <w:rsid w:val="00550BAD"/>
    <w:rsid w:val="00550C70"/>
    <w:rsid w:val="0055127C"/>
    <w:rsid w:val="00551610"/>
    <w:rsid w:val="005519BC"/>
    <w:rsid w:val="005521AC"/>
    <w:rsid w:val="0055235A"/>
    <w:rsid w:val="0055286F"/>
    <w:rsid w:val="005529B0"/>
    <w:rsid w:val="00552FA3"/>
    <w:rsid w:val="00553522"/>
    <w:rsid w:val="005535AE"/>
    <w:rsid w:val="0055389E"/>
    <w:rsid w:val="00553B02"/>
    <w:rsid w:val="00553B81"/>
    <w:rsid w:val="00553F38"/>
    <w:rsid w:val="00554175"/>
    <w:rsid w:val="00554601"/>
    <w:rsid w:val="0055527D"/>
    <w:rsid w:val="005554A4"/>
    <w:rsid w:val="0055551C"/>
    <w:rsid w:val="005559A9"/>
    <w:rsid w:val="00555B25"/>
    <w:rsid w:val="00555C2A"/>
    <w:rsid w:val="00555CDC"/>
    <w:rsid w:val="0055620B"/>
    <w:rsid w:val="005563FD"/>
    <w:rsid w:val="005564E7"/>
    <w:rsid w:val="00556656"/>
    <w:rsid w:val="0055671F"/>
    <w:rsid w:val="005570E8"/>
    <w:rsid w:val="0055758A"/>
    <w:rsid w:val="0055761E"/>
    <w:rsid w:val="00557F46"/>
    <w:rsid w:val="00560051"/>
    <w:rsid w:val="0056011B"/>
    <w:rsid w:val="00560241"/>
    <w:rsid w:val="005604BC"/>
    <w:rsid w:val="00560626"/>
    <w:rsid w:val="00560A3D"/>
    <w:rsid w:val="00560DDA"/>
    <w:rsid w:val="00560F5E"/>
    <w:rsid w:val="00561307"/>
    <w:rsid w:val="0056149A"/>
    <w:rsid w:val="005615EC"/>
    <w:rsid w:val="0056167C"/>
    <w:rsid w:val="005622E2"/>
    <w:rsid w:val="00562465"/>
    <w:rsid w:val="005627D5"/>
    <w:rsid w:val="00562963"/>
    <w:rsid w:val="00562AE2"/>
    <w:rsid w:val="00562BE7"/>
    <w:rsid w:val="00563146"/>
    <w:rsid w:val="0056314B"/>
    <w:rsid w:val="0056331F"/>
    <w:rsid w:val="005633AE"/>
    <w:rsid w:val="0056340C"/>
    <w:rsid w:val="00563558"/>
    <w:rsid w:val="00563621"/>
    <w:rsid w:val="00564A09"/>
    <w:rsid w:val="00564C0E"/>
    <w:rsid w:val="00564E6F"/>
    <w:rsid w:val="00565077"/>
    <w:rsid w:val="005651CE"/>
    <w:rsid w:val="00565C7B"/>
    <w:rsid w:val="00565FC5"/>
    <w:rsid w:val="00566183"/>
    <w:rsid w:val="0056640D"/>
    <w:rsid w:val="005666C2"/>
    <w:rsid w:val="0056671F"/>
    <w:rsid w:val="005667E3"/>
    <w:rsid w:val="00566C02"/>
    <w:rsid w:val="00566C47"/>
    <w:rsid w:val="00567460"/>
    <w:rsid w:val="00567D63"/>
    <w:rsid w:val="0057047B"/>
    <w:rsid w:val="00570F85"/>
    <w:rsid w:val="00571279"/>
    <w:rsid w:val="00571295"/>
    <w:rsid w:val="00571333"/>
    <w:rsid w:val="00571452"/>
    <w:rsid w:val="005715E6"/>
    <w:rsid w:val="005716B4"/>
    <w:rsid w:val="005716E9"/>
    <w:rsid w:val="00571977"/>
    <w:rsid w:val="00571E14"/>
    <w:rsid w:val="00572379"/>
    <w:rsid w:val="005723B7"/>
    <w:rsid w:val="0057241A"/>
    <w:rsid w:val="0057268C"/>
    <w:rsid w:val="0057288F"/>
    <w:rsid w:val="005729A6"/>
    <w:rsid w:val="00572A22"/>
    <w:rsid w:val="00572B35"/>
    <w:rsid w:val="005736AA"/>
    <w:rsid w:val="005739B1"/>
    <w:rsid w:val="00573BF6"/>
    <w:rsid w:val="00574149"/>
    <w:rsid w:val="0057422A"/>
    <w:rsid w:val="00574428"/>
    <w:rsid w:val="005746A2"/>
    <w:rsid w:val="005746C3"/>
    <w:rsid w:val="005747A8"/>
    <w:rsid w:val="005749FF"/>
    <w:rsid w:val="00574A15"/>
    <w:rsid w:val="00574BAF"/>
    <w:rsid w:val="00575924"/>
    <w:rsid w:val="005759AC"/>
    <w:rsid w:val="005761BE"/>
    <w:rsid w:val="005763DD"/>
    <w:rsid w:val="005764A7"/>
    <w:rsid w:val="00576566"/>
    <w:rsid w:val="005769E6"/>
    <w:rsid w:val="00576C0E"/>
    <w:rsid w:val="0057712C"/>
    <w:rsid w:val="005771D0"/>
    <w:rsid w:val="0057738D"/>
    <w:rsid w:val="00577B7A"/>
    <w:rsid w:val="00577C1F"/>
    <w:rsid w:val="00577D9C"/>
    <w:rsid w:val="00577E79"/>
    <w:rsid w:val="00577EB6"/>
    <w:rsid w:val="00580008"/>
    <w:rsid w:val="00580099"/>
    <w:rsid w:val="00580456"/>
    <w:rsid w:val="0058087A"/>
    <w:rsid w:val="005808E0"/>
    <w:rsid w:val="00580A99"/>
    <w:rsid w:val="00580BC1"/>
    <w:rsid w:val="00580DAE"/>
    <w:rsid w:val="00580E40"/>
    <w:rsid w:val="00580F20"/>
    <w:rsid w:val="00581038"/>
    <w:rsid w:val="00581125"/>
    <w:rsid w:val="0058126A"/>
    <w:rsid w:val="005815B0"/>
    <w:rsid w:val="005816D5"/>
    <w:rsid w:val="005819F3"/>
    <w:rsid w:val="00581B3C"/>
    <w:rsid w:val="005820FD"/>
    <w:rsid w:val="005822C7"/>
    <w:rsid w:val="0058245C"/>
    <w:rsid w:val="005825C7"/>
    <w:rsid w:val="005828B4"/>
    <w:rsid w:val="00582DF0"/>
    <w:rsid w:val="00582E03"/>
    <w:rsid w:val="00583025"/>
    <w:rsid w:val="00583082"/>
    <w:rsid w:val="005831BB"/>
    <w:rsid w:val="00583302"/>
    <w:rsid w:val="00583465"/>
    <w:rsid w:val="005834C1"/>
    <w:rsid w:val="00583658"/>
    <w:rsid w:val="005836EB"/>
    <w:rsid w:val="00583A66"/>
    <w:rsid w:val="00583AF6"/>
    <w:rsid w:val="00583BEB"/>
    <w:rsid w:val="0058406E"/>
    <w:rsid w:val="00584591"/>
    <w:rsid w:val="0058483C"/>
    <w:rsid w:val="00584B66"/>
    <w:rsid w:val="00584E5D"/>
    <w:rsid w:val="0058542D"/>
    <w:rsid w:val="00585578"/>
    <w:rsid w:val="00585A16"/>
    <w:rsid w:val="00585B70"/>
    <w:rsid w:val="00585BEB"/>
    <w:rsid w:val="00585F2C"/>
    <w:rsid w:val="00586808"/>
    <w:rsid w:val="00586B6C"/>
    <w:rsid w:val="00586BE3"/>
    <w:rsid w:val="00586D8B"/>
    <w:rsid w:val="00586E4C"/>
    <w:rsid w:val="0058705C"/>
    <w:rsid w:val="00587082"/>
    <w:rsid w:val="0058713A"/>
    <w:rsid w:val="00587747"/>
    <w:rsid w:val="00587772"/>
    <w:rsid w:val="005878DC"/>
    <w:rsid w:val="00587B36"/>
    <w:rsid w:val="00587BCF"/>
    <w:rsid w:val="00590388"/>
    <w:rsid w:val="005904D2"/>
    <w:rsid w:val="00590722"/>
    <w:rsid w:val="00590966"/>
    <w:rsid w:val="0059137E"/>
    <w:rsid w:val="0059156D"/>
    <w:rsid w:val="005916DA"/>
    <w:rsid w:val="00591D35"/>
    <w:rsid w:val="00591FAF"/>
    <w:rsid w:val="00592209"/>
    <w:rsid w:val="005924F8"/>
    <w:rsid w:val="00592630"/>
    <w:rsid w:val="005929A1"/>
    <w:rsid w:val="005929A9"/>
    <w:rsid w:val="005929D4"/>
    <w:rsid w:val="005929D7"/>
    <w:rsid w:val="00592A04"/>
    <w:rsid w:val="00592AD7"/>
    <w:rsid w:val="00592E14"/>
    <w:rsid w:val="00593664"/>
    <w:rsid w:val="00593723"/>
    <w:rsid w:val="005937F4"/>
    <w:rsid w:val="00593C5B"/>
    <w:rsid w:val="00593E3A"/>
    <w:rsid w:val="00594088"/>
    <w:rsid w:val="00594105"/>
    <w:rsid w:val="00594157"/>
    <w:rsid w:val="005942C9"/>
    <w:rsid w:val="00594CC5"/>
    <w:rsid w:val="00594DF7"/>
    <w:rsid w:val="00594E5B"/>
    <w:rsid w:val="0059544C"/>
    <w:rsid w:val="005954FA"/>
    <w:rsid w:val="005955E4"/>
    <w:rsid w:val="005956E0"/>
    <w:rsid w:val="00595CC0"/>
    <w:rsid w:val="00595D6E"/>
    <w:rsid w:val="00595DB3"/>
    <w:rsid w:val="00595E62"/>
    <w:rsid w:val="00596642"/>
    <w:rsid w:val="005967C2"/>
    <w:rsid w:val="00596BD1"/>
    <w:rsid w:val="00596D2E"/>
    <w:rsid w:val="00596DDB"/>
    <w:rsid w:val="00597039"/>
    <w:rsid w:val="005970EA"/>
    <w:rsid w:val="005972B4"/>
    <w:rsid w:val="00597740"/>
    <w:rsid w:val="0059785A"/>
    <w:rsid w:val="00597937"/>
    <w:rsid w:val="00597F29"/>
    <w:rsid w:val="005A00C3"/>
    <w:rsid w:val="005A0279"/>
    <w:rsid w:val="005A04F9"/>
    <w:rsid w:val="005A0505"/>
    <w:rsid w:val="005A092B"/>
    <w:rsid w:val="005A0B7D"/>
    <w:rsid w:val="005A0C9C"/>
    <w:rsid w:val="005A0CE0"/>
    <w:rsid w:val="005A0DA8"/>
    <w:rsid w:val="005A0E63"/>
    <w:rsid w:val="005A1496"/>
    <w:rsid w:val="005A19B8"/>
    <w:rsid w:val="005A2559"/>
    <w:rsid w:val="005A2C5A"/>
    <w:rsid w:val="005A2D0E"/>
    <w:rsid w:val="005A3471"/>
    <w:rsid w:val="005A34C6"/>
    <w:rsid w:val="005A364E"/>
    <w:rsid w:val="005A37A6"/>
    <w:rsid w:val="005A398E"/>
    <w:rsid w:val="005A3CAA"/>
    <w:rsid w:val="005A3E24"/>
    <w:rsid w:val="005A4099"/>
    <w:rsid w:val="005A422D"/>
    <w:rsid w:val="005A4321"/>
    <w:rsid w:val="005A4334"/>
    <w:rsid w:val="005A443F"/>
    <w:rsid w:val="005A450E"/>
    <w:rsid w:val="005A45C3"/>
    <w:rsid w:val="005A47BF"/>
    <w:rsid w:val="005A4930"/>
    <w:rsid w:val="005A4BDA"/>
    <w:rsid w:val="005A4F0B"/>
    <w:rsid w:val="005A5015"/>
    <w:rsid w:val="005A5304"/>
    <w:rsid w:val="005A54D0"/>
    <w:rsid w:val="005A5513"/>
    <w:rsid w:val="005A5546"/>
    <w:rsid w:val="005A5BC6"/>
    <w:rsid w:val="005A5D4C"/>
    <w:rsid w:val="005A62FA"/>
    <w:rsid w:val="005A63E4"/>
    <w:rsid w:val="005A659C"/>
    <w:rsid w:val="005A6613"/>
    <w:rsid w:val="005A6D34"/>
    <w:rsid w:val="005A6D59"/>
    <w:rsid w:val="005A6F16"/>
    <w:rsid w:val="005A7486"/>
    <w:rsid w:val="005A7563"/>
    <w:rsid w:val="005A7618"/>
    <w:rsid w:val="005A7AB0"/>
    <w:rsid w:val="005A7E65"/>
    <w:rsid w:val="005B076D"/>
    <w:rsid w:val="005B0811"/>
    <w:rsid w:val="005B0B5B"/>
    <w:rsid w:val="005B0D06"/>
    <w:rsid w:val="005B12B6"/>
    <w:rsid w:val="005B1961"/>
    <w:rsid w:val="005B1E7D"/>
    <w:rsid w:val="005B1FF7"/>
    <w:rsid w:val="005B22DA"/>
    <w:rsid w:val="005B24D3"/>
    <w:rsid w:val="005B25A7"/>
    <w:rsid w:val="005B25B3"/>
    <w:rsid w:val="005B2724"/>
    <w:rsid w:val="005B2761"/>
    <w:rsid w:val="005B280A"/>
    <w:rsid w:val="005B2D1E"/>
    <w:rsid w:val="005B2ECC"/>
    <w:rsid w:val="005B303D"/>
    <w:rsid w:val="005B3367"/>
    <w:rsid w:val="005B357F"/>
    <w:rsid w:val="005B3582"/>
    <w:rsid w:val="005B3A85"/>
    <w:rsid w:val="005B3C4E"/>
    <w:rsid w:val="005B3DF8"/>
    <w:rsid w:val="005B411A"/>
    <w:rsid w:val="005B41EB"/>
    <w:rsid w:val="005B4269"/>
    <w:rsid w:val="005B4280"/>
    <w:rsid w:val="005B42FA"/>
    <w:rsid w:val="005B43C6"/>
    <w:rsid w:val="005B451C"/>
    <w:rsid w:val="005B4590"/>
    <w:rsid w:val="005B484C"/>
    <w:rsid w:val="005B4965"/>
    <w:rsid w:val="005B49DD"/>
    <w:rsid w:val="005B4A01"/>
    <w:rsid w:val="005B4EBB"/>
    <w:rsid w:val="005B4FC5"/>
    <w:rsid w:val="005B560C"/>
    <w:rsid w:val="005B56C7"/>
    <w:rsid w:val="005B5991"/>
    <w:rsid w:val="005B5A94"/>
    <w:rsid w:val="005B5AAA"/>
    <w:rsid w:val="005B5C87"/>
    <w:rsid w:val="005B5CD1"/>
    <w:rsid w:val="005B73AC"/>
    <w:rsid w:val="005B7708"/>
    <w:rsid w:val="005B7A24"/>
    <w:rsid w:val="005B7DEE"/>
    <w:rsid w:val="005B7E90"/>
    <w:rsid w:val="005C0536"/>
    <w:rsid w:val="005C0568"/>
    <w:rsid w:val="005C0720"/>
    <w:rsid w:val="005C08D1"/>
    <w:rsid w:val="005C09CE"/>
    <w:rsid w:val="005C0A22"/>
    <w:rsid w:val="005C0E83"/>
    <w:rsid w:val="005C1017"/>
    <w:rsid w:val="005C1664"/>
    <w:rsid w:val="005C16F9"/>
    <w:rsid w:val="005C1901"/>
    <w:rsid w:val="005C19B7"/>
    <w:rsid w:val="005C1C8B"/>
    <w:rsid w:val="005C1E7D"/>
    <w:rsid w:val="005C2043"/>
    <w:rsid w:val="005C278D"/>
    <w:rsid w:val="005C2BF0"/>
    <w:rsid w:val="005C2CC6"/>
    <w:rsid w:val="005C37F0"/>
    <w:rsid w:val="005C3ABA"/>
    <w:rsid w:val="005C3C4F"/>
    <w:rsid w:val="005C3C79"/>
    <w:rsid w:val="005C3FDD"/>
    <w:rsid w:val="005C46D0"/>
    <w:rsid w:val="005C4907"/>
    <w:rsid w:val="005C4A47"/>
    <w:rsid w:val="005C4FE4"/>
    <w:rsid w:val="005C52D6"/>
    <w:rsid w:val="005C535D"/>
    <w:rsid w:val="005C561B"/>
    <w:rsid w:val="005C580D"/>
    <w:rsid w:val="005C5C70"/>
    <w:rsid w:val="005C5C7F"/>
    <w:rsid w:val="005C5D07"/>
    <w:rsid w:val="005C63D7"/>
    <w:rsid w:val="005C661E"/>
    <w:rsid w:val="005C68B8"/>
    <w:rsid w:val="005C6C76"/>
    <w:rsid w:val="005C6E09"/>
    <w:rsid w:val="005C76FB"/>
    <w:rsid w:val="005C7716"/>
    <w:rsid w:val="005C79C6"/>
    <w:rsid w:val="005C7A68"/>
    <w:rsid w:val="005C7AED"/>
    <w:rsid w:val="005C7B93"/>
    <w:rsid w:val="005D04D4"/>
    <w:rsid w:val="005D09F4"/>
    <w:rsid w:val="005D0D2F"/>
    <w:rsid w:val="005D0DA7"/>
    <w:rsid w:val="005D12C9"/>
    <w:rsid w:val="005D14DC"/>
    <w:rsid w:val="005D15CC"/>
    <w:rsid w:val="005D170E"/>
    <w:rsid w:val="005D2092"/>
    <w:rsid w:val="005D2176"/>
    <w:rsid w:val="005D285D"/>
    <w:rsid w:val="005D28DC"/>
    <w:rsid w:val="005D2B87"/>
    <w:rsid w:val="005D2BDE"/>
    <w:rsid w:val="005D2D36"/>
    <w:rsid w:val="005D2DD1"/>
    <w:rsid w:val="005D2FEF"/>
    <w:rsid w:val="005D3512"/>
    <w:rsid w:val="005D35B6"/>
    <w:rsid w:val="005D362B"/>
    <w:rsid w:val="005D3750"/>
    <w:rsid w:val="005D37E2"/>
    <w:rsid w:val="005D3A02"/>
    <w:rsid w:val="005D3D40"/>
    <w:rsid w:val="005D3E0C"/>
    <w:rsid w:val="005D3E73"/>
    <w:rsid w:val="005D464E"/>
    <w:rsid w:val="005D4A99"/>
    <w:rsid w:val="005D4C37"/>
    <w:rsid w:val="005D4E9C"/>
    <w:rsid w:val="005D4EF2"/>
    <w:rsid w:val="005D5256"/>
    <w:rsid w:val="005D56FB"/>
    <w:rsid w:val="005D5942"/>
    <w:rsid w:val="005D59DE"/>
    <w:rsid w:val="005D5B9A"/>
    <w:rsid w:val="005D5FA3"/>
    <w:rsid w:val="005D5FF5"/>
    <w:rsid w:val="005D633F"/>
    <w:rsid w:val="005D64D2"/>
    <w:rsid w:val="005D654D"/>
    <w:rsid w:val="005D662E"/>
    <w:rsid w:val="005D67DF"/>
    <w:rsid w:val="005D68BC"/>
    <w:rsid w:val="005D6BB9"/>
    <w:rsid w:val="005D6DC5"/>
    <w:rsid w:val="005D6DCD"/>
    <w:rsid w:val="005D6E77"/>
    <w:rsid w:val="005D7192"/>
    <w:rsid w:val="005D722E"/>
    <w:rsid w:val="005D72F9"/>
    <w:rsid w:val="005D77C0"/>
    <w:rsid w:val="005D7800"/>
    <w:rsid w:val="005D79BA"/>
    <w:rsid w:val="005D7CD6"/>
    <w:rsid w:val="005E00BB"/>
    <w:rsid w:val="005E0643"/>
    <w:rsid w:val="005E078E"/>
    <w:rsid w:val="005E07D7"/>
    <w:rsid w:val="005E0AF6"/>
    <w:rsid w:val="005E0C88"/>
    <w:rsid w:val="005E0F21"/>
    <w:rsid w:val="005E1760"/>
    <w:rsid w:val="005E1C35"/>
    <w:rsid w:val="005E1CF2"/>
    <w:rsid w:val="005E1F4F"/>
    <w:rsid w:val="005E2332"/>
    <w:rsid w:val="005E253D"/>
    <w:rsid w:val="005E29C1"/>
    <w:rsid w:val="005E2BC7"/>
    <w:rsid w:val="005E2DE2"/>
    <w:rsid w:val="005E3007"/>
    <w:rsid w:val="005E333F"/>
    <w:rsid w:val="005E3446"/>
    <w:rsid w:val="005E3502"/>
    <w:rsid w:val="005E371F"/>
    <w:rsid w:val="005E3E9E"/>
    <w:rsid w:val="005E4296"/>
    <w:rsid w:val="005E44CB"/>
    <w:rsid w:val="005E4834"/>
    <w:rsid w:val="005E4A3B"/>
    <w:rsid w:val="005E4BA9"/>
    <w:rsid w:val="005E4CA2"/>
    <w:rsid w:val="005E4DA9"/>
    <w:rsid w:val="005E4EE3"/>
    <w:rsid w:val="005E5D51"/>
    <w:rsid w:val="005E6027"/>
    <w:rsid w:val="005E6189"/>
    <w:rsid w:val="005E674A"/>
    <w:rsid w:val="005E68CD"/>
    <w:rsid w:val="005E6974"/>
    <w:rsid w:val="005E6F7D"/>
    <w:rsid w:val="005E6FA2"/>
    <w:rsid w:val="005E7026"/>
    <w:rsid w:val="005E703D"/>
    <w:rsid w:val="005E758A"/>
    <w:rsid w:val="005E7598"/>
    <w:rsid w:val="005E780B"/>
    <w:rsid w:val="005E7BE4"/>
    <w:rsid w:val="005F01DF"/>
    <w:rsid w:val="005F0902"/>
    <w:rsid w:val="005F0A03"/>
    <w:rsid w:val="005F0BAD"/>
    <w:rsid w:val="005F0C5D"/>
    <w:rsid w:val="005F0D96"/>
    <w:rsid w:val="005F1063"/>
    <w:rsid w:val="005F1286"/>
    <w:rsid w:val="005F154D"/>
    <w:rsid w:val="005F18D9"/>
    <w:rsid w:val="005F1D10"/>
    <w:rsid w:val="005F1DA7"/>
    <w:rsid w:val="005F1E07"/>
    <w:rsid w:val="005F2876"/>
    <w:rsid w:val="005F2AA3"/>
    <w:rsid w:val="005F2C95"/>
    <w:rsid w:val="005F2EC2"/>
    <w:rsid w:val="005F33FC"/>
    <w:rsid w:val="005F35D6"/>
    <w:rsid w:val="005F37B8"/>
    <w:rsid w:val="005F39A5"/>
    <w:rsid w:val="005F4005"/>
    <w:rsid w:val="005F42C7"/>
    <w:rsid w:val="005F4470"/>
    <w:rsid w:val="005F4766"/>
    <w:rsid w:val="005F4D5C"/>
    <w:rsid w:val="005F4EE3"/>
    <w:rsid w:val="005F517A"/>
    <w:rsid w:val="005F5458"/>
    <w:rsid w:val="005F5750"/>
    <w:rsid w:val="005F590D"/>
    <w:rsid w:val="005F5D51"/>
    <w:rsid w:val="005F5E8A"/>
    <w:rsid w:val="005F5F11"/>
    <w:rsid w:val="005F5FD7"/>
    <w:rsid w:val="005F611F"/>
    <w:rsid w:val="005F628C"/>
    <w:rsid w:val="005F63F9"/>
    <w:rsid w:val="005F6763"/>
    <w:rsid w:val="005F67AB"/>
    <w:rsid w:val="005F6857"/>
    <w:rsid w:val="005F68B3"/>
    <w:rsid w:val="005F68C5"/>
    <w:rsid w:val="005F71A9"/>
    <w:rsid w:val="005F7283"/>
    <w:rsid w:val="005F7435"/>
    <w:rsid w:val="005F7934"/>
    <w:rsid w:val="006002AD"/>
    <w:rsid w:val="00600516"/>
    <w:rsid w:val="00600A73"/>
    <w:rsid w:val="00600AE2"/>
    <w:rsid w:val="00600B92"/>
    <w:rsid w:val="00600BB1"/>
    <w:rsid w:val="006015A4"/>
    <w:rsid w:val="0060178F"/>
    <w:rsid w:val="0060180F"/>
    <w:rsid w:val="006020B2"/>
    <w:rsid w:val="006024D4"/>
    <w:rsid w:val="0060267D"/>
    <w:rsid w:val="00602AED"/>
    <w:rsid w:val="00602D16"/>
    <w:rsid w:val="00602D5F"/>
    <w:rsid w:val="00602DC3"/>
    <w:rsid w:val="00602F1E"/>
    <w:rsid w:val="00603165"/>
    <w:rsid w:val="00603360"/>
    <w:rsid w:val="006034D9"/>
    <w:rsid w:val="006037A5"/>
    <w:rsid w:val="006037D8"/>
    <w:rsid w:val="006039C2"/>
    <w:rsid w:val="00604099"/>
    <w:rsid w:val="006042A0"/>
    <w:rsid w:val="0060490E"/>
    <w:rsid w:val="00604A45"/>
    <w:rsid w:val="00604C17"/>
    <w:rsid w:val="006052F8"/>
    <w:rsid w:val="0060544A"/>
    <w:rsid w:val="006056AB"/>
    <w:rsid w:val="0060578D"/>
    <w:rsid w:val="00605A68"/>
    <w:rsid w:val="00605AC3"/>
    <w:rsid w:val="00605CB1"/>
    <w:rsid w:val="00605F74"/>
    <w:rsid w:val="00605FC6"/>
    <w:rsid w:val="00606409"/>
    <w:rsid w:val="00606555"/>
    <w:rsid w:val="00606A84"/>
    <w:rsid w:val="00606B07"/>
    <w:rsid w:val="00606ED8"/>
    <w:rsid w:val="00606F1E"/>
    <w:rsid w:val="0060729A"/>
    <w:rsid w:val="00607418"/>
    <w:rsid w:val="00607A42"/>
    <w:rsid w:val="00607EC8"/>
    <w:rsid w:val="00610162"/>
    <w:rsid w:val="006104E2"/>
    <w:rsid w:val="00610531"/>
    <w:rsid w:val="006105A9"/>
    <w:rsid w:val="006105B8"/>
    <w:rsid w:val="00610670"/>
    <w:rsid w:val="006108C3"/>
    <w:rsid w:val="00610D1D"/>
    <w:rsid w:val="006110B0"/>
    <w:rsid w:val="00611899"/>
    <w:rsid w:val="00611E25"/>
    <w:rsid w:val="006122D0"/>
    <w:rsid w:val="00612724"/>
    <w:rsid w:val="00612796"/>
    <w:rsid w:val="00612889"/>
    <w:rsid w:val="006129A3"/>
    <w:rsid w:val="00612C51"/>
    <w:rsid w:val="0061318C"/>
    <w:rsid w:val="0061337C"/>
    <w:rsid w:val="0061345A"/>
    <w:rsid w:val="006142B2"/>
    <w:rsid w:val="006145BB"/>
    <w:rsid w:val="0061463D"/>
    <w:rsid w:val="00614E0E"/>
    <w:rsid w:val="00614F25"/>
    <w:rsid w:val="006150E4"/>
    <w:rsid w:val="00615184"/>
    <w:rsid w:val="0061527F"/>
    <w:rsid w:val="006157F0"/>
    <w:rsid w:val="00615F91"/>
    <w:rsid w:val="00616039"/>
    <w:rsid w:val="006160C9"/>
    <w:rsid w:val="006165CD"/>
    <w:rsid w:val="00616B52"/>
    <w:rsid w:val="00616EDC"/>
    <w:rsid w:val="00617063"/>
    <w:rsid w:val="006177AF"/>
    <w:rsid w:val="00617C22"/>
    <w:rsid w:val="00617D5C"/>
    <w:rsid w:val="006203B3"/>
    <w:rsid w:val="00620549"/>
    <w:rsid w:val="0062062A"/>
    <w:rsid w:val="006206B5"/>
    <w:rsid w:val="0062098A"/>
    <w:rsid w:val="00620A68"/>
    <w:rsid w:val="00620AB8"/>
    <w:rsid w:val="00621645"/>
    <w:rsid w:val="0062189E"/>
    <w:rsid w:val="00621B10"/>
    <w:rsid w:val="00621D47"/>
    <w:rsid w:val="00621E47"/>
    <w:rsid w:val="00621EB9"/>
    <w:rsid w:val="00622136"/>
    <w:rsid w:val="00622586"/>
    <w:rsid w:val="0062294A"/>
    <w:rsid w:val="00622AC6"/>
    <w:rsid w:val="00622AE9"/>
    <w:rsid w:val="00622BDA"/>
    <w:rsid w:val="00622BEA"/>
    <w:rsid w:val="0062364C"/>
    <w:rsid w:val="00623BA1"/>
    <w:rsid w:val="00624369"/>
    <w:rsid w:val="006245FE"/>
    <w:rsid w:val="006246D4"/>
    <w:rsid w:val="00624716"/>
    <w:rsid w:val="006248C5"/>
    <w:rsid w:val="00624A47"/>
    <w:rsid w:val="00624C8D"/>
    <w:rsid w:val="00624CEB"/>
    <w:rsid w:val="00624DB2"/>
    <w:rsid w:val="00624EEF"/>
    <w:rsid w:val="0062508E"/>
    <w:rsid w:val="00625167"/>
    <w:rsid w:val="0062540A"/>
    <w:rsid w:val="0062562F"/>
    <w:rsid w:val="00625932"/>
    <w:rsid w:val="00625D3C"/>
    <w:rsid w:val="0062612F"/>
    <w:rsid w:val="00626B9E"/>
    <w:rsid w:val="00626CF3"/>
    <w:rsid w:val="006271D7"/>
    <w:rsid w:val="00627271"/>
    <w:rsid w:val="0063005D"/>
    <w:rsid w:val="00630312"/>
    <w:rsid w:val="0063067B"/>
    <w:rsid w:val="0063080F"/>
    <w:rsid w:val="006308D5"/>
    <w:rsid w:val="00630976"/>
    <w:rsid w:val="00630977"/>
    <w:rsid w:val="00630B0C"/>
    <w:rsid w:val="00630E90"/>
    <w:rsid w:val="00630FC8"/>
    <w:rsid w:val="00631042"/>
    <w:rsid w:val="0063138B"/>
    <w:rsid w:val="0063141D"/>
    <w:rsid w:val="006314AE"/>
    <w:rsid w:val="006327D3"/>
    <w:rsid w:val="006329D2"/>
    <w:rsid w:val="00632AD2"/>
    <w:rsid w:val="00632B7D"/>
    <w:rsid w:val="00632E9F"/>
    <w:rsid w:val="006332D6"/>
    <w:rsid w:val="00633401"/>
    <w:rsid w:val="0063349E"/>
    <w:rsid w:val="0063372C"/>
    <w:rsid w:val="00633912"/>
    <w:rsid w:val="00633B3C"/>
    <w:rsid w:val="00633EF7"/>
    <w:rsid w:val="006345B9"/>
    <w:rsid w:val="006345DA"/>
    <w:rsid w:val="006346BC"/>
    <w:rsid w:val="0063492B"/>
    <w:rsid w:val="00634B16"/>
    <w:rsid w:val="006350CA"/>
    <w:rsid w:val="0063510E"/>
    <w:rsid w:val="006353CD"/>
    <w:rsid w:val="00635DD9"/>
    <w:rsid w:val="00636475"/>
    <w:rsid w:val="006364D5"/>
    <w:rsid w:val="00636554"/>
    <w:rsid w:val="00636880"/>
    <w:rsid w:val="00636939"/>
    <w:rsid w:val="0063695C"/>
    <w:rsid w:val="00636FB2"/>
    <w:rsid w:val="00637034"/>
    <w:rsid w:val="0063715F"/>
    <w:rsid w:val="00637289"/>
    <w:rsid w:val="0063769A"/>
    <w:rsid w:val="006377BE"/>
    <w:rsid w:val="0063794F"/>
    <w:rsid w:val="00637B09"/>
    <w:rsid w:val="00637E04"/>
    <w:rsid w:val="00640374"/>
    <w:rsid w:val="006403DC"/>
    <w:rsid w:val="006405CE"/>
    <w:rsid w:val="00640B3F"/>
    <w:rsid w:val="00640BAD"/>
    <w:rsid w:val="00640BF1"/>
    <w:rsid w:val="00640F9C"/>
    <w:rsid w:val="0064142B"/>
    <w:rsid w:val="00641438"/>
    <w:rsid w:val="006418EA"/>
    <w:rsid w:val="00641C6D"/>
    <w:rsid w:val="00641D9C"/>
    <w:rsid w:val="00642149"/>
    <w:rsid w:val="00642737"/>
    <w:rsid w:val="00642D16"/>
    <w:rsid w:val="00642E0B"/>
    <w:rsid w:val="00642EA7"/>
    <w:rsid w:val="006433C9"/>
    <w:rsid w:val="00643523"/>
    <w:rsid w:val="006437D6"/>
    <w:rsid w:val="006438C3"/>
    <w:rsid w:val="0064398E"/>
    <w:rsid w:val="00644454"/>
    <w:rsid w:val="006444C8"/>
    <w:rsid w:val="006445B6"/>
    <w:rsid w:val="006445E1"/>
    <w:rsid w:val="0064470D"/>
    <w:rsid w:val="0064489D"/>
    <w:rsid w:val="00644B8E"/>
    <w:rsid w:val="00644E5B"/>
    <w:rsid w:val="00644FC6"/>
    <w:rsid w:val="006452A3"/>
    <w:rsid w:val="006452BE"/>
    <w:rsid w:val="00645384"/>
    <w:rsid w:val="00645392"/>
    <w:rsid w:val="006454FD"/>
    <w:rsid w:val="00645BF4"/>
    <w:rsid w:val="00646839"/>
    <w:rsid w:val="006468EB"/>
    <w:rsid w:val="006469F5"/>
    <w:rsid w:val="00646B7E"/>
    <w:rsid w:val="00646BCA"/>
    <w:rsid w:val="00646CA1"/>
    <w:rsid w:val="00646EC4"/>
    <w:rsid w:val="00647010"/>
    <w:rsid w:val="006470AC"/>
    <w:rsid w:val="00647117"/>
    <w:rsid w:val="00647827"/>
    <w:rsid w:val="00647B28"/>
    <w:rsid w:val="00650283"/>
    <w:rsid w:val="00650739"/>
    <w:rsid w:val="006507E1"/>
    <w:rsid w:val="00650A2F"/>
    <w:rsid w:val="00650F47"/>
    <w:rsid w:val="00651632"/>
    <w:rsid w:val="00651651"/>
    <w:rsid w:val="006518CB"/>
    <w:rsid w:val="00651A85"/>
    <w:rsid w:val="00651AB6"/>
    <w:rsid w:val="00651C5A"/>
    <w:rsid w:val="00651C8F"/>
    <w:rsid w:val="00651CEC"/>
    <w:rsid w:val="006522A1"/>
    <w:rsid w:val="0065254A"/>
    <w:rsid w:val="00652620"/>
    <w:rsid w:val="00652643"/>
    <w:rsid w:val="00652CA6"/>
    <w:rsid w:val="006538B1"/>
    <w:rsid w:val="0065398A"/>
    <w:rsid w:val="00653B82"/>
    <w:rsid w:val="00653EF5"/>
    <w:rsid w:val="00653F6A"/>
    <w:rsid w:val="006541D7"/>
    <w:rsid w:val="00654674"/>
    <w:rsid w:val="006548E2"/>
    <w:rsid w:val="00654AD8"/>
    <w:rsid w:val="00654B8C"/>
    <w:rsid w:val="00654D2B"/>
    <w:rsid w:val="00655080"/>
    <w:rsid w:val="00655122"/>
    <w:rsid w:val="006553C5"/>
    <w:rsid w:val="00655600"/>
    <w:rsid w:val="0065576F"/>
    <w:rsid w:val="00655A35"/>
    <w:rsid w:val="00655C52"/>
    <w:rsid w:val="00656019"/>
    <w:rsid w:val="0065657E"/>
    <w:rsid w:val="00656AF4"/>
    <w:rsid w:val="00656F68"/>
    <w:rsid w:val="0065723F"/>
    <w:rsid w:val="0065782E"/>
    <w:rsid w:val="006579D7"/>
    <w:rsid w:val="00660604"/>
    <w:rsid w:val="006609E9"/>
    <w:rsid w:val="00660FEF"/>
    <w:rsid w:val="006614BA"/>
    <w:rsid w:val="00661C14"/>
    <w:rsid w:val="00661D70"/>
    <w:rsid w:val="00662A34"/>
    <w:rsid w:val="00662AFC"/>
    <w:rsid w:val="00662DDF"/>
    <w:rsid w:val="00662F95"/>
    <w:rsid w:val="006634B0"/>
    <w:rsid w:val="00663540"/>
    <w:rsid w:val="006635C5"/>
    <w:rsid w:val="006638F7"/>
    <w:rsid w:val="00663952"/>
    <w:rsid w:val="00663A07"/>
    <w:rsid w:val="00663A56"/>
    <w:rsid w:val="00663CAE"/>
    <w:rsid w:val="00663CC4"/>
    <w:rsid w:val="00663E18"/>
    <w:rsid w:val="0066469B"/>
    <w:rsid w:val="006652B1"/>
    <w:rsid w:val="006653B5"/>
    <w:rsid w:val="00665B21"/>
    <w:rsid w:val="00665BFE"/>
    <w:rsid w:val="00665EAD"/>
    <w:rsid w:val="00666291"/>
    <w:rsid w:val="0066652A"/>
    <w:rsid w:val="00666869"/>
    <w:rsid w:val="006669B1"/>
    <w:rsid w:val="00666CAB"/>
    <w:rsid w:val="006670AF"/>
    <w:rsid w:val="0066745C"/>
    <w:rsid w:val="006676D6"/>
    <w:rsid w:val="0066795C"/>
    <w:rsid w:val="00667C1F"/>
    <w:rsid w:val="006700D4"/>
    <w:rsid w:val="006700F0"/>
    <w:rsid w:val="006701CC"/>
    <w:rsid w:val="006702BF"/>
    <w:rsid w:val="0067062D"/>
    <w:rsid w:val="00670783"/>
    <w:rsid w:val="006707E8"/>
    <w:rsid w:val="00670A50"/>
    <w:rsid w:val="00670F8C"/>
    <w:rsid w:val="0067104D"/>
    <w:rsid w:val="006710F1"/>
    <w:rsid w:val="0067125D"/>
    <w:rsid w:val="006714D6"/>
    <w:rsid w:val="006714EB"/>
    <w:rsid w:val="006717AB"/>
    <w:rsid w:val="00671AA4"/>
    <w:rsid w:val="00671B1E"/>
    <w:rsid w:val="00671C1A"/>
    <w:rsid w:val="00671DFF"/>
    <w:rsid w:val="00671E4E"/>
    <w:rsid w:val="00671EAF"/>
    <w:rsid w:val="00671FA8"/>
    <w:rsid w:val="00672420"/>
    <w:rsid w:val="00672472"/>
    <w:rsid w:val="006725B6"/>
    <w:rsid w:val="00672699"/>
    <w:rsid w:val="006727D7"/>
    <w:rsid w:val="006727F6"/>
    <w:rsid w:val="0067285E"/>
    <w:rsid w:val="00672A49"/>
    <w:rsid w:val="00672ADA"/>
    <w:rsid w:val="00672CDE"/>
    <w:rsid w:val="00672D02"/>
    <w:rsid w:val="00672D9D"/>
    <w:rsid w:val="00672F19"/>
    <w:rsid w:val="0067309D"/>
    <w:rsid w:val="006731DC"/>
    <w:rsid w:val="0067332D"/>
    <w:rsid w:val="00673397"/>
    <w:rsid w:val="006734C2"/>
    <w:rsid w:val="0067390E"/>
    <w:rsid w:val="00673D3D"/>
    <w:rsid w:val="00673E2D"/>
    <w:rsid w:val="00673E50"/>
    <w:rsid w:val="006742B5"/>
    <w:rsid w:val="00674607"/>
    <w:rsid w:val="00674692"/>
    <w:rsid w:val="006746E4"/>
    <w:rsid w:val="00674725"/>
    <w:rsid w:val="00674D12"/>
    <w:rsid w:val="00674F87"/>
    <w:rsid w:val="006750F4"/>
    <w:rsid w:val="0067564C"/>
    <w:rsid w:val="00675F16"/>
    <w:rsid w:val="00676001"/>
    <w:rsid w:val="006760CF"/>
    <w:rsid w:val="00676110"/>
    <w:rsid w:val="00676137"/>
    <w:rsid w:val="006761D2"/>
    <w:rsid w:val="0067626F"/>
    <w:rsid w:val="0067642E"/>
    <w:rsid w:val="00676584"/>
    <w:rsid w:val="00676627"/>
    <w:rsid w:val="00676649"/>
    <w:rsid w:val="006768FC"/>
    <w:rsid w:val="0067702D"/>
    <w:rsid w:val="0067747C"/>
    <w:rsid w:val="00677506"/>
    <w:rsid w:val="00677602"/>
    <w:rsid w:val="006779D0"/>
    <w:rsid w:val="00677AEB"/>
    <w:rsid w:val="00677BFE"/>
    <w:rsid w:val="00677D25"/>
    <w:rsid w:val="00677DEE"/>
    <w:rsid w:val="00677E99"/>
    <w:rsid w:val="00677F37"/>
    <w:rsid w:val="00677FF5"/>
    <w:rsid w:val="0068007F"/>
    <w:rsid w:val="00680489"/>
    <w:rsid w:val="006807E7"/>
    <w:rsid w:val="00680C7C"/>
    <w:rsid w:val="00680FFF"/>
    <w:rsid w:val="00681303"/>
    <w:rsid w:val="006814CB"/>
    <w:rsid w:val="00681634"/>
    <w:rsid w:val="0068167B"/>
    <w:rsid w:val="00681AEA"/>
    <w:rsid w:val="00681C3A"/>
    <w:rsid w:val="00681EFC"/>
    <w:rsid w:val="00682167"/>
    <w:rsid w:val="00682438"/>
    <w:rsid w:val="00682448"/>
    <w:rsid w:val="00682463"/>
    <w:rsid w:val="0068264E"/>
    <w:rsid w:val="0068337C"/>
    <w:rsid w:val="006834E6"/>
    <w:rsid w:val="00683D7A"/>
    <w:rsid w:val="0068424D"/>
    <w:rsid w:val="0068462B"/>
    <w:rsid w:val="0068484F"/>
    <w:rsid w:val="00684B69"/>
    <w:rsid w:val="00684BEB"/>
    <w:rsid w:val="00684BF5"/>
    <w:rsid w:val="00684C96"/>
    <w:rsid w:val="00684D79"/>
    <w:rsid w:val="00684F00"/>
    <w:rsid w:val="006850E3"/>
    <w:rsid w:val="0068512A"/>
    <w:rsid w:val="006855F3"/>
    <w:rsid w:val="006856A1"/>
    <w:rsid w:val="00685836"/>
    <w:rsid w:val="00685AB2"/>
    <w:rsid w:val="00685B91"/>
    <w:rsid w:val="00686E27"/>
    <w:rsid w:val="006872F8"/>
    <w:rsid w:val="006873D7"/>
    <w:rsid w:val="00687528"/>
    <w:rsid w:val="006876B3"/>
    <w:rsid w:val="006877BE"/>
    <w:rsid w:val="00687A22"/>
    <w:rsid w:val="00687A28"/>
    <w:rsid w:val="00687BCC"/>
    <w:rsid w:val="00687C98"/>
    <w:rsid w:val="00687CF7"/>
    <w:rsid w:val="00687EE8"/>
    <w:rsid w:val="00687F3B"/>
    <w:rsid w:val="006901B3"/>
    <w:rsid w:val="00690313"/>
    <w:rsid w:val="0069035D"/>
    <w:rsid w:val="0069051F"/>
    <w:rsid w:val="0069053F"/>
    <w:rsid w:val="00690CF8"/>
    <w:rsid w:val="0069102D"/>
    <w:rsid w:val="00691168"/>
    <w:rsid w:val="0069149B"/>
    <w:rsid w:val="006914F4"/>
    <w:rsid w:val="0069153B"/>
    <w:rsid w:val="00691C57"/>
    <w:rsid w:val="00691C97"/>
    <w:rsid w:val="00691FA4"/>
    <w:rsid w:val="00691FE9"/>
    <w:rsid w:val="00692138"/>
    <w:rsid w:val="0069247D"/>
    <w:rsid w:val="00692524"/>
    <w:rsid w:val="00692641"/>
    <w:rsid w:val="006926E9"/>
    <w:rsid w:val="006927F2"/>
    <w:rsid w:val="0069297D"/>
    <w:rsid w:val="00692A3D"/>
    <w:rsid w:val="00693080"/>
    <w:rsid w:val="00693512"/>
    <w:rsid w:val="00693547"/>
    <w:rsid w:val="0069382A"/>
    <w:rsid w:val="0069386D"/>
    <w:rsid w:val="0069397C"/>
    <w:rsid w:val="00693993"/>
    <w:rsid w:val="006939B2"/>
    <w:rsid w:val="006939D5"/>
    <w:rsid w:val="00693DF4"/>
    <w:rsid w:val="006942FF"/>
    <w:rsid w:val="0069468D"/>
    <w:rsid w:val="00694907"/>
    <w:rsid w:val="00694A1C"/>
    <w:rsid w:val="00694A2B"/>
    <w:rsid w:val="00694A56"/>
    <w:rsid w:val="00694FA5"/>
    <w:rsid w:val="0069500B"/>
    <w:rsid w:val="006950CD"/>
    <w:rsid w:val="0069514E"/>
    <w:rsid w:val="006951CA"/>
    <w:rsid w:val="00695332"/>
    <w:rsid w:val="0069585B"/>
    <w:rsid w:val="006959D0"/>
    <w:rsid w:val="00695B7C"/>
    <w:rsid w:val="00695CBF"/>
    <w:rsid w:val="0069646A"/>
    <w:rsid w:val="00696620"/>
    <w:rsid w:val="0069667E"/>
    <w:rsid w:val="0069672B"/>
    <w:rsid w:val="00696DD2"/>
    <w:rsid w:val="00697189"/>
    <w:rsid w:val="0069738E"/>
    <w:rsid w:val="00697618"/>
    <w:rsid w:val="00697696"/>
    <w:rsid w:val="00697875"/>
    <w:rsid w:val="006A0243"/>
    <w:rsid w:val="006A0476"/>
    <w:rsid w:val="006A0918"/>
    <w:rsid w:val="006A0DF6"/>
    <w:rsid w:val="006A0E89"/>
    <w:rsid w:val="006A0F01"/>
    <w:rsid w:val="006A0F11"/>
    <w:rsid w:val="006A10A8"/>
    <w:rsid w:val="006A1AD9"/>
    <w:rsid w:val="006A1C05"/>
    <w:rsid w:val="006A1FFB"/>
    <w:rsid w:val="006A20C1"/>
    <w:rsid w:val="006A2141"/>
    <w:rsid w:val="006A2848"/>
    <w:rsid w:val="006A2DA5"/>
    <w:rsid w:val="006A2F75"/>
    <w:rsid w:val="006A3227"/>
    <w:rsid w:val="006A430B"/>
    <w:rsid w:val="006A51A9"/>
    <w:rsid w:val="006A548F"/>
    <w:rsid w:val="006A54F0"/>
    <w:rsid w:val="006A5628"/>
    <w:rsid w:val="006A56F0"/>
    <w:rsid w:val="006A56FF"/>
    <w:rsid w:val="006A5718"/>
    <w:rsid w:val="006A5794"/>
    <w:rsid w:val="006A5992"/>
    <w:rsid w:val="006A5C5B"/>
    <w:rsid w:val="006A5E74"/>
    <w:rsid w:val="006A62F1"/>
    <w:rsid w:val="006A6460"/>
    <w:rsid w:val="006A66AD"/>
    <w:rsid w:val="006A69BF"/>
    <w:rsid w:val="006A6D2C"/>
    <w:rsid w:val="006A6ED7"/>
    <w:rsid w:val="006A720D"/>
    <w:rsid w:val="006A7318"/>
    <w:rsid w:val="006A7457"/>
    <w:rsid w:val="006B0317"/>
    <w:rsid w:val="006B0405"/>
    <w:rsid w:val="006B0628"/>
    <w:rsid w:val="006B0AE2"/>
    <w:rsid w:val="006B1597"/>
    <w:rsid w:val="006B222C"/>
    <w:rsid w:val="006B27AA"/>
    <w:rsid w:val="006B29C8"/>
    <w:rsid w:val="006B2C96"/>
    <w:rsid w:val="006B3A5D"/>
    <w:rsid w:val="006B3BD0"/>
    <w:rsid w:val="006B3CA1"/>
    <w:rsid w:val="006B3E6D"/>
    <w:rsid w:val="006B4315"/>
    <w:rsid w:val="006B43F6"/>
    <w:rsid w:val="006B4535"/>
    <w:rsid w:val="006B4943"/>
    <w:rsid w:val="006B4C1D"/>
    <w:rsid w:val="006B4F2C"/>
    <w:rsid w:val="006B5151"/>
    <w:rsid w:val="006B55BF"/>
    <w:rsid w:val="006B55F2"/>
    <w:rsid w:val="006B56B9"/>
    <w:rsid w:val="006B56D0"/>
    <w:rsid w:val="006B5725"/>
    <w:rsid w:val="006B5869"/>
    <w:rsid w:val="006B58C3"/>
    <w:rsid w:val="006B5A93"/>
    <w:rsid w:val="006B5BA4"/>
    <w:rsid w:val="006B5C34"/>
    <w:rsid w:val="006B5C50"/>
    <w:rsid w:val="006B5D3D"/>
    <w:rsid w:val="006B6151"/>
    <w:rsid w:val="006B6259"/>
    <w:rsid w:val="006B63D7"/>
    <w:rsid w:val="006B68BC"/>
    <w:rsid w:val="006B6B17"/>
    <w:rsid w:val="006B6DC4"/>
    <w:rsid w:val="006B7139"/>
    <w:rsid w:val="006B74CF"/>
    <w:rsid w:val="006B7963"/>
    <w:rsid w:val="006C03AC"/>
    <w:rsid w:val="006C07E0"/>
    <w:rsid w:val="006C0AD8"/>
    <w:rsid w:val="006C0AF2"/>
    <w:rsid w:val="006C0B45"/>
    <w:rsid w:val="006C0ED7"/>
    <w:rsid w:val="006C0F56"/>
    <w:rsid w:val="006C107A"/>
    <w:rsid w:val="006C1294"/>
    <w:rsid w:val="006C142D"/>
    <w:rsid w:val="006C1558"/>
    <w:rsid w:val="006C1D10"/>
    <w:rsid w:val="006C1DFC"/>
    <w:rsid w:val="006C1F4E"/>
    <w:rsid w:val="006C2022"/>
    <w:rsid w:val="006C2259"/>
    <w:rsid w:val="006C22B7"/>
    <w:rsid w:val="006C230C"/>
    <w:rsid w:val="006C2373"/>
    <w:rsid w:val="006C2849"/>
    <w:rsid w:val="006C2930"/>
    <w:rsid w:val="006C2C79"/>
    <w:rsid w:val="006C2E66"/>
    <w:rsid w:val="006C2F6D"/>
    <w:rsid w:val="006C329A"/>
    <w:rsid w:val="006C33CD"/>
    <w:rsid w:val="006C35C3"/>
    <w:rsid w:val="006C381B"/>
    <w:rsid w:val="006C390C"/>
    <w:rsid w:val="006C3A1E"/>
    <w:rsid w:val="006C3B3D"/>
    <w:rsid w:val="006C42AF"/>
    <w:rsid w:val="006C4310"/>
    <w:rsid w:val="006C4B54"/>
    <w:rsid w:val="006C4DD1"/>
    <w:rsid w:val="006C4EE7"/>
    <w:rsid w:val="006C4F14"/>
    <w:rsid w:val="006C5311"/>
    <w:rsid w:val="006C5C13"/>
    <w:rsid w:val="006C6102"/>
    <w:rsid w:val="006C6B52"/>
    <w:rsid w:val="006C6C72"/>
    <w:rsid w:val="006C6D07"/>
    <w:rsid w:val="006C6F91"/>
    <w:rsid w:val="006C7191"/>
    <w:rsid w:val="006C7491"/>
    <w:rsid w:val="006C79AA"/>
    <w:rsid w:val="006C79E6"/>
    <w:rsid w:val="006C7C60"/>
    <w:rsid w:val="006C7F1E"/>
    <w:rsid w:val="006D021E"/>
    <w:rsid w:val="006D03F9"/>
    <w:rsid w:val="006D0613"/>
    <w:rsid w:val="006D0898"/>
    <w:rsid w:val="006D0E03"/>
    <w:rsid w:val="006D0FDF"/>
    <w:rsid w:val="006D1243"/>
    <w:rsid w:val="006D1288"/>
    <w:rsid w:val="006D129B"/>
    <w:rsid w:val="006D179E"/>
    <w:rsid w:val="006D1908"/>
    <w:rsid w:val="006D19E2"/>
    <w:rsid w:val="006D1F83"/>
    <w:rsid w:val="006D27FC"/>
    <w:rsid w:val="006D2A87"/>
    <w:rsid w:val="006D2C8A"/>
    <w:rsid w:val="006D2E0B"/>
    <w:rsid w:val="006D2FAF"/>
    <w:rsid w:val="006D328A"/>
    <w:rsid w:val="006D3512"/>
    <w:rsid w:val="006D39D1"/>
    <w:rsid w:val="006D3C35"/>
    <w:rsid w:val="006D3C86"/>
    <w:rsid w:val="006D3E58"/>
    <w:rsid w:val="006D3EF9"/>
    <w:rsid w:val="006D4046"/>
    <w:rsid w:val="006D44F1"/>
    <w:rsid w:val="006D4999"/>
    <w:rsid w:val="006D4BAC"/>
    <w:rsid w:val="006D55BE"/>
    <w:rsid w:val="006D5651"/>
    <w:rsid w:val="006D590B"/>
    <w:rsid w:val="006D5A56"/>
    <w:rsid w:val="006D5B40"/>
    <w:rsid w:val="006D6129"/>
    <w:rsid w:val="006D64AF"/>
    <w:rsid w:val="006D67DA"/>
    <w:rsid w:val="006D691D"/>
    <w:rsid w:val="006D6996"/>
    <w:rsid w:val="006D69ED"/>
    <w:rsid w:val="006D7A28"/>
    <w:rsid w:val="006D7B20"/>
    <w:rsid w:val="006E0756"/>
    <w:rsid w:val="006E0A48"/>
    <w:rsid w:val="006E0A65"/>
    <w:rsid w:val="006E0B01"/>
    <w:rsid w:val="006E0B41"/>
    <w:rsid w:val="006E0EFB"/>
    <w:rsid w:val="006E10D6"/>
    <w:rsid w:val="006E1157"/>
    <w:rsid w:val="006E17BC"/>
    <w:rsid w:val="006E1E65"/>
    <w:rsid w:val="006E2867"/>
    <w:rsid w:val="006E2E24"/>
    <w:rsid w:val="006E2F3B"/>
    <w:rsid w:val="006E2FBE"/>
    <w:rsid w:val="006E328B"/>
    <w:rsid w:val="006E35FB"/>
    <w:rsid w:val="006E36BB"/>
    <w:rsid w:val="006E36CF"/>
    <w:rsid w:val="006E3742"/>
    <w:rsid w:val="006E37B7"/>
    <w:rsid w:val="006E3813"/>
    <w:rsid w:val="006E3B95"/>
    <w:rsid w:val="006E3BA6"/>
    <w:rsid w:val="006E4002"/>
    <w:rsid w:val="006E40F7"/>
    <w:rsid w:val="006E4223"/>
    <w:rsid w:val="006E49BD"/>
    <w:rsid w:val="006E4C0F"/>
    <w:rsid w:val="006E4EB1"/>
    <w:rsid w:val="006E4F60"/>
    <w:rsid w:val="006E5A47"/>
    <w:rsid w:val="006E5DBC"/>
    <w:rsid w:val="006E5E24"/>
    <w:rsid w:val="006E5F90"/>
    <w:rsid w:val="006E625D"/>
    <w:rsid w:val="006E6370"/>
    <w:rsid w:val="006E6413"/>
    <w:rsid w:val="006E6639"/>
    <w:rsid w:val="006E6664"/>
    <w:rsid w:val="006E66C1"/>
    <w:rsid w:val="006E6878"/>
    <w:rsid w:val="006E6CBD"/>
    <w:rsid w:val="006E6F3C"/>
    <w:rsid w:val="006E75BA"/>
    <w:rsid w:val="006E7C87"/>
    <w:rsid w:val="006E7F29"/>
    <w:rsid w:val="006F000D"/>
    <w:rsid w:val="006F0205"/>
    <w:rsid w:val="006F0357"/>
    <w:rsid w:val="006F0D8D"/>
    <w:rsid w:val="006F12E7"/>
    <w:rsid w:val="006F1726"/>
    <w:rsid w:val="006F1F0C"/>
    <w:rsid w:val="006F26C7"/>
    <w:rsid w:val="006F2C96"/>
    <w:rsid w:val="006F2D40"/>
    <w:rsid w:val="006F2D46"/>
    <w:rsid w:val="006F2F16"/>
    <w:rsid w:val="006F2F29"/>
    <w:rsid w:val="006F311A"/>
    <w:rsid w:val="006F33EA"/>
    <w:rsid w:val="006F3682"/>
    <w:rsid w:val="006F39FD"/>
    <w:rsid w:val="006F3C43"/>
    <w:rsid w:val="006F3F39"/>
    <w:rsid w:val="006F3F46"/>
    <w:rsid w:val="006F447A"/>
    <w:rsid w:val="006F4755"/>
    <w:rsid w:val="006F482B"/>
    <w:rsid w:val="006F5B02"/>
    <w:rsid w:val="006F5B7C"/>
    <w:rsid w:val="006F5DA2"/>
    <w:rsid w:val="006F618C"/>
    <w:rsid w:val="006F6FBD"/>
    <w:rsid w:val="006F7195"/>
    <w:rsid w:val="006F73D2"/>
    <w:rsid w:val="006F7722"/>
    <w:rsid w:val="006F79EE"/>
    <w:rsid w:val="00700346"/>
    <w:rsid w:val="007004B1"/>
    <w:rsid w:val="007004F6"/>
    <w:rsid w:val="007005FC"/>
    <w:rsid w:val="00700E00"/>
    <w:rsid w:val="00700F9D"/>
    <w:rsid w:val="00701205"/>
    <w:rsid w:val="00701277"/>
    <w:rsid w:val="007013FD"/>
    <w:rsid w:val="00701858"/>
    <w:rsid w:val="00701E93"/>
    <w:rsid w:val="00701EA2"/>
    <w:rsid w:val="00701F44"/>
    <w:rsid w:val="007021A9"/>
    <w:rsid w:val="0070259D"/>
    <w:rsid w:val="00702686"/>
    <w:rsid w:val="007027C8"/>
    <w:rsid w:val="00702984"/>
    <w:rsid w:val="00702A9C"/>
    <w:rsid w:val="0070315B"/>
    <w:rsid w:val="0070338F"/>
    <w:rsid w:val="00703880"/>
    <w:rsid w:val="0070396E"/>
    <w:rsid w:val="007039D3"/>
    <w:rsid w:val="00703A5D"/>
    <w:rsid w:val="00703EDF"/>
    <w:rsid w:val="00703FF8"/>
    <w:rsid w:val="007040AA"/>
    <w:rsid w:val="00704420"/>
    <w:rsid w:val="0070486B"/>
    <w:rsid w:val="00704DA3"/>
    <w:rsid w:val="00705262"/>
    <w:rsid w:val="0070542A"/>
    <w:rsid w:val="007054CB"/>
    <w:rsid w:val="00705559"/>
    <w:rsid w:val="00705C7C"/>
    <w:rsid w:val="00705E7D"/>
    <w:rsid w:val="00705F5B"/>
    <w:rsid w:val="0070617C"/>
    <w:rsid w:val="00706745"/>
    <w:rsid w:val="00706B24"/>
    <w:rsid w:val="00706DDF"/>
    <w:rsid w:val="007072F1"/>
    <w:rsid w:val="00707DF5"/>
    <w:rsid w:val="00707ECD"/>
    <w:rsid w:val="00710046"/>
    <w:rsid w:val="0071006F"/>
    <w:rsid w:val="007100A9"/>
    <w:rsid w:val="007101C9"/>
    <w:rsid w:val="007102A7"/>
    <w:rsid w:val="007104F5"/>
    <w:rsid w:val="00710611"/>
    <w:rsid w:val="007109C6"/>
    <w:rsid w:val="00710B63"/>
    <w:rsid w:val="00710BF8"/>
    <w:rsid w:val="00710EA3"/>
    <w:rsid w:val="00710F33"/>
    <w:rsid w:val="007110F5"/>
    <w:rsid w:val="00711198"/>
    <w:rsid w:val="00711305"/>
    <w:rsid w:val="0071144A"/>
    <w:rsid w:val="00711829"/>
    <w:rsid w:val="00711D8E"/>
    <w:rsid w:val="00711DD3"/>
    <w:rsid w:val="00711E86"/>
    <w:rsid w:val="00711ED0"/>
    <w:rsid w:val="0071205F"/>
    <w:rsid w:val="00712129"/>
    <w:rsid w:val="00712672"/>
    <w:rsid w:val="007126E9"/>
    <w:rsid w:val="00712711"/>
    <w:rsid w:val="00712A55"/>
    <w:rsid w:val="00712AF1"/>
    <w:rsid w:val="00712BED"/>
    <w:rsid w:val="00712D3B"/>
    <w:rsid w:val="00712F48"/>
    <w:rsid w:val="0071376E"/>
    <w:rsid w:val="007138E0"/>
    <w:rsid w:val="00713E7F"/>
    <w:rsid w:val="00713F7F"/>
    <w:rsid w:val="0071443F"/>
    <w:rsid w:val="0071465E"/>
    <w:rsid w:val="007147A5"/>
    <w:rsid w:val="00714A82"/>
    <w:rsid w:val="00714B5A"/>
    <w:rsid w:val="00714F8A"/>
    <w:rsid w:val="00714FA3"/>
    <w:rsid w:val="00715895"/>
    <w:rsid w:val="00715D71"/>
    <w:rsid w:val="00715E4C"/>
    <w:rsid w:val="00715EF2"/>
    <w:rsid w:val="00716285"/>
    <w:rsid w:val="00716358"/>
    <w:rsid w:val="007166FC"/>
    <w:rsid w:val="00716A70"/>
    <w:rsid w:val="00716F11"/>
    <w:rsid w:val="0071727F"/>
    <w:rsid w:val="007173BD"/>
    <w:rsid w:val="007177F3"/>
    <w:rsid w:val="00717AA7"/>
    <w:rsid w:val="0072052F"/>
    <w:rsid w:val="00720560"/>
    <w:rsid w:val="007207E2"/>
    <w:rsid w:val="00720BC2"/>
    <w:rsid w:val="00720C37"/>
    <w:rsid w:val="00720C8B"/>
    <w:rsid w:val="00720D18"/>
    <w:rsid w:val="00720F17"/>
    <w:rsid w:val="00720FED"/>
    <w:rsid w:val="0072117A"/>
    <w:rsid w:val="00721411"/>
    <w:rsid w:val="007218FC"/>
    <w:rsid w:val="00721C67"/>
    <w:rsid w:val="00722065"/>
    <w:rsid w:val="007223A0"/>
    <w:rsid w:val="007226E8"/>
    <w:rsid w:val="00722766"/>
    <w:rsid w:val="00722BC3"/>
    <w:rsid w:val="00722E53"/>
    <w:rsid w:val="00722F15"/>
    <w:rsid w:val="007236FC"/>
    <w:rsid w:val="0072398C"/>
    <w:rsid w:val="00723A0C"/>
    <w:rsid w:val="00723B08"/>
    <w:rsid w:val="00723EB7"/>
    <w:rsid w:val="00723FA6"/>
    <w:rsid w:val="00724136"/>
    <w:rsid w:val="007241EB"/>
    <w:rsid w:val="007242DD"/>
    <w:rsid w:val="00724726"/>
    <w:rsid w:val="00724A2E"/>
    <w:rsid w:val="00724E17"/>
    <w:rsid w:val="00725104"/>
    <w:rsid w:val="007258C2"/>
    <w:rsid w:val="00725C1F"/>
    <w:rsid w:val="00726970"/>
    <w:rsid w:val="00726F65"/>
    <w:rsid w:val="0072734C"/>
    <w:rsid w:val="00727C0B"/>
    <w:rsid w:val="00727C90"/>
    <w:rsid w:val="00727DA8"/>
    <w:rsid w:val="00727F94"/>
    <w:rsid w:val="00730168"/>
    <w:rsid w:val="00730625"/>
    <w:rsid w:val="00730DB1"/>
    <w:rsid w:val="00730F96"/>
    <w:rsid w:val="00731111"/>
    <w:rsid w:val="0073116E"/>
    <w:rsid w:val="007315DA"/>
    <w:rsid w:val="007316B7"/>
    <w:rsid w:val="0073175A"/>
    <w:rsid w:val="0073175E"/>
    <w:rsid w:val="0073176B"/>
    <w:rsid w:val="00731CBA"/>
    <w:rsid w:val="00731E9D"/>
    <w:rsid w:val="007322F2"/>
    <w:rsid w:val="007323D0"/>
    <w:rsid w:val="00732656"/>
    <w:rsid w:val="007326A2"/>
    <w:rsid w:val="00732910"/>
    <w:rsid w:val="00732D17"/>
    <w:rsid w:val="00732D86"/>
    <w:rsid w:val="007331A2"/>
    <w:rsid w:val="00733254"/>
    <w:rsid w:val="007335EC"/>
    <w:rsid w:val="0073376C"/>
    <w:rsid w:val="007337C4"/>
    <w:rsid w:val="0073387A"/>
    <w:rsid w:val="00733AD3"/>
    <w:rsid w:val="00733D89"/>
    <w:rsid w:val="00733DA9"/>
    <w:rsid w:val="00733FD2"/>
    <w:rsid w:val="0073409A"/>
    <w:rsid w:val="007345EC"/>
    <w:rsid w:val="007346BE"/>
    <w:rsid w:val="00734D3A"/>
    <w:rsid w:val="00734E3F"/>
    <w:rsid w:val="0073518C"/>
    <w:rsid w:val="00735521"/>
    <w:rsid w:val="00735E37"/>
    <w:rsid w:val="00735F2B"/>
    <w:rsid w:val="00735FED"/>
    <w:rsid w:val="007361CC"/>
    <w:rsid w:val="007363C0"/>
    <w:rsid w:val="00736667"/>
    <w:rsid w:val="00736985"/>
    <w:rsid w:val="00736B4A"/>
    <w:rsid w:val="00737100"/>
    <w:rsid w:val="00737870"/>
    <w:rsid w:val="007379D4"/>
    <w:rsid w:val="00737A13"/>
    <w:rsid w:val="00737A15"/>
    <w:rsid w:val="00737DA4"/>
    <w:rsid w:val="00737E0E"/>
    <w:rsid w:val="00737EB9"/>
    <w:rsid w:val="00737F27"/>
    <w:rsid w:val="00740055"/>
    <w:rsid w:val="007404A2"/>
    <w:rsid w:val="00740BFA"/>
    <w:rsid w:val="00740CA4"/>
    <w:rsid w:val="00740CBC"/>
    <w:rsid w:val="00740CF9"/>
    <w:rsid w:val="00740D89"/>
    <w:rsid w:val="00740F11"/>
    <w:rsid w:val="00741234"/>
    <w:rsid w:val="00741346"/>
    <w:rsid w:val="007414C7"/>
    <w:rsid w:val="00741548"/>
    <w:rsid w:val="007416E2"/>
    <w:rsid w:val="00741B19"/>
    <w:rsid w:val="00741C3D"/>
    <w:rsid w:val="00742082"/>
    <w:rsid w:val="00742E68"/>
    <w:rsid w:val="00742F04"/>
    <w:rsid w:val="007433FC"/>
    <w:rsid w:val="007434ED"/>
    <w:rsid w:val="00743B08"/>
    <w:rsid w:val="00743B99"/>
    <w:rsid w:val="00743D79"/>
    <w:rsid w:val="00744310"/>
    <w:rsid w:val="0074446C"/>
    <w:rsid w:val="00744A5F"/>
    <w:rsid w:val="00744B5B"/>
    <w:rsid w:val="00744BF7"/>
    <w:rsid w:val="00744C87"/>
    <w:rsid w:val="00744DFF"/>
    <w:rsid w:val="00745117"/>
    <w:rsid w:val="007451BF"/>
    <w:rsid w:val="0074521F"/>
    <w:rsid w:val="007452EC"/>
    <w:rsid w:val="007458F0"/>
    <w:rsid w:val="00745DB2"/>
    <w:rsid w:val="00745E25"/>
    <w:rsid w:val="00745FE8"/>
    <w:rsid w:val="00745FED"/>
    <w:rsid w:val="0074628D"/>
    <w:rsid w:val="00746528"/>
    <w:rsid w:val="007469C6"/>
    <w:rsid w:val="00746BD9"/>
    <w:rsid w:val="00746CA0"/>
    <w:rsid w:val="00746CB9"/>
    <w:rsid w:val="007470BC"/>
    <w:rsid w:val="00747472"/>
    <w:rsid w:val="00747520"/>
    <w:rsid w:val="00747724"/>
    <w:rsid w:val="0074781B"/>
    <w:rsid w:val="00747847"/>
    <w:rsid w:val="007478CF"/>
    <w:rsid w:val="00747C61"/>
    <w:rsid w:val="00747C74"/>
    <w:rsid w:val="0075032F"/>
    <w:rsid w:val="00750648"/>
    <w:rsid w:val="0075064A"/>
    <w:rsid w:val="0075071D"/>
    <w:rsid w:val="007508C9"/>
    <w:rsid w:val="007508E6"/>
    <w:rsid w:val="007510FE"/>
    <w:rsid w:val="00751194"/>
    <w:rsid w:val="0075140A"/>
    <w:rsid w:val="007515D4"/>
    <w:rsid w:val="00751AA0"/>
    <w:rsid w:val="00751B8A"/>
    <w:rsid w:val="00751C33"/>
    <w:rsid w:val="00751CF4"/>
    <w:rsid w:val="00751D60"/>
    <w:rsid w:val="00751FC4"/>
    <w:rsid w:val="00751FCE"/>
    <w:rsid w:val="007520F6"/>
    <w:rsid w:val="00752318"/>
    <w:rsid w:val="007523BD"/>
    <w:rsid w:val="00752553"/>
    <w:rsid w:val="007529A1"/>
    <w:rsid w:val="00752B78"/>
    <w:rsid w:val="00752C0D"/>
    <w:rsid w:val="00752E10"/>
    <w:rsid w:val="00752F42"/>
    <w:rsid w:val="0075323A"/>
    <w:rsid w:val="00753671"/>
    <w:rsid w:val="00753719"/>
    <w:rsid w:val="00753CC1"/>
    <w:rsid w:val="00753D9B"/>
    <w:rsid w:val="00753F49"/>
    <w:rsid w:val="007541C7"/>
    <w:rsid w:val="00754464"/>
    <w:rsid w:val="00754813"/>
    <w:rsid w:val="00754A3E"/>
    <w:rsid w:val="00754A45"/>
    <w:rsid w:val="00754B4C"/>
    <w:rsid w:val="00754FC2"/>
    <w:rsid w:val="00755302"/>
    <w:rsid w:val="007553E4"/>
    <w:rsid w:val="00755664"/>
    <w:rsid w:val="0075590B"/>
    <w:rsid w:val="00755929"/>
    <w:rsid w:val="00755A0B"/>
    <w:rsid w:val="00755A0F"/>
    <w:rsid w:val="00755A38"/>
    <w:rsid w:val="00756077"/>
    <w:rsid w:val="00756499"/>
    <w:rsid w:val="00756AAD"/>
    <w:rsid w:val="00756C59"/>
    <w:rsid w:val="00756CFA"/>
    <w:rsid w:val="00756EA6"/>
    <w:rsid w:val="00757090"/>
    <w:rsid w:val="00757360"/>
    <w:rsid w:val="00757517"/>
    <w:rsid w:val="007578E0"/>
    <w:rsid w:val="00757CEA"/>
    <w:rsid w:val="00757E32"/>
    <w:rsid w:val="00760048"/>
    <w:rsid w:val="00760733"/>
    <w:rsid w:val="00760AB2"/>
    <w:rsid w:val="00760D3D"/>
    <w:rsid w:val="00760E14"/>
    <w:rsid w:val="00761064"/>
    <w:rsid w:val="007611D5"/>
    <w:rsid w:val="00761298"/>
    <w:rsid w:val="007615B1"/>
    <w:rsid w:val="00761E86"/>
    <w:rsid w:val="00761F96"/>
    <w:rsid w:val="00761FCC"/>
    <w:rsid w:val="00761FD1"/>
    <w:rsid w:val="007620BB"/>
    <w:rsid w:val="007622C0"/>
    <w:rsid w:val="00762370"/>
    <w:rsid w:val="00762555"/>
    <w:rsid w:val="007626FD"/>
    <w:rsid w:val="00762706"/>
    <w:rsid w:val="007628F9"/>
    <w:rsid w:val="00762F15"/>
    <w:rsid w:val="00763506"/>
    <w:rsid w:val="007635E8"/>
    <w:rsid w:val="00763614"/>
    <w:rsid w:val="00763B9F"/>
    <w:rsid w:val="00763D1C"/>
    <w:rsid w:val="00764090"/>
    <w:rsid w:val="0076435E"/>
    <w:rsid w:val="007647A8"/>
    <w:rsid w:val="007648E2"/>
    <w:rsid w:val="0076507C"/>
    <w:rsid w:val="0076511B"/>
    <w:rsid w:val="00765257"/>
    <w:rsid w:val="007655E1"/>
    <w:rsid w:val="00765656"/>
    <w:rsid w:val="007659C0"/>
    <w:rsid w:val="007659E2"/>
    <w:rsid w:val="007663B6"/>
    <w:rsid w:val="00766BCC"/>
    <w:rsid w:val="00766C6D"/>
    <w:rsid w:val="00766D13"/>
    <w:rsid w:val="007670A1"/>
    <w:rsid w:val="007671DA"/>
    <w:rsid w:val="00767433"/>
    <w:rsid w:val="0076760E"/>
    <w:rsid w:val="00767AB3"/>
    <w:rsid w:val="00767DAD"/>
    <w:rsid w:val="007700CF"/>
    <w:rsid w:val="007700ED"/>
    <w:rsid w:val="0077015C"/>
    <w:rsid w:val="00770202"/>
    <w:rsid w:val="007703C3"/>
    <w:rsid w:val="007705AA"/>
    <w:rsid w:val="00770A85"/>
    <w:rsid w:val="00770C21"/>
    <w:rsid w:val="00770E2D"/>
    <w:rsid w:val="00771356"/>
    <w:rsid w:val="0077177D"/>
    <w:rsid w:val="007719BB"/>
    <w:rsid w:val="00771BA6"/>
    <w:rsid w:val="00771CD6"/>
    <w:rsid w:val="007720F6"/>
    <w:rsid w:val="00772117"/>
    <w:rsid w:val="0077213E"/>
    <w:rsid w:val="00772882"/>
    <w:rsid w:val="00772AC6"/>
    <w:rsid w:val="007732BA"/>
    <w:rsid w:val="007735FB"/>
    <w:rsid w:val="007736E1"/>
    <w:rsid w:val="007737BB"/>
    <w:rsid w:val="007737C5"/>
    <w:rsid w:val="007739BC"/>
    <w:rsid w:val="007741E0"/>
    <w:rsid w:val="00774258"/>
    <w:rsid w:val="00774286"/>
    <w:rsid w:val="0077432C"/>
    <w:rsid w:val="00774483"/>
    <w:rsid w:val="00774A94"/>
    <w:rsid w:val="00774C6C"/>
    <w:rsid w:val="00774D5A"/>
    <w:rsid w:val="00774F48"/>
    <w:rsid w:val="00775024"/>
    <w:rsid w:val="007755A8"/>
    <w:rsid w:val="00775692"/>
    <w:rsid w:val="00775754"/>
    <w:rsid w:val="00775773"/>
    <w:rsid w:val="0077579A"/>
    <w:rsid w:val="00775804"/>
    <w:rsid w:val="00775891"/>
    <w:rsid w:val="00775E8F"/>
    <w:rsid w:val="00775E9B"/>
    <w:rsid w:val="007760AA"/>
    <w:rsid w:val="0077642D"/>
    <w:rsid w:val="007764E6"/>
    <w:rsid w:val="0077666A"/>
    <w:rsid w:val="0077694A"/>
    <w:rsid w:val="00776E6E"/>
    <w:rsid w:val="0077732B"/>
    <w:rsid w:val="0077748F"/>
    <w:rsid w:val="00777EBD"/>
    <w:rsid w:val="0078007C"/>
    <w:rsid w:val="00780222"/>
    <w:rsid w:val="007806E9"/>
    <w:rsid w:val="00780A8D"/>
    <w:rsid w:val="00780C0D"/>
    <w:rsid w:val="00780E99"/>
    <w:rsid w:val="00780FD7"/>
    <w:rsid w:val="00780FD9"/>
    <w:rsid w:val="00781345"/>
    <w:rsid w:val="00781382"/>
    <w:rsid w:val="00781560"/>
    <w:rsid w:val="0078158C"/>
    <w:rsid w:val="00781649"/>
    <w:rsid w:val="00781857"/>
    <w:rsid w:val="007819C6"/>
    <w:rsid w:val="007819DA"/>
    <w:rsid w:val="00781BE3"/>
    <w:rsid w:val="00781CA8"/>
    <w:rsid w:val="00781E7F"/>
    <w:rsid w:val="00782248"/>
    <w:rsid w:val="00782273"/>
    <w:rsid w:val="00782284"/>
    <w:rsid w:val="00782460"/>
    <w:rsid w:val="00782C08"/>
    <w:rsid w:val="00782D18"/>
    <w:rsid w:val="00783663"/>
    <w:rsid w:val="00783873"/>
    <w:rsid w:val="00783A16"/>
    <w:rsid w:val="00783E43"/>
    <w:rsid w:val="00783F07"/>
    <w:rsid w:val="00783F5B"/>
    <w:rsid w:val="00784268"/>
    <w:rsid w:val="00784554"/>
    <w:rsid w:val="00784A1B"/>
    <w:rsid w:val="00784A78"/>
    <w:rsid w:val="00784B0B"/>
    <w:rsid w:val="00784DBD"/>
    <w:rsid w:val="00784DED"/>
    <w:rsid w:val="00784E97"/>
    <w:rsid w:val="007856D2"/>
    <w:rsid w:val="007857A2"/>
    <w:rsid w:val="007857D2"/>
    <w:rsid w:val="00785893"/>
    <w:rsid w:val="007858AB"/>
    <w:rsid w:val="00785D70"/>
    <w:rsid w:val="00785DC4"/>
    <w:rsid w:val="00786186"/>
    <w:rsid w:val="007868A4"/>
    <w:rsid w:val="00786B3C"/>
    <w:rsid w:val="00786B48"/>
    <w:rsid w:val="00786F4E"/>
    <w:rsid w:val="00786FD9"/>
    <w:rsid w:val="00787131"/>
    <w:rsid w:val="0078757C"/>
    <w:rsid w:val="007876BC"/>
    <w:rsid w:val="00787E77"/>
    <w:rsid w:val="007904CF"/>
    <w:rsid w:val="007905D2"/>
    <w:rsid w:val="00790698"/>
    <w:rsid w:val="0079079F"/>
    <w:rsid w:val="00790A3A"/>
    <w:rsid w:val="00790F0D"/>
    <w:rsid w:val="007910C4"/>
    <w:rsid w:val="00791201"/>
    <w:rsid w:val="007914A0"/>
    <w:rsid w:val="0079164B"/>
    <w:rsid w:val="0079194D"/>
    <w:rsid w:val="00792367"/>
    <w:rsid w:val="007927A6"/>
    <w:rsid w:val="007927ED"/>
    <w:rsid w:val="00792801"/>
    <w:rsid w:val="00792E33"/>
    <w:rsid w:val="00792F21"/>
    <w:rsid w:val="007933BD"/>
    <w:rsid w:val="007933FE"/>
    <w:rsid w:val="00793570"/>
    <w:rsid w:val="0079364E"/>
    <w:rsid w:val="00793B3D"/>
    <w:rsid w:val="00794083"/>
    <w:rsid w:val="00794481"/>
    <w:rsid w:val="00794624"/>
    <w:rsid w:val="0079484E"/>
    <w:rsid w:val="00794E5E"/>
    <w:rsid w:val="00794F17"/>
    <w:rsid w:val="00795397"/>
    <w:rsid w:val="00795B04"/>
    <w:rsid w:val="00795B9F"/>
    <w:rsid w:val="00795D3C"/>
    <w:rsid w:val="00795DB8"/>
    <w:rsid w:val="00796011"/>
    <w:rsid w:val="0079648C"/>
    <w:rsid w:val="0079651B"/>
    <w:rsid w:val="00796754"/>
    <w:rsid w:val="00796CBE"/>
    <w:rsid w:val="00797162"/>
    <w:rsid w:val="007971AA"/>
    <w:rsid w:val="00797B4F"/>
    <w:rsid w:val="00797D2B"/>
    <w:rsid w:val="00797E6D"/>
    <w:rsid w:val="00797E96"/>
    <w:rsid w:val="007A0316"/>
    <w:rsid w:val="007A0328"/>
    <w:rsid w:val="007A0334"/>
    <w:rsid w:val="007A0674"/>
    <w:rsid w:val="007A09DD"/>
    <w:rsid w:val="007A0E16"/>
    <w:rsid w:val="007A1058"/>
    <w:rsid w:val="007A129A"/>
    <w:rsid w:val="007A159F"/>
    <w:rsid w:val="007A1C97"/>
    <w:rsid w:val="007A1F70"/>
    <w:rsid w:val="007A2434"/>
    <w:rsid w:val="007A248F"/>
    <w:rsid w:val="007A2602"/>
    <w:rsid w:val="007A28E3"/>
    <w:rsid w:val="007A299B"/>
    <w:rsid w:val="007A2E5D"/>
    <w:rsid w:val="007A307F"/>
    <w:rsid w:val="007A35B6"/>
    <w:rsid w:val="007A3739"/>
    <w:rsid w:val="007A3757"/>
    <w:rsid w:val="007A380C"/>
    <w:rsid w:val="007A3A5A"/>
    <w:rsid w:val="007A3B89"/>
    <w:rsid w:val="007A3C5C"/>
    <w:rsid w:val="007A3CCD"/>
    <w:rsid w:val="007A3D5B"/>
    <w:rsid w:val="007A4247"/>
    <w:rsid w:val="007A434B"/>
    <w:rsid w:val="007A45C3"/>
    <w:rsid w:val="007A4CB6"/>
    <w:rsid w:val="007A54F9"/>
    <w:rsid w:val="007A5800"/>
    <w:rsid w:val="007A5A6A"/>
    <w:rsid w:val="007A5E51"/>
    <w:rsid w:val="007A60D1"/>
    <w:rsid w:val="007A6474"/>
    <w:rsid w:val="007A647F"/>
    <w:rsid w:val="007A6549"/>
    <w:rsid w:val="007A69B6"/>
    <w:rsid w:val="007A6C51"/>
    <w:rsid w:val="007A6D1A"/>
    <w:rsid w:val="007A6D3A"/>
    <w:rsid w:val="007A7373"/>
    <w:rsid w:val="007A78F1"/>
    <w:rsid w:val="007A7BD9"/>
    <w:rsid w:val="007A7BF0"/>
    <w:rsid w:val="007B04B4"/>
    <w:rsid w:val="007B068F"/>
    <w:rsid w:val="007B06AD"/>
    <w:rsid w:val="007B0DAD"/>
    <w:rsid w:val="007B0E59"/>
    <w:rsid w:val="007B0EA9"/>
    <w:rsid w:val="007B0FB6"/>
    <w:rsid w:val="007B14C4"/>
    <w:rsid w:val="007B1984"/>
    <w:rsid w:val="007B19EC"/>
    <w:rsid w:val="007B1CB2"/>
    <w:rsid w:val="007B1DAC"/>
    <w:rsid w:val="007B23D6"/>
    <w:rsid w:val="007B256D"/>
    <w:rsid w:val="007B25E4"/>
    <w:rsid w:val="007B277F"/>
    <w:rsid w:val="007B287D"/>
    <w:rsid w:val="007B2ED8"/>
    <w:rsid w:val="007B31E8"/>
    <w:rsid w:val="007B38E4"/>
    <w:rsid w:val="007B392A"/>
    <w:rsid w:val="007B403C"/>
    <w:rsid w:val="007B413B"/>
    <w:rsid w:val="007B47FE"/>
    <w:rsid w:val="007B4B8F"/>
    <w:rsid w:val="007B4C0C"/>
    <w:rsid w:val="007B5115"/>
    <w:rsid w:val="007B5237"/>
    <w:rsid w:val="007B549E"/>
    <w:rsid w:val="007B54A9"/>
    <w:rsid w:val="007B57F6"/>
    <w:rsid w:val="007B5921"/>
    <w:rsid w:val="007B5934"/>
    <w:rsid w:val="007B5995"/>
    <w:rsid w:val="007B5C9F"/>
    <w:rsid w:val="007B5CC5"/>
    <w:rsid w:val="007B5D59"/>
    <w:rsid w:val="007B5FC0"/>
    <w:rsid w:val="007B60DE"/>
    <w:rsid w:val="007B6200"/>
    <w:rsid w:val="007B62EF"/>
    <w:rsid w:val="007B6774"/>
    <w:rsid w:val="007B6808"/>
    <w:rsid w:val="007B6890"/>
    <w:rsid w:val="007B6913"/>
    <w:rsid w:val="007B6B32"/>
    <w:rsid w:val="007B6E68"/>
    <w:rsid w:val="007B6E9B"/>
    <w:rsid w:val="007B702A"/>
    <w:rsid w:val="007B71AD"/>
    <w:rsid w:val="007B731E"/>
    <w:rsid w:val="007B741E"/>
    <w:rsid w:val="007B7691"/>
    <w:rsid w:val="007B77F0"/>
    <w:rsid w:val="007B7A13"/>
    <w:rsid w:val="007B7B26"/>
    <w:rsid w:val="007B7D74"/>
    <w:rsid w:val="007B7FCF"/>
    <w:rsid w:val="007C010C"/>
    <w:rsid w:val="007C02D4"/>
    <w:rsid w:val="007C03B8"/>
    <w:rsid w:val="007C0AF1"/>
    <w:rsid w:val="007C1256"/>
    <w:rsid w:val="007C157E"/>
    <w:rsid w:val="007C184F"/>
    <w:rsid w:val="007C1874"/>
    <w:rsid w:val="007C1903"/>
    <w:rsid w:val="007C1987"/>
    <w:rsid w:val="007C1AEB"/>
    <w:rsid w:val="007C1D12"/>
    <w:rsid w:val="007C1DE2"/>
    <w:rsid w:val="007C1E48"/>
    <w:rsid w:val="007C2076"/>
    <w:rsid w:val="007C20B3"/>
    <w:rsid w:val="007C20B6"/>
    <w:rsid w:val="007C20EE"/>
    <w:rsid w:val="007C23DF"/>
    <w:rsid w:val="007C2A6D"/>
    <w:rsid w:val="007C2A87"/>
    <w:rsid w:val="007C3058"/>
    <w:rsid w:val="007C3235"/>
    <w:rsid w:val="007C3910"/>
    <w:rsid w:val="007C3BC0"/>
    <w:rsid w:val="007C4307"/>
    <w:rsid w:val="007C4357"/>
    <w:rsid w:val="007C439A"/>
    <w:rsid w:val="007C44C3"/>
    <w:rsid w:val="007C4C11"/>
    <w:rsid w:val="007C4C39"/>
    <w:rsid w:val="007C4E65"/>
    <w:rsid w:val="007C4ED3"/>
    <w:rsid w:val="007C4F6D"/>
    <w:rsid w:val="007C5524"/>
    <w:rsid w:val="007C5698"/>
    <w:rsid w:val="007C57C2"/>
    <w:rsid w:val="007C5E7B"/>
    <w:rsid w:val="007C5F81"/>
    <w:rsid w:val="007C61E8"/>
    <w:rsid w:val="007C63F4"/>
    <w:rsid w:val="007C646C"/>
    <w:rsid w:val="007C67CB"/>
    <w:rsid w:val="007C6945"/>
    <w:rsid w:val="007C6A25"/>
    <w:rsid w:val="007C6A85"/>
    <w:rsid w:val="007C6C04"/>
    <w:rsid w:val="007C6D56"/>
    <w:rsid w:val="007C6F49"/>
    <w:rsid w:val="007D0040"/>
    <w:rsid w:val="007D004A"/>
    <w:rsid w:val="007D005E"/>
    <w:rsid w:val="007D04C2"/>
    <w:rsid w:val="007D05E4"/>
    <w:rsid w:val="007D0875"/>
    <w:rsid w:val="007D0DC2"/>
    <w:rsid w:val="007D11D8"/>
    <w:rsid w:val="007D1678"/>
    <w:rsid w:val="007D1F39"/>
    <w:rsid w:val="007D2868"/>
    <w:rsid w:val="007D28D8"/>
    <w:rsid w:val="007D2A5E"/>
    <w:rsid w:val="007D2CBD"/>
    <w:rsid w:val="007D2F69"/>
    <w:rsid w:val="007D3079"/>
    <w:rsid w:val="007D36F5"/>
    <w:rsid w:val="007D3716"/>
    <w:rsid w:val="007D38D8"/>
    <w:rsid w:val="007D3D44"/>
    <w:rsid w:val="007D3E40"/>
    <w:rsid w:val="007D3E5D"/>
    <w:rsid w:val="007D43D9"/>
    <w:rsid w:val="007D4650"/>
    <w:rsid w:val="007D50E1"/>
    <w:rsid w:val="007D53E7"/>
    <w:rsid w:val="007D545A"/>
    <w:rsid w:val="007D54E5"/>
    <w:rsid w:val="007D603D"/>
    <w:rsid w:val="007D613F"/>
    <w:rsid w:val="007D6403"/>
    <w:rsid w:val="007D65CE"/>
    <w:rsid w:val="007D65EB"/>
    <w:rsid w:val="007D6822"/>
    <w:rsid w:val="007D6892"/>
    <w:rsid w:val="007D6AA1"/>
    <w:rsid w:val="007D6B67"/>
    <w:rsid w:val="007D6F1B"/>
    <w:rsid w:val="007D7346"/>
    <w:rsid w:val="007D7678"/>
    <w:rsid w:val="007D7B6B"/>
    <w:rsid w:val="007D7C87"/>
    <w:rsid w:val="007E0150"/>
    <w:rsid w:val="007E04DD"/>
    <w:rsid w:val="007E0786"/>
    <w:rsid w:val="007E0874"/>
    <w:rsid w:val="007E0CA6"/>
    <w:rsid w:val="007E0CE1"/>
    <w:rsid w:val="007E0F29"/>
    <w:rsid w:val="007E11FE"/>
    <w:rsid w:val="007E1C8E"/>
    <w:rsid w:val="007E1F0B"/>
    <w:rsid w:val="007E22ED"/>
    <w:rsid w:val="007E2392"/>
    <w:rsid w:val="007E27FF"/>
    <w:rsid w:val="007E2940"/>
    <w:rsid w:val="007E2B35"/>
    <w:rsid w:val="007E3265"/>
    <w:rsid w:val="007E3507"/>
    <w:rsid w:val="007E3A9A"/>
    <w:rsid w:val="007E3C14"/>
    <w:rsid w:val="007E3CF9"/>
    <w:rsid w:val="007E429F"/>
    <w:rsid w:val="007E46AE"/>
    <w:rsid w:val="007E4A9C"/>
    <w:rsid w:val="007E50C9"/>
    <w:rsid w:val="007E537A"/>
    <w:rsid w:val="007E5761"/>
    <w:rsid w:val="007E58DC"/>
    <w:rsid w:val="007E5E42"/>
    <w:rsid w:val="007E5F35"/>
    <w:rsid w:val="007E6364"/>
    <w:rsid w:val="007E6381"/>
    <w:rsid w:val="007E63E6"/>
    <w:rsid w:val="007E642B"/>
    <w:rsid w:val="007E6BB8"/>
    <w:rsid w:val="007E6DB9"/>
    <w:rsid w:val="007E7170"/>
    <w:rsid w:val="007E76AF"/>
    <w:rsid w:val="007E7920"/>
    <w:rsid w:val="007E7959"/>
    <w:rsid w:val="007E7B36"/>
    <w:rsid w:val="007E7DD0"/>
    <w:rsid w:val="007E7F78"/>
    <w:rsid w:val="007F0366"/>
    <w:rsid w:val="007F0723"/>
    <w:rsid w:val="007F0C87"/>
    <w:rsid w:val="007F0CF6"/>
    <w:rsid w:val="007F0E5A"/>
    <w:rsid w:val="007F0EFE"/>
    <w:rsid w:val="007F1248"/>
    <w:rsid w:val="007F13D3"/>
    <w:rsid w:val="007F178A"/>
    <w:rsid w:val="007F18D1"/>
    <w:rsid w:val="007F1BC8"/>
    <w:rsid w:val="007F1BF1"/>
    <w:rsid w:val="007F1DF5"/>
    <w:rsid w:val="007F2064"/>
    <w:rsid w:val="007F2278"/>
    <w:rsid w:val="007F24CC"/>
    <w:rsid w:val="007F24E4"/>
    <w:rsid w:val="007F2504"/>
    <w:rsid w:val="007F256E"/>
    <w:rsid w:val="007F282A"/>
    <w:rsid w:val="007F2B5C"/>
    <w:rsid w:val="007F2E22"/>
    <w:rsid w:val="007F2E37"/>
    <w:rsid w:val="007F2F0A"/>
    <w:rsid w:val="007F2F43"/>
    <w:rsid w:val="007F354B"/>
    <w:rsid w:val="007F403E"/>
    <w:rsid w:val="007F43A4"/>
    <w:rsid w:val="007F44C9"/>
    <w:rsid w:val="007F4607"/>
    <w:rsid w:val="007F4668"/>
    <w:rsid w:val="007F466D"/>
    <w:rsid w:val="007F4A26"/>
    <w:rsid w:val="007F5139"/>
    <w:rsid w:val="007F5204"/>
    <w:rsid w:val="007F55EB"/>
    <w:rsid w:val="007F587C"/>
    <w:rsid w:val="007F589D"/>
    <w:rsid w:val="007F5C19"/>
    <w:rsid w:val="007F5FF2"/>
    <w:rsid w:val="007F6156"/>
    <w:rsid w:val="007F66FB"/>
    <w:rsid w:val="007F68CD"/>
    <w:rsid w:val="007F6CBF"/>
    <w:rsid w:val="007F7042"/>
    <w:rsid w:val="007F7991"/>
    <w:rsid w:val="007F7BE8"/>
    <w:rsid w:val="007F7E26"/>
    <w:rsid w:val="00800033"/>
    <w:rsid w:val="008001C5"/>
    <w:rsid w:val="00800445"/>
    <w:rsid w:val="0080087F"/>
    <w:rsid w:val="00800BBB"/>
    <w:rsid w:val="00800FE5"/>
    <w:rsid w:val="00801084"/>
    <w:rsid w:val="00801889"/>
    <w:rsid w:val="00801AFE"/>
    <w:rsid w:val="00801B9F"/>
    <w:rsid w:val="00801CE1"/>
    <w:rsid w:val="00802343"/>
    <w:rsid w:val="008026E8"/>
    <w:rsid w:val="00802765"/>
    <w:rsid w:val="00802A0B"/>
    <w:rsid w:val="00803275"/>
    <w:rsid w:val="00803A31"/>
    <w:rsid w:val="00803DB7"/>
    <w:rsid w:val="00803E7D"/>
    <w:rsid w:val="00803FF3"/>
    <w:rsid w:val="0080415A"/>
    <w:rsid w:val="008045E1"/>
    <w:rsid w:val="008045F4"/>
    <w:rsid w:val="00804DDD"/>
    <w:rsid w:val="008052FA"/>
    <w:rsid w:val="00805479"/>
    <w:rsid w:val="00805922"/>
    <w:rsid w:val="00805A99"/>
    <w:rsid w:val="00805BC8"/>
    <w:rsid w:val="00805C8D"/>
    <w:rsid w:val="00805C98"/>
    <w:rsid w:val="00805CFA"/>
    <w:rsid w:val="00805EAE"/>
    <w:rsid w:val="0080658B"/>
    <w:rsid w:val="00806650"/>
    <w:rsid w:val="00806A23"/>
    <w:rsid w:val="00807276"/>
    <w:rsid w:val="0080766F"/>
    <w:rsid w:val="0080774B"/>
    <w:rsid w:val="00807F6D"/>
    <w:rsid w:val="00810021"/>
    <w:rsid w:val="0081017F"/>
    <w:rsid w:val="0081148F"/>
    <w:rsid w:val="00811549"/>
    <w:rsid w:val="008118F5"/>
    <w:rsid w:val="00811956"/>
    <w:rsid w:val="00811EB3"/>
    <w:rsid w:val="00811FCA"/>
    <w:rsid w:val="008121BB"/>
    <w:rsid w:val="0081248E"/>
    <w:rsid w:val="0081270D"/>
    <w:rsid w:val="00812770"/>
    <w:rsid w:val="00812829"/>
    <w:rsid w:val="00812BF0"/>
    <w:rsid w:val="00812F88"/>
    <w:rsid w:val="00813123"/>
    <w:rsid w:val="00813680"/>
    <w:rsid w:val="008136F4"/>
    <w:rsid w:val="0081371C"/>
    <w:rsid w:val="00813C06"/>
    <w:rsid w:val="00813E1C"/>
    <w:rsid w:val="00813E38"/>
    <w:rsid w:val="00814186"/>
    <w:rsid w:val="008141CF"/>
    <w:rsid w:val="008146FB"/>
    <w:rsid w:val="008148DC"/>
    <w:rsid w:val="008149F4"/>
    <w:rsid w:val="00814A86"/>
    <w:rsid w:val="00814B9B"/>
    <w:rsid w:val="00814F2A"/>
    <w:rsid w:val="00815046"/>
    <w:rsid w:val="00815219"/>
    <w:rsid w:val="0081541A"/>
    <w:rsid w:val="008154C1"/>
    <w:rsid w:val="008159D5"/>
    <w:rsid w:val="0081642A"/>
    <w:rsid w:val="0081649B"/>
    <w:rsid w:val="00816678"/>
    <w:rsid w:val="00816768"/>
    <w:rsid w:val="0081690C"/>
    <w:rsid w:val="008169D6"/>
    <w:rsid w:val="00816D86"/>
    <w:rsid w:val="008172B9"/>
    <w:rsid w:val="008174F1"/>
    <w:rsid w:val="008175FB"/>
    <w:rsid w:val="0081792A"/>
    <w:rsid w:val="008179F3"/>
    <w:rsid w:val="00817A5B"/>
    <w:rsid w:val="00817C44"/>
    <w:rsid w:val="00817D06"/>
    <w:rsid w:val="008200C8"/>
    <w:rsid w:val="00820843"/>
    <w:rsid w:val="008208BA"/>
    <w:rsid w:val="008209B2"/>
    <w:rsid w:val="00820E37"/>
    <w:rsid w:val="0082115C"/>
    <w:rsid w:val="00821642"/>
    <w:rsid w:val="008216A3"/>
    <w:rsid w:val="00821700"/>
    <w:rsid w:val="0082173F"/>
    <w:rsid w:val="00821C9C"/>
    <w:rsid w:val="00821D6C"/>
    <w:rsid w:val="00821E1D"/>
    <w:rsid w:val="00822011"/>
    <w:rsid w:val="0082206B"/>
    <w:rsid w:val="0082221B"/>
    <w:rsid w:val="008224CB"/>
    <w:rsid w:val="00822564"/>
    <w:rsid w:val="008226D1"/>
    <w:rsid w:val="008226E6"/>
    <w:rsid w:val="0082311B"/>
    <w:rsid w:val="008231AC"/>
    <w:rsid w:val="00823456"/>
    <w:rsid w:val="0082357F"/>
    <w:rsid w:val="00823678"/>
    <w:rsid w:val="00823699"/>
    <w:rsid w:val="00823A72"/>
    <w:rsid w:val="00823AEF"/>
    <w:rsid w:val="00823B27"/>
    <w:rsid w:val="00823E31"/>
    <w:rsid w:val="00823E68"/>
    <w:rsid w:val="00823FD3"/>
    <w:rsid w:val="00823FE7"/>
    <w:rsid w:val="008240C3"/>
    <w:rsid w:val="008245E4"/>
    <w:rsid w:val="008246BB"/>
    <w:rsid w:val="0082509B"/>
    <w:rsid w:val="008254FD"/>
    <w:rsid w:val="008263E3"/>
    <w:rsid w:val="0082689E"/>
    <w:rsid w:val="00826EFE"/>
    <w:rsid w:val="008275E7"/>
    <w:rsid w:val="008277E1"/>
    <w:rsid w:val="0082788A"/>
    <w:rsid w:val="0082793E"/>
    <w:rsid w:val="00830100"/>
    <w:rsid w:val="00830216"/>
    <w:rsid w:val="0083081D"/>
    <w:rsid w:val="008308B6"/>
    <w:rsid w:val="008309E5"/>
    <w:rsid w:val="00830E63"/>
    <w:rsid w:val="00831154"/>
    <w:rsid w:val="008312E0"/>
    <w:rsid w:val="00831618"/>
    <w:rsid w:val="00831739"/>
    <w:rsid w:val="0083209F"/>
    <w:rsid w:val="00832419"/>
    <w:rsid w:val="008324A7"/>
    <w:rsid w:val="00832B4F"/>
    <w:rsid w:val="00832ED2"/>
    <w:rsid w:val="00832EF9"/>
    <w:rsid w:val="00832FFB"/>
    <w:rsid w:val="008330A2"/>
    <w:rsid w:val="00833181"/>
    <w:rsid w:val="008332B6"/>
    <w:rsid w:val="008332C7"/>
    <w:rsid w:val="008333BF"/>
    <w:rsid w:val="008333F9"/>
    <w:rsid w:val="0083363A"/>
    <w:rsid w:val="00833A34"/>
    <w:rsid w:val="00833B29"/>
    <w:rsid w:val="00833BD1"/>
    <w:rsid w:val="00833FC5"/>
    <w:rsid w:val="00834648"/>
    <w:rsid w:val="00834805"/>
    <w:rsid w:val="00834A1A"/>
    <w:rsid w:val="00834A87"/>
    <w:rsid w:val="00834A9D"/>
    <w:rsid w:val="00834AFA"/>
    <w:rsid w:val="00834C0F"/>
    <w:rsid w:val="00834F2B"/>
    <w:rsid w:val="008354E5"/>
    <w:rsid w:val="008356A6"/>
    <w:rsid w:val="008356CD"/>
    <w:rsid w:val="008359D7"/>
    <w:rsid w:val="00835F80"/>
    <w:rsid w:val="0083667A"/>
    <w:rsid w:val="008368F2"/>
    <w:rsid w:val="00836A6F"/>
    <w:rsid w:val="00836B9B"/>
    <w:rsid w:val="008372B7"/>
    <w:rsid w:val="00837776"/>
    <w:rsid w:val="00837EE6"/>
    <w:rsid w:val="00840027"/>
    <w:rsid w:val="00840448"/>
    <w:rsid w:val="00840449"/>
    <w:rsid w:val="008405D0"/>
    <w:rsid w:val="00840935"/>
    <w:rsid w:val="00840D31"/>
    <w:rsid w:val="00840F39"/>
    <w:rsid w:val="008410AF"/>
    <w:rsid w:val="00841889"/>
    <w:rsid w:val="00841893"/>
    <w:rsid w:val="00841FDA"/>
    <w:rsid w:val="0084221B"/>
    <w:rsid w:val="008422EF"/>
    <w:rsid w:val="008423D6"/>
    <w:rsid w:val="0084299E"/>
    <w:rsid w:val="00842CE1"/>
    <w:rsid w:val="00842CEB"/>
    <w:rsid w:val="00842D8B"/>
    <w:rsid w:val="00842E38"/>
    <w:rsid w:val="0084312D"/>
    <w:rsid w:val="00843297"/>
    <w:rsid w:val="0084363C"/>
    <w:rsid w:val="008438C3"/>
    <w:rsid w:val="008439B3"/>
    <w:rsid w:val="00843D8D"/>
    <w:rsid w:val="00843E61"/>
    <w:rsid w:val="00843F96"/>
    <w:rsid w:val="00844462"/>
    <w:rsid w:val="008446AE"/>
    <w:rsid w:val="00844C44"/>
    <w:rsid w:val="00844C94"/>
    <w:rsid w:val="00844D82"/>
    <w:rsid w:val="00844D92"/>
    <w:rsid w:val="00845162"/>
    <w:rsid w:val="0084525C"/>
    <w:rsid w:val="008452BF"/>
    <w:rsid w:val="0084546E"/>
    <w:rsid w:val="00845790"/>
    <w:rsid w:val="008458FA"/>
    <w:rsid w:val="00845A85"/>
    <w:rsid w:val="008464FE"/>
    <w:rsid w:val="008465AB"/>
    <w:rsid w:val="008466F6"/>
    <w:rsid w:val="0084671F"/>
    <w:rsid w:val="008469DE"/>
    <w:rsid w:val="00846B1F"/>
    <w:rsid w:val="00846D8B"/>
    <w:rsid w:val="0084713D"/>
    <w:rsid w:val="008472F9"/>
    <w:rsid w:val="00847707"/>
    <w:rsid w:val="00847730"/>
    <w:rsid w:val="00847E85"/>
    <w:rsid w:val="00850032"/>
    <w:rsid w:val="008503DA"/>
    <w:rsid w:val="00850518"/>
    <w:rsid w:val="00850CF1"/>
    <w:rsid w:val="00850D50"/>
    <w:rsid w:val="00850E79"/>
    <w:rsid w:val="00851002"/>
    <w:rsid w:val="00851085"/>
    <w:rsid w:val="008514AE"/>
    <w:rsid w:val="00851548"/>
    <w:rsid w:val="00851587"/>
    <w:rsid w:val="0085191A"/>
    <w:rsid w:val="008519E0"/>
    <w:rsid w:val="00851C63"/>
    <w:rsid w:val="00851ED5"/>
    <w:rsid w:val="00851EFB"/>
    <w:rsid w:val="0085208D"/>
    <w:rsid w:val="00852323"/>
    <w:rsid w:val="008523DD"/>
    <w:rsid w:val="00852646"/>
    <w:rsid w:val="00852674"/>
    <w:rsid w:val="00852AA4"/>
    <w:rsid w:val="00852BAD"/>
    <w:rsid w:val="0085310E"/>
    <w:rsid w:val="00853A8E"/>
    <w:rsid w:val="00854055"/>
    <w:rsid w:val="0085419F"/>
    <w:rsid w:val="00854588"/>
    <w:rsid w:val="008548AF"/>
    <w:rsid w:val="00854C41"/>
    <w:rsid w:val="0085520B"/>
    <w:rsid w:val="00855385"/>
    <w:rsid w:val="008555BE"/>
    <w:rsid w:val="008555F0"/>
    <w:rsid w:val="0085571D"/>
    <w:rsid w:val="008557DB"/>
    <w:rsid w:val="008558C1"/>
    <w:rsid w:val="008558F7"/>
    <w:rsid w:val="00855E15"/>
    <w:rsid w:val="00855F71"/>
    <w:rsid w:val="00856049"/>
    <w:rsid w:val="00856329"/>
    <w:rsid w:val="008564A1"/>
    <w:rsid w:val="008565A5"/>
    <w:rsid w:val="0085703C"/>
    <w:rsid w:val="00857279"/>
    <w:rsid w:val="00857459"/>
    <w:rsid w:val="0085775C"/>
    <w:rsid w:val="008577D2"/>
    <w:rsid w:val="008579E7"/>
    <w:rsid w:val="00857AAF"/>
    <w:rsid w:val="00857D0F"/>
    <w:rsid w:val="00857D1A"/>
    <w:rsid w:val="00860229"/>
    <w:rsid w:val="00860336"/>
    <w:rsid w:val="008603C3"/>
    <w:rsid w:val="00860488"/>
    <w:rsid w:val="008604B8"/>
    <w:rsid w:val="008604D2"/>
    <w:rsid w:val="008604D9"/>
    <w:rsid w:val="0086054C"/>
    <w:rsid w:val="00860B5A"/>
    <w:rsid w:val="00860B7B"/>
    <w:rsid w:val="00860CAC"/>
    <w:rsid w:val="00860D0A"/>
    <w:rsid w:val="008610B4"/>
    <w:rsid w:val="00861A30"/>
    <w:rsid w:val="00861BB4"/>
    <w:rsid w:val="00861D0D"/>
    <w:rsid w:val="008623FE"/>
    <w:rsid w:val="008629ED"/>
    <w:rsid w:val="00862D17"/>
    <w:rsid w:val="008632C7"/>
    <w:rsid w:val="00863BD1"/>
    <w:rsid w:val="00863F64"/>
    <w:rsid w:val="00863FC6"/>
    <w:rsid w:val="00864236"/>
    <w:rsid w:val="00864943"/>
    <w:rsid w:val="00864AF5"/>
    <w:rsid w:val="00864F88"/>
    <w:rsid w:val="00865661"/>
    <w:rsid w:val="00865DB3"/>
    <w:rsid w:val="008660DA"/>
    <w:rsid w:val="0086644F"/>
    <w:rsid w:val="00866C7A"/>
    <w:rsid w:val="00866D4A"/>
    <w:rsid w:val="00866F08"/>
    <w:rsid w:val="00866FEC"/>
    <w:rsid w:val="008670C2"/>
    <w:rsid w:val="00867A6D"/>
    <w:rsid w:val="00867C96"/>
    <w:rsid w:val="00867E76"/>
    <w:rsid w:val="008701B9"/>
    <w:rsid w:val="008702B3"/>
    <w:rsid w:val="00870707"/>
    <w:rsid w:val="0087087B"/>
    <w:rsid w:val="008708EF"/>
    <w:rsid w:val="00870C1C"/>
    <w:rsid w:val="00870FE7"/>
    <w:rsid w:val="0087146B"/>
    <w:rsid w:val="00871510"/>
    <w:rsid w:val="008718A1"/>
    <w:rsid w:val="008719B0"/>
    <w:rsid w:val="00871B76"/>
    <w:rsid w:val="008720E3"/>
    <w:rsid w:val="0087220A"/>
    <w:rsid w:val="00872343"/>
    <w:rsid w:val="00872673"/>
    <w:rsid w:val="0087279D"/>
    <w:rsid w:val="00872CB5"/>
    <w:rsid w:val="00872DD4"/>
    <w:rsid w:val="00872DE2"/>
    <w:rsid w:val="00872E60"/>
    <w:rsid w:val="00872EBF"/>
    <w:rsid w:val="00873087"/>
    <w:rsid w:val="008731CA"/>
    <w:rsid w:val="008734AA"/>
    <w:rsid w:val="00873690"/>
    <w:rsid w:val="00873974"/>
    <w:rsid w:val="00873E3E"/>
    <w:rsid w:val="00873FDC"/>
    <w:rsid w:val="008742CB"/>
    <w:rsid w:val="008744DF"/>
    <w:rsid w:val="00874A88"/>
    <w:rsid w:val="00874D01"/>
    <w:rsid w:val="00874D2E"/>
    <w:rsid w:val="00874E87"/>
    <w:rsid w:val="00874E9E"/>
    <w:rsid w:val="00874F0F"/>
    <w:rsid w:val="008755EF"/>
    <w:rsid w:val="00875911"/>
    <w:rsid w:val="00875AB2"/>
    <w:rsid w:val="00875B9D"/>
    <w:rsid w:val="00875DC7"/>
    <w:rsid w:val="00875E96"/>
    <w:rsid w:val="0087611F"/>
    <w:rsid w:val="00876A11"/>
    <w:rsid w:val="00876EF2"/>
    <w:rsid w:val="00877167"/>
    <w:rsid w:val="008775B6"/>
    <w:rsid w:val="00877816"/>
    <w:rsid w:val="00877893"/>
    <w:rsid w:val="00877B45"/>
    <w:rsid w:val="00877BBB"/>
    <w:rsid w:val="00877E02"/>
    <w:rsid w:val="0088053A"/>
    <w:rsid w:val="008805FD"/>
    <w:rsid w:val="0088079B"/>
    <w:rsid w:val="0088080A"/>
    <w:rsid w:val="0088089E"/>
    <w:rsid w:val="008809E5"/>
    <w:rsid w:val="00880B3F"/>
    <w:rsid w:val="00880C07"/>
    <w:rsid w:val="0088106C"/>
    <w:rsid w:val="008810A4"/>
    <w:rsid w:val="008812BE"/>
    <w:rsid w:val="00881879"/>
    <w:rsid w:val="0088199F"/>
    <w:rsid w:val="00881C1D"/>
    <w:rsid w:val="008824DF"/>
    <w:rsid w:val="00882583"/>
    <w:rsid w:val="008826C4"/>
    <w:rsid w:val="008828A9"/>
    <w:rsid w:val="008830DB"/>
    <w:rsid w:val="00883114"/>
    <w:rsid w:val="008833A2"/>
    <w:rsid w:val="00883CC6"/>
    <w:rsid w:val="00883DD7"/>
    <w:rsid w:val="00883E63"/>
    <w:rsid w:val="00884112"/>
    <w:rsid w:val="008843C3"/>
    <w:rsid w:val="00884468"/>
    <w:rsid w:val="008844B7"/>
    <w:rsid w:val="00884865"/>
    <w:rsid w:val="00884D97"/>
    <w:rsid w:val="00885390"/>
    <w:rsid w:val="00885572"/>
    <w:rsid w:val="00885713"/>
    <w:rsid w:val="00885995"/>
    <w:rsid w:val="00885A72"/>
    <w:rsid w:val="00885AE6"/>
    <w:rsid w:val="00885B32"/>
    <w:rsid w:val="00885BEA"/>
    <w:rsid w:val="00885D73"/>
    <w:rsid w:val="00886118"/>
    <w:rsid w:val="00886133"/>
    <w:rsid w:val="008867E0"/>
    <w:rsid w:val="00886B74"/>
    <w:rsid w:val="00886E58"/>
    <w:rsid w:val="00887163"/>
    <w:rsid w:val="0088721C"/>
    <w:rsid w:val="00887290"/>
    <w:rsid w:val="008876A6"/>
    <w:rsid w:val="00887A39"/>
    <w:rsid w:val="00887CED"/>
    <w:rsid w:val="00890765"/>
    <w:rsid w:val="00890911"/>
    <w:rsid w:val="00890B06"/>
    <w:rsid w:val="00890BC9"/>
    <w:rsid w:val="00890FD9"/>
    <w:rsid w:val="00891079"/>
    <w:rsid w:val="008911DB"/>
    <w:rsid w:val="008914EC"/>
    <w:rsid w:val="00891529"/>
    <w:rsid w:val="00891E65"/>
    <w:rsid w:val="00891E93"/>
    <w:rsid w:val="00891F77"/>
    <w:rsid w:val="008920B8"/>
    <w:rsid w:val="00892302"/>
    <w:rsid w:val="008926A8"/>
    <w:rsid w:val="008926C8"/>
    <w:rsid w:val="008927FB"/>
    <w:rsid w:val="008928F2"/>
    <w:rsid w:val="0089292C"/>
    <w:rsid w:val="00892C7D"/>
    <w:rsid w:val="00892E30"/>
    <w:rsid w:val="00893169"/>
    <w:rsid w:val="008931AE"/>
    <w:rsid w:val="00893209"/>
    <w:rsid w:val="00893241"/>
    <w:rsid w:val="008933F2"/>
    <w:rsid w:val="0089359A"/>
    <w:rsid w:val="008939F6"/>
    <w:rsid w:val="00893F71"/>
    <w:rsid w:val="00893FA4"/>
    <w:rsid w:val="008940DF"/>
    <w:rsid w:val="00894A87"/>
    <w:rsid w:val="00894B75"/>
    <w:rsid w:val="00894C4D"/>
    <w:rsid w:val="00894C7E"/>
    <w:rsid w:val="00894E2C"/>
    <w:rsid w:val="00894EE5"/>
    <w:rsid w:val="0089506B"/>
    <w:rsid w:val="00895236"/>
    <w:rsid w:val="008953C8"/>
    <w:rsid w:val="00895608"/>
    <w:rsid w:val="00895F72"/>
    <w:rsid w:val="00895F99"/>
    <w:rsid w:val="00895FC3"/>
    <w:rsid w:val="00896364"/>
    <w:rsid w:val="00896384"/>
    <w:rsid w:val="008968D3"/>
    <w:rsid w:val="00896A0B"/>
    <w:rsid w:val="00896D73"/>
    <w:rsid w:val="00896E91"/>
    <w:rsid w:val="008976B3"/>
    <w:rsid w:val="0089770B"/>
    <w:rsid w:val="00897876"/>
    <w:rsid w:val="008A0045"/>
    <w:rsid w:val="008A010D"/>
    <w:rsid w:val="008A0AAE"/>
    <w:rsid w:val="008A0ED8"/>
    <w:rsid w:val="008A1060"/>
    <w:rsid w:val="008A12E4"/>
    <w:rsid w:val="008A12E5"/>
    <w:rsid w:val="008A1383"/>
    <w:rsid w:val="008A16B2"/>
    <w:rsid w:val="008A1926"/>
    <w:rsid w:val="008A1E91"/>
    <w:rsid w:val="008A2489"/>
    <w:rsid w:val="008A291C"/>
    <w:rsid w:val="008A2C12"/>
    <w:rsid w:val="008A303D"/>
    <w:rsid w:val="008A3568"/>
    <w:rsid w:val="008A3609"/>
    <w:rsid w:val="008A361C"/>
    <w:rsid w:val="008A3667"/>
    <w:rsid w:val="008A37EA"/>
    <w:rsid w:val="008A3B05"/>
    <w:rsid w:val="008A3DD7"/>
    <w:rsid w:val="008A4171"/>
    <w:rsid w:val="008A41EF"/>
    <w:rsid w:val="008A43C0"/>
    <w:rsid w:val="008A457B"/>
    <w:rsid w:val="008A4A49"/>
    <w:rsid w:val="008A4CB3"/>
    <w:rsid w:val="008A4D75"/>
    <w:rsid w:val="008A5208"/>
    <w:rsid w:val="008A53A6"/>
    <w:rsid w:val="008A54D7"/>
    <w:rsid w:val="008A555A"/>
    <w:rsid w:val="008A56F3"/>
    <w:rsid w:val="008A58C4"/>
    <w:rsid w:val="008A5B27"/>
    <w:rsid w:val="008A5B8E"/>
    <w:rsid w:val="008A5F56"/>
    <w:rsid w:val="008A6209"/>
    <w:rsid w:val="008A63AD"/>
    <w:rsid w:val="008A6606"/>
    <w:rsid w:val="008A661F"/>
    <w:rsid w:val="008A66E7"/>
    <w:rsid w:val="008A6A25"/>
    <w:rsid w:val="008A6B7C"/>
    <w:rsid w:val="008A7416"/>
    <w:rsid w:val="008A7FBA"/>
    <w:rsid w:val="008B0212"/>
    <w:rsid w:val="008B029A"/>
    <w:rsid w:val="008B0413"/>
    <w:rsid w:val="008B05CE"/>
    <w:rsid w:val="008B0AE9"/>
    <w:rsid w:val="008B1417"/>
    <w:rsid w:val="008B1499"/>
    <w:rsid w:val="008B1699"/>
    <w:rsid w:val="008B1914"/>
    <w:rsid w:val="008B1BEB"/>
    <w:rsid w:val="008B1D0A"/>
    <w:rsid w:val="008B2044"/>
    <w:rsid w:val="008B234E"/>
    <w:rsid w:val="008B2DB0"/>
    <w:rsid w:val="008B33E6"/>
    <w:rsid w:val="008B34F0"/>
    <w:rsid w:val="008B3525"/>
    <w:rsid w:val="008B35B8"/>
    <w:rsid w:val="008B37D1"/>
    <w:rsid w:val="008B39AE"/>
    <w:rsid w:val="008B3C3B"/>
    <w:rsid w:val="008B40D2"/>
    <w:rsid w:val="008B417B"/>
    <w:rsid w:val="008B4541"/>
    <w:rsid w:val="008B4C4F"/>
    <w:rsid w:val="008B4C99"/>
    <w:rsid w:val="008B4F64"/>
    <w:rsid w:val="008B5091"/>
    <w:rsid w:val="008B5674"/>
    <w:rsid w:val="008B58F6"/>
    <w:rsid w:val="008B5A18"/>
    <w:rsid w:val="008B5C2C"/>
    <w:rsid w:val="008B60F0"/>
    <w:rsid w:val="008B62C7"/>
    <w:rsid w:val="008B6420"/>
    <w:rsid w:val="008B64D2"/>
    <w:rsid w:val="008B660D"/>
    <w:rsid w:val="008B6641"/>
    <w:rsid w:val="008B6AEF"/>
    <w:rsid w:val="008B6C28"/>
    <w:rsid w:val="008B6C42"/>
    <w:rsid w:val="008B6D4D"/>
    <w:rsid w:val="008B6F2C"/>
    <w:rsid w:val="008B716D"/>
    <w:rsid w:val="008B7845"/>
    <w:rsid w:val="008B7D5D"/>
    <w:rsid w:val="008B7F86"/>
    <w:rsid w:val="008C0022"/>
    <w:rsid w:val="008C0BCF"/>
    <w:rsid w:val="008C0EA6"/>
    <w:rsid w:val="008C152F"/>
    <w:rsid w:val="008C1A52"/>
    <w:rsid w:val="008C1A92"/>
    <w:rsid w:val="008C1AAE"/>
    <w:rsid w:val="008C1E50"/>
    <w:rsid w:val="008C203D"/>
    <w:rsid w:val="008C2329"/>
    <w:rsid w:val="008C24EC"/>
    <w:rsid w:val="008C26B4"/>
    <w:rsid w:val="008C2AD7"/>
    <w:rsid w:val="008C2C69"/>
    <w:rsid w:val="008C2D38"/>
    <w:rsid w:val="008C319F"/>
    <w:rsid w:val="008C3275"/>
    <w:rsid w:val="008C3285"/>
    <w:rsid w:val="008C3D3F"/>
    <w:rsid w:val="008C3E09"/>
    <w:rsid w:val="008C411A"/>
    <w:rsid w:val="008C42B5"/>
    <w:rsid w:val="008C43E1"/>
    <w:rsid w:val="008C44DA"/>
    <w:rsid w:val="008C475E"/>
    <w:rsid w:val="008C4D2F"/>
    <w:rsid w:val="008C4F90"/>
    <w:rsid w:val="008C5565"/>
    <w:rsid w:val="008C55FC"/>
    <w:rsid w:val="008C5719"/>
    <w:rsid w:val="008C5744"/>
    <w:rsid w:val="008C5A23"/>
    <w:rsid w:val="008C5C93"/>
    <w:rsid w:val="008C5FB2"/>
    <w:rsid w:val="008C5FFB"/>
    <w:rsid w:val="008C6392"/>
    <w:rsid w:val="008C6592"/>
    <w:rsid w:val="008C65A5"/>
    <w:rsid w:val="008C6B4F"/>
    <w:rsid w:val="008C6C43"/>
    <w:rsid w:val="008C7657"/>
    <w:rsid w:val="008C76E1"/>
    <w:rsid w:val="008C7FF7"/>
    <w:rsid w:val="008D0067"/>
    <w:rsid w:val="008D03A0"/>
    <w:rsid w:val="008D03E4"/>
    <w:rsid w:val="008D0434"/>
    <w:rsid w:val="008D0455"/>
    <w:rsid w:val="008D0677"/>
    <w:rsid w:val="008D06CA"/>
    <w:rsid w:val="008D0D17"/>
    <w:rsid w:val="008D0D8D"/>
    <w:rsid w:val="008D0DCD"/>
    <w:rsid w:val="008D0F6F"/>
    <w:rsid w:val="008D1024"/>
    <w:rsid w:val="008D11B9"/>
    <w:rsid w:val="008D1398"/>
    <w:rsid w:val="008D15A2"/>
    <w:rsid w:val="008D1BA1"/>
    <w:rsid w:val="008D1BFA"/>
    <w:rsid w:val="008D1D5F"/>
    <w:rsid w:val="008D1F62"/>
    <w:rsid w:val="008D236D"/>
    <w:rsid w:val="008D2653"/>
    <w:rsid w:val="008D2853"/>
    <w:rsid w:val="008D2BC9"/>
    <w:rsid w:val="008D2E89"/>
    <w:rsid w:val="008D34A7"/>
    <w:rsid w:val="008D37E0"/>
    <w:rsid w:val="008D3832"/>
    <w:rsid w:val="008D386F"/>
    <w:rsid w:val="008D38D8"/>
    <w:rsid w:val="008D3AD3"/>
    <w:rsid w:val="008D4630"/>
    <w:rsid w:val="008D4A99"/>
    <w:rsid w:val="008D4E27"/>
    <w:rsid w:val="008D4F42"/>
    <w:rsid w:val="008D4FB8"/>
    <w:rsid w:val="008D541E"/>
    <w:rsid w:val="008D5596"/>
    <w:rsid w:val="008D5770"/>
    <w:rsid w:val="008D58A7"/>
    <w:rsid w:val="008D5ABA"/>
    <w:rsid w:val="008D5F47"/>
    <w:rsid w:val="008D61D8"/>
    <w:rsid w:val="008D6299"/>
    <w:rsid w:val="008D6340"/>
    <w:rsid w:val="008D6E38"/>
    <w:rsid w:val="008D7445"/>
    <w:rsid w:val="008D74F7"/>
    <w:rsid w:val="008D7659"/>
    <w:rsid w:val="008D7679"/>
    <w:rsid w:val="008D769C"/>
    <w:rsid w:val="008D784F"/>
    <w:rsid w:val="008D7987"/>
    <w:rsid w:val="008D7A22"/>
    <w:rsid w:val="008D7A9A"/>
    <w:rsid w:val="008E02B2"/>
    <w:rsid w:val="008E0676"/>
    <w:rsid w:val="008E0753"/>
    <w:rsid w:val="008E0CF5"/>
    <w:rsid w:val="008E0E16"/>
    <w:rsid w:val="008E104A"/>
    <w:rsid w:val="008E1086"/>
    <w:rsid w:val="008E1379"/>
    <w:rsid w:val="008E16C2"/>
    <w:rsid w:val="008E178D"/>
    <w:rsid w:val="008E1996"/>
    <w:rsid w:val="008E1BDD"/>
    <w:rsid w:val="008E2060"/>
    <w:rsid w:val="008E22DB"/>
    <w:rsid w:val="008E267A"/>
    <w:rsid w:val="008E29AB"/>
    <w:rsid w:val="008E2AAE"/>
    <w:rsid w:val="008E2F45"/>
    <w:rsid w:val="008E36AB"/>
    <w:rsid w:val="008E3855"/>
    <w:rsid w:val="008E3D9D"/>
    <w:rsid w:val="008E3DEA"/>
    <w:rsid w:val="008E4100"/>
    <w:rsid w:val="008E42C0"/>
    <w:rsid w:val="008E433E"/>
    <w:rsid w:val="008E4508"/>
    <w:rsid w:val="008E451E"/>
    <w:rsid w:val="008E452D"/>
    <w:rsid w:val="008E4908"/>
    <w:rsid w:val="008E4D2B"/>
    <w:rsid w:val="008E4D2C"/>
    <w:rsid w:val="008E518D"/>
    <w:rsid w:val="008E5763"/>
    <w:rsid w:val="008E57D7"/>
    <w:rsid w:val="008E5858"/>
    <w:rsid w:val="008E58F2"/>
    <w:rsid w:val="008E5A28"/>
    <w:rsid w:val="008E5A5D"/>
    <w:rsid w:val="008E5C0A"/>
    <w:rsid w:val="008E5D8B"/>
    <w:rsid w:val="008E5F87"/>
    <w:rsid w:val="008E6110"/>
    <w:rsid w:val="008E65EE"/>
    <w:rsid w:val="008E6705"/>
    <w:rsid w:val="008E671F"/>
    <w:rsid w:val="008E692D"/>
    <w:rsid w:val="008E6BCB"/>
    <w:rsid w:val="008E6CFC"/>
    <w:rsid w:val="008E766D"/>
    <w:rsid w:val="008E77DE"/>
    <w:rsid w:val="008E788A"/>
    <w:rsid w:val="008E7C11"/>
    <w:rsid w:val="008F00D6"/>
    <w:rsid w:val="008F010E"/>
    <w:rsid w:val="008F059D"/>
    <w:rsid w:val="008F064C"/>
    <w:rsid w:val="008F094E"/>
    <w:rsid w:val="008F09B0"/>
    <w:rsid w:val="008F09D4"/>
    <w:rsid w:val="008F0EBE"/>
    <w:rsid w:val="008F0FBA"/>
    <w:rsid w:val="008F1270"/>
    <w:rsid w:val="008F13FF"/>
    <w:rsid w:val="008F1A4B"/>
    <w:rsid w:val="008F1E55"/>
    <w:rsid w:val="008F24BD"/>
    <w:rsid w:val="008F2656"/>
    <w:rsid w:val="008F2996"/>
    <w:rsid w:val="008F2BD5"/>
    <w:rsid w:val="008F2D32"/>
    <w:rsid w:val="008F2F0F"/>
    <w:rsid w:val="008F2F7F"/>
    <w:rsid w:val="008F3005"/>
    <w:rsid w:val="008F3029"/>
    <w:rsid w:val="008F329E"/>
    <w:rsid w:val="008F32A5"/>
    <w:rsid w:val="008F3384"/>
    <w:rsid w:val="008F33A2"/>
    <w:rsid w:val="008F354C"/>
    <w:rsid w:val="008F35EE"/>
    <w:rsid w:val="008F37AA"/>
    <w:rsid w:val="008F37F8"/>
    <w:rsid w:val="008F3B53"/>
    <w:rsid w:val="008F4122"/>
    <w:rsid w:val="008F41C5"/>
    <w:rsid w:val="008F47C2"/>
    <w:rsid w:val="008F49FE"/>
    <w:rsid w:val="008F4B5E"/>
    <w:rsid w:val="008F4B62"/>
    <w:rsid w:val="008F4E2C"/>
    <w:rsid w:val="008F4E72"/>
    <w:rsid w:val="008F514E"/>
    <w:rsid w:val="008F5359"/>
    <w:rsid w:val="008F53E0"/>
    <w:rsid w:val="008F56B6"/>
    <w:rsid w:val="008F56E5"/>
    <w:rsid w:val="008F576D"/>
    <w:rsid w:val="008F5BD1"/>
    <w:rsid w:val="008F5D56"/>
    <w:rsid w:val="008F5DC1"/>
    <w:rsid w:val="008F5E95"/>
    <w:rsid w:val="008F619E"/>
    <w:rsid w:val="008F61B6"/>
    <w:rsid w:val="008F6369"/>
    <w:rsid w:val="008F637C"/>
    <w:rsid w:val="008F6669"/>
    <w:rsid w:val="008F66EB"/>
    <w:rsid w:val="008F6775"/>
    <w:rsid w:val="008F6905"/>
    <w:rsid w:val="008F6924"/>
    <w:rsid w:val="008F6944"/>
    <w:rsid w:val="008F6AAE"/>
    <w:rsid w:val="008F6C45"/>
    <w:rsid w:val="008F6C8C"/>
    <w:rsid w:val="008F6DCF"/>
    <w:rsid w:val="008F6F48"/>
    <w:rsid w:val="008F700C"/>
    <w:rsid w:val="008F702B"/>
    <w:rsid w:val="008F72CD"/>
    <w:rsid w:val="008F7639"/>
    <w:rsid w:val="008F7805"/>
    <w:rsid w:val="008F7D4F"/>
    <w:rsid w:val="0090051A"/>
    <w:rsid w:val="009006F5"/>
    <w:rsid w:val="009007AA"/>
    <w:rsid w:val="009008E3"/>
    <w:rsid w:val="009009FA"/>
    <w:rsid w:val="00900B9D"/>
    <w:rsid w:val="00900DF8"/>
    <w:rsid w:val="009012E0"/>
    <w:rsid w:val="00901780"/>
    <w:rsid w:val="0090185F"/>
    <w:rsid w:val="009018BA"/>
    <w:rsid w:val="00901D2A"/>
    <w:rsid w:val="00901F94"/>
    <w:rsid w:val="00902081"/>
    <w:rsid w:val="009025F5"/>
    <w:rsid w:val="00902772"/>
    <w:rsid w:val="00902CD4"/>
    <w:rsid w:val="0090305B"/>
    <w:rsid w:val="0090309A"/>
    <w:rsid w:val="00903255"/>
    <w:rsid w:val="00903596"/>
    <w:rsid w:val="009037E4"/>
    <w:rsid w:val="00903AB4"/>
    <w:rsid w:val="00903D31"/>
    <w:rsid w:val="00903E8F"/>
    <w:rsid w:val="0090406A"/>
    <w:rsid w:val="00904083"/>
    <w:rsid w:val="00904471"/>
    <w:rsid w:val="009044B6"/>
    <w:rsid w:val="00904696"/>
    <w:rsid w:val="00904856"/>
    <w:rsid w:val="00904918"/>
    <w:rsid w:val="00904D5B"/>
    <w:rsid w:val="0090513B"/>
    <w:rsid w:val="009053AF"/>
    <w:rsid w:val="0090553A"/>
    <w:rsid w:val="00905618"/>
    <w:rsid w:val="00905641"/>
    <w:rsid w:val="009057DD"/>
    <w:rsid w:val="00905B83"/>
    <w:rsid w:val="00905CB6"/>
    <w:rsid w:val="00905D38"/>
    <w:rsid w:val="00905D4E"/>
    <w:rsid w:val="009064EE"/>
    <w:rsid w:val="00906B30"/>
    <w:rsid w:val="00906D3D"/>
    <w:rsid w:val="009077A6"/>
    <w:rsid w:val="0090797F"/>
    <w:rsid w:val="00907A92"/>
    <w:rsid w:val="00907D27"/>
    <w:rsid w:val="00907FB7"/>
    <w:rsid w:val="0091014C"/>
    <w:rsid w:val="0091039E"/>
    <w:rsid w:val="009104EE"/>
    <w:rsid w:val="00910606"/>
    <w:rsid w:val="00910744"/>
    <w:rsid w:val="0091092C"/>
    <w:rsid w:val="00910ACC"/>
    <w:rsid w:val="00910AF4"/>
    <w:rsid w:val="00910F43"/>
    <w:rsid w:val="009117CD"/>
    <w:rsid w:val="009119D0"/>
    <w:rsid w:val="00911A11"/>
    <w:rsid w:val="00911FE1"/>
    <w:rsid w:val="009121CF"/>
    <w:rsid w:val="009121F7"/>
    <w:rsid w:val="009121FD"/>
    <w:rsid w:val="0091258A"/>
    <w:rsid w:val="009126D1"/>
    <w:rsid w:val="00912829"/>
    <w:rsid w:val="009128B8"/>
    <w:rsid w:val="00912E9C"/>
    <w:rsid w:val="0091308E"/>
    <w:rsid w:val="00913329"/>
    <w:rsid w:val="009137DD"/>
    <w:rsid w:val="00913B92"/>
    <w:rsid w:val="00913C21"/>
    <w:rsid w:val="00913E6B"/>
    <w:rsid w:val="00913F03"/>
    <w:rsid w:val="00914797"/>
    <w:rsid w:val="0091496B"/>
    <w:rsid w:val="00914AD6"/>
    <w:rsid w:val="00914C5F"/>
    <w:rsid w:val="00914CD1"/>
    <w:rsid w:val="00914E99"/>
    <w:rsid w:val="0091515A"/>
    <w:rsid w:val="009154E4"/>
    <w:rsid w:val="0091566C"/>
    <w:rsid w:val="009157D1"/>
    <w:rsid w:val="009159E5"/>
    <w:rsid w:val="00915DA3"/>
    <w:rsid w:val="00915F10"/>
    <w:rsid w:val="00915F58"/>
    <w:rsid w:val="009160E9"/>
    <w:rsid w:val="009161A1"/>
    <w:rsid w:val="009161E7"/>
    <w:rsid w:val="0091628C"/>
    <w:rsid w:val="009162C8"/>
    <w:rsid w:val="00916401"/>
    <w:rsid w:val="00916499"/>
    <w:rsid w:val="00916690"/>
    <w:rsid w:val="00916734"/>
    <w:rsid w:val="00916A6C"/>
    <w:rsid w:val="00916CF1"/>
    <w:rsid w:val="009178D6"/>
    <w:rsid w:val="00917A6B"/>
    <w:rsid w:val="00917F4A"/>
    <w:rsid w:val="009200BF"/>
    <w:rsid w:val="00920698"/>
    <w:rsid w:val="009206C0"/>
    <w:rsid w:val="00920BE1"/>
    <w:rsid w:val="009211E7"/>
    <w:rsid w:val="009214C7"/>
    <w:rsid w:val="0092164B"/>
    <w:rsid w:val="009217B0"/>
    <w:rsid w:val="00921A09"/>
    <w:rsid w:val="009224B6"/>
    <w:rsid w:val="00922736"/>
    <w:rsid w:val="00922988"/>
    <w:rsid w:val="009229E2"/>
    <w:rsid w:val="00922DA3"/>
    <w:rsid w:val="009231D1"/>
    <w:rsid w:val="00923201"/>
    <w:rsid w:val="00923487"/>
    <w:rsid w:val="0092392F"/>
    <w:rsid w:val="00923AD0"/>
    <w:rsid w:val="00923AEB"/>
    <w:rsid w:val="0092407C"/>
    <w:rsid w:val="009241D1"/>
    <w:rsid w:val="0092426E"/>
    <w:rsid w:val="009244B3"/>
    <w:rsid w:val="00924735"/>
    <w:rsid w:val="00924AA3"/>
    <w:rsid w:val="00924B82"/>
    <w:rsid w:val="00925618"/>
    <w:rsid w:val="00925EDB"/>
    <w:rsid w:val="00926782"/>
    <w:rsid w:val="0092679B"/>
    <w:rsid w:val="00926879"/>
    <w:rsid w:val="00926C72"/>
    <w:rsid w:val="00926CBF"/>
    <w:rsid w:val="00926D45"/>
    <w:rsid w:val="00927025"/>
    <w:rsid w:val="0092724C"/>
    <w:rsid w:val="009273B0"/>
    <w:rsid w:val="00927A9A"/>
    <w:rsid w:val="00927AD3"/>
    <w:rsid w:val="00927D41"/>
    <w:rsid w:val="00927E76"/>
    <w:rsid w:val="00930135"/>
    <w:rsid w:val="00930BEA"/>
    <w:rsid w:val="00930E99"/>
    <w:rsid w:val="00930F66"/>
    <w:rsid w:val="00930FBD"/>
    <w:rsid w:val="0093124E"/>
    <w:rsid w:val="00931452"/>
    <w:rsid w:val="009317A9"/>
    <w:rsid w:val="00931F0C"/>
    <w:rsid w:val="00931F6A"/>
    <w:rsid w:val="0093272B"/>
    <w:rsid w:val="00932F04"/>
    <w:rsid w:val="00933865"/>
    <w:rsid w:val="00933E1D"/>
    <w:rsid w:val="00933E5A"/>
    <w:rsid w:val="0093476D"/>
    <w:rsid w:val="00934951"/>
    <w:rsid w:val="009349AB"/>
    <w:rsid w:val="00934A3F"/>
    <w:rsid w:val="00934BCE"/>
    <w:rsid w:val="00934FD1"/>
    <w:rsid w:val="009351D4"/>
    <w:rsid w:val="0093552B"/>
    <w:rsid w:val="00935A98"/>
    <w:rsid w:val="00935B8A"/>
    <w:rsid w:val="00935F0E"/>
    <w:rsid w:val="00935F99"/>
    <w:rsid w:val="009361AD"/>
    <w:rsid w:val="0093638D"/>
    <w:rsid w:val="00936490"/>
    <w:rsid w:val="0093683D"/>
    <w:rsid w:val="00936880"/>
    <w:rsid w:val="009369A2"/>
    <w:rsid w:val="00936AD2"/>
    <w:rsid w:val="00936B3B"/>
    <w:rsid w:val="009371E0"/>
    <w:rsid w:val="009374B2"/>
    <w:rsid w:val="00937632"/>
    <w:rsid w:val="009379A4"/>
    <w:rsid w:val="00937A66"/>
    <w:rsid w:val="00937CBF"/>
    <w:rsid w:val="009401F9"/>
    <w:rsid w:val="0094027A"/>
    <w:rsid w:val="00940510"/>
    <w:rsid w:val="0094053F"/>
    <w:rsid w:val="009405D9"/>
    <w:rsid w:val="00940867"/>
    <w:rsid w:val="00940D4F"/>
    <w:rsid w:val="00941296"/>
    <w:rsid w:val="00941358"/>
    <w:rsid w:val="00941724"/>
    <w:rsid w:val="009421CE"/>
    <w:rsid w:val="00942C32"/>
    <w:rsid w:val="0094300A"/>
    <w:rsid w:val="00943149"/>
    <w:rsid w:val="0094317A"/>
    <w:rsid w:val="00943221"/>
    <w:rsid w:val="009436F0"/>
    <w:rsid w:val="0094372F"/>
    <w:rsid w:val="00943C3B"/>
    <w:rsid w:val="00943C85"/>
    <w:rsid w:val="0094422C"/>
    <w:rsid w:val="00944231"/>
    <w:rsid w:val="0094452A"/>
    <w:rsid w:val="00944849"/>
    <w:rsid w:val="009449F3"/>
    <w:rsid w:val="00944B0C"/>
    <w:rsid w:val="00944E38"/>
    <w:rsid w:val="00944FB2"/>
    <w:rsid w:val="00945035"/>
    <w:rsid w:val="00945161"/>
    <w:rsid w:val="00945463"/>
    <w:rsid w:val="00945487"/>
    <w:rsid w:val="009457C7"/>
    <w:rsid w:val="00945A09"/>
    <w:rsid w:val="00945B77"/>
    <w:rsid w:val="00945BF5"/>
    <w:rsid w:val="00945F94"/>
    <w:rsid w:val="00945FCE"/>
    <w:rsid w:val="00946011"/>
    <w:rsid w:val="009463B8"/>
    <w:rsid w:val="00946473"/>
    <w:rsid w:val="00946640"/>
    <w:rsid w:val="00946D2B"/>
    <w:rsid w:val="00946DE3"/>
    <w:rsid w:val="0094705C"/>
    <w:rsid w:val="00947371"/>
    <w:rsid w:val="009476BA"/>
    <w:rsid w:val="00947A4C"/>
    <w:rsid w:val="00947DCB"/>
    <w:rsid w:val="00950251"/>
    <w:rsid w:val="00950469"/>
    <w:rsid w:val="0095079B"/>
    <w:rsid w:val="00950897"/>
    <w:rsid w:val="00950AFA"/>
    <w:rsid w:val="00950FE7"/>
    <w:rsid w:val="0095142C"/>
    <w:rsid w:val="00951452"/>
    <w:rsid w:val="00951950"/>
    <w:rsid w:val="0095219B"/>
    <w:rsid w:val="00952272"/>
    <w:rsid w:val="0095263C"/>
    <w:rsid w:val="009526CA"/>
    <w:rsid w:val="00952939"/>
    <w:rsid w:val="00952C61"/>
    <w:rsid w:val="00952E31"/>
    <w:rsid w:val="00953266"/>
    <w:rsid w:val="009532D0"/>
    <w:rsid w:val="00953851"/>
    <w:rsid w:val="00953890"/>
    <w:rsid w:val="009540F9"/>
    <w:rsid w:val="0095411F"/>
    <w:rsid w:val="00954192"/>
    <w:rsid w:val="00954617"/>
    <w:rsid w:val="0095482E"/>
    <w:rsid w:val="00954939"/>
    <w:rsid w:val="0095547A"/>
    <w:rsid w:val="0095555A"/>
    <w:rsid w:val="00955700"/>
    <w:rsid w:val="00955806"/>
    <w:rsid w:val="0095585E"/>
    <w:rsid w:val="00955A2A"/>
    <w:rsid w:val="00955CA2"/>
    <w:rsid w:val="00955FB8"/>
    <w:rsid w:val="009560B2"/>
    <w:rsid w:val="009563C0"/>
    <w:rsid w:val="009563FE"/>
    <w:rsid w:val="0095670F"/>
    <w:rsid w:val="00956785"/>
    <w:rsid w:val="00956B28"/>
    <w:rsid w:val="00956CB9"/>
    <w:rsid w:val="00956EB6"/>
    <w:rsid w:val="00956F31"/>
    <w:rsid w:val="00957051"/>
    <w:rsid w:val="009573DD"/>
    <w:rsid w:val="0095757F"/>
    <w:rsid w:val="00957AF3"/>
    <w:rsid w:val="00957EB0"/>
    <w:rsid w:val="00957F63"/>
    <w:rsid w:val="00960135"/>
    <w:rsid w:val="00960187"/>
    <w:rsid w:val="0096021C"/>
    <w:rsid w:val="00960233"/>
    <w:rsid w:val="009603CA"/>
    <w:rsid w:val="00960556"/>
    <w:rsid w:val="00960812"/>
    <w:rsid w:val="00960F74"/>
    <w:rsid w:val="00961463"/>
    <w:rsid w:val="009616F3"/>
    <w:rsid w:val="009617EA"/>
    <w:rsid w:val="00961E1E"/>
    <w:rsid w:val="0096345E"/>
    <w:rsid w:val="00963D4B"/>
    <w:rsid w:val="00963F38"/>
    <w:rsid w:val="0096421F"/>
    <w:rsid w:val="009644B5"/>
    <w:rsid w:val="009649BC"/>
    <w:rsid w:val="00964B9A"/>
    <w:rsid w:val="0096523C"/>
    <w:rsid w:val="00965271"/>
    <w:rsid w:val="00965309"/>
    <w:rsid w:val="00965606"/>
    <w:rsid w:val="0096572D"/>
    <w:rsid w:val="00965806"/>
    <w:rsid w:val="0096594D"/>
    <w:rsid w:val="00965C31"/>
    <w:rsid w:val="00966346"/>
    <w:rsid w:val="00966388"/>
    <w:rsid w:val="0096673F"/>
    <w:rsid w:val="00966796"/>
    <w:rsid w:val="00966CC2"/>
    <w:rsid w:val="00966DE9"/>
    <w:rsid w:val="0096772B"/>
    <w:rsid w:val="00967A1E"/>
    <w:rsid w:val="00967AD8"/>
    <w:rsid w:val="00967B67"/>
    <w:rsid w:val="00967C60"/>
    <w:rsid w:val="00967D59"/>
    <w:rsid w:val="0097020C"/>
    <w:rsid w:val="00970330"/>
    <w:rsid w:val="00970608"/>
    <w:rsid w:val="009707ED"/>
    <w:rsid w:val="0097097C"/>
    <w:rsid w:val="00970C73"/>
    <w:rsid w:val="00970E33"/>
    <w:rsid w:val="009718E4"/>
    <w:rsid w:val="00971A9A"/>
    <w:rsid w:val="00971AC3"/>
    <w:rsid w:val="00971BF4"/>
    <w:rsid w:val="0097206B"/>
    <w:rsid w:val="009720F4"/>
    <w:rsid w:val="009721BF"/>
    <w:rsid w:val="009724EB"/>
    <w:rsid w:val="009725A2"/>
    <w:rsid w:val="00972AA0"/>
    <w:rsid w:val="00972ED4"/>
    <w:rsid w:val="0097309F"/>
    <w:rsid w:val="00973335"/>
    <w:rsid w:val="009735B4"/>
    <w:rsid w:val="0097366A"/>
    <w:rsid w:val="009736A3"/>
    <w:rsid w:val="00973DB2"/>
    <w:rsid w:val="00973E4A"/>
    <w:rsid w:val="00973F91"/>
    <w:rsid w:val="00974232"/>
    <w:rsid w:val="0097451A"/>
    <w:rsid w:val="00974FA0"/>
    <w:rsid w:val="0097504F"/>
    <w:rsid w:val="009752D2"/>
    <w:rsid w:val="00975593"/>
    <w:rsid w:val="00975ADF"/>
    <w:rsid w:val="00975B07"/>
    <w:rsid w:val="00975C3C"/>
    <w:rsid w:val="00975E79"/>
    <w:rsid w:val="00975EC9"/>
    <w:rsid w:val="00976662"/>
    <w:rsid w:val="009768C7"/>
    <w:rsid w:val="0097697B"/>
    <w:rsid w:val="00976AF8"/>
    <w:rsid w:val="00976D5C"/>
    <w:rsid w:val="00976E11"/>
    <w:rsid w:val="00977103"/>
    <w:rsid w:val="009772EE"/>
    <w:rsid w:val="0097738F"/>
    <w:rsid w:val="00977A6D"/>
    <w:rsid w:val="00977AFB"/>
    <w:rsid w:val="00977CC0"/>
    <w:rsid w:val="00977CEC"/>
    <w:rsid w:val="00977E7C"/>
    <w:rsid w:val="00977ED9"/>
    <w:rsid w:val="00977F7A"/>
    <w:rsid w:val="0098053C"/>
    <w:rsid w:val="00981256"/>
    <w:rsid w:val="009812AD"/>
    <w:rsid w:val="00981453"/>
    <w:rsid w:val="009815ED"/>
    <w:rsid w:val="00981855"/>
    <w:rsid w:val="00981A8F"/>
    <w:rsid w:val="00981B73"/>
    <w:rsid w:val="00981DD3"/>
    <w:rsid w:val="00981EA6"/>
    <w:rsid w:val="0098225D"/>
    <w:rsid w:val="009824EF"/>
    <w:rsid w:val="00982B9A"/>
    <w:rsid w:val="00982C4D"/>
    <w:rsid w:val="0098330E"/>
    <w:rsid w:val="00983681"/>
    <w:rsid w:val="00983B60"/>
    <w:rsid w:val="00983F21"/>
    <w:rsid w:val="009845E2"/>
    <w:rsid w:val="00984625"/>
    <w:rsid w:val="00984700"/>
    <w:rsid w:val="00984A9A"/>
    <w:rsid w:val="00984B1D"/>
    <w:rsid w:val="00984C77"/>
    <w:rsid w:val="009850F0"/>
    <w:rsid w:val="009851BE"/>
    <w:rsid w:val="00985252"/>
    <w:rsid w:val="00985363"/>
    <w:rsid w:val="009855AD"/>
    <w:rsid w:val="009861E5"/>
    <w:rsid w:val="009862FD"/>
    <w:rsid w:val="0098666E"/>
    <w:rsid w:val="00986D88"/>
    <w:rsid w:val="00986F88"/>
    <w:rsid w:val="00987052"/>
    <w:rsid w:val="0098710C"/>
    <w:rsid w:val="00987248"/>
    <w:rsid w:val="00987630"/>
    <w:rsid w:val="009876D9"/>
    <w:rsid w:val="00987764"/>
    <w:rsid w:val="009878E8"/>
    <w:rsid w:val="00987CCA"/>
    <w:rsid w:val="00990255"/>
    <w:rsid w:val="0099049E"/>
    <w:rsid w:val="00990653"/>
    <w:rsid w:val="00990658"/>
    <w:rsid w:val="00991A79"/>
    <w:rsid w:val="00991E6B"/>
    <w:rsid w:val="00991ECE"/>
    <w:rsid w:val="00992335"/>
    <w:rsid w:val="00992E23"/>
    <w:rsid w:val="00992E88"/>
    <w:rsid w:val="00992FF5"/>
    <w:rsid w:val="009930FC"/>
    <w:rsid w:val="009933FF"/>
    <w:rsid w:val="00993445"/>
    <w:rsid w:val="00993A8A"/>
    <w:rsid w:val="00993C01"/>
    <w:rsid w:val="00993CA2"/>
    <w:rsid w:val="00994760"/>
    <w:rsid w:val="00994C61"/>
    <w:rsid w:val="00994DB7"/>
    <w:rsid w:val="0099508C"/>
    <w:rsid w:val="00995494"/>
    <w:rsid w:val="00995509"/>
    <w:rsid w:val="0099565E"/>
    <w:rsid w:val="009959E0"/>
    <w:rsid w:val="00995AA1"/>
    <w:rsid w:val="00996113"/>
    <w:rsid w:val="00996288"/>
    <w:rsid w:val="009966BA"/>
    <w:rsid w:val="0099687B"/>
    <w:rsid w:val="00996B44"/>
    <w:rsid w:val="00996E67"/>
    <w:rsid w:val="009970D3"/>
    <w:rsid w:val="0099740A"/>
    <w:rsid w:val="00997686"/>
    <w:rsid w:val="00997712"/>
    <w:rsid w:val="009979D4"/>
    <w:rsid w:val="00997F58"/>
    <w:rsid w:val="009A03CD"/>
    <w:rsid w:val="009A0465"/>
    <w:rsid w:val="009A04BC"/>
    <w:rsid w:val="009A0C07"/>
    <w:rsid w:val="009A1184"/>
    <w:rsid w:val="009A1312"/>
    <w:rsid w:val="009A1479"/>
    <w:rsid w:val="009A1488"/>
    <w:rsid w:val="009A14DF"/>
    <w:rsid w:val="009A15FF"/>
    <w:rsid w:val="009A19E4"/>
    <w:rsid w:val="009A1C15"/>
    <w:rsid w:val="009A1C40"/>
    <w:rsid w:val="009A1DD2"/>
    <w:rsid w:val="009A1E7D"/>
    <w:rsid w:val="009A1F81"/>
    <w:rsid w:val="009A2329"/>
    <w:rsid w:val="009A23A6"/>
    <w:rsid w:val="009A28C4"/>
    <w:rsid w:val="009A2C71"/>
    <w:rsid w:val="009A2DA7"/>
    <w:rsid w:val="009A2DB2"/>
    <w:rsid w:val="009A2F85"/>
    <w:rsid w:val="009A3567"/>
    <w:rsid w:val="009A3603"/>
    <w:rsid w:val="009A3677"/>
    <w:rsid w:val="009A3D53"/>
    <w:rsid w:val="009A40AC"/>
    <w:rsid w:val="009A435A"/>
    <w:rsid w:val="009A4716"/>
    <w:rsid w:val="009A4831"/>
    <w:rsid w:val="009A546D"/>
    <w:rsid w:val="009A547B"/>
    <w:rsid w:val="009A563C"/>
    <w:rsid w:val="009A5830"/>
    <w:rsid w:val="009A5C0B"/>
    <w:rsid w:val="009A5C7C"/>
    <w:rsid w:val="009A5F6D"/>
    <w:rsid w:val="009A6009"/>
    <w:rsid w:val="009A62C4"/>
    <w:rsid w:val="009A6410"/>
    <w:rsid w:val="009A6732"/>
    <w:rsid w:val="009A6836"/>
    <w:rsid w:val="009A6C82"/>
    <w:rsid w:val="009A6E92"/>
    <w:rsid w:val="009A714F"/>
    <w:rsid w:val="009A7836"/>
    <w:rsid w:val="009A7F5B"/>
    <w:rsid w:val="009B0086"/>
    <w:rsid w:val="009B00E4"/>
    <w:rsid w:val="009B0102"/>
    <w:rsid w:val="009B02AB"/>
    <w:rsid w:val="009B0701"/>
    <w:rsid w:val="009B164E"/>
    <w:rsid w:val="009B1816"/>
    <w:rsid w:val="009B1D25"/>
    <w:rsid w:val="009B1E2A"/>
    <w:rsid w:val="009B1F44"/>
    <w:rsid w:val="009B2010"/>
    <w:rsid w:val="009B216C"/>
    <w:rsid w:val="009B2AFD"/>
    <w:rsid w:val="009B2BD1"/>
    <w:rsid w:val="009B2FA8"/>
    <w:rsid w:val="009B3145"/>
    <w:rsid w:val="009B3825"/>
    <w:rsid w:val="009B4288"/>
    <w:rsid w:val="009B4438"/>
    <w:rsid w:val="009B4602"/>
    <w:rsid w:val="009B47C2"/>
    <w:rsid w:val="009B4892"/>
    <w:rsid w:val="009B490C"/>
    <w:rsid w:val="009B4D3B"/>
    <w:rsid w:val="009B4D43"/>
    <w:rsid w:val="009B4E17"/>
    <w:rsid w:val="009B4EFD"/>
    <w:rsid w:val="009B5096"/>
    <w:rsid w:val="009B54F9"/>
    <w:rsid w:val="009B559F"/>
    <w:rsid w:val="009B5CB6"/>
    <w:rsid w:val="009B5DD0"/>
    <w:rsid w:val="009B6020"/>
    <w:rsid w:val="009B64EB"/>
    <w:rsid w:val="009B6B1D"/>
    <w:rsid w:val="009B6B94"/>
    <w:rsid w:val="009B6C51"/>
    <w:rsid w:val="009B6D83"/>
    <w:rsid w:val="009B7518"/>
    <w:rsid w:val="009B75BD"/>
    <w:rsid w:val="009B763A"/>
    <w:rsid w:val="009B78EB"/>
    <w:rsid w:val="009B7FA8"/>
    <w:rsid w:val="009C007F"/>
    <w:rsid w:val="009C02D1"/>
    <w:rsid w:val="009C077E"/>
    <w:rsid w:val="009C07E2"/>
    <w:rsid w:val="009C096D"/>
    <w:rsid w:val="009C09BF"/>
    <w:rsid w:val="009C189C"/>
    <w:rsid w:val="009C19EF"/>
    <w:rsid w:val="009C1DD4"/>
    <w:rsid w:val="009C224D"/>
    <w:rsid w:val="009C25BF"/>
    <w:rsid w:val="009C26B5"/>
    <w:rsid w:val="009C2916"/>
    <w:rsid w:val="009C2F94"/>
    <w:rsid w:val="009C2FE6"/>
    <w:rsid w:val="009C3190"/>
    <w:rsid w:val="009C333C"/>
    <w:rsid w:val="009C3CA7"/>
    <w:rsid w:val="009C3E9A"/>
    <w:rsid w:val="009C40A3"/>
    <w:rsid w:val="009C4247"/>
    <w:rsid w:val="009C4304"/>
    <w:rsid w:val="009C4883"/>
    <w:rsid w:val="009C48FA"/>
    <w:rsid w:val="009C4BE3"/>
    <w:rsid w:val="009C4BEF"/>
    <w:rsid w:val="009C4E51"/>
    <w:rsid w:val="009C4E5B"/>
    <w:rsid w:val="009C5AD7"/>
    <w:rsid w:val="009C5BEA"/>
    <w:rsid w:val="009C5EA5"/>
    <w:rsid w:val="009C5F26"/>
    <w:rsid w:val="009C64F5"/>
    <w:rsid w:val="009C6611"/>
    <w:rsid w:val="009C6652"/>
    <w:rsid w:val="009C6A31"/>
    <w:rsid w:val="009C73A5"/>
    <w:rsid w:val="009C73C7"/>
    <w:rsid w:val="009C7469"/>
    <w:rsid w:val="009C768D"/>
    <w:rsid w:val="009C7BAE"/>
    <w:rsid w:val="009C7BEB"/>
    <w:rsid w:val="009C7BF4"/>
    <w:rsid w:val="009C7C86"/>
    <w:rsid w:val="009D01E8"/>
    <w:rsid w:val="009D08A8"/>
    <w:rsid w:val="009D0982"/>
    <w:rsid w:val="009D0BB0"/>
    <w:rsid w:val="009D0D80"/>
    <w:rsid w:val="009D11A9"/>
    <w:rsid w:val="009D129D"/>
    <w:rsid w:val="009D132B"/>
    <w:rsid w:val="009D147B"/>
    <w:rsid w:val="009D1679"/>
    <w:rsid w:val="009D1835"/>
    <w:rsid w:val="009D18B3"/>
    <w:rsid w:val="009D1DC3"/>
    <w:rsid w:val="009D2129"/>
    <w:rsid w:val="009D2183"/>
    <w:rsid w:val="009D23A0"/>
    <w:rsid w:val="009D2644"/>
    <w:rsid w:val="009D2A9C"/>
    <w:rsid w:val="009D2D17"/>
    <w:rsid w:val="009D37D3"/>
    <w:rsid w:val="009D3A2E"/>
    <w:rsid w:val="009D3A68"/>
    <w:rsid w:val="009D3DB3"/>
    <w:rsid w:val="009D44F5"/>
    <w:rsid w:val="009D46AB"/>
    <w:rsid w:val="009D475D"/>
    <w:rsid w:val="009D4815"/>
    <w:rsid w:val="009D4A50"/>
    <w:rsid w:val="009D4A74"/>
    <w:rsid w:val="009D4B71"/>
    <w:rsid w:val="009D4EB9"/>
    <w:rsid w:val="009D5530"/>
    <w:rsid w:val="009D5707"/>
    <w:rsid w:val="009D5B48"/>
    <w:rsid w:val="009D5BA8"/>
    <w:rsid w:val="009D5BD5"/>
    <w:rsid w:val="009D5E40"/>
    <w:rsid w:val="009D5EEB"/>
    <w:rsid w:val="009D6096"/>
    <w:rsid w:val="009D643B"/>
    <w:rsid w:val="009D6463"/>
    <w:rsid w:val="009D6497"/>
    <w:rsid w:val="009D7228"/>
    <w:rsid w:val="009D7272"/>
    <w:rsid w:val="009D7407"/>
    <w:rsid w:val="009D7516"/>
    <w:rsid w:val="009D7557"/>
    <w:rsid w:val="009D76F4"/>
    <w:rsid w:val="009D779A"/>
    <w:rsid w:val="009D7857"/>
    <w:rsid w:val="009D7AF3"/>
    <w:rsid w:val="009D7EC4"/>
    <w:rsid w:val="009E0063"/>
    <w:rsid w:val="009E01B5"/>
    <w:rsid w:val="009E0245"/>
    <w:rsid w:val="009E0866"/>
    <w:rsid w:val="009E0C43"/>
    <w:rsid w:val="009E0F9D"/>
    <w:rsid w:val="009E1105"/>
    <w:rsid w:val="009E12E0"/>
    <w:rsid w:val="009E1616"/>
    <w:rsid w:val="009E1A07"/>
    <w:rsid w:val="009E2204"/>
    <w:rsid w:val="009E2406"/>
    <w:rsid w:val="009E250C"/>
    <w:rsid w:val="009E25A4"/>
    <w:rsid w:val="009E2937"/>
    <w:rsid w:val="009E2EA0"/>
    <w:rsid w:val="009E3592"/>
    <w:rsid w:val="009E379C"/>
    <w:rsid w:val="009E3D17"/>
    <w:rsid w:val="009E4002"/>
    <w:rsid w:val="009E41C2"/>
    <w:rsid w:val="009E4311"/>
    <w:rsid w:val="009E45E6"/>
    <w:rsid w:val="009E475B"/>
    <w:rsid w:val="009E476C"/>
    <w:rsid w:val="009E4C36"/>
    <w:rsid w:val="009E4F1B"/>
    <w:rsid w:val="009E52E5"/>
    <w:rsid w:val="009E5625"/>
    <w:rsid w:val="009E5D56"/>
    <w:rsid w:val="009E6174"/>
    <w:rsid w:val="009E61E6"/>
    <w:rsid w:val="009E634A"/>
    <w:rsid w:val="009E68F8"/>
    <w:rsid w:val="009E6CE6"/>
    <w:rsid w:val="009E6D40"/>
    <w:rsid w:val="009E6D45"/>
    <w:rsid w:val="009E6D71"/>
    <w:rsid w:val="009E6E72"/>
    <w:rsid w:val="009E7064"/>
    <w:rsid w:val="009E710A"/>
    <w:rsid w:val="009F0158"/>
    <w:rsid w:val="009F02CA"/>
    <w:rsid w:val="009F0506"/>
    <w:rsid w:val="009F0908"/>
    <w:rsid w:val="009F0B0E"/>
    <w:rsid w:val="009F0EE4"/>
    <w:rsid w:val="009F1867"/>
    <w:rsid w:val="009F1D74"/>
    <w:rsid w:val="009F203F"/>
    <w:rsid w:val="009F20EC"/>
    <w:rsid w:val="009F2302"/>
    <w:rsid w:val="009F2CBC"/>
    <w:rsid w:val="009F2E34"/>
    <w:rsid w:val="009F2E3A"/>
    <w:rsid w:val="009F2F36"/>
    <w:rsid w:val="009F2F51"/>
    <w:rsid w:val="009F2F6A"/>
    <w:rsid w:val="009F3070"/>
    <w:rsid w:val="009F3A02"/>
    <w:rsid w:val="009F3C45"/>
    <w:rsid w:val="009F3C94"/>
    <w:rsid w:val="009F40CE"/>
    <w:rsid w:val="009F4516"/>
    <w:rsid w:val="009F4613"/>
    <w:rsid w:val="009F4886"/>
    <w:rsid w:val="009F4BDB"/>
    <w:rsid w:val="009F5345"/>
    <w:rsid w:val="009F5372"/>
    <w:rsid w:val="009F5489"/>
    <w:rsid w:val="009F579E"/>
    <w:rsid w:val="009F5905"/>
    <w:rsid w:val="009F6467"/>
    <w:rsid w:val="009F70D0"/>
    <w:rsid w:val="009F7201"/>
    <w:rsid w:val="009F7495"/>
    <w:rsid w:val="009F74E6"/>
    <w:rsid w:val="009F75EA"/>
    <w:rsid w:val="009F7A2E"/>
    <w:rsid w:val="009F7A98"/>
    <w:rsid w:val="009F7AD7"/>
    <w:rsid w:val="009F7AEC"/>
    <w:rsid w:val="009F7B22"/>
    <w:rsid w:val="00A000DC"/>
    <w:rsid w:val="00A003C3"/>
    <w:rsid w:val="00A00479"/>
    <w:rsid w:val="00A004FC"/>
    <w:rsid w:val="00A0059F"/>
    <w:rsid w:val="00A007B3"/>
    <w:rsid w:val="00A00C3F"/>
    <w:rsid w:val="00A00C50"/>
    <w:rsid w:val="00A00C68"/>
    <w:rsid w:val="00A00E73"/>
    <w:rsid w:val="00A01043"/>
    <w:rsid w:val="00A01305"/>
    <w:rsid w:val="00A01514"/>
    <w:rsid w:val="00A01D1B"/>
    <w:rsid w:val="00A01FEC"/>
    <w:rsid w:val="00A02164"/>
    <w:rsid w:val="00A021B3"/>
    <w:rsid w:val="00A0222C"/>
    <w:rsid w:val="00A024A8"/>
    <w:rsid w:val="00A02914"/>
    <w:rsid w:val="00A02B70"/>
    <w:rsid w:val="00A02B96"/>
    <w:rsid w:val="00A02CD5"/>
    <w:rsid w:val="00A02E4C"/>
    <w:rsid w:val="00A02EF9"/>
    <w:rsid w:val="00A02FF0"/>
    <w:rsid w:val="00A031ED"/>
    <w:rsid w:val="00A03320"/>
    <w:rsid w:val="00A0360B"/>
    <w:rsid w:val="00A03915"/>
    <w:rsid w:val="00A0392E"/>
    <w:rsid w:val="00A03A67"/>
    <w:rsid w:val="00A03BEB"/>
    <w:rsid w:val="00A03D06"/>
    <w:rsid w:val="00A03D52"/>
    <w:rsid w:val="00A03E3C"/>
    <w:rsid w:val="00A03FE4"/>
    <w:rsid w:val="00A043F5"/>
    <w:rsid w:val="00A0447D"/>
    <w:rsid w:val="00A0483B"/>
    <w:rsid w:val="00A04A4B"/>
    <w:rsid w:val="00A04B0B"/>
    <w:rsid w:val="00A04BFC"/>
    <w:rsid w:val="00A04C9E"/>
    <w:rsid w:val="00A04D69"/>
    <w:rsid w:val="00A05002"/>
    <w:rsid w:val="00A0516F"/>
    <w:rsid w:val="00A0519A"/>
    <w:rsid w:val="00A051C6"/>
    <w:rsid w:val="00A0535F"/>
    <w:rsid w:val="00A053B0"/>
    <w:rsid w:val="00A054A8"/>
    <w:rsid w:val="00A05900"/>
    <w:rsid w:val="00A059E3"/>
    <w:rsid w:val="00A061A4"/>
    <w:rsid w:val="00A067C2"/>
    <w:rsid w:val="00A06A59"/>
    <w:rsid w:val="00A07261"/>
    <w:rsid w:val="00A07541"/>
    <w:rsid w:val="00A07AE3"/>
    <w:rsid w:val="00A07E1C"/>
    <w:rsid w:val="00A10109"/>
    <w:rsid w:val="00A1023A"/>
    <w:rsid w:val="00A10310"/>
    <w:rsid w:val="00A1051E"/>
    <w:rsid w:val="00A105F8"/>
    <w:rsid w:val="00A1067A"/>
    <w:rsid w:val="00A1079A"/>
    <w:rsid w:val="00A10979"/>
    <w:rsid w:val="00A109E1"/>
    <w:rsid w:val="00A10AE0"/>
    <w:rsid w:val="00A10C6A"/>
    <w:rsid w:val="00A10F2D"/>
    <w:rsid w:val="00A111E7"/>
    <w:rsid w:val="00A118BE"/>
    <w:rsid w:val="00A118BF"/>
    <w:rsid w:val="00A11A44"/>
    <w:rsid w:val="00A11D3D"/>
    <w:rsid w:val="00A11D57"/>
    <w:rsid w:val="00A11D89"/>
    <w:rsid w:val="00A11FAD"/>
    <w:rsid w:val="00A12190"/>
    <w:rsid w:val="00A12716"/>
    <w:rsid w:val="00A13160"/>
    <w:rsid w:val="00A134C0"/>
    <w:rsid w:val="00A1367F"/>
    <w:rsid w:val="00A13B2D"/>
    <w:rsid w:val="00A13FFF"/>
    <w:rsid w:val="00A14035"/>
    <w:rsid w:val="00A14039"/>
    <w:rsid w:val="00A14412"/>
    <w:rsid w:val="00A14419"/>
    <w:rsid w:val="00A1457F"/>
    <w:rsid w:val="00A14B8B"/>
    <w:rsid w:val="00A14EAF"/>
    <w:rsid w:val="00A1506B"/>
    <w:rsid w:val="00A1509F"/>
    <w:rsid w:val="00A15857"/>
    <w:rsid w:val="00A15977"/>
    <w:rsid w:val="00A15E76"/>
    <w:rsid w:val="00A15F64"/>
    <w:rsid w:val="00A162C6"/>
    <w:rsid w:val="00A16853"/>
    <w:rsid w:val="00A169E4"/>
    <w:rsid w:val="00A177F7"/>
    <w:rsid w:val="00A17992"/>
    <w:rsid w:val="00A17AE3"/>
    <w:rsid w:val="00A17CF5"/>
    <w:rsid w:val="00A202EB"/>
    <w:rsid w:val="00A20300"/>
    <w:rsid w:val="00A2043F"/>
    <w:rsid w:val="00A206A5"/>
    <w:rsid w:val="00A207C9"/>
    <w:rsid w:val="00A208DA"/>
    <w:rsid w:val="00A209BB"/>
    <w:rsid w:val="00A20AF1"/>
    <w:rsid w:val="00A20E8E"/>
    <w:rsid w:val="00A21ECC"/>
    <w:rsid w:val="00A2209D"/>
    <w:rsid w:val="00A22117"/>
    <w:rsid w:val="00A222B1"/>
    <w:rsid w:val="00A224CD"/>
    <w:rsid w:val="00A226AB"/>
    <w:rsid w:val="00A227BD"/>
    <w:rsid w:val="00A229D0"/>
    <w:rsid w:val="00A22A4E"/>
    <w:rsid w:val="00A22E6C"/>
    <w:rsid w:val="00A22F93"/>
    <w:rsid w:val="00A230FC"/>
    <w:rsid w:val="00A2326B"/>
    <w:rsid w:val="00A23412"/>
    <w:rsid w:val="00A238DA"/>
    <w:rsid w:val="00A23A92"/>
    <w:rsid w:val="00A23AC5"/>
    <w:rsid w:val="00A240D7"/>
    <w:rsid w:val="00A240F7"/>
    <w:rsid w:val="00A24248"/>
    <w:rsid w:val="00A2437F"/>
    <w:rsid w:val="00A24398"/>
    <w:rsid w:val="00A24A62"/>
    <w:rsid w:val="00A2506F"/>
    <w:rsid w:val="00A250B5"/>
    <w:rsid w:val="00A2522A"/>
    <w:rsid w:val="00A25470"/>
    <w:rsid w:val="00A25836"/>
    <w:rsid w:val="00A25D30"/>
    <w:rsid w:val="00A25E39"/>
    <w:rsid w:val="00A25F79"/>
    <w:rsid w:val="00A261E1"/>
    <w:rsid w:val="00A261F9"/>
    <w:rsid w:val="00A264B5"/>
    <w:rsid w:val="00A26783"/>
    <w:rsid w:val="00A267F3"/>
    <w:rsid w:val="00A269A8"/>
    <w:rsid w:val="00A26CCA"/>
    <w:rsid w:val="00A26F64"/>
    <w:rsid w:val="00A270FA"/>
    <w:rsid w:val="00A2714A"/>
    <w:rsid w:val="00A271FB"/>
    <w:rsid w:val="00A2738B"/>
    <w:rsid w:val="00A27503"/>
    <w:rsid w:val="00A27AC7"/>
    <w:rsid w:val="00A27BF7"/>
    <w:rsid w:val="00A27C60"/>
    <w:rsid w:val="00A27DB6"/>
    <w:rsid w:val="00A27EA7"/>
    <w:rsid w:val="00A27EDE"/>
    <w:rsid w:val="00A300E5"/>
    <w:rsid w:val="00A30242"/>
    <w:rsid w:val="00A3078D"/>
    <w:rsid w:val="00A3079A"/>
    <w:rsid w:val="00A307D5"/>
    <w:rsid w:val="00A30859"/>
    <w:rsid w:val="00A30BFB"/>
    <w:rsid w:val="00A30D01"/>
    <w:rsid w:val="00A312A3"/>
    <w:rsid w:val="00A31423"/>
    <w:rsid w:val="00A314C0"/>
    <w:rsid w:val="00A31597"/>
    <w:rsid w:val="00A315CE"/>
    <w:rsid w:val="00A31762"/>
    <w:rsid w:val="00A31870"/>
    <w:rsid w:val="00A31C9F"/>
    <w:rsid w:val="00A31FAC"/>
    <w:rsid w:val="00A323C2"/>
    <w:rsid w:val="00A326E2"/>
    <w:rsid w:val="00A326FB"/>
    <w:rsid w:val="00A32A89"/>
    <w:rsid w:val="00A32A8F"/>
    <w:rsid w:val="00A32ADA"/>
    <w:rsid w:val="00A33069"/>
    <w:rsid w:val="00A33288"/>
    <w:rsid w:val="00A33783"/>
    <w:rsid w:val="00A339CE"/>
    <w:rsid w:val="00A33A00"/>
    <w:rsid w:val="00A33C81"/>
    <w:rsid w:val="00A33FE8"/>
    <w:rsid w:val="00A34144"/>
    <w:rsid w:val="00A341E9"/>
    <w:rsid w:val="00A343B2"/>
    <w:rsid w:val="00A34BCD"/>
    <w:rsid w:val="00A34BF6"/>
    <w:rsid w:val="00A34D3D"/>
    <w:rsid w:val="00A34E57"/>
    <w:rsid w:val="00A34F39"/>
    <w:rsid w:val="00A34F3C"/>
    <w:rsid w:val="00A350B9"/>
    <w:rsid w:val="00A35108"/>
    <w:rsid w:val="00A35225"/>
    <w:rsid w:val="00A35357"/>
    <w:rsid w:val="00A358A7"/>
    <w:rsid w:val="00A35D51"/>
    <w:rsid w:val="00A35DB9"/>
    <w:rsid w:val="00A35F06"/>
    <w:rsid w:val="00A35F39"/>
    <w:rsid w:val="00A362E5"/>
    <w:rsid w:val="00A36842"/>
    <w:rsid w:val="00A36852"/>
    <w:rsid w:val="00A368E7"/>
    <w:rsid w:val="00A36DBA"/>
    <w:rsid w:val="00A36DE6"/>
    <w:rsid w:val="00A3708E"/>
    <w:rsid w:val="00A3726C"/>
    <w:rsid w:val="00A3731C"/>
    <w:rsid w:val="00A3790A"/>
    <w:rsid w:val="00A37E60"/>
    <w:rsid w:val="00A37F73"/>
    <w:rsid w:val="00A403D6"/>
    <w:rsid w:val="00A4079E"/>
    <w:rsid w:val="00A40A6D"/>
    <w:rsid w:val="00A40B8F"/>
    <w:rsid w:val="00A40CE5"/>
    <w:rsid w:val="00A410D1"/>
    <w:rsid w:val="00A411FA"/>
    <w:rsid w:val="00A4172F"/>
    <w:rsid w:val="00A41861"/>
    <w:rsid w:val="00A41B28"/>
    <w:rsid w:val="00A41B4E"/>
    <w:rsid w:val="00A42465"/>
    <w:rsid w:val="00A4257A"/>
    <w:rsid w:val="00A428FB"/>
    <w:rsid w:val="00A42A27"/>
    <w:rsid w:val="00A42E05"/>
    <w:rsid w:val="00A431EE"/>
    <w:rsid w:val="00A434A3"/>
    <w:rsid w:val="00A437FA"/>
    <w:rsid w:val="00A438D4"/>
    <w:rsid w:val="00A43B3F"/>
    <w:rsid w:val="00A43F38"/>
    <w:rsid w:val="00A43FEA"/>
    <w:rsid w:val="00A4417F"/>
    <w:rsid w:val="00A4440A"/>
    <w:rsid w:val="00A44592"/>
    <w:rsid w:val="00A446F5"/>
    <w:rsid w:val="00A44AD0"/>
    <w:rsid w:val="00A45069"/>
    <w:rsid w:val="00A45647"/>
    <w:rsid w:val="00A456A3"/>
    <w:rsid w:val="00A4629F"/>
    <w:rsid w:val="00A46F04"/>
    <w:rsid w:val="00A46FA0"/>
    <w:rsid w:val="00A47414"/>
    <w:rsid w:val="00A4742F"/>
    <w:rsid w:val="00A47957"/>
    <w:rsid w:val="00A47D28"/>
    <w:rsid w:val="00A47F8C"/>
    <w:rsid w:val="00A50213"/>
    <w:rsid w:val="00A5036C"/>
    <w:rsid w:val="00A5051C"/>
    <w:rsid w:val="00A509E2"/>
    <w:rsid w:val="00A50C16"/>
    <w:rsid w:val="00A50C8A"/>
    <w:rsid w:val="00A5131D"/>
    <w:rsid w:val="00A51933"/>
    <w:rsid w:val="00A51A57"/>
    <w:rsid w:val="00A51C75"/>
    <w:rsid w:val="00A522AD"/>
    <w:rsid w:val="00A530D1"/>
    <w:rsid w:val="00A53198"/>
    <w:rsid w:val="00A53267"/>
    <w:rsid w:val="00A533B2"/>
    <w:rsid w:val="00A53827"/>
    <w:rsid w:val="00A53D43"/>
    <w:rsid w:val="00A542EC"/>
    <w:rsid w:val="00A545FF"/>
    <w:rsid w:val="00A54B25"/>
    <w:rsid w:val="00A54E9A"/>
    <w:rsid w:val="00A5515C"/>
    <w:rsid w:val="00A5525A"/>
    <w:rsid w:val="00A552EF"/>
    <w:rsid w:val="00A55531"/>
    <w:rsid w:val="00A55B56"/>
    <w:rsid w:val="00A55C16"/>
    <w:rsid w:val="00A56065"/>
    <w:rsid w:val="00A562C1"/>
    <w:rsid w:val="00A565B4"/>
    <w:rsid w:val="00A57306"/>
    <w:rsid w:val="00A575F4"/>
    <w:rsid w:val="00A57834"/>
    <w:rsid w:val="00A57D44"/>
    <w:rsid w:val="00A60633"/>
    <w:rsid w:val="00A60AC6"/>
    <w:rsid w:val="00A60BDE"/>
    <w:rsid w:val="00A60DA0"/>
    <w:rsid w:val="00A60F7E"/>
    <w:rsid w:val="00A6123A"/>
    <w:rsid w:val="00A6141B"/>
    <w:rsid w:val="00A61498"/>
    <w:rsid w:val="00A61C08"/>
    <w:rsid w:val="00A61EED"/>
    <w:rsid w:val="00A6208F"/>
    <w:rsid w:val="00A620F2"/>
    <w:rsid w:val="00A624B2"/>
    <w:rsid w:val="00A6251F"/>
    <w:rsid w:val="00A626DB"/>
    <w:rsid w:val="00A62750"/>
    <w:rsid w:val="00A62964"/>
    <w:rsid w:val="00A629D2"/>
    <w:rsid w:val="00A62A83"/>
    <w:rsid w:val="00A62F1C"/>
    <w:rsid w:val="00A63629"/>
    <w:rsid w:val="00A63685"/>
    <w:rsid w:val="00A63865"/>
    <w:rsid w:val="00A63D48"/>
    <w:rsid w:val="00A63EA2"/>
    <w:rsid w:val="00A63F7F"/>
    <w:rsid w:val="00A64044"/>
    <w:rsid w:val="00A6408F"/>
    <w:rsid w:val="00A6485F"/>
    <w:rsid w:val="00A648C7"/>
    <w:rsid w:val="00A648D5"/>
    <w:rsid w:val="00A657DD"/>
    <w:rsid w:val="00A65993"/>
    <w:rsid w:val="00A65AA5"/>
    <w:rsid w:val="00A65AFC"/>
    <w:rsid w:val="00A65EA6"/>
    <w:rsid w:val="00A66511"/>
    <w:rsid w:val="00A665C1"/>
    <w:rsid w:val="00A667A6"/>
    <w:rsid w:val="00A668D1"/>
    <w:rsid w:val="00A66942"/>
    <w:rsid w:val="00A66A58"/>
    <w:rsid w:val="00A66A89"/>
    <w:rsid w:val="00A66CB7"/>
    <w:rsid w:val="00A66D42"/>
    <w:rsid w:val="00A671CE"/>
    <w:rsid w:val="00A671DA"/>
    <w:rsid w:val="00A67550"/>
    <w:rsid w:val="00A67AAF"/>
    <w:rsid w:val="00A67B33"/>
    <w:rsid w:val="00A67D3B"/>
    <w:rsid w:val="00A70560"/>
    <w:rsid w:val="00A70622"/>
    <w:rsid w:val="00A7067D"/>
    <w:rsid w:val="00A7158B"/>
    <w:rsid w:val="00A7168C"/>
    <w:rsid w:val="00A718B7"/>
    <w:rsid w:val="00A71908"/>
    <w:rsid w:val="00A71CA7"/>
    <w:rsid w:val="00A71D77"/>
    <w:rsid w:val="00A71DC6"/>
    <w:rsid w:val="00A71F37"/>
    <w:rsid w:val="00A720A4"/>
    <w:rsid w:val="00A720F9"/>
    <w:rsid w:val="00A7269F"/>
    <w:rsid w:val="00A72C85"/>
    <w:rsid w:val="00A72EA7"/>
    <w:rsid w:val="00A730D5"/>
    <w:rsid w:val="00A731AE"/>
    <w:rsid w:val="00A732B6"/>
    <w:rsid w:val="00A7371B"/>
    <w:rsid w:val="00A7377B"/>
    <w:rsid w:val="00A7381C"/>
    <w:rsid w:val="00A73855"/>
    <w:rsid w:val="00A73D38"/>
    <w:rsid w:val="00A73D5A"/>
    <w:rsid w:val="00A73DAD"/>
    <w:rsid w:val="00A7406C"/>
    <w:rsid w:val="00A740AA"/>
    <w:rsid w:val="00A74992"/>
    <w:rsid w:val="00A749A1"/>
    <w:rsid w:val="00A74A48"/>
    <w:rsid w:val="00A74B18"/>
    <w:rsid w:val="00A74BF8"/>
    <w:rsid w:val="00A74DBE"/>
    <w:rsid w:val="00A74FC7"/>
    <w:rsid w:val="00A7521F"/>
    <w:rsid w:val="00A753A3"/>
    <w:rsid w:val="00A75487"/>
    <w:rsid w:val="00A75C8A"/>
    <w:rsid w:val="00A7653C"/>
    <w:rsid w:val="00A766C0"/>
    <w:rsid w:val="00A767A8"/>
    <w:rsid w:val="00A768A5"/>
    <w:rsid w:val="00A76AA6"/>
    <w:rsid w:val="00A76CA7"/>
    <w:rsid w:val="00A76D0A"/>
    <w:rsid w:val="00A775B1"/>
    <w:rsid w:val="00A775B4"/>
    <w:rsid w:val="00A77833"/>
    <w:rsid w:val="00A778B9"/>
    <w:rsid w:val="00A77940"/>
    <w:rsid w:val="00A8015B"/>
    <w:rsid w:val="00A80DBC"/>
    <w:rsid w:val="00A817B0"/>
    <w:rsid w:val="00A8182D"/>
    <w:rsid w:val="00A81898"/>
    <w:rsid w:val="00A819FA"/>
    <w:rsid w:val="00A81B39"/>
    <w:rsid w:val="00A81BAC"/>
    <w:rsid w:val="00A81BFD"/>
    <w:rsid w:val="00A81E9A"/>
    <w:rsid w:val="00A82255"/>
    <w:rsid w:val="00A8289B"/>
    <w:rsid w:val="00A82B6F"/>
    <w:rsid w:val="00A82D5D"/>
    <w:rsid w:val="00A82FAF"/>
    <w:rsid w:val="00A83140"/>
    <w:rsid w:val="00A83328"/>
    <w:rsid w:val="00A83459"/>
    <w:rsid w:val="00A834F4"/>
    <w:rsid w:val="00A8355D"/>
    <w:rsid w:val="00A83614"/>
    <w:rsid w:val="00A8386E"/>
    <w:rsid w:val="00A839B3"/>
    <w:rsid w:val="00A842D5"/>
    <w:rsid w:val="00A845B4"/>
    <w:rsid w:val="00A84735"/>
    <w:rsid w:val="00A84927"/>
    <w:rsid w:val="00A84AC5"/>
    <w:rsid w:val="00A84C30"/>
    <w:rsid w:val="00A84CDC"/>
    <w:rsid w:val="00A84EAE"/>
    <w:rsid w:val="00A84F6D"/>
    <w:rsid w:val="00A84FDF"/>
    <w:rsid w:val="00A84FEF"/>
    <w:rsid w:val="00A8515C"/>
    <w:rsid w:val="00A855EC"/>
    <w:rsid w:val="00A85847"/>
    <w:rsid w:val="00A85B25"/>
    <w:rsid w:val="00A85D2A"/>
    <w:rsid w:val="00A85DDB"/>
    <w:rsid w:val="00A85E0D"/>
    <w:rsid w:val="00A861F9"/>
    <w:rsid w:val="00A862C5"/>
    <w:rsid w:val="00A8654A"/>
    <w:rsid w:val="00A865D4"/>
    <w:rsid w:val="00A86799"/>
    <w:rsid w:val="00A86B02"/>
    <w:rsid w:val="00A86C72"/>
    <w:rsid w:val="00A86DDD"/>
    <w:rsid w:val="00A86E84"/>
    <w:rsid w:val="00A87227"/>
    <w:rsid w:val="00A87AA3"/>
    <w:rsid w:val="00A87BD4"/>
    <w:rsid w:val="00A87F0C"/>
    <w:rsid w:val="00A90555"/>
    <w:rsid w:val="00A907E6"/>
    <w:rsid w:val="00A90B01"/>
    <w:rsid w:val="00A90B07"/>
    <w:rsid w:val="00A90C82"/>
    <w:rsid w:val="00A912C0"/>
    <w:rsid w:val="00A91669"/>
    <w:rsid w:val="00A916C6"/>
    <w:rsid w:val="00A916D2"/>
    <w:rsid w:val="00A91780"/>
    <w:rsid w:val="00A91A41"/>
    <w:rsid w:val="00A9205B"/>
    <w:rsid w:val="00A9225B"/>
    <w:rsid w:val="00A9227C"/>
    <w:rsid w:val="00A9232D"/>
    <w:rsid w:val="00A92398"/>
    <w:rsid w:val="00A92A55"/>
    <w:rsid w:val="00A92FB2"/>
    <w:rsid w:val="00A9301E"/>
    <w:rsid w:val="00A93021"/>
    <w:rsid w:val="00A9306A"/>
    <w:rsid w:val="00A93087"/>
    <w:rsid w:val="00A931F6"/>
    <w:rsid w:val="00A933A5"/>
    <w:rsid w:val="00A933AA"/>
    <w:rsid w:val="00A933EA"/>
    <w:rsid w:val="00A93554"/>
    <w:rsid w:val="00A935B3"/>
    <w:rsid w:val="00A936B3"/>
    <w:rsid w:val="00A939EC"/>
    <w:rsid w:val="00A93E4B"/>
    <w:rsid w:val="00A93F1E"/>
    <w:rsid w:val="00A941A1"/>
    <w:rsid w:val="00A94AE1"/>
    <w:rsid w:val="00A94AE6"/>
    <w:rsid w:val="00A94B6D"/>
    <w:rsid w:val="00A94D40"/>
    <w:rsid w:val="00A94E15"/>
    <w:rsid w:val="00A951C8"/>
    <w:rsid w:val="00A95784"/>
    <w:rsid w:val="00A95996"/>
    <w:rsid w:val="00A95BF0"/>
    <w:rsid w:val="00A95C62"/>
    <w:rsid w:val="00A95C83"/>
    <w:rsid w:val="00A96A7B"/>
    <w:rsid w:val="00A96C89"/>
    <w:rsid w:val="00A96D21"/>
    <w:rsid w:val="00A970A7"/>
    <w:rsid w:val="00A97225"/>
    <w:rsid w:val="00A973ED"/>
    <w:rsid w:val="00A97B7B"/>
    <w:rsid w:val="00A97DF2"/>
    <w:rsid w:val="00AA059F"/>
    <w:rsid w:val="00AA05BB"/>
    <w:rsid w:val="00AA06EF"/>
    <w:rsid w:val="00AA08F0"/>
    <w:rsid w:val="00AA0E2A"/>
    <w:rsid w:val="00AA1037"/>
    <w:rsid w:val="00AA16B2"/>
    <w:rsid w:val="00AA16FB"/>
    <w:rsid w:val="00AA1877"/>
    <w:rsid w:val="00AA1B75"/>
    <w:rsid w:val="00AA1D48"/>
    <w:rsid w:val="00AA1D73"/>
    <w:rsid w:val="00AA1E87"/>
    <w:rsid w:val="00AA243A"/>
    <w:rsid w:val="00AA2440"/>
    <w:rsid w:val="00AA2A94"/>
    <w:rsid w:val="00AA2AC2"/>
    <w:rsid w:val="00AA2CB3"/>
    <w:rsid w:val="00AA2D60"/>
    <w:rsid w:val="00AA2D7C"/>
    <w:rsid w:val="00AA2FFC"/>
    <w:rsid w:val="00AA32C1"/>
    <w:rsid w:val="00AA331E"/>
    <w:rsid w:val="00AA37F7"/>
    <w:rsid w:val="00AA3A3F"/>
    <w:rsid w:val="00AA3A63"/>
    <w:rsid w:val="00AA3C86"/>
    <w:rsid w:val="00AA4069"/>
    <w:rsid w:val="00AA44E7"/>
    <w:rsid w:val="00AA4B24"/>
    <w:rsid w:val="00AA4CB9"/>
    <w:rsid w:val="00AA4D72"/>
    <w:rsid w:val="00AA50ED"/>
    <w:rsid w:val="00AA5123"/>
    <w:rsid w:val="00AA5605"/>
    <w:rsid w:val="00AA5704"/>
    <w:rsid w:val="00AA5957"/>
    <w:rsid w:val="00AA5A5E"/>
    <w:rsid w:val="00AA5A7B"/>
    <w:rsid w:val="00AA5DDA"/>
    <w:rsid w:val="00AA5E7B"/>
    <w:rsid w:val="00AA6B35"/>
    <w:rsid w:val="00AA6E21"/>
    <w:rsid w:val="00AA7167"/>
    <w:rsid w:val="00AA7365"/>
    <w:rsid w:val="00AA76CD"/>
    <w:rsid w:val="00AA7855"/>
    <w:rsid w:val="00AA79EC"/>
    <w:rsid w:val="00AA7A48"/>
    <w:rsid w:val="00AA7AEF"/>
    <w:rsid w:val="00AA7C48"/>
    <w:rsid w:val="00AA7DEF"/>
    <w:rsid w:val="00AA7EC6"/>
    <w:rsid w:val="00AA7EFA"/>
    <w:rsid w:val="00AA7F88"/>
    <w:rsid w:val="00AB0200"/>
    <w:rsid w:val="00AB03E7"/>
    <w:rsid w:val="00AB0851"/>
    <w:rsid w:val="00AB0A06"/>
    <w:rsid w:val="00AB0CF1"/>
    <w:rsid w:val="00AB1121"/>
    <w:rsid w:val="00AB1420"/>
    <w:rsid w:val="00AB172F"/>
    <w:rsid w:val="00AB1745"/>
    <w:rsid w:val="00AB17D0"/>
    <w:rsid w:val="00AB1905"/>
    <w:rsid w:val="00AB19CF"/>
    <w:rsid w:val="00AB1CC2"/>
    <w:rsid w:val="00AB1F18"/>
    <w:rsid w:val="00AB2003"/>
    <w:rsid w:val="00AB204A"/>
    <w:rsid w:val="00AB21AE"/>
    <w:rsid w:val="00AB23F0"/>
    <w:rsid w:val="00AB2418"/>
    <w:rsid w:val="00AB260E"/>
    <w:rsid w:val="00AB296E"/>
    <w:rsid w:val="00AB2C62"/>
    <w:rsid w:val="00AB2D61"/>
    <w:rsid w:val="00AB2D63"/>
    <w:rsid w:val="00AB3015"/>
    <w:rsid w:val="00AB30BF"/>
    <w:rsid w:val="00AB3159"/>
    <w:rsid w:val="00AB3224"/>
    <w:rsid w:val="00AB3CBE"/>
    <w:rsid w:val="00AB4000"/>
    <w:rsid w:val="00AB4332"/>
    <w:rsid w:val="00AB4790"/>
    <w:rsid w:val="00AB49A3"/>
    <w:rsid w:val="00AB4C51"/>
    <w:rsid w:val="00AB4C55"/>
    <w:rsid w:val="00AB4D68"/>
    <w:rsid w:val="00AB4FEE"/>
    <w:rsid w:val="00AB5246"/>
    <w:rsid w:val="00AB5258"/>
    <w:rsid w:val="00AB5334"/>
    <w:rsid w:val="00AB5417"/>
    <w:rsid w:val="00AB5FF5"/>
    <w:rsid w:val="00AB645B"/>
    <w:rsid w:val="00AB6DC0"/>
    <w:rsid w:val="00AB731D"/>
    <w:rsid w:val="00AB7541"/>
    <w:rsid w:val="00AB7676"/>
    <w:rsid w:val="00AB7683"/>
    <w:rsid w:val="00AB7EAF"/>
    <w:rsid w:val="00AB7FE2"/>
    <w:rsid w:val="00AC019B"/>
    <w:rsid w:val="00AC021D"/>
    <w:rsid w:val="00AC05C0"/>
    <w:rsid w:val="00AC05E4"/>
    <w:rsid w:val="00AC0B2D"/>
    <w:rsid w:val="00AC0C8A"/>
    <w:rsid w:val="00AC120F"/>
    <w:rsid w:val="00AC1615"/>
    <w:rsid w:val="00AC164A"/>
    <w:rsid w:val="00AC1708"/>
    <w:rsid w:val="00AC1822"/>
    <w:rsid w:val="00AC1FC0"/>
    <w:rsid w:val="00AC2799"/>
    <w:rsid w:val="00AC2CFE"/>
    <w:rsid w:val="00AC32C8"/>
    <w:rsid w:val="00AC34CC"/>
    <w:rsid w:val="00AC356E"/>
    <w:rsid w:val="00AC3595"/>
    <w:rsid w:val="00AC38D6"/>
    <w:rsid w:val="00AC38F6"/>
    <w:rsid w:val="00AC3BA0"/>
    <w:rsid w:val="00AC3E8D"/>
    <w:rsid w:val="00AC402B"/>
    <w:rsid w:val="00AC45D2"/>
    <w:rsid w:val="00AC4886"/>
    <w:rsid w:val="00AC4AF5"/>
    <w:rsid w:val="00AC4B52"/>
    <w:rsid w:val="00AC4F23"/>
    <w:rsid w:val="00AC53FA"/>
    <w:rsid w:val="00AC58A6"/>
    <w:rsid w:val="00AC5E9E"/>
    <w:rsid w:val="00AC5F3C"/>
    <w:rsid w:val="00AC5F5D"/>
    <w:rsid w:val="00AC6192"/>
    <w:rsid w:val="00AC68A1"/>
    <w:rsid w:val="00AC6A8C"/>
    <w:rsid w:val="00AC6E0F"/>
    <w:rsid w:val="00AC7065"/>
    <w:rsid w:val="00AC7324"/>
    <w:rsid w:val="00AC775B"/>
    <w:rsid w:val="00AC7A7E"/>
    <w:rsid w:val="00AD0150"/>
    <w:rsid w:val="00AD0466"/>
    <w:rsid w:val="00AD0506"/>
    <w:rsid w:val="00AD0B18"/>
    <w:rsid w:val="00AD0C5E"/>
    <w:rsid w:val="00AD0CEC"/>
    <w:rsid w:val="00AD1083"/>
    <w:rsid w:val="00AD1160"/>
    <w:rsid w:val="00AD1320"/>
    <w:rsid w:val="00AD175E"/>
    <w:rsid w:val="00AD181B"/>
    <w:rsid w:val="00AD1A46"/>
    <w:rsid w:val="00AD1C4D"/>
    <w:rsid w:val="00AD202F"/>
    <w:rsid w:val="00AD23EB"/>
    <w:rsid w:val="00AD2401"/>
    <w:rsid w:val="00AD27D2"/>
    <w:rsid w:val="00AD2848"/>
    <w:rsid w:val="00AD28A0"/>
    <w:rsid w:val="00AD2A3B"/>
    <w:rsid w:val="00AD2C5D"/>
    <w:rsid w:val="00AD2CA6"/>
    <w:rsid w:val="00AD2D7D"/>
    <w:rsid w:val="00AD2FCB"/>
    <w:rsid w:val="00AD3224"/>
    <w:rsid w:val="00AD333B"/>
    <w:rsid w:val="00AD33C7"/>
    <w:rsid w:val="00AD3532"/>
    <w:rsid w:val="00AD389A"/>
    <w:rsid w:val="00AD38B3"/>
    <w:rsid w:val="00AD3B1A"/>
    <w:rsid w:val="00AD3C12"/>
    <w:rsid w:val="00AD3C85"/>
    <w:rsid w:val="00AD3CC1"/>
    <w:rsid w:val="00AD3EDF"/>
    <w:rsid w:val="00AD3F43"/>
    <w:rsid w:val="00AD40A7"/>
    <w:rsid w:val="00AD442F"/>
    <w:rsid w:val="00AD4590"/>
    <w:rsid w:val="00AD468B"/>
    <w:rsid w:val="00AD49C2"/>
    <w:rsid w:val="00AD4B07"/>
    <w:rsid w:val="00AD4D8B"/>
    <w:rsid w:val="00AD50A2"/>
    <w:rsid w:val="00AD52CB"/>
    <w:rsid w:val="00AD5385"/>
    <w:rsid w:val="00AD5849"/>
    <w:rsid w:val="00AD5CD9"/>
    <w:rsid w:val="00AD5F0F"/>
    <w:rsid w:val="00AD5FA9"/>
    <w:rsid w:val="00AD61E3"/>
    <w:rsid w:val="00AD6250"/>
    <w:rsid w:val="00AD6397"/>
    <w:rsid w:val="00AD6693"/>
    <w:rsid w:val="00AD6868"/>
    <w:rsid w:val="00AD6A82"/>
    <w:rsid w:val="00AD6C9A"/>
    <w:rsid w:val="00AD72A9"/>
    <w:rsid w:val="00AD761C"/>
    <w:rsid w:val="00AD76D4"/>
    <w:rsid w:val="00AD7779"/>
    <w:rsid w:val="00AE0218"/>
    <w:rsid w:val="00AE025F"/>
    <w:rsid w:val="00AE0709"/>
    <w:rsid w:val="00AE0872"/>
    <w:rsid w:val="00AE0927"/>
    <w:rsid w:val="00AE0BED"/>
    <w:rsid w:val="00AE0D55"/>
    <w:rsid w:val="00AE0FD2"/>
    <w:rsid w:val="00AE15FE"/>
    <w:rsid w:val="00AE16DE"/>
    <w:rsid w:val="00AE1792"/>
    <w:rsid w:val="00AE1C23"/>
    <w:rsid w:val="00AE1D34"/>
    <w:rsid w:val="00AE1DAD"/>
    <w:rsid w:val="00AE205B"/>
    <w:rsid w:val="00AE20F5"/>
    <w:rsid w:val="00AE27B3"/>
    <w:rsid w:val="00AE2A45"/>
    <w:rsid w:val="00AE2AEB"/>
    <w:rsid w:val="00AE2E8C"/>
    <w:rsid w:val="00AE2F47"/>
    <w:rsid w:val="00AE3636"/>
    <w:rsid w:val="00AE4883"/>
    <w:rsid w:val="00AE4B57"/>
    <w:rsid w:val="00AE4CB2"/>
    <w:rsid w:val="00AE4CEE"/>
    <w:rsid w:val="00AE4D95"/>
    <w:rsid w:val="00AE4F91"/>
    <w:rsid w:val="00AE5B08"/>
    <w:rsid w:val="00AE5D3E"/>
    <w:rsid w:val="00AE5DB4"/>
    <w:rsid w:val="00AE5DEA"/>
    <w:rsid w:val="00AE5ED8"/>
    <w:rsid w:val="00AE60D0"/>
    <w:rsid w:val="00AE63CA"/>
    <w:rsid w:val="00AE67BA"/>
    <w:rsid w:val="00AE6A69"/>
    <w:rsid w:val="00AE6B81"/>
    <w:rsid w:val="00AE6CAA"/>
    <w:rsid w:val="00AE6EBC"/>
    <w:rsid w:val="00AE76D1"/>
    <w:rsid w:val="00AE79CF"/>
    <w:rsid w:val="00AE79D6"/>
    <w:rsid w:val="00AE7AAD"/>
    <w:rsid w:val="00AE7FC9"/>
    <w:rsid w:val="00AF0447"/>
    <w:rsid w:val="00AF0679"/>
    <w:rsid w:val="00AF0727"/>
    <w:rsid w:val="00AF08D7"/>
    <w:rsid w:val="00AF1A18"/>
    <w:rsid w:val="00AF1A4F"/>
    <w:rsid w:val="00AF1A86"/>
    <w:rsid w:val="00AF1EC0"/>
    <w:rsid w:val="00AF1FFB"/>
    <w:rsid w:val="00AF2050"/>
    <w:rsid w:val="00AF20E5"/>
    <w:rsid w:val="00AF25F2"/>
    <w:rsid w:val="00AF2CE7"/>
    <w:rsid w:val="00AF2E06"/>
    <w:rsid w:val="00AF3009"/>
    <w:rsid w:val="00AF3133"/>
    <w:rsid w:val="00AF33C4"/>
    <w:rsid w:val="00AF3B83"/>
    <w:rsid w:val="00AF3BE5"/>
    <w:rsid w:val="00AF40A4"/>
    <w:rsid w:val="00AF4240"/>
    <w:rsid w:val="00AF4330"/>
    <w:rsid w:val="00AF452C"/>
    <w:rsid w:val="00AF47BD"/>
    <w:rsid w:val="00AF4F50"/>
    <w:rsid w:val="00AF5128"/>
    <w:rsid w:val="00AF5766"/>
    <w:rsid w:val="00AF582E"/>
    <w:rsid w:val="00AF5F91"/>
    <w:rsid w:val="00AF66A5"/>
    <w:rsid w:val="00AF6AC4"/>
    <w:rsid w:val="00AF6BAB"/>
    <w:rsid w:val="00AF6BB3"/>
    <w:rsid w:val="00AF6C1D"/>
    <w:rsid w:val="00AF7284"/>
    <w:rsid w:val="00AF749B"/>
    <w:rsid w:val="00AF74BE"/>
    <w:rsid w:val="00AF7620"/>
    <w:rsid w:val="00AF7AB1"/>
    <w:rsid w:val="00AF7B09"/>
    <w:rsid w:val="00B00396"/>
    <w:rsid w:val="00B00399"/>
    <w:rsid w:val="00B00721"/>
    <w:rsid w:val="00B0166B"/>
    <w:rsid w:val="00B01FAC"/>
    <w:rsid w:val="00B02A88"/>
    <w:rsid w:val="00B02AE2"/>
    <w:rsid w:val="00B02E97"/>
    <w:rsid w:val="00B02F7F"/>
    <w:rsid w:val="00B02F80"/>
    <w:rsid w:val="00B037F5"/>
    <w:rsid w:val="00B04785"/>
    <w:rsid w:val="00B04B03"/>
    <w:rsid w:val="00B04FC8"/>
    <w:rsid w:val="00B05672"/>
    <w:rsid w:val="00B05988"/>
    <w:rsid w:val="00B05AC9"/>
    <w:rsid w:val="00B05F90"/>
    <w:rsid w:val="00B06390"/>
    <w:rsid w:val="00B063A7"/>
    <w:rsid w:val="00B06442"/>
    <w:rsid w:val="00B066EC"/>
    <w:rsid w:val="00B067CB"/>
    <w:rsid w:val="00B0680E"/>
    <w:rsid w:val="00B06A2C"/>
    <w:rsid w:val="00B06B0D"/>
    <w:rsid w:val="00B070E0"/>
    <w:rsid w:val="00B0737C"/>
    <w:rsid w:val="00B073E6"/>
    <w:rsid w:val="00B076E6"/>
    <w:rsid w:val="00B0770E"/>
    <w:rsid w:val="00B07F6C"/>
    <w:rsid w:val="00B10114"/>
    <w:rsid w:val="00B1043C"/>
    <w:rsid w:val="00B10868"/>
    <w:rsid w:val="00B109CF"/>
    <w:rsid w:val="00B10AA9"/>
    <w:rsid w:val="00B112A5"/>
    <w:rsid w:val="00B114E2"/>
    <w:rsid w:val="00B116BD"/>
    <w:rsid w:val="00B11749"/>
    <w:rsid w:val="00B117A1"/>
    <w:rsid w:val="00B1181B"/>
    <w:rsid w:val="00B119BD"/>
    <w:rsid w:val="00B119CE"/>
    <w:rsid w:val="00B11B6E"/>
    <w:rsid w:val="00B11CF6"/>
    <w:rsid w:val="00B11F8D"/>
    <w:rsid w:val="00B121DF"/>
    <w:rsid w:val="00B12291"/>
    <w:rsid w:val="00B12364"/>
    <w:rsid w:val="00B1272A"/>
    <w:rsid w:val="00B1286F"/>
    <w:rsid w:val="00B12A77"/>
    <w:rsid w:val="00B12CAA"/>
    <w:rsid w:val="00B13188"/>
    <w:rsid w:val="00B13418"/>
    <w:rsid w:val="00B13934"/>
    <w:rsid w:val="00B13ABF"/>
    <w:rsid w:val="00B13B1C"/>
    <w:rsid w:val="00B13FEC"/>
    <w:rsid w:val="00B14418"/>
    <w:rsid w:val="00B1452B"/>
    <w:rsid w:val="00B14DF7"/>
    <w:rsid w:val="00B14E2C"/>
    <w:rsid w:val="00B14F97"/>
    <w:rsid w:val="00B153F6"/>
    <w:rsid w:val="00B15A59"/>
    <w:rsid w:val="00B15C7C"/>
    <w:rsid w:val="00B15F20"/>
    <w:rsid w:val="00B15F4F"/>
    <w:rsid w:val="00B1636A"/>
    <w:rsid w:val="00B16668"/>
    <w:rsid w:val="00B16B1F"/>
    <w:rsid w:val="00B16BE6"/>
    <w:rsid w:val="00B16C5E"/>
    <w:rsid w:val="00B16D40"/>
    <w:rsid w:val="00B16E91"/>
    <w:rsid w:val="00B1704B"/>
    <w:rsid w:val="00B17130"/>
    <w:rsid w:val="00B17EB6"/>
    <w:rsid w:val="00B200D2"/>
    <w:rsid w:val="00B205E8"/>
    <w:rsid w:val="00B207A1"/>
    <w:rsid w:val="00B20801"/>
    <w:rsid w:val="00B20D0B"/>
    <w:rsid w:val="00B20DB3"/>
    <w:rsid w:val="00B20E77"/>
    <w:rsid w:val="00B20E78"/>
    <w:rsid w:val="00B20F81"/>
    <w:rsid w:val="00B21272"/>
    <w:rsid w:val="00B2176A"/>
    <w:rsid w:val="00B21A25"/>
    <w:rsid w:val="00B21B5A"/>
    <w:rsid w:val="00B21F76"/>
    <w:rsid w:val="00B224DF"/>
    <w:rsid w:val="00B225B6"/>
    <w:rsid w:val="00B22660"/>
    <w:rsid w:val="00B226D4"/>
    <w:rsid w:val="00B22C87"/>
    <w:rsid w:val="00B22E53"/>
    <w:rsid w:val="00B22EC3"/>
    <w:rsid w:val="00B2310F"/>
    <w:rsid w:val="00B2363E"/>
    <w:rsid w:val="00B2380C"/>
    <w:rsid w:val="00B23AEB"/>
    <w:rsid w:val="00B23DD8"/>
    <w:rsid w:val="00B242E1"/>
    <w:rsid w:val="00B24510"/>
    <w:rsid w:val="00B2453C"/>
    <w:rsid w:val="00B24C3D"/>
    <w:rsid w:val="00B24D62"/>
    <w:rsid w:val="00B24E30"/>
    <w:rsid w:val="00B24FC2"/>
    <w:rsid w:val="00B250D3"/>
    <w:rsid w:val="00B253C3"/>
    <w:rsid w:val="00B254BA"/>
    <w:rsid w:val="00B25A33"/>
    <w:rsid w:val="00B25E89"/>
    <w:rsid w:val="00B25E9E"/>
    <w:rsid w:val="00B26C2C"/>
    <w:rsid w:val="00B26D91"/>
    <w:rsid w:val="00B26F3D"/>
    <w:rsid w:val="00B2710C"/>
    <w:rsid w:val="00B27328"/>
    <w:rsid w:val="00B2742A"/>
    <w:rsid w:val="00B27691"/>
    <w:rsid w:val="00B2794F"/>
    <w:rsid w:val="00B2797F"/>
    <w:rsid w:val="00B305B3"/>
    <w:rsid w:val="00B30679"/>
    <w:rsid w:val="00B30721"/>
    <w:rsid w:val="00B31078"/>
    <w:rsid w:val="00B31167"/>
    <w:rsid w:val="00B3139B"/>
    <w:rsid w:val="00B314FA"/>
    <w:rsid w:val="00B31589"/>
    <w:rsid w:val="00B318ED"/>
    <w:rsid w:val="00B319C8"/>
    <w:rsid w:val="00B31DE3"/>
    <w:rsid w:val="00B31ED0"/>
    <w:rsid w:val="00B31FE4"/>
    <w:rsid w:val="00B320BF"/>
    <w:rsid w:val="00B3253E"/>
    <w:rsid w:val="00B32B51"/>
    <w:rsid w:val="00B32F63"/>
    <w:rsid w:val="00B332CA"/>
    <w:rsid w:val="00B335BF"/>
    <w:rsid w:val="00B338F4"/>
    <w:rsid w:val="00B33B53"/>
    <w:rsid w:val="00B33BB2"/>
    <w:rsid w:val="00B33BEF"/>
    <w:rsid w:val="00B33E3F"/>
    <w:rsid w:val="00B3440C"/>
    <w:rsid w:val="00B346E1"/>
    <w:rsid w:val="00B34774"/>
    <w:rsid w:val="00B347D6"/>
    <w:rsid w:val="00B34C22"/>
    <w:rsid w:val="00B34C3B"/>
    <w:rsid w:val="00B34CC3"/>
    <w:rsid w:val="00B35269"/>
    <w:rsid w:val="00B35386"/>
    <w:rsid w:val="00B35431"/>
    <w:rsid w:val="00B35C17"/>
    <w:rsid w:val="00B35E49"/>
    <w:rsid w:val="00B35F0B"/>
    <w:rsid w:val="00B36347"/>
    <w:rsid w:val="00B36727"/>
    <w:rsid w:val="00B368C4"/>
    <w:rsid w:val="00B36B07"/>
    <w:rsid w:val="00B36C1E"/>
    <w:rsid w:val="00B36C66"/>
    <w:rsid w:val="00B36E3F"/>
    <w:rsid w:val="00B37218"/>
    <w:rsid w:val="00B37817"/>
    <w:rsid w:val="00B37849"/>
    <w:rsid w:val="00B37DFB"/>
    <w:rsid w:val="00B37DFC"/>
    <w:rsid w:val="00B4059B"/>
    <w:rsid w:val="00B406E3"/>
    <w:rsid w:val="00B408D3"/>
    <w:rsid w:val="00B408D8"/>
    <w:rsid w:val="00B40B6A"/>
    <w:rsid w:val="00B40D3D"/>
    <w:rsid w:val="00B40D79"/>
    <w:rsid w:val="00B40F1D"/>
    <w:rsid w:val="00B41092"/>
    <w:rsid w:val="00B4117F"/>
    <w:rsid w:val="00B4159A"/>
    <w:rsid w:val="00B415C2"/>
    <w:rsid w:val="00B4180C"/>
    <w:rsid w:val="00B4196D"/>
    <w:rsid w:val="00B41C46"/>
    <w:rsid w:val="00B41DEC"/>
    <w:rsid w:val="00B42301"/>
    <w:rsid w:val="00B42725"/>
    <w:rsid w:val="00B4293E"/>
    <w:rsid w:val="00B429BE"/>
    <w:rsid w:val="00B42B30"/>
    <w:rsid w:val="00B42B6D"/>
    <w:rsid w:val="00B43030"/>
    <w:rsid w:val="00B43C00"/>
    <w:rsid w:val="00B43EDB"/>
    <w:rsid w:val="00B4424B"/>
    <w:rsid w:val="00B44563"/>
    <w:rsid w:val="00B44C4E"/>
    <w:rsid w:val="00B44C83"/>
    <w:rsid w:val="00B44C85"/>
    <w:rsid w:val="00B44DB6"/>
    <w:rsid w:val="00B44DBD"/>
    <w:rsid w:val="00B45277"/>
    <w:rsid w:val="00B455BE"/>
    <w:rsid w:val="00B4578C"/>
    <w:rsid w:val="00B45945"/>
    <w:rsid w:val="00B45DD3"/>
    <w:rsid w:val="00B45FBA"/>
    <w:rsid w:val="00B46230"/>
    <w:rsid w:val="00B468B7"/>
    <w:rsid w:val="00B46B02"/>
    <w:rsid w:val="00B46CD3"/>
    <w:rsid w:val="00B46DE0"/>
    <w:rsid w:val="00B4799C"/>
    <w:rsid w:val="00B479CB"/>
    <w:rsid w:val="00B47AE8"/>
    <w:rsid w:val="00B47AEF"/>
    <w:rsid w:val="00B504CC"/>
    <w:rsid w:val="00B50502"/>
    <w:rsid w:val="00B5083E"/>
    <w:rsid w:val="00B5085E"/>
    <w:rsid w:val="00B50921"/>
    <w:rsid w:val="00B50A61"/>
    <w:rsid w:val="00B50A91"/>
    <w:rsid w:val="00B50DCC"/>
    <w:rsid w:val="00B50DD7"/>
    <w:rsid w:val="00B50E0D"/>
    <w:rsid w:val="00B50E22"/>
    <w:rsid w:val="00B50E89"/>
    <w:rsid w:val="00B50F7E"/>
    <w:rsid w:val="00B51040"/>
    <w:rsid w:val="00B51280"/>
    <w:rsid w:val="00B51C43"/>
    <w:rsid w:val="00B51CD3"/>
    <w:rsid w:val="00B521A9"/>
    <w:rsid w:val="00B523B2"/>
    <w:rsid w:val="00B52690"/>
    <w:rsid w:val="00B52832"/>
    <w:rsid w:val="00B52E6D"/>
    <w:rsid w:val="00B53160"/>
    <w:rsid w:val="00B5347E"/>
    <w:rsid w:val="00B534AA"/>
    <w:rsid w:val="00B536DF"/>
    <w:rsid w:val="00B53CD5"/>
    <w:rsid w:val="00B54029"/>
    <w:rsid w:val="00B541BD"/>
    <w:rsid w:val="00B54712"/>
    <w:rsid w:val="00B54999"/>
    <w:rsid w:val="00B54BBD"/>
    <w:rsid w:val="00B54BEE"/>
    <w:rsid w:val="00B54FB3"/>
    <w:rsid w:val="00B551F4"/>
    <w:rsid w:val="00B5535A"/>
    <w:rsid w:val="00B55434"/>
    <w:rsid w:val="00B55AE2"/>
    <w:rsid w:val="00B55B83"/>
    <w:rsid w:val="00B55CF6"/>
    <w:rsid w:val="00B55D34"/>
    <w:rsid w:val="00B55E1B"/>
    <w:rsid w:val="00B55F94"/>
    <w:rsid w:val="00B56367"/>
    <w:rsid w:val="00B563F3"/>
    <w:rsid w:val="00B5644B"/>
    <w:rsid w:val="00B56C54"/>
    <w:rsid w:val="00B56EBE"/>
    <w:rsid w:val="00B56FAD"/>
    <w:rsid w:val="00B57069"/>
    <w:rsid w:val="00B5756A"/>
    <w:rsid w:val="00B57AE1"/>
    <w:rsid w:val="00B57C52"/>
    <w:rsid w:val="00B57CBB"/>
    <w:rsid w:val="00B600EE"/>
    <w:rsid w:val="00B60352"/>
    <w:rsid w:val="00B60A22"/>
    <w:rsid w:val="00B60A85"/>
    <w:rsid w:val="00B60C2F"/>
    <w:rsid w:val="00B6148C"/>
    <w:rsid w:val="00B617DF"/>
    <w:rsid w:val="00B61AAF"/>
    <w:rsid w:val="00B61B30"/>
    <w:rsid w:val="00B61C7B"/>
    <w:rsid w:val="00B621EC"/>
    <w:rsid w:val="00B62392"/>
    <w:rsid w:val="00B62511"/>
    <w:rsid w:val="00B625B7"/>
    <w:rsid w:val="00B6288E"/>
    <w:rsid w:val="00B629F4"/>
    <w:rsid w:val="00B62A2C"/>
    <w:rsid w:val="00B62C5D"/>
    <w:rsid w:val="00B62EC8"/>
    <w:rsid w:val="00B63125"/>
    <w:rsid w:val="00B6312C"/>
    <w:rsid w:val="00B6344D"/>
    <w:rsid w:val="00B63551"/>
    <w:rsid w:val="00B63560"/>
    <w:rsid w:val="00B63BFA"/>
    <w:rsid w:val="00B63CF1"/>
    <w:rsid w:val="00B63FAA"/>
    <w:rsid w:val="00B64258"/>
    <w:rsid w:val="00B64C25"/>
    <w:rsid w:val="00B64D20"/>
    <w:rsid w:val="00B652BC"/>
    <w:rsid w:val="00B660F2"/>
    <w:rsid w:val="00B6632D"/>
    <w:rsid w:val="00B66E73"/>
    <w:rsid w:val="00B66FC9"/>
    <w:rsid w:val="00B6704F"/>
    <w:rsid w:val="00B672B0"/>
    <w:rsid w:val="00B674D7"/>
    <w:rsid w:val="00B6759C"/>
    <w:rsid w:val="00B67E1B"/>
    <w:rsid w:val="00B67EEB"/>
    <w:rsid w:val="00B70075"/>
    <w:rsid w:val="00B7038B"/>
    <w:rsid w:val="00B7082E"/>
    <w:rsid w:val="00B70B7F"/>
    <w:rsid w:val="00B70E53"/>
    <w:rsid w:val="00B7120C"/>
    <w:rsid w:val="00B71287"/>
    <w:rsid w:val="00B71309"/>
    <w:rsid w:val="00B7186B"/>
    <w:rsid w:val="00B719A9"/>
    <w:rsid w:val="00B71DDF"/>
    <w:rsid w:val="00B71EC4"/>
    <w:rsid w:val="00B71FA9"/>
    <w:rsid w:val="00B722BA"/>
    <w:rsid w:val="00B7270D"/>
    <w:rsid w:val="00B72C35"/>
    <w:rsid w:val="00B72C81"/>
    <w:rsid w:val="00B72CD8"/>
    <w:rsid w:val="00B72FB3"/>
    <w:rsid w:val="00B7314B"/>
    <w:rsid w:val="00B732AB"/>
    <w:rsid w:val="00B734C4"/>
    <w:rsid w:val="00B736D5"/>
    <w:rsid w:val="00B736E8"/>
    <w:rsid w:val="00B73821"/>
    <w:rsid w:val="00B73E66"/>
    <w:rsid w:val="00B73FAC"/>
    <w:rsid w:val="00B740DD"/>
    <w:rsid w:val="00B74299"/>
    <w:rsid w:val="00B74837"/>
    <w:rsid w:val="00B74B4F"/>
    <w:rsid w:val="00B74F1F"/>
    <w:rsid w:val="00B750D7"/>
    <w:rsid w:val="00B751D1"/>
    <w:rsid w:val="00B7557F"/>
    <w:rsid w:val="00B75AB9"/>
    <w:rsid w:val="00B75DB7"/>
    <w:rsid w:val="00B75FE9"/>
    <w:rsid w:val="00B75FFA"/>
    <w:rsid w:val="00B76189"/>
    <w:rsid w:val="00B762B1"/>
    <w:rsid w:val="00B76446"/>
    <w:rsid w:val="00B764E0"/>
    <w:rsid w:val="00B76B5D"/>
    <w:rsid w:val="00B7723E"/>
    <w:rsid w:val="00B7730B"/>
    <w:rsid w:val="00B773A1"/>
    <w:rsid w:val="00B777B8"/>
    <w:rsid w:val="00B77AAA"/>
    <w:rsid w:val="00B77C0E"/>
    <w:rsid w:val="00B77D6E"/>
    <w:rsid w:val="00B77EA8"/>
    <w:rsid w:val="00B8003B"/>
    <w:rsid w:val="00B8090B"/>
    <w:rsid w:val="00B80C7D"/>
    <w:rsid w:val="00B8143C"/>
    <w:rsid w:val="00B814E6"/>
    <w:rsid w:val="00B81540"/>
    <w:rsid w:val="00B81AC0"/>
    <w:rsid w:val="00B81BDC"/>
    <w:rsid w:val="00B821DC"/>
    <w:rsid w:val="00B82247"/>
    <w:rsid w:val="00B822AD"/>
    <w:rsid w:val="00B8256F"/>
    <w:rsid w:val="00B82C70"/>
    <w:rsid w:val="00B82CC7"/>
    <w:rsid w:val="00B830C9"/>
    <w:rsid w:val="00B834C8"/>
    <w:rsid w:val="00B83588"/>
    <w:rsid w:val="00B836A8"/>
    <w:rsid w:val="00B83B26"/>
    <w:rsid w:val="00B8407F"/>
    <w:rsid w:val="00B842C4"/>
    <w:rsid w:val="00B84630"/>
    <w:rsid w:val="00B8465F"/>
    <w:rsid w:val="00B84896"/>
    <w:rsid w:val="00B849EC"/>
    <w:rsid w:val="00B84E62"/>
    <w:rsid w:val="00B84F80"/>
    <w:rsid w:val="00B8502C"/>
    <w:rsid w:val="00B8531F"/>
    <w:rsid w:val="00B85473"/>
    <w:rsid w:val="00B856C9"/>
    <w:rsid w:val="00B862D7"/>
    <w:rsid w:val="00B862FC"/>
    <w:rsid w:val="00B8636B"/>
    <w:rsid w:val="00B8638E"/>
    <w:rsid w:val="00B868ED"/>
    <w:rsid w:val="00B86A03"/>
    <w:rsid w:val="00B86C58"/>
    <w:rsid w:val="00B86CD1"/>
    <w:rsid w:val="00B86D71"/>
    <w:rsid w:val="00B87369"/>
    <w:rsid w:val="00B873B6"/>
    <w:rsid w:val="00B87F25"/>
    <w:rsid w:val="00B906D9"/>
    <w:rsid w:val="00B906E9"/>
    <w:rsid w:val="00B907EC"/>
    <w:rsid w:val="00B90863"/>
    <w:rsid w:val="00B90874"/>
    <w:rsid w:val="00B90961"/>
    <w:rsid w:val="00B90A66"/>
    <w:rsid w:val="00B90A80"/>
    <w:rsid w:val="00B90B9F"/>
    <w:rsid w:val="00B90E4F"/>
    <w:rsid w:val="00B90F1E"/>
    <w:rsid w:val="00B90F6D"/>
    <w:rsid w:val="00B90FCA"/>
    <w:rsid w:val="00B911BE"/>
    <w:rsid w:val="00B9122D"/>
    <w:rsid w:val="00B920D5"/>
    <w:rsid w:val="00B92345"/>
    <w:rsid w:val="00B92832"/>
    <w:rsid w:val="00B92B3A"/>
    <w:rsid w:val="00B93020"/>
    <w:rsid w:val="00B93155"/>
    <w:rsid w:val="00B932FB"/>
    <w:rsid w:val="00B93329"/>
    <w:rsid w:val="00B9373D"/>
    <w:rsid w:val="00B93754"/>
    <w:rsid w:val="00B93808"/>
    <w:rsid w:val="00B93EF6"/>
    <w:rsid w:val="00B93FA6"/>
    <w:rsid w:val="00B94A5D"/>
    <w:rsid w:val="00B94C0F"/>
    <w:rsid w:val="00B95147"/>
    <w:rsid w:val="00B955DB"/>
    <w:rsid w:val="00B96166"/>
    <w:rsid w:val="00B9628A"/>
    <w:rsid w:val="00B962E6"/>
    <w:rsid w:val="00B96628"/>
    <w:rsid w:val="00B968DC"/>
    <w:rsid w:val="00B96C2B"/>
    <w:rsid w:val="00B96E23"/>
    <w:rsid w:val="00B96F5E"/>
    <w:rsid w:val="00B97391"/>
    <w:rsid w:val="00B97396"/>
    <w:rsid w:val="00B9769E"/>
    <w:rsid w:val="00B9777D"/>
    <w:rsid w:val="00B979B9"/>
    <w:rsid w:val="00B97B84"/>
    <w:rsid w:val="00B97C55"/>
    <w:rsid w:val="00B97D40"/>
    <w:rsid w:val="00B97DAD"/>
    <w:rsid w:val="00BA0039"/>
    <w:rsid w:val="00BA0046"/>
    <w:rsid w:val="00BA0579"/>
    <w:rsid w:val="00BA08B0"/>
    <w:rsid w:val="00BA09FA"/>
    <w:rsid w:val="00BA0E58"/>
    <w:rsid w:val="00BA0F6E"/>
    <w:rsid w:val="00BA0F82"/>
    <w:rsid w:val="00BA1542"/>
    <w:rsid w:val="00BA155F"/>
    <w:rsid w:val="00BA1854"/>
    <w:rsid w:val="00BA18DD"/>
    <w:rsid w:val="00BA18F5"/>
    <w:rsid w:val="00BA1BBA"/>
    <w:rsid w:val="00BA1BF8"/>
    <w:rsid w:val="00BA1FF7"/>
    <w:rsid w:val="00BA20DD"/>
    <w:rsid w:val="00BA2416"/>
    <w:rsid w:val="00BA24B2"/>
    <w:rsid w:val="00BA2956"/>
    <w:rsid w:val="00BA345B"/>
    <w:rsid w:val="00BA3D28"/>
    <w:rsid w:val="00BA3F1E"/>
    <w:rsid w:val="00BA3F5F"/>
    <w:rsid w:val="00BA40B6"/>
    <w:rsid w:val="00BA44E5"/>
    <w:rsid w:val="00BA4779"/>
    <w:rsid w:val="00BA480B"/>
    <w:rsid w:val="00BA482B"/>
    <w:rsid w:val="00BA486D"/>
    <w:rsid w:val="00BA4899"/>
    <w:rsid w:val="00BA4A3D"/>
    <w:rsid w:val="00BA4A70"/>
    <w:rsid w:val="00BA4CF3"/>
    <w:rsid w:val="00BA5034"/>
    <w:rsid w:val="00BA51F3"/>
    <w:rsid w:val="00BA52E1"/>
    <w:rsid w:val="00BA54CF"/>
    <w:rsid w:val="00BA57A1"/>
    <w:rsid w:val="00BA59F0"/>
    <w:rsid w:val="00BA5D81"/>
    <w:rsid w:val="00BA5EE8"/>
    <w:rsid w:val="00BA68AD"/>
    <w:rsid w:val="00BA68BE"/>
    <w:rsid w:val="00BA6927"/>
    <w:rsid w:val="00BA6DFB"/>
    <w:rsid w:val="00BA6F4E"/>
    <w:rsid w:val="00BA72AE"/>
    <w:rsid w:val="00BA755C"/>
    <w:rsid w:val="00BA7756"/>
    <w:rsid w:val="00BA785C"/>
    <w:rsid w:val="00BA7B6F"/>
    <w:rsid w:val="00BA7C42"/>
    <w:rsid w:val="00BA7EF7"/>
    <w:rsid w:val="00BA7F11"/>
    <w:rsid w:val="00BA7F68"/>
    <w:rsid w:val="00BB0042"/>
    <w:rsid w:val="00BB006B"/>
    <w:rsid w:val="00BB05A1"/>
    <w:rsid w:val="00BB0775"/>
    <w:rsid w:val="00BB07C1"/>
    <w:rsid w:val="00BB0CB3"/>
    <w:rsid w:val="00BB1227"/>
    <w:rsid w:val="00BB1A68"/>
    <w:rsid w:val="00BB1F0A"/>
    <w:rsid w:val="00BB2097"/>
    <w:rsid w:val="00BB22CD"/>
    <w:rsid w:val="00BB22D2"/>
    <w:rsid w:val="00BB26C5"/>
    <w:rsid w:val="00BB2CCC"/>
    <w:rsid w:val="00BB2E1B"/>
    <w:rsid w:val="00BB3761"/>
    <w:rsid w:val="00BB3871"/>
    <w:rsid w:val="00BB3995"/>
    <w:rsid w:val="00BB3A9C"/>
    <w:rsid w:val="00BB3DDB"/>
    <w:rsid w:val="00BB3E5E"/>
    <w:rsid w:val="00BB3F08"/>
    <w:rsid w:val="00BB4251"/>
    <w:rsid w:val="00BB4E62"/>
    <w:rsid w:val="00BB4F50"/>
    <w:rsid w:val="00BB54A5"/>
    <w:rsid w:val="00BB5558"/>
    <w:rsid w:val="00BB5857"/>
    <w:rsid w:val="00BB5AB3"/>
    <w:rsid w:val="00BB5B78"/>
    <w:rsid w:val="00BB5E45"/>
    <w:rsid w:val="00BB608D"/>
    <w:rsid w:val="00BB6124"/>
    <w:rsid w:val="00BB61EE"/>
    <w:rsid w:val="00BB62EA"/>
    <w:rsid w:val="00BB635F"/>
    <w:rsid w:val="00BB6427"/>
    <w:rsid w:val="00BB6432"/>
    <w:rsid w:val="00BB6B5E"/>
    <w:rsid w:val="00BB6D66"/>
    <w:rsid w:val="00BB6D95"/>
    <w:rsid w:val="00BB6F9C"/>
    <w:rsid w:val="00BB7257"/>
    <w:rsid w:val="00BB7A05"/>
    <w:rsid w:val="00BB7DD9"/>
    <w:rsid w:val="00BB7DFA"/>
    <w:rsid w:val="00BC0134"/>
    <w:rsid w:val="00BC0200"/>
    <w:rsid w:val="00BC0386"/>
    <w:rsid w:val="00BC04B2"/>
    <w:rsid w:val="00BC0621"/>
    <w:rsid w:val="00BC0625"/>
    <w:rsid w:val="00BC0731"/>
    <w:rsid w:val="00BC077F"/>
    <w:rsid w:val="00BC090A"/>
    <w:rsid w:val="00BC09E0"/>
    <w:rsid w:val="00BC0DB5"/>
    <w:rsid w:val="00BC16DC"/>
    <w:rsid w:val="00BC17E6"/>
    <w:rsid w:val="00BC18D1"/>
    <w:rsid w:val="00BC18D2"/>
    <w:rsid w:val="00BC1C12"/>
    <w:rsid w:val="00BC1EFB"/>
    <w:rsid w:val="00BC29AB"/>
    <w:rsid w:val="00BC362E"/>
    <w:rsid w:val="00BC364B"/>
    <w:rsid w:val="00BC3A4C"/>
    <w:rsid w:val="00BC3BC8"/>
    <w:rsid w:val="00BC3FB2"/>
    <w:rsid w:val="00BC3FF3"/>
    <w:rsid w:val="00BC41DF"/>
    <w:rsid w:val="00BC440D"/>
    <w:rsid w:val="00BC46E7"/>
    <w:rsid w:val="00BC4A7B"/>
    <w:rsid w:val="00BC4D71"/>
    <w:rsid w:val="00BC4EF0"/>
    <w:rsid w:val="00BC527A"/>
    <w:rsid w:val="00BC52DC"/>
    <w:rsid w:val="00BC53F8"/>
    <w:rsid w:val="00BC5FC9"/>
    <w:rsid w:val="00BC611F"/>
    <w:rsid w:val="00BC665A"/>
    <w:rsid w:val="00BC66D6"/>
    <w:rsid w:val="00BC6A80"/>
    <w:rsid w:val="00BC6CBB"/>
    <w:rsid w:val="00BC6E67"/>
    <w:rsid w:val="00BC6F7F"/>
    <w:rsid w:val="00BC6FDF"/>
    <w:rsid w:val="00BC76CC"/>
    <w:rsid w:val="00BC79A9"/>
    <w:rsid w:val="00BC7D6A"/>
    <w:rsid w:val="00BC7F73"/>
    <w:rsid w:val="00BD02A1"/>
    <w:rsid w:val="00BD0A26"/>
    <w:rsid w:val="00BD0B1F"/>
    <w:rsid w:val="00BD0D96"/>
    <w:rsid w:val="00BD0DA3"/>
    <w:rsid w:val="00BD0DFB"/>
    <w:rsid w:val="00BD10E0"/>
    <w:rsid w:val="00BD1148"/>
    <w:rsid w:val="00BD119F"/>
    <w:rsid w:val="00BD12EE"/>
    <w:rsid w:val="00BD134D"/>
    <w:rsid w:val="00BD1495"/>
    <w:rsid w:val="00BD15BE"/>
    <w:rsid w:val="00BD1A15"/>
    <w:rsid w:val="00BD1BD3"/>
    <w:rsid w:val="00BD1E18"/>
    <w:rsid w:val="00BD2125"/>
    <w:rsid w:val="00BD2570"/>
    <w:rsid w:val="00BD2583"/>
    <w:rsid w:val="00BD28C1"/>
    <w:rsid w:val="00BD2AB8"/>
    <w:rsid w:val="00BD2CFD"/>
    <w:rsid w:val="00BD2F97"/>
    <w:rsid w:val="00BD3033"/>
    <w:rsid w:val="00BD3353"/>
    <w:rsid w:val="00BD355E"/>
    <w:rsid w:val="00BD36DA"/>
    <w:rsid w:val="00BD3A6D"/>
    <w:rsid w:val="00BD4052"/>
    <w:rsid w:val="00BD4B4C"/>
    <w:rsid w:val="00BD4C59"/>
    <w:rsid w:val="00BD4CA9"/>
    <w:rsid w:val="00BD4CCE"/>
    <w:rsid w:val="00BD4D3C"/>
    <w:rsid w:val="00BD51B0"/>
    <w:rsid w:val="00BD5561"/>
    <w:rsid w:val="00BD560A"/>
    <w:rsid w:val="00BD575A"/>
    <w:rsid w:val="00BD57F1"/>
    <w:rsid w:val="00BD5E33"/>
    <w:rsid w:val="00BD618C"/>
    <w:rsid w:val="00BD6313"/>
    <w:rsid w:val="00BD6421"/>
    <w:rsid w:val="00BD6530"/>
    <w:rsid w:val="00BD6A3C"/>
    <w:rsid w:val="00BD6C4A"/>
    <w:rsid w:val="00BD6E96"/>
    <w:rsid w:val="00BD72EC"/>
    <w:rsid w:val="00BD742A"/>
    <w:rsid w:val="00BD76C5"/>
    <w:rsid w:val="00BD76EC"/>
    <w:rsid w:val="00BE026B"/>
    <w:rsid w:val="00BE0283"/>
    <w:rsid w:val="00BE0345"/>
    <w:rsid w:val="00BE0696"/>
    <w:rsid w:val="00BE070B"/>
    <w:rsid w:val="00BE07B4"/>
    <w:rsid w:val="00BE096B"/>
    <w:rsid w:val="00BE0A73"/>
    <w:rsid w:val="00BE0EE2"/>
    <w:rsid w:val="00BE164B"/>
    <w:rsid w:val="00BE17E3"/>
    <w:rsid w:val="00BE1A77"/>
    <w:rsid w:val="00BE1C61"/>
    <w:rsid w:val="00BE1D5A"/>
    <w:rsid w:val="00BE1D7E"/>
    <w:rsid w:val="00BE20C0"/>
    <w:rsid w:val="00BE20FE"/>
    <w:rsid w:val="00BE2153"/>
    <w:rsid w:val="00BE221E"/>
    <w:rsid w:val="00BE2509"/>
    <w:rsid w:val="00BE27D0"/>
    <w:rsid w:val="00BE299F"/>
    <w:rsid w:val="00BE29A1"/>
    <w:rsid w:val="00BE2B32"/>
    <w:rsid w:val="00BE2C4E"/>
    <w:rsid w:val="00BE2DDA"/>
    <w:rsid w:val="00BE2DF4"/>
    <w:rsid w:val="00BE2F56"/>
    <w:rsid w:val="00BE3244"/>
    <w:rsid w:val="00BE329A"/>
    <w:rsid w:val="00BE3812"/>
    <w:rsid w:val="00BE395A"/>
    <w:rsid w:val="00BE3B03"/>
    <w:rsid w:val="00BE3F43"/>
    <w:rsid w:val="00BE4298"/>
    <w:rsid w:val="00BE4410"/>
    <w:rsid w:val="00BE458C"/>
    <w:rsid w:val="00BE45C2"/>
    <w:rsid w:val="00BE47FD"/>
    <w:rsid w:val="00BE4B1B"/>
    <w:rsid w:val="00BE4C2E"/>
    <w:rsid w:val="00BE4D3C"/>
    <w:rsid w:val="00BE4E59"/>
    <w:rsid w:val="00BE4E86"/>
    <w:rsid w:val="00BE532B"/>
    <w:rsid w:val="00BE53FF"/>
    <w:rsid w:val="00BE54C7"/>
    <w:rsid w:val="00BE5545"/>
    <w:rsid w:val="00BE58F7"/>
    <w:rsid w:val="00BE5C7A"/>
    <w:rsid w:val="00BE5D4A"/>
    <w:rsid w:val="00BE5F8C"/>
    <w:rsid w:val="00BE608C"/>
    <w:rsid w:val="00BE62B0"/>
    <w:rsid w:val="00BE62B2"/>
    <w:rsid w:val="00BE6732"/>
    <w:rsid w:val="00BE67BA"/>
    <w:rsid w:val="00BE6BD1"/>
    <w:rsid w:val="00BE6E16"/>
    <w:rsid w:val="00BE6EBC"/>
    <w:rsid w:val="00BE73F1"/>
    <w:rsid w:val="00BE75E8"/>
    <w:rsid w:val="00BE7DAC"/>
    <w:rsid w:val="00BF0029"/>
    <w:rsid w:val="00BF002E"/>
    <w:rsid w:val="00BF03D6"/>
    <w:rsid w:val="00BF03D7"/>
    <w:rsid w:val="00BF03F3"/>
    <w:rsid w:val="00BF050C"/>
    <w:rsid w:val="00BF0879"/>
    <w:rsid w:val="00BF0A3A"/>
    <w:rsid w:val="00BF0A3E"/>
    <w:rsid w:val="00BF0E22"/>
    <w:rsid w:val="00BF0E30"/>
    <w:rsid w:val="00BF12A8"/>
    <w:rsid w:val="00BF1423"/>
    <w:rsid w:val="00BF16CE"/>
    <w:rsid w:val="00BF16E6"/>
    <w:rsid w:val="00BF1BF6"/>
    <w:rsid w:val="00BF1CA6"/>
    <w:rsid w:val="00BF1E71"/>
    <w:rsid w:val="00BF228C"/>
    <w:rsid w:val="00BF2ACD"/>
    <w:rsid w:val="00BF2B4B"/>
    <w:rsid w:val="00BF2C6A"/>
    <w:rsid w:val="00BF37AF"/>
    <w:rsid w:val="00BF3BB2"/>
    <w:rsid w:val="00BF3DA2"/>
    <w:rsid w:val="00BF3EB9"/>
    <w:rsid w:val="00BF4005"/>
    <w:rsid w:val="00BF419C"/>
    <w:rsid w:val="00BF4428"/>
    <w:rsid w:val="00BF44C7"/>
    <w:rsid w:val="00BF4554"/>
    <w:rsid w:val="00BF4642"/>
    <w:rsid w:val="00BF4748"/>
    <w:rsid w:val="00BF48AA"/>
    <w:rsid w:val="00BF4A0B"/>
    <w:rsid w:val="00BF4A20"/>
    <w:rsid w:val="00BF4B0A"/>
    <w:rsid w:val="00BF4DE6"/>
    <w:rsid w:val="00BF4F37"/>
    <w:rsid w:val="00BF501A"/>
    <w:rsid w:val="00BF534D"/>
    <w:rsid w:val="00BF5454"/>
    <w:rsid w:val="00BF54D3"/>
    <w:rsid w:val="00BF5F9A"/>
    <w:rsid w:val="00BF653C"/>
    <w:rsid w:val="00BF6D88"/>
    <w:rsid w:val="00BF6F43"/>
    <w:rsid w:val="00BF7007"/>
    <w:rsid w:val="00BF723A"/>
    <w:rsid w:val="00BF7A2D"/>
    <w:rsid w:val="00BF7A7F"/>
    <w:rsid w:val="00BF7CAB"/>
    <w:rsid w:val="00C00120"/>
    <w:rsid w:val="00C00476"/>
    <w:rsid w:val="00C007B1"/>
    <w:rsid w:val="00C0093C"/>
    <w:rsid w:val="00C00BB3"/>
    <w:rsid w:val="00C00CF2"/>
    <w:rsid w:val="00C00E0A"/>
    <w:rsid w:val="00C01050"/>
    <w:rsid w:val="00C012CD"/>
    <w:rsid w:val="00C01A79"/>
    <w:rsid w:val="00C01C74"/>
    <w:rsid w:val="00C01C92"/>
    <w:rsid w:val="00C01EF5"/>
    <w:rsid w:val="00C02070"/>
    <w:rsid w:val="00C020A4"/>
    <w:rsid w:val="00C02307"/>
    <w:rsid w:val="00C025DF"/>
    <w:rsid w:val="00C02609"/>
    <w:rsid w:val="00C02B4E"/>
    <w:rsid w:val="00C02EA9"/>
    <w:rsid w:val="00C03287"/>
    <w:rsid w:val="00C035DB"/>
    <w:rsid w:val="00C03708"/>
    <w:rsid w:val="00C03798"/>
    <w:rsid w:val="00C03F1C"/>
    <w:rsid w:val="00C040E5"/>
    <w:rsid w:val="00C04376"/>
    <w:rsid w:val="00C048FF"/>
    <w:rsid w:val="00C04CAF"/>
    <w:rsid w:val="00C04D5A"/>
    <w:rsid w:val="00C04D8A"/>
    <w:rsid w:val="00C04F5D"/>
    <w:rsid w:val="00C05753"/>
    <w:rsid w:val="00C0589A"/>
    <w:rsid w:val="00C05BD0"/>
    <w:rsid w:val="00C05BE1"/>
    <w:rsid w:val="00C05F88"/>
    <w:rsid w:val="00C05FD6"/>
    <w:rsid w:val="00C0613E"/>
    <w:rsid w:val="00C06376"/>
    <w:rsid w:val="00C065E1"/>
    <w:rsid w:val="00C067AD"/>
    <w:rsid w:val="00C06839"/>
    <w:rsid w:val="00C069EC"/>
    <w:rsid w:val="00C069F8"/>
    <w:rsid w:val="00C07297"/>
    <w:rsid w:val="00C072FC"/>
    <w:rsid w:val="00C0782C"/>
    <w:rsid w:val="00C079E1"/>
    <w:rsid w:val="00C07A88"/>
    <w:rsid w:val="00C07FC8"/>
    <w:rsid w:val="00C10D9F"/>
    <w:rsid w:val="00C11164"/>
    <w:rsid w:val="00C11487"/>
    <w:rsid w:val="00C11607"/>
    <w:rsid w:val="00C1168B"/>
    <w:rsid w:val="00C119E0"/>
    <w:rsid w:val="00C11C1F"/>
    <w:rsid w:val="00C11E6E"/>
    <w:rsid w:val="00C11F50"/>
    <w:rsid w:val="00C122FB"/>
    <w:rsid w:val="00C1241A"/>
    <w:rsid w:val="00C12662"/>
    <w:rsid w:val="00C126E5"/>
    <w:rsid w:val="00C128E0"/>
    <w:rsid w:val="00C12B53"/>
    <w:rsid w:val="00C12D90"/>
    <w:rsid w:val="00C12DE2"/>
    <w:rsid w:val="00C12E0F"/>
    <w:rsid w:val="00C131E7"/>
    <w:rsid w:val="00C1336E"/>
    <w:rsid w:val="00C13806"/>
    <w:rsid w:val="00C139B8"/>
    <w:rsid w:val="00C139E4"/>
    <w:rsid w:val="00C13DA6"/>
    <w:rsid w:val="00C14553"/>
    <w:rsid w:val="00C146FF"/>
    <w:rsid w:val="00C14A6F"/>
    <w:rsid w:val="00C14B8B"/>
    <w:rsid w:val="00C14BEE"/>
    <w:rsid w:val="00C14C83"/>
    <w:rsid w:val="00C15012"/>
    <w:rsid w:val="00C150A8"/>
    <w:rsid w:val="00C154EF"/>
    <w:rsid w:val="00C156BE"/>
    <w:rsid w:val="00C15CCF"/>
    <w:rsid w:val="00C15CE9"/>
    <w:rsid w:val="00C15F38"/>
    <w:rsid w:val="00C16357"/>
    <w:rsid w:val="00C163E4"/>
    <w:rsid w:val="00C16413"/>
    <w:rsid w:val="00C166F1"/>
    <w:rsid w:val="00C1673C"/>
    <w:rsid w:val="00C16749"/>
    <w:rsid w:val="00C1684F"/>
    <w:rsid w:val="00C168D8"/>
    <w:rsid w:val="00C1692B"/>
    <w:rsid w:val="00C169A1"/>
    <w:rsid w:val="00C169A7"/>
    <w:rsid w:val="00C16A7A"/>
    <w:rsid w:val="00C16CC9"/>
    <w:rsid w:val="00C16E56"/>
    <w:rsid w:val="00C16ECF"/>
    <w:rsid w:val="00C1711C"/>
    <w:rsid w:val="00C1760E"/>
    <w:rsid w:val="00C17713"/>
    <w:rsid w:val="00C17A41"/>
    <w:rsid w:val="00C17AF7"/>
    <w:rsid w:val="00C17E43"/>
    <w:rsid w:val="00C201B5"/>
    <w:rsid w:val="00C20465"/>
    <w:rsid w:val="00C20601"/>
    <w:rsid w:val="00C206FE"/>
    <w:rsid w:val="00C20907"/>
    <w:rsid w:val="00C211AA"/>
    <w:rsid w:val="00C214BA"/>
    <w:rsid w:val="00C217FE"/>
    <w:rsid w:val="00C21F08"/>
    <w:rsid w:val="00C22265"/>
    <w:rsid w:val="00C22626"/>
    <w:rsid w:val="00C22660"/>
    <w:rsid w:val="00C2266F"/>
    <w:rsid w:val="00C226CF"/>
    <w:rsid w:val="00C22882"/>
    <w:rsid w:val="00C22F71"/>
    <w:rsid w:val="00C22FC1"/>
    <w:rsid w:val="00C233F0"/>
    <w:rsid w:val="00C23619"/>
    <w:rsid w:val="00C239EC"/>
    <w:rsid w:val="00C23A91"/>
    <w:rsid w:val="00C24017"/>
    <w:rsid w:val="00C24420"/>
    <w:rsid w:val="00C24B99"/>
    <w:rsid w:val="00C24BEF"/>
    <w:rsid w:val="00C24D0B"/>
    <w:rsid w:val="00C24ECF"/>
    <w:rsid w:val="00C2510C"/>
    <w:rsid w:val="00C25B7D"/>
    <w:rsid w:val="00C25C15"/>
    <w:rsid w:val="00C25C7D"/>
    <w:rsid w:val="00C25CF4"/>
    <w:rsid w:val="00C25DD3"/>
    <w:rsid w:val="00C25FE2"/>
    <w:rsid w:val="00C26008"/>
    <w:rsid w:val="00C263A7"/>
    <w:rsid w:val="00C2643D"/>
    <w:rsid w:val="00C2646A"/>
    <w:rsid w:val="00C2649B"/>
    <w:rsid w:val="00C26572"/>
    <w:rsid w:val="00C267B9"/>
    <w:rsid w:val="00C268D6"/>
    <w:rsid w:val="00C26CA7"/>
    <w:rsid w:val="00C27638"/>
    <w:rsid w:val="00C27868"/>
    <w:rsid w:val="00C27946"/>
    <w:rsid w:val="00C27A7B"/>
    <w:rsid w:val="00C27B65"/>
    <w:rsid w:val="00C27C04"/>
    <w:rsid w:val="00C27F69"/>
    <w:rsid w:val="00C3013C"/>
    <w:rsid w:val="00C30359"/>
    <w:rsid w:val="00C30413"/>
    <w:rsid w:val="00C30557"/>
    <w:rsid w:val="00C306AE"/>
    <w:rsid w:val="00C30A81"/>
    <w:rsid w:val="00C30B35"/>
    <w:rsid w:val="00C30BDE"/>
    <w:rsid w:val="00C30EAB"/>
    <w:rsid w:val="00C3106B"/>
    <w:rsid w:val="00C3123E"/>
    <w:rsid w:val="00C31380"/>
    <w:rsid w:val="00C31383"/>
    <w:rsid w:val="00C31595"/>
    <w:rsid w:val="00C31D60"/>
    <w:rsid w:val="00C31DF0"/>
    <w:rsid w:val="00C31EA8"/>
    <w:rsid w:val="00C31EAF"/>
    <w:rsid w:val="00C31F18"/>
    <w:rsid w:val="00C3212D"/>
    <w:rsid w:val="00C3235F"/>
    <w:rsid w:val="00C323B3"/>
    <w:rsid w:val="00C32482"/>
    <w:rsid w:val="00C32992"/>
    <w:rsid w:val="00C32EB7"/>
    <w:rsid w:val="00C33236"/>
    <w:rsid w:val="00C3353E"/>
    <w:rsid w:val="00C3375B"/>
    <w:rsid w:val="00C337D7"/>
    <w:rsid w:val="00C33EDD"/>
    <w:rsid w:val="00C33EFD"/>
    <w:rsid w:val="00C34264"/>
    <w:rsid w:val="00C34280"/>
    <w:rsid w:val="00C342F1"/>
    <w:rsid w:val="00C3437B"/>
    <w:rsid w:val="00C34A61"/>
    <w:rsid w:val="00C34C44"/>
    <w:rsid w:val="00C34FA0"/>
    <w:rsid w:val="00C3515F"/>
    <w:rsid w:val="00C35786"/>
    <w:rsid w:val="00C35991"/>
    <w:rsid w:val="00C35ADE"/>
    <w:rsid w:val="00C35E20"/>
    <w:rsid w:val="00C36058"/>
    <w:rsid w:val="00C362FD"/>
    <w:rsid w:val="00C3661E"/>
    <w:rsid w:val="00C369D2"/>
    <w:rsid w:val="00C36CD4"/>
    <w:rsid w:val="00C36E07"/>
    <w:rsid w:val="00C36F63"/>
    <w:rsid w:val="00C36FA2"/>
    <w:rsid w:val="00C36FC3"/>
    <w:rsid w:val="00C37129"/>
    <w:rsid w:val="00C371D6"/>
    <w:rsid w:val="00C37364"/>
    <w:rsid w:val="00C37AE5"/>
    <w:rsid w:val="00C37D7C"/>
    <w:rsid w:val="00C37DD6"/>
    <w:rsid w:val="00C37E1C"/>
    <w:rsid w:val="00C4022F"/>
    <w:rsid w:val="00C40973"/>
    <w:rsid w:val="00C40D7B"/>
    <w:rsid w:val="00C41459"/>
    <w:rsid w:val="00C4150B"/>
    <w:rsid w:val="00C41B50"/>
    <w:rsid w:val="00C41CD3"/>
    <w:rsid w:val="00C42321"/>
    <w:rsid w:val="00C42CCF"/>
    <w:rsid w:val="00C42CDE"/>
    <w:rsid w:val="00C42E5E"/>
    <w:rsid w:val="00C4337D"/>
    <w:rsid w:val="00C43964"/>
    <w:rsid w:val="00C43DCA"/>
    <w:rsid w:val="00C43ED8"/>
    <w:rsid w:val="00C443A0"/>
    <w:rsid w:val="00C44591"/>
    <w:rsid w:val="00C44A8E"/>
    <w:rsid w:val="00C44BC3"/>
    <w:rsid w:val="00C44D06"/>
    <w:rsid w:val="00C44E50"/>
    <w:rsid w:val="00C450B9"/>
    <w:rsid w:val="00C45247"/>
    <w:rsid w:val="00C454D7"/>
    <w:rsid w:val="00C45914"/>
    <w:rsid w:val="00C46302"/>
    <w:rsid w:val="00C4633A"/>
    <w:rsid w:val="00C464C0"/>
    <w:rsid w:val="00C4658D"/>
    <w:rsid w:val="00C46907"/>
    <w:rsid w:val="00C46962"/>
    <w:rsid w:val="00C46AA3"/>
    <w:rsid w:val="00C46D0C"/>
    <w:rsid w:val="00C47090"/>
    <w:rsid w:val="00C47129"/>
    <w:rsid w:val="00C47485"/>
    <w:rsid w:val="00C4760C"/>
    <w:rsid w:val="00C47E1C"/>
    <w:rsid w:val="00C47FDE"/>
    <w:rsid w:val="00C5070F"/>
    <w:rsid w:val="00C507C2"/>
    <w:rsid w:val="00C5084B"/>
    <w:rsid w:val="00C5085B"/>
    <w:rsid w:val="00C50935"/>
    <w:rsid w:val="00C50B2C"/>
    <w:rsid w:val="00C50BA6"/>
    <w:rsid w:val="00C50DB3"/>
    <w:rsid w:val="00C50DBC"/>
    <w:rsid w:val="00C50EB6"/>
    <w:rsid w:val="00C51B23"/>
    <w:rsid w:val="00C51BA2"/>
    <w:rsid w:val="00C51F56"/>
    <w:rsid w:val="00C521F5"/>
    <w:rsid w:val="00C52205"/>
    <w:rsid w:val="00C52591"/>
    <w:rsid w:val="00C52726"/>
    <w:rsid w:val="00C5272D"/>
    <w:rsid w:val="00C52819"/>
    <w:rsid w:val="00C52FE8"/>
    <w:rsid w:val="00C53216"/>
    <w:rsid w:val="00C5321B"/>
    <w:rsid w:val="00C53299"/>
    <w:rsid w:val="00C5360A"/>
    <w:rsid w:val="00C5392B"/>
    <w:rsid w:val="00C53942"/>
    <w:rsid w:val="00C53B4D"/>
    <w:rsid w:val="00C544E4"/>
    <w:rsid w:val="00C548C6"/>
    <w:rsid w:val="00C550F4"/>
    <w:rsid w:val="00C553B6"/>
    <w:rsid w:val="00C55548"/>
    <w:rsid w:val="00C555EF"/>
    <w:rsid w:val="00C55787"/>
    <w:rsid w:val="00C55C03"/>
    <w:rsid w:val="00C55C94"/>
    <w:rsid w:val="00C5614C"/>
    <w:rsid w:val="00C56900"/>
    <w:rsid w:val="00C56C16"/>
    <w:rsid w:val="00C57088"/>
    <w:rsid w:val="00C57417"/>
    <w:rsid w:val="00C57487"/>
    <w:rsid w:val="00C574B3"/>
    <w:rsid w:val="00C57B05"/>
    <w:rsid w:val="00C57BDD"/>
    <w:rsid w:val="00C57C26"/>
    <w:rsid w:val="00C60095"/>
    <w:rsid w:val="00C604A0"/>
    <w:rsid w:val="00C60712"/>
    <w:rsid w:val="00C6083B"/>
    <w:rsid w:val="00C6094C"/>
    <w:rsid w:val="00C60AF0"/>
    <w:rsid w:val="00C60F22"/>
    <w:rsid w:val="00C60FA7"/>
    <w:rsid w:val="00C611D7"/>
    <w:rsid w:val="00C6170A"/>
    <w:rsid w:val="00C61BAD"/>
    <w:rsid w:val="00C61BE2"/>
    <w:rsid w:val="00C62196"/>
    <w:rsid w:val="00C623A9"/>
    <w:rsid w:val="00C62416"/>
    <w:rsid w:val="00C62FFC"/>
    <w:rsid w:val="00C63370"/>
    <w:rsid w:val="00C646AC"/>
    <w:rsid w:val="00C64888"/>
    <w:rsid w:val="00C649B5"/>
    <w:rsid w:val="00C649D3"/>
    <w:rsid w:val="00C64A1A"/>
    <w:rsid w:val="00C64BB4"/>
    <w:rsid w:val="00C64DEB"/>
    <w:rsid w:val="00C64FF5"/>
    <w:rsid w:val="00C650C2"/>
    <w:rsid w:val="00C65246"/>
    <w:rsid w:val="00C65336"/>
    <w:rsid w:val="00C65686"/>
    <w:rsid w:val="00C6591B"/>
    <w:rsid w:val="00C65B36"/>
    <w:rsid w:val="00C65CDD"/>
    <w:rsid w:val="00C66263"/>
    <w:rsid w:val="00C663FB"/>
    <w:rsid w:val="00C665EF"/>
    <w:rsid w:val="00C666A3"/>
    <w:rsid w:val="00C666AC"/>
    <w:rsid w:val="00C66A7D"/>
    <w:rsid w:val="00C66D08"/>
    <w:rsid w:val="00C673C3"/>
    <w:rsid w:val="00C67C4D"/>
    <w:rsid w:val="00C67CB1"/>
    <w:rsid w:val="00C67CCC"/>
    <w:rsid w:val="00C67E2A"/>
    <w:rsid w:val="00C67EA2"/>
    <w:rsid w:val="00C706D1"/>
    <w:rsid w:val="00C710E9"/>
    <w:rsid w:val="00C710EE"/>
    <w:rsid w:val="00C711EE"/>
    <w:rsid w:val="00C713EF"/>
    <w:rsid w:val="00C715DE"/>
    <w:rsid w:val="00C717B3"/>
    <w:rsid w:val="00C71CFD"/>
    <w:rsid w:val="00C71EEE"/>
    <w:rsid w:val="00C72582"/>
    <w:rsid w:val="00C727B3"/>
    <w:rsid w:val="00C72997"/>
    <w:rsid w:val="00C729D5"/>
    <w:rsid w:val="00C72A5A"/>
    <w:rsid w:val="00C72D21"/>
    <w:rsid w:val="00C72EFB"/>
    <w:rsid w:val="00C73AB7"/>
    <w:rsid w:val="00C73B4C"/>
    <w:rsid w:val="00C73BF4"/>
    <w:rsid w:val="00C73E2E"/>
    <w:rsid w:val="00C74418"/>
    <w:rsid w:val="00C74448"/>
    <w:rsid w:val="00C7461E"/>
    <w:rsid w:val="00C74EA1"/>
    <w:rsid w:val="00C7511D"/>
    <w:rsid w:val="00C754B9"/>
    <w:rsid w:val="00C75597"/>
    <w:rsid w:val="00C7575C"/>
    <w:rsid w:val="00C75784"/>
    <w:rsid w:val="00C7582D"/>
    <w:rsid w:val="00C75ADC"/>
    <w:rsid w:val="00C75F61"/>
    <w:rsid w:val="00C75F96"/>
    <w:rsid w:val="00C76158"/>
    <w:rsid w:val="00C76801"/>
    <w:rsid w:val="00C7690B"/>
    <w:rsid w:val="00C76B7E"/>
    <w:rsid w:val="00C76C62"/>
    <w:rsid w:val="00C76D09"/>
    <w:rsid w:val="00C770CB"/>
    <w:rsid w:val="00C770F2"/>
    <w:rsid w:val="00C772FC"/>
    <w:rsid w:val="00C77992"/>
    <w:rsid w:val="00C779B5"/>
    <w:rsid w:val="00C779C7"/>
    <w:rsid w:val="00C779E6"/>
    <w:rsid w:val="00C800DD"/>
    <w:rsid w:val="00C80192"/>
    <w:rsid w:val="00C8034A"/>
    <w:rsid w:val="00C80395"/>
    <w:rsid w:val="00C80525"/>
    <w:rsid w:val="00C80ACB"/>
    <w:rsid w:val="00C80C10"/>
    <w:rsid w:val="00C812B6"/>
    <w:rsid w:val="00C81B61"/>
    <w:rsid w:val="00C81D9C"/>
    <w:rsid w:val="00C81E5D"/>
    <w:rsid w:val="00C81F0F"/>
    <w:rsid w:val="00C820B2"/>
    <w:rsid w:val="00C82135"/>
    <w:rsid w:val="00C82252"/>
    <w:rsid w:val="00C823A1"/>
    <w:rsid w:val="00C824B9"/>
    <w:rsid w:val="00C825A2"/>
    <w:rsid w:val="00C8270C"/>
    <w:rsid w:val="00C8284D"/>
    <w:rsid w:val="00C82ECC"/>
    <w:rsid w:val="00C82FD9"/>
    <w:rsid w:val="00C8332B"/>
    <w:rsid w:val="00C83660"/>
    <w:rsid w:val="00C83851"/>
    <w:rsid w:val="00C83984"/>
    <w:rsid w:val="00C83A20"/>
    <w:rsid w:val="00C83F48"/>
    <w:rsid w:val="00C8436D"/>
    <w:rsid w:val="00C84B20"/>
    <w:rsid w:val="00C84C01"/>
    <w:rsid w:val="00C84C6C"/>
    <w:rsid w:val="00C84C8F"/>
    <w:rsid w:val="00C84E5E"/>
    <w:rsid w:val="00C85395"/>
    <w:rsid w:val="00C8542B"/>
    <w:rsid w:val="00C858EB"/>
    <w:rsid w:val="00C859AB"/>
    <w:rsid w:val="00C85A01"/>
    <w:rsid w:val="00C85AD5"/>
    <w:rsid w:val="00C85BC4"/>
    <w:rsid w:val="00C85BF2"/>
    <w:rsid w:val="00C85EB3"/>
    <w:rsid w:val="00C85F95"/>
    <w:rsid w:val="00C860BA"/>
    <w:rsid w:val="00C861A0"/>
    <w:rsid w:val="00C86217"/>
    <w:rsid w:val="00C865B3"/>
    <w:rsid w:val="00C86687"/>
    <w:rsid w:val="00C867B0"/>
    <w:rsid w:val="00C870EF"/>
    <w:rsid w:val="00C872E6"/>
    <w:rsid w:val="00C8763A"/>
    <w:rsid w:val="00C876EA"/>
    <w:rsid w:val="00C87A78"/>
    <w:rsid w:val="00C87C67"/>
    <w:rsid w:val="00C87EDC"/>
    <w:rsid w:val="00C87F33"/>
    <w:rsid w:val="00C90120"/>
    <w:rsid w:val="00C90222"/>
    <w:rsid w:val="00C902E6"/>
    <w:rsid w:val="00C9030F"/>
    <w:rsid w:val="00C903B0"/>
    <w:rsid w:val="00C90453"/>
    <w:rsid w:val="00C908F2"/>
    <w:rsid w:val="00C9091B"/>
    <w:rsid w:val="00C90976"/>
    <w:rsid w:val="00C90B23"/>
    <w:rsid w:val="00C90E71"/>
    <w:rsid w:val="00C90E97"/>
    <w:rsid w:val="00C910CE"/>
    <w:rsid w:val="00C911C9"/>
    <w:rsid w:val="00C9120E"/>
    <w:rsid w:val="00C913FA"/>
    <w:rsid w:val="00C917CE"/>
    <w:rsid w:val="00C91B14"/>
    <w:rsid w:val="00C91BD2"/>
    <w:rsid w:val="00C92117"/>
    <w:rsid w:val="00C92147"/>
    <w:rsid w:val="00C922AA"/>
    <w:rsid w:val="00C92934"/>
    <w:rsid w:val="00C92ACF"/>
    <w:rsid w:val="00C93217"/>
    <w:rsid w:val="00C934AD"/>
    <w:rsid w:val="00C9375A"/>
    <w:rsid w:val="00C939AD"/>
    <w:rsid w:val="00C93A64"/>
    <w:rsid w:val="00C93D72"/>
    <w:rsid w:val="00C93FC2"/>
    <w:rsid w:val="00C94130"/>
    <w:rsid w:val="00C94336"/>
    <w:rsid w:val="00C9477B"/>
    <w:rsid w:val="00C948F0"/>
    <w:rsid w:val="00C94A85"/>
    <w:rsid w:val="00C94CAD"/>
    <w:rsid w:val="00C95206"/>
    <w:rsid w:val="00C95407"/>
    <w:rsid w:val="00C95AF1"/>
    <w:rsid w:val="00C95E09"/>
    <w:rsid w:val="00C95F95"/>
    <w:rsid w:val="00C96091"/>
    <w:rsid w:val="00C96A05"/>
    <w:rsid w:val="00C96A8B"/>
    <w:rsid w:val="00C971AB"/>
    <w:rsid w:val="00C9754A"/>
    <w:rsid w:val="00C97569"/>
    <w:rsid w:val="00C975E5"/>
    <w:rsid w:val="00C975E7"/>
    <w:rsid w:val="00C9768D"/>
    <w:rsid w:val="00C97750"/>
    <w:rsid w:val="00C97838"/>
    <w:rsid w:val="00C97A09"/>
    <w:rsid w:val="00C97A1D"/>
    <w:rsid w:val="00C97C79"/>
    <w:rsid w:val="00C97DCC"/>
    <w:rsid w:val="00C97DF3"/>
    <w:rsid w:val="00CA0030"/>
    <w:rsid w:val="00CA0202"/>
    <w:rsid w:val="00CA0593"/>
    <w:rsid w:val="00CA072F"/>
    <w:rsid w:val="00CA08CF"/>
    <w:rsid w:val="00CA0B04"/>
    <w:rsid w:val="00CA0E46"/>
    <w:rsid w:val="00CA110A"/>
    <w:rsid w:val="00CA1347"/>
    <w:rsid w:val="00CA19B9"/>
    <w:rsid w:val="00CA1F84"/>
    <w:rsid w:val="00CA2243"/>
    <w:rsid w:val="00CA25EF"/>
    <w:rsid w:val="00CA28EA"/>
    <w:rsid w:val="00CA2BB0"/>
    <w:rsid w:val="00CA2BD3"/>
    <w:rsid w:val="00CA2D5F"/>
    <w:rsid w:val="00CA3039"/>
    <w:rsid w:val="00CA3047"/>
    <w:rsid w:val="00CA3301"/>
    <w:rsid w:val="00CA3404"/>
    <w:rsid w:val="00CA36B1"/>
    <w:rsid w:val="00CA3725"/>
    <w:rsid w:val="00CA37B1"/>
    <w:rsid w:val="00CA398C"/>
    <w:rsid w:val="00CA3C5F"/>
    <w:rsid w:val="00CA3CAF"/>
    <w:rsid w:val="00CA414A"/>
    <w:rsid w:val="00CA4271"/>
    <w:rsid w:val="00CA44DE"/>
    <w:rsid w:val="00CA472F"/>
    <w:rsid w:val="00CA491C"/>
    <w:rsid w:val="00CA49F5"/>
    <w:rsid w:val="00CA4D1E"/>
    <w:rsid w:val="00CA4D61"/>
    <w:rsid w:val="00CA5027"/>
    <w:rsid w:val="00CA50D9"/>
    <w:rsid w:val="00CA5486"/>
    <w:rsid w:val="00CA569A"/>
    <w:rsid w:val="00CA574B"/>
    <w:rsid w:val="00CA5DA9"/>
    <w:rsid w:val="00CA5E61"/>
    <w:rsid w:val="00CA6001"/>
    <w:rsid w:val="00CA6389"/>
    <w:rsid w:val="00CA66F6"/>
    <w:rsid w:val="00CA68F7"/>
    <w:rsid w:val="00CA6DB2"/>
    <w:rsid w:val="00CA6EC4"/>
    <w:rsid w:val="00CA71D0"/>
    <w:rsid w:val="00CA731A"/>
    <w:rsid w:val="00CA7465"/>
    <w:rsid w:val="00CA7845"/>
    <w:rsid w:val="00CA7CE4"/>
    <w:rsid w:val="00CA7F89"/>
    <w:rsid w:val="00CB050D"/>
    <w:rsid w:val="00CB0A3C"/>
    <w:rsid w:val="00CB0C1B"/>
    <w:rsid w:val="00CB0EE0"/>
    <w:rsid w:val="00CB115F"/>
    <w:rsid w:val="00CB14F7"/>
    <w:rsid w:val="00CB1535"/>
    <w:rsid w:val="00CB15C8"/>
    <w:rsid w:val="00CB16D3"/>
    <w:rsid w:val="00CB184B"/>
    <w:rsid w:val="00CB1959"/>
    <w:rsid w:val="00CB1BAE"/>
    <w:rsid w:val="00CB1C04"/>
    <w:rsid w:val="00CB20AF"/>
    <w:rsid w:val="00CB2504"/>
    <w:rsid w:val="00CB28E3"/>
    <w:rsid w:val="00CB2A3C"/>
    <w:rsid w:val="00CB2A4C"/>
    <w:rsid w:val="00CB2B04"/>
    <w:rsid w:val="00CB2C06"/>
    <w:rsid w:val="00CB2C12"/>
    <w:rsid w:val="00CB2E1E"/>
    <w:rsid w:val="00CB308C"/>
    <w:rsid w:val="00CB36FC"/>
    <w:rsid w:val="00CB372F"/>
    <w:rsid w:val="00CB37D4"/>
    <w:rsid w:val="00CB38C1"/>
    <w:rsid w:val="00CB39FB"/>
    <w:rsid w:val="00CB3C56"/>
    <w:rsid w:val="00CB3E3D"/>
    <w:rsid w:val="00CB3F39"/>
    <w:rsid w:val="00CB4065"/>
    <w:rsid w:val="00CB413C"/>
    <w:rsid w:val="00CB4486"/>
    <w:rsid w:val="00CB4775"/>
    <w:rsid w:val="00CB49F3"/>
    <w:rsid w:val="00CB49F6"/>
    <w:rsid w:val="00CB4B35"/>
    <w:rsid w:val="00CB4C79"/>
    <w:rsid w:val="00CB5120"/>
    <w:rsid w:val="00CB5352"/>
    <w:rsid w:val="00CB5FCE"/>
    <w:rsid w:val="00CB613D"/>
    <w:rsid w:val="00CB616B"/>
    <w:rsid w:val="00CB62A9"/>
    <w:rsid w:val="00CB6496"/>
    <w:rsid w:val="00CB655E"/>
    <w:rsid w:val="00CB6652"/>
    <w:rsid w:val="00CB69B3"/>
    <w:rsid w:val="00CB6A55"/>
    <w:rsid w:val="00CB6D35"/>
    <w:rsid w:val="00CB6EF2"/>
    <w:rsid w:val="00CB7132"/>
    <w:rsid w:val="00CB75B2"/>
    <w:rsid w:val="00CB784D"/>
    <w:rsid w:val="00CB7882"/>
    <w:rsid w:val="00CB7B28"/>
    <w:rsid w:val="00CB7CC0"/>
    <w:rsid w:val="00CB7D65"/>
    <w:rsid w:val="00CC01B6"/>
    <w:rsid w:val="00CC0203"/>
    <w:rsid w:val="00CC04C0"/>
    <w:rsid w:val="00CC0B0A"/>
    <w:rsid w:val="00CC0B76"/>
    <w:rsid w:val="00CC0EF1"/>
    <w:rsid w:val="00CC107F"/>
    <w:rsid w:val="00CC144A"/>
    <w:rsid w:val="00CC1862"/>
    <w:rsid w:val="00CC1D87"/>
    <w:rsid w:val="00CC2326"/>
    <w:rsid w:val="00CC278E"/>
    <w:rsid w:val="00CC293A"/>
    <w:rsid w:val="00CC2AA6"/>
    <w:rsid w:val="00CC2D2A"/>
    <w:rsid w:val="00CC2E53"/>
    <w:rsid w:val="00CC3256"/>
    <w:rsid w:val="00CC34EA"/>
    <w:rsid w:val="00CC3587"/>
    <w:rsid w:val="00CC385A"/>
    <w:rsid w:val="00CC3E18"/>
    <w:rsid w:val="00CC3EDF"/>
    <w:rsid w:val="00CC42AA"/>
    <w:rsid w:val="00CC448A"/>
    <w:rsid w:val="00CC44CD"/>
    <w:rsid w:val="00CC4502"/>
    <w:rsid w:val="00CC4D37"/>
    <w:rsid w:val="00CC4D5E"/>
    <w:rsid w:val="00CC4EA1"/>
    <w:rsid w:val="00CC50CC"/>
    <w:rsid w:val="00CC5329"/>
    <w:rsid w:val="00CC5389"/>
    <w:rsid w:val="00CC53FB"/>
    <w:rsid w:val="00CC546F"/>
    <w:rsid w:val="00CC5564"/>
    <w:rsid w:val="00CC5618"/>
    <w:rsid w:val="00CC57EF"/>
    <w:rsid w:val="00CC5977"/>
    <w:rsid w:val="00CC5AB1"/>
    <w:rsid w:val="00CC5BB0"/>
    <w:rsid w:val="00CC61A0"/>
    <w:rsid w:val="00CC6445"/>
    <w:rsid w:val="00CC6742"/>
    <w:rsid w:val="00CC6BB0"/>
    <w:rsid w:val="00CC6BB6"/>
    <w:rsid w:val="00CC6C68"/>
    <w:rsid w:val="00CC6D87"/>
    <w:rsid w:val="00CC6FC4"/>
    <w:rsid w:val="00CC7365"/>
    <w:rsid w:val="00CC74EF"/>
    <w:rsid w:val="00CC7625"/>
    <w:rsid w:val="00CC770F"/>
    <w:rsid w:val="00CC7A69"/>
    <w:rsid w:val="00CC7B2C"/>
    <w:rsid w:val="00CD040C"/>
    <w:rsid w:val="00CD0900"/>
    <w:rsid w:val="00CD0BFA"/>
    <w:rsid w:val="00CD0CDD"/>
    <w:rsid w:val="00CD0F3A"/>
    <w:rsid w:val="00CD1430"/>
    <w:rsid w:val="00CD15A6"/>
    <w:rsid w:val="00CD18A1"/>
    <w:rsid w:val="00CD199F"/>
    <w:rsid w:val="00CD1C29"/>
    <w:rsid w:val="00CD1CA2"/>
    <w:rsid w:val="00CD1DD1"/>
    <w:rsid w:val="00CD1DEC"/>
    <w:rsid w:val="00CD237B"/>
    <w:rsid w:val="00CD2628"/>
    <w:rsid w:val="00CD3429"/>
    <w:rsid w:val="00CD38E1"/>
    <w:rsid w:val="00CD3917"/>
    <w:rsid w:val="00CD3C63"/>
    <w:rsid w:val="00CD3E53"/>
    <w:rsid w:val="00CD3FD2"/>
    <w:rsid w:val="00CD425D"/>
    <w:rsid w:val="00CD4863"/>
    <w:rsid w:val="00CD498C"/>
    <w:rsid w:val="00CD4B79"/>
    <w:rsid w:val="00CD4B7D"/>
    <w:rsid w:val="00CD5200"/>
    <w:rsid w:val="00CD5348"/>
    <w:rsid w:val="00CD54E0"/>
    <w:rsid w:val="00CD55D0"/>
    <w:rsid w:val="00CD5862"/>
    <w:rsid w:val="00CD5947"/>
    <w:rsid w:val="00CD5B25"/>
    <w:rsid w:val="00CD5D5F"/>
    <w:rsid w:val="00CD5EC0"/>
    <w:rsid w:val="00CD5F0A"/>
    <w:rsid w:val="00CD6217"/>
    <w:rsid w:val="00CD63EB"/>
    <w:rsid w:val="00CD65BC"/>
    <w:rsid w:val="00CD68D2"/>
    <w:rsid w:val="00CD6C1B"/>
    <w:rsid w:val="00CD7212"/>
    <w:rsid w:val="00CD72EF"/>
    <w:rsid w:val="00CD7617"/>
    <w:rsid w:val="00CD7C43"/>
    <w:rsid w:val="00CD7C8E"/>
    <w:rsid w:val="00CD7E2D"/>
    <w:rsid w:val="00CD7EA0"/>
    <w:rsid w:val="00CE0137"/>
    <w:rsid w:val="00CE02B2"/>
    <w:rsid w:val="00CE02EE"/>
    <w:rsid w:val="00CE04ED"/>
    <w:rsid w:val="00CE0964"/>
    <w:rsid w:val="00CE172A"/>
    <w:rsid w:val="00CE1931"/>
    <w:rsid w:val="00CE1A9C"/>
    <w:rsid w:val="00CE25D4"/>
    <w:rsid w:val="00CE2614"/>
    <w:rsid w:val="00CE2856"/>
    <w:rsid w:val="00CE2DB5"/>
    <w:rsid w:val="00CE2E9A"/>
    <w:rsid w:val="00CE3031"/>
    <w:rsid w:val="00CE3334"/>
    <w:rsid w:val="00CE335A"/>
    <w:rsid w:val="00CE34A8"/>
    <w:rsid w:val="00CE38C2"/>
    <w:rsid w:val="00CE39BD"/>
    <w:rsid w:val="00CE3CC5"/>
    <w:rsid w:val="00CE43AD"/>
    <w:rsid w:val="00CE456E"/>
    <w:rsid w:val="00CE47DF"/>
    <w:rsid w:val="00CE499F"/>
    <w:rsid w:val="00CE4E65"/>
    <w:rsid w:val="00CE4E97"/>
    <w:rsid w:val="00CE4FE0"/>
    <w:rsid w:val="00CE5034"/>
    <w:rsid w:val="00CE5502"/>
    <w:rsid w:val="00CE566E"/>
    <w:rsid w:val="00CE5897"/>
    <w:rsid w:val="00CE6692"/>
    <w:rsid w:val="00CE6848"/>
    <w:rsid w:val="00CE6B32"/>
    <w:rsid w:val="00CE6E7C"/>
    <w:rsid w:val="00CE7381"/>
    <w:rsid w:val="00CE7701"/>
    <w:rsid w:val="00CE7B9D"/>
    <w:rsid w:val="00CF0ACA"/>
    <w:rsid w:val="00CF0DFB"/>
    <w:rsid w:val="00CF12FF"/>
    <w:rsid w:val="00CF1553"/>
    <w:rsid w:val="00CF1806"/>
    <w:rsid w:val="00CF1914"/>
    <w:rsid w:val="00CF1ABB"/>
    <w:rsid w:val="00CF1AFC"/>
    <w:rsid w:val="00CF1C88"/>
    <w:rsid w:val="00CF1E52"/>
    <w:rsid w:val="00CF1E73"/>
    <w:rsid w:val="00CF223D"/>
    <w:rsid w:val="00CF266C"/>
    <w:rsid w:val="00CF269C"/>
    <w:rsid w:val="00CF27E0"/>
    <w:rsid w:val="00CF2D10"/>
    <w:rsid w:val="00CF2EB7"/>
    <w:rsid w:val="00CF2FD9"/>
    <w:rsid w:val="00CF3056"/>
    <w:rsid w:val="00CF3333"/>
    <w:rsid w:val="00CF3858"/>
    <w:rsid w:val="00CF3AF8"/>
    <w:rsid w:val="00CF3AFF"/>
    <w:rsid w:val="00CF3BAB"/>
    <w:rsid w:val="00CF3D08"/>
    <w:rsid w:val="00CF3D84"/>
    <w:rsid w:val="00CF41D9"/>
    <w:rsid w:val="00CF4325"/>
    <w:rsid w:val="00CF4547"/>
    <w:rsid w:val="00CF47FC"/>
    <w:rsid w:val="00CF4C6D"/>
    <w:rsid w:val="00CF50AD"/>
    <w:rsid w:val="00CF662F"/>
    <w:rsid w:val="00CF67AF"/>
    <w:rsid w:val="00CF6BE7"/>
    <w:rsid w:val="00CF6C7A"/>
    <w:rsid w:val="00CF6DF3"/>
    <w:rsid w:val="00CF6E18"/>
    <w:rsid w:val="00CF709C"/>
    <w:rsid w:val="00CF7668"/>
    <w:rsid w:val="00CF7852"/>
    <w:rsid w:val="00CF78F9"/>
    <w:rsid w:val="00CF7CDC"/>
    <w:rsid w:val="00D00140"/>
    <w:rsid w:val="00D0017A"/>
    <w:rsid w:val="00D00240"/>
    <w:rsid w:val="00D006E9"/>
    <w:rsid w:val="00D008E6"/>
    <w:rsid w:val="00D00A28"/>
    <w:rsid w:val="00D00E17"/>
    <w:rsid w:val="00D0140C"/>
    <w:rsid w:val="00D014EA"/>
    <w:rsid w:val="00D017C7"/>
    <w:rsid w:val="00D018F5"/>
    <w:rsid w:val="00D01BEE"/>
    <w:rsid w:val="00D01F3E"/>
    <w:rsid w:val="00D01FCA"/>
    <w:rsid w:val="00D0240D"/>
    <w:rsid w:val="00D0296C"/>
    <w:rsid w:val="00D02B36"/>
    <w:rsid w:val="00D02DCD"/>
    <w:rsid w:val="00D02E5C"/>
    <w:rsid w:val="00D02E80"/>
    <w:rsid w:val="00D0316E"/>
    <w:rsid w:val="00D03723"/>
    <w:rsid w:val="00D0385B"/>
    <w:rsid w:val="00D03A1D"/>
    <w:rsid w:val="00D03A45"/>
    <w:rsid w:val="00D03C94"/>
    <w:rsid w:val="00D03E3B"/>
    <w:rsid w:val="00D03E8A"/>
    <w:rsid w:val="00D03FD4"/>
    <w:rsid w:val="00D04135"/>
    <w:rsid w:val="00D04B5D"/>
    <w:rsid w:val="00D04BDF"/>
    <w:rsid w:val="00D04DFB"/>
    <w:rsid w:val="00D04FBB"/>
    <w:rsid w:val="00D04FDB"/>
    <w:rsid w:val="00D05530"/>
    <w:rsid w:val="00D05587"/>
    <w:rsid w:val="00D05C40"/>
    <w:rsid w:val="00D05F85"/>
    <w:rsid w:val="00D06060"/>
    <w:rsid w:val="00D06563"/>
    <w:rsid w:val="00D06868"/>
    <w:rsid w:val="00D06C47"/>
    <w:rsid w:val="00D06F41"/>
    <w:rsid w:val="00D0729E"/>
    <w:rsid w:val="00D07AE4"/>
    <w:rsid w:val="00D07CC2"/>
    <w:rsid w:val="00D07FDE"/>
    <w:rsid w:val="00D10028"/>
    <w:rsid w:val="00D1023F"/>
    <w:rsid w:val="00D102ED"/>
    <w:rsid w:val="00D1035F"/>
    <w:rsid w:val="00D1038A"/>
    <w:rsid w:val="00D1071D"/>
    <w:rsid w:val="00D10877"/>
    <w:rsid w:val="00D10947"/>
    <w:rsid w:val="00D10AAF"/>
    <w:rsid w:val="00D10BDF"/>
    <w:rsid w:val="00D10C43"/>
    <w:rsid w:val="00D11231"/>
    <w:rsid w:val="00D113A8"/>
    <w:rsid w:val="00D11564"/>
    <w:rsid w:val="00D116C6"/>
    <w:rsid w:val="00D116F5"/>
    <w:rsid w:val="00D11B8F"/>
    <w:rsid w:val="00D11F64"/>
    <w:rsid w:val="00D1206C"/>
    <w:rsid w:val="00D127E0"/>
    <w:rsid w:val="00D12F8D"/>
    <w:rsid w:val="00D1322E"/>
    <w:rsid w:val="00D132E4"/>
    <w:rsid w:val="00D13382"/>
    <w:rsid w:val="00D134C2"/>
    <w:rsid w:val="00D13F8A"/>
    <w:rsid w:val="00D14077"/>
    <w:rsid w:val="00D1423C"/>
    <w:rsid w:val="00D1432F"/>
    <w:rsid w:val="00D14656"/>
    <w:rsid w:val="00D14759"/>
    <w:rsid w:val="00D1486D"/>
    <w:rsid w:val="00D14985"/>
    <w:rsid w:val="00D14B6B"/>
    <w:rsid w:val="00D14E1A"/>
    <w:rsid w:val="00D15314"/>
    <w:rsid w:val="00D15319"/>
    <w:rsid w:val="00D157AC"/>
    <w:rsid w:val="00D158FF"/>
    <w:rsid w:val="00D15DC6"/>
    <w:rsid w:val="00D1624D"/>
    <w:rsid w:val="00D16B61"/>
    <w:rsid w:val="00D16CA8"/>
    <w:rsid w:val="00D16E93"/>
    <w:rsid w:val="00D16F86"/>
    <w:rsid w:val="00D17137"/>
    <w:rsid w:val="00D172B8"/>
    <w:rsid w:val="00D1731B"/>
    <w:rsid w:val="00D17652"/>
    <w:rsid w:val="00D176CF"/>
    <w:rsid w:val="00D17B92"/>
    <w:rsid w:val="00D17C25"/>
    <w:rsid w:val="00D17DE7"/>
    <w:rsid w:val="00D17E5F"/>
    <w:rsid w:val="00D20056"/>
    <w:rsid w:val="00D20692"/>
    <w:rsid w:val="00D20A5F"/>
    <w:rsid w:val="00D20D84"/>
    <w:rsid w:val="00D211E8"/>
    <w:rsid w:val="00D2150A"/>
    <w:rsid w:val="00D21A92"/>
    <w:rsid w:val="00D21D3F"/>
    <w:rsid w:val="00D223F7"/>
    <w:rsid w:val="00D22869"/>
    <w:rsid w:val="00D22E9C"/>
    <w:rsid w:val="00D231E0"/>
    <w:rsid w:val="00D2372A"/>
    <w:rsid w:val="00D2396D"/>
    <w:rsid w:val="00D23A5F"/>
    <w:rsid w:val="00D23ACF"/>
    <w:rsid w:val="00D23DEC"/>
    <w:rsid w:val="00D23DF5"/>
    <w:rsid w:val="00D2417F"/>
    <w:rsid w:val="00D2446C"/>
    <w:rsid w:val="00D249A1"/>
    <w:rsid w:val="00D24A14"/>
    <w:rsid w:val="00D24BCB"/>
    <w:rsid w:val="00D252D9"/>
    <w:rsid w:val="00D25683"/>
    <w:rsid w:val="00D2572C"/>
    <w:rsid w:val="00D25BFD"/>
    <w:rsid w:val="00D25D28"/>
    <w:rsid w:val="00D25E09"/>
    <w:rsid w:val="00D26098"/>
    <w:rsid w:val="00D260B2"/>
    <w:rsid w:val="00D262BA"/>
    <w:rsid w:val="00D26346"/>
    <w:rsid w:val="00D263E1"/>
    <w:rsid w:val="00D2662A"/>
    <w:rsid w:val="00D26739"/>
    <w:rsid w:val="00D26AE2"/>
    <w:rsid w:val="00D27054"/>
    <w:rsid w:val="00D270AA"/>
    <w:rsid w:val="00D27315"/>
    <w:rsid w:val="00D2735C"/>
    <w:rsid w:val="00D27939"/>
    <w:rsid w:val="00D27CEC"/>
    <w:rsid w:val="00D27EB6"/>
    <w:rsid w:val="00D27EC6"/>
    <w:rsid w:val="00D27F46"/>
    <w:rsid w:val="00D3007B"/>
    <w:rsid w:val="00D300DD"/>
    <w:rsid w:val="00D3045E"/>
    <w:rsid w:val="00D30994"/>
    <w:rsid w:val="00D30B40"/>
    <w:rsid w:val="00D30CBF"/>
    <w:rsid w:val="00D3159A"/>
    <w:rsid w:val="00D31A09"/>
    <w:rsid w:val="00D31A9C"/>
    <w:rsid w:val="00D322D1"/>
    <w:rsid w:val="00D324C1"/>
    <w:rsid w:val="00D32AEC"/>
    <w:rsid w:val="00D32B16"/>
    <w:rsid w:val="00D32D0E"/>
    <w:rsid w:val="00D32D25"/>
    <w:rsid w:val="00D32DFD"/>
    <w:rsid w:val="00D32E67"/>
    <w:rsid w:val="00D32FF2"/>
    <w:rsid w:val="00D33120"/>
    <w:rsid w:val="00D3358D"/>
    <w:rsid w:val="00D337A0"/>
    <w:rsid w:val="00D33A43"/>
    <w:rsid w:val="00D33AA0"/>
    <w:rsid w:val="00D33B8E"/>
    <w:rsid w:val="00D33E17"/>
    <w:rsid w:val="00D34182"/>
    <w:rsid w:val="00D34350"/>
    <w:rsid w:val="00D34468"/>
    <w:rsid w:val="00D344AE"/>
    <w:rsid w:val="00D3450D"/>
    <w:rsid w:val="00D34BFA"/>
    <w:rsid w:val="00D34C15"/>
    <w:rsid w:val="00D34CA9"/>
    <w:rsid w:val="00D34CDB"/>
    <w:rsid w:val="00D34D27"/>
    <w:rsid w:val="00D34E47"/>
    <w:rsid w:val="00D350F5"/>
    <w:rsid w:val="00D3585B"/>
    <w:rsid w:val="00D35D60"/>
    <w:rsid w:val="00D35F67"/>
    <w:rsid w:val="00D36072"/>
    <w:rsid w:val="00D36543"/>
    <w:rsid w:val="00D3668F"/>
    <w:rsid w:val="00D367E1"/>
    <w:rsid w:val="00D36A7D"/>
    <w:rsid w:val="00D36E03"/>
    <w:rsid w:val="00D36E0D"/>
    <w:rsid w:val="00D36E42"/>
    <w:rsid w:val="00D370A7"/>
    <w:rsid w:val="00D37114"/>
    <w:rsid w:val="00D3735B"/>
    <w:rsid w:val="00D373D9"/>
    <w:rsid w:val="00D376EE"/>
    <w:rsid w:val="00D376FA"/>
    <w:rsid w:val="00D379B7"/>
    <w:rsid w:val="00D37CEC"/>
    <w:rsid w:val="00D4043F"/>
    <w:rsid w:val="00D405F6"/>
    <w:rsid w:val="00D40689"/>
    <w:rsid w:val="00D4068C"/>
    <w:rsid w:val="00D406AE"/>
    <w:rsid w:val="00D40735"/>
    <w:rsid w:val="00D40745"/>
    <w:rsid w:val="00D40B4E"/>
    <w:rsid w:val="00D40BA1"/>
    <w:rsid w:val="00D40DE4"/>
    <w:rsid w:val="00D40EF7"/>
    <w:rsid w:val="00D40FB5"/>
    <w:rsid w:val="00D4140B"/>
    <w:rsid w:val="00D419C8"/>
    <w:rsid w:val="00D41B33"/>
    <w:rsid w:val="00D4245E"/>
    <w:rsid w:val="00D428B6"/>
    <w:rsid w:val="00D42A6C"/>
    <w:rsid w:val="00D42CF0"/>
    <w:rsid w:val="00D42D13"/>
    <w:rsid w:val="00D42D96"/>
    <w:rsid w:val="00D432CE"/>
    <w:rsid w:val="00D432F7"/>
    <w:rsid w:val="00D4342C"/>
    <w:rsid w:val="00D43480"/>
    <w:rsid w:val="00D43990"/>
    <w:rsid w:val="00D43D7C"/>
    <w:rsid w:val="00D43D83"/>
    <w:rsid w:val="00D446C2"/>
    <w:rsid w:val="00D447AF"/>
    <w:rsid w:val="00D4487F"/>
    <w:rsid w:val="00D448AE"/>
    <w:rsid w:val="00D44BCC"/>
    <w:rsid w:val="00D44DBC"/>
    <w:rsid w:val="00D4524C"/>
    <w:rsid w:val="00D452A8"/>
    <w:rsid w:val="00D4537D"/>
    <w:rsid w:val="00D45389"/>
    <w:rsid w:val="00D456D4"/>
    <w:rsid w:val="00D458C3"/>
    <w:rsid w:val="00D45B38"/>
    <w:rsid w:val="00D46118"/>
    <w:rsid w:val="00D4611A"/>
    <w:rsid w:val="00D46149"/>
    <w:rsid w:val="00D467B5"/>
    <w:rsid w:val="00D46D82"/>
    <w:rsid w:val="00D46D9E"/>
    <w:rsid w:val="00D46FFE"/>
    <w:rsid w:val="00D47314"/>
    <w:rsid w:val="00D473C1"/>
    <w:rsid w:val="00D475F3"/>
    <w:rsid w:val="00D4797B"/>
    <w:rsid w:val="00D47A53"/>
    <w:rsid w:val="00D47A89"/>
    <w:rsid w:val="00D47BA8"/>
    <w:rsid w:val="00D47F0E"/>
    <w:rsid w:val="00D47F25"/>
    <w:rsid w:val="00D50119"/>
    <w:rsid w:val="00D5041C"/>
    <w:rsid w:val="00D50864"/>
    <w:rsid w:val="00D50DBB"/>
    <w:rsid w:val="00D510DA"/>
    <w:rsid w:val="00D517C0"/>
    <w:rsid w:val="00D51BFD"/>
    <w:rsid w:val="00D51CF9"/>
    <w:rsid w:val="00D5204B"/>
    <w:rsid w:val="00D52281"/>
    <w:rsid w:val="00D52446"/>
    <w:rsid w:val="00D52901"/>
    <w:rsid w:val="00D52B1D"/>
    <w:rsid w:val="00D530B7"/>
    <w:rsid w:val="00D530ED"/>
    <w:rsid w:val="00D53304"/>
    <w:rsid w:val="00D53965"/>
    <w:rsid w:val="00D53990"/>
    <w:rsid w:val="00D53A03"/>
    <w:rsid w:val="00D54203"/>
    <w:rsid w:val="00D54379"/>
    <w:rsid w:val="00D546F0"/>
    <w:rsid w:val="00D548D2"/>
    <w:rsid w:val="00D548E7"/>
    <w:rsid w:val="00D5562D"/>
    <w:rsid w:val="00D5591E"/>
    <w:rsid w:val="00D55A04"/>
    <w:rsid w:val="00D55B5D"/>
    <w:rsid w:val="00D560AC"/>
    <w:rsid w:val="00D5667D"/>
    <w:rsid w:val="00D5682E"/>
    <w:rsid w:val="00D568EA"/>
    <w:rsid w:val="00D568F4"/>
    <w:rsid w:val="00D56F59"/>
    <w:rsid w:val="00D56FC8"/>
    <w:rsid w:val="00D57087"/>
    <w:rsid w:val="00D57142"/>
    <w:rsid w:val="00D5739D"/>
    <w:rsid w:val="00D573EB"/>
    <w:rsid w:val="00D5769C"/>
    <w:rsid w:val="00D57743"/>
    <w:rsid w:val="00D577E0"/>
    <w:rsid w:val="00D57AB9"/>
    <w:rsid w:val="00D57BEB"/>
    <w:rsid w:val="00D57DE1"/>
    <w:rsid w:val="00D57E63"/>
    <w:rsid w:val="00D6003F"/>
    <w:rsid w:val="00D6049F"/>
    <w:rsid w:val="00D60847"/>
    <w:rsid w:val="00D608DF"/>
    <w:rsid w:val="00D60FAA"/>
    <w:rsid w:val="00D60FE3"/>
    <w:rsid w:val="00D6111F"/>
    <w:rsid w:val="00D611B7"/>
    <w:rsid w:val="00D611CC"/>
    <w:rsid w:val="00D616B1"/>
    <w:rsid w:val="00D62138"/>
    <w:rsid w:val="00D62614"/>
    <w:rsid w:val="00D62FC7"/>
    <w:rsid w:val="00D63A23"/>
    <w:rsid w:val="00D63A26"/>
    <w:rsid w:val="00D63B56"/>
    <w:rsid w:val="00D63C80"/>
    <w:rsid w:val="00D63E25"/>
    <w:rsid w:val="00D64606"/>
    <w:rsid w:val="00D64774"/>
    <w:rsid w:val="00D64873"/>
    <w:rsid w:val="00D64A51"/>
    <w:rsid w:val="00D64CB3"/>
    <w:rsid w:val="00D64CEA"/>
    <w:rsid w:val="00D64D63"/>
    <w:rsid w:val="00D655A8"/>
    <w:rsid w:val="00D65BAF"/>
    <w:rsid w:val="00D65BBA"/>
    <w:rsid w:val="00D65C76"/>
    <w:rsid w:val="00D65C98"/>
    <w:rsid w:val="00D65D49"/>
    <w:rsid w:val="00D65D70"/>
    <w:rsid w:val="00D65E6C"/>
    <w:rsid w:val="00D65EAA"/>
    <w:rsid w:val="00D660D6"/>
    <w:rsid w:val="00D66324"/>
    <w:rsid w:val="00D66EDC"/>
    <w:rsid w:val="00D67005"/>
    <w:rsid w:val="00D67291"/>
    <w:rsid w:val="00D678E9"/>
    <w:rsid w:val="00D67988"/>
    <w:rsid w:val="00D67B0A"/>
    <w:rsid w:val="00D70B89"/>
    <w:rsid w:val="00D70D14"/>
    <w:rsid w:val="00D712A8"/>
    <w:rsid w:val="00D71867"/>
    <w:rsid w:val="00D7187C"/>
    <w:rsid w:val="00D71D3A"/>
    <w:rsid w:val="00D71DAA"/>
    <w:rsid w:val="00D71DB3"/>
    <w:rsid w:val="00D7217C"/>
    <w:rsid w:val="00D72382"/>
    <w:rsid w:val="00D723C9"/>
    <w:rsid w:val="00D7275E"/>
    <w:rsid w:val="00D735C7"/>
    <w:rsid w:val="00D73760"/>
    <w:rsid w:val="00D73C1F"/>
    <w:rsid w:val="00D73C72"/>
    <w:rsid w:val="00D73FEB"/>
    <w:rsid w:val="00D74282"/>
    <w:rsid w:val="00D74781"/>
    <w:rsid w:val="00D74888"/>
    <w:rsid w:val="00D753E7"/>
    <w:rsid w:val="00D7558A"/>
    <w:rsid w:val="00D75871"/>
    <w:rsid w:val="00D759D9"/>
    <w:rsid w:val="00D75A6C"/>
    <w:rsid w:val="00D75CF6"/>
    <w:rsid w:val="00D75D60"/>
    <w:rsid w:val="00D75E68"/>
    <w:rsid w:val="00D75FE1"/>
    <w:rsid w:val="00D76148"/>
    <w:rsid w:val="00D765F2"/>
    <w:rsid w:val="00D76AF8"/>
    <w:rsid w:val="00D76CD8"/>
    <w:rsid w:val="00D76FE3"/>
    <w:rsid w:val="00D77482"/>
    <w:rsid w:val="00D774D6"/>
    <w:rsid w:val="00D775DB"/>
    <w:rsid w:val="00D77823"/>
    <w:rsid w:val="00D77B8C"/>
    <w:rsid w:val="00D77E92"/>
    <w:rsid w:val="00D80598"/>
    <w:rsid w:val="00D80663"/>
    <w:rsid w:val="00D8068A"/>
    <w:rsid w:val="00D80BD3"/>
    <w:rsid w:val="00D8106A"/>
    <w:rsid w:val="00D8106B"/>
    <w:rsid w:val="00D81522"/>
    <w:rsid w:val="00D815CA"/>
    <w:rsid w:val="00D818C9"/>
    <w:rsid w:val="00D81AFF"/>
    <w:rsid w:val="00D81DBD"/>
    <w:rsid w:val="00D81DFB"/>
    <w:rsid w:val="00D81FCC"/>
    <w:rsid w:val="00D8202F"/>
    <w:rsid w:val="00D82201"/>
    <w:rsid w:val="00D824FC"/>
    <w:rsid w:val="00D828DC"/>
    <w:rsid w:val="00D8290E"/>
    <w:rsid w:val="00D829EC"/>
    <w:rsid w:val="00D82A42"/>
    <w:rsid w:val="00D82CD5"/>
    <w:rsid w:val="00D8349E"/>
    <w:rsid w:val="00D8361E"/>
    <w:rsid w:val="00D8395D"/>
    <w:rsid w:val="00D840AC"/>
    <w:rsid w:val="00D84410"/>
    <w:rsid w:val="00D84440"/>
    <w:rsid w:val="00D84634"/>
    <w:rsid w:val="00D84A1F"/>
    <w:rsid w:val="00D84A2B"/>
    <w:rsid w:val="00D84A7B"/>
    <w:rsid w:val="00D84B26"/>
    <w:rsid w:val="00D84CCE"/>
    <w:rsid w:val="00D84F26"/>
    <w:rsid w:val="00D84F59"/>
    <w:rsid w:val="00D85246"/>
    <w:rsid w:val="00D85993"/>
    <w:rsid w:val="00D85D66"/>
    <w:rsid w:val="00D86A11"/>
    <w:rsid w:val="00D86B67"/>
    <w:rsid w:val="00D86CE7"/>
    <w:rsid w:val="00D86ECB"/>
    <w:rsid w:val="00D86F9E"/>
    <w:rsid w:val="00D870F6"/>
    <w:rsid w:val="00D8727A"/>
    <w:rsid w:val="00D87546"/>
    <w:rsid w:val="00D8755B"/>
    <w:rsid w:val="00D87784"/>
    <w:rsid w:val="00D879CF"/>
    <w:rsid w:val="00D87CD3"/>
    <w:rsid w:val="00D87F7C"/>
    <w:rsid w:val="00D90240"/>
    <w:rsid w:val="00D903D8"/>
    <w:rsid w:val="00D9046D"/>
    <w:rsid w:val="00D9079B"/>
    <w:rsid w:val="00D918AD"/>
    <w:rsid w:val="00D921B6"/>
    <w:rsid w:val="00D9226D"/>
    <w:rsid w:val="00D92C37"/>
    <w:rsid w:val="00D92C47"/>
    <w:rsid w:val="00D93073"/>
    <w:rsid w:val="00D93F9F"/>
    <w:rsid w:val="00D94474"/>
    <w:rsid w:val="00D94802"/>
    <w:rsid w:val="00D9483E"/>
    <w:rsid w:val="00D94A79"/>
    <w:rsid w:val="00D94C52"/>
    <w:rsid w:val="00D94D75"/>
    <w:rsid w:val="00D94F07"/>
    <w:rsid w:val="00D950C5"/>
    <w:rsid w:val="00D950E6"/>
    <w:rsid w:val="00D957CC"/>
    <w:rsid w:val="00D95AD1"/>
    <w:rsid w:val="00D95B36"/>
    <w:rsid w:val="00D95C0E"/>
    <w:rsid w:val="00D961F4"/>
    <w:rsid w:val="00D965DA"/>
    <w:rsid w:val="00D96C23"/>
    <w:rsid w:val="00D970A3"/>
    <w:rsid w:val="00D976AA"/>
    <w:rsid w:val="00D978EA"/>
    <w:rsid w:val="00D97C7F"/>
    <w:rsid w:val="00D97EBB"/>
    <w:rsid w:val="00DA059F"/>
    <w:rsid w:val="00DA073A"/>
    <w:rsid w:val="00DA078F"/>
    <w:rsid w:val="00DA0C20"/>
    <w:rsid w:val="00DA0E66"/>
    <w:rsid w:val="00DA0EBC"/>
    <w:rsid w:val="00DA1188"/>
    <w:rsid w:val="00DA1283"/>
    <w:rsid w:val="00DA12E2"/>
    <w:rsid w:val="00DA160E"/>
    <w:rsid w:val="00DA186D"/>
    <w:rsid w:val="00DA20D9"/>
    <w:rsid w:val="00DA25E5"/>
    <w:rsid w:val="00DA2906"/>
    <w:rsid w:val="00DA2C51"/>
    <w:rsid w:val="00DA3033"/>
    <w:rsid w:val="00DA329B"/>
    <w:rsid w:val="00DA3338"/>
    <w:rsid w:val="00DA3340"/>
    <w:rsid w:val="00DA3611"/>
    <w:rsid w:val="00DA3726"/>
    <w:rsid w:val="00DA3FBD"/>
    <w:rsid w:val="00DA3FE2"/>
    <w:rsid w:val="00DA41C4"/>
    <w:rsid w:val="00DA442A"/>
    <w:rsid w:val="00DA47F0"/>
    <w:rsid w:val="00DA485B"/>
    <w:rsid w:val="00DA4A69"/>
    <w:rsid w:val="00DA502E"/>
    <w:rsid w:val="00DA5178"/>
    <w:rsid w:val="00DA5517"/>
    <w:rsid w:val="00DA5A21"/>
    <w:rsid w:val="00DA5B58"/>
    <w:rsid w:val="00DA5C2D"/>
    <w:rsid w:val="00DA5DA5"/>
    <w:rsid w:val="00DA5FC6"/>
    <w:rsid w:val="00DA5FE5"/>
    <w:rsid w:val="00DA6776"/>
    <w:rsid w:val="00DA68F7"/>
    <w:rsid w:val="00DA6A50"/>
    <w:rsid w:val="00DA6B24"/>
    <w:rsid w:val="00DA6B8A"/>
    <w:rsid w:val="00DA6D15"/>
    <w:rsid w:val="00DA6F42"/>
    <w:rsid w:val="00DA71F8"/>
    <w:rsid w:val="00DA7309"/>
    <w:rsid w:val="00DA73DA"/>
    <w:rsid w:val="00DA779E"/>
    <w:rsid w:val="00DA79C4"/>
    <w:rsid w:val="00DA7D64"/>
    <w:rsid w:val="00DA7E54"/>
    <w:rsid w:val="00DA7F16"/>
    <w:rsid w:val="00DB0171"/>
    <w:rsid w:val="00DB05C2"/>
    <w:rsid w:val="00DB0943"/>
    <w:rsid w:val="00DB09E1"/>
    <w:rsid w:val="00DB0E9D"/>
    <w:rsid w:val="00DB1048"/>
    <w:rsid w:val="00DB10AD"/>
    <w:rsid w:val="00DB1369"/>
    <w:rsid w:val="00DB177C"/>
    <w:rsid w:val="00DB1AC6"/>
    <w:rsid w:val="00DB1CCA"/>
    <w:rsid w:val="00DB1D7D"/>
    <w:rsid w:val="00DB1E75"/>
    <w:rsid w:val="00DB2559"/>
    <w:rsid w:val="00DB26B8"/>
    <w:rsid w:val="00DB2870"/>
    <w:rsid w:val="00DB2BA5"/>
    <w:rsid w:val="00DB2DF9"/>
    <w:rsid w:val="00DB305C"/>
    <w:rsid w:val="00DB312F"/>
    <w:rsid w:val="00DB31BA"/>
    <w:rsid w:val="00DB330B"/>
    <w:rsid w:val="00DB33F6"/>
    <w:rsid w:val="00DB40A7"/>
    <w:rsid w:val="00DB4635"/>
    <w:rsid w:val="00DB4781"/>
    <w:rsid w:val="00DB4B4E"/>
    <w:rsid w:val="00DB4C6E"/>
    <w:rsid w:val="00DB5090"/>
    <w:rsid w:val="00DB525B"/>
    <w:rsid w:val="00DB5436"/>
    <w:rsid w:val="00DB5574"/>
    <w:rsid w:val="00DB5935"/>
    <w:rsid w:val="00DB597E"/>
    <w:rsid w:val="00DB59A2"/>
    <w:rsid w:val="00DB5A55"/>
    <w:rsid w:val="00DB5AF6"/>
    <w:rsid w:val="00DB5C4B"/>
    <w:rsid w:val="00DB5D38"/>
    <w:rsid w:val="00DB5F5A"/>
    <w:rsid w:val="00DB6086"/>
    <w:rsid w:val="00DB60CC"/>
    <w:rsid w:val="00DB641A"/>
    <w:rsid w:val="00DB6424"/>
    <w:rsid w:val="00DB65E9"/>
    <w:rsid w:val="00DB6BC8"/>
    <w:rsid w:val="00DB6CAE"/>
    <w:rsid w:val="00DB6D69"/>
    <w:rsid w:val="00DB6DDE"/>
    <w:rsid w:val="00DB70C4"/>
    <w:rsid w:val="00DB70D2"/>
    <w:rsid w:val="00DB751E"/>
    <w:rsid w:val="00DB7808"/>
    <w:rsid w:val="00DB782A"/>
    <w:rsid w:val="00DB7A5E"/>
    <w:rsid w:val="00DB7DBE"/>
    <w:rsid w:val="00DC026B"/>
    <w:rsid w:val="00DC039C"/>
    <w:rsid w:val="00DC0477"/>
    <w:rsid w:val="00DC0B97"/>
    <w:rsid w:val="00DC0CD9"/>
    <w:rsid w:val="00DC15B8"/>
    <w:rsid w:val="00DC16B8"/>
    <w:rsid w:val="00DC1A48"/>
    <w:rsid w:val="00DC1BC1"/>
    <w:rsid w:val="00DC1D6E"/>
    <w:rsid w:val="00DC225A"/>
    <w:rsid w:val="00DC260C"/>
    <w:rsid w:val="00DC2750"/>
    <w:rsid w:val="00DC2C3C"/>
    <w:rsid w:val="00DC3090"/>
    <w:rsid w:val="00DC3143"/>
    <w:rsid w:val="00DC3377"/>
    <w:rsid w:val="00DC3445"/>
    <w:rsid w:val="00DC3961"/>
    <w:rsid w:val="00DC430B"/>
    <w:rsid w:val="00DC4618"/>
    <w:rsid w:val="00DC4935"/>
    <w:rsid w:val="00DC4947"/>
    <w:rsid w:val="00DC4959"/>
    <w:rsid w:val="00DC4D1A"/>
    <w:rsid w:val="00DC5055"/>
    <w:rsid w:val="00DC508D"/>
    <w:rsid w:val="00DC5466"/>
    <w:rsid w:val="00DC574D"/>
    <w:rsid w:val="00DC5A2D"/>
    <w:rsid w:val="00DC5AB1"/>
    <w:rsid w:val="00DC5CB0"/>
    <w:rsid w:val="00DC6078"/>
    <w:rsid w:val="00DC6164"/>
    <w:rsid w:val="00DC6506"/>
    <w:rsid w:val="00DC6534"/>
    <w:rsid w:val="00DC66B8"/>
    <w:rsid w:val="00DC6777"/>
    <w:rsid w:val="00DC6ACC"/>
    <w:rsid w:val="00DC717B"/>
    <w:rsid w:val="00DC7289"/>
    <w:rsid w:val="00DC73D7"/>
    <w:rsid w:val="00DC73F9"/>
    <w:rsid w:val="00DC7A19"/>
    <w:rsid w:val="00DC7DE0"/>
    <w:rsid w:val="00DD0072"/>
    <w:rsid w:val="00DD07AA"/>
    <w:rsid w:val="00DD08DD"/>
    <w:rsid w:val="00DD0FB4"/>
    <w:rsid w:val="00DD1241"/>
    <w:rsid w:val="00DD132C"/>
    <w:rsid w:val="00DD1641"/>
    <w:rsid w:val="00DD1D1D"/>
    <w:rsid w:val="00DD1F22"/>
    <w:rsid w:val="00DD3020"/>
    <w:rsid w:val="00DD311E"/>
    <w:rsid w:val="00DD32D0"/>
    <w:rsid w:val="00DD390B"/>
    <w:rsid w:val="00DD3BF6"/>
    <w:rsid w:val="00DD3F48"/>
    <w:rsid w:val="00DD3F9E"/>
    <w:rsid w:val="00DD4138"/>
    <w:rsid w:val="00DD4479"/>
    <w:rsid w:val="00DD46C0"/>
    <w:rsid w:val="00DD477A"/>
    <w:rsid w:val="00DD4892"/>
    <w:rsid w:val="00DD49D8"/>
    <w:rsid w:val="00DD49DB"/>
    <w:rsid w:val="00DD4B57"/>
    <w:rsid w:val="00DD4D9E"/>
    <w:rsid w:val="00DD4F55"/>
    <w:rsid w:val="00DD57B7"/>
    <w:rsid w:val="00DD58EF"/>
    <w:rsid w:val="00DD590E"/>
    <w:rsid w:val="00DD5A3E"/>
    <w:rsid w:val="00DD5E35"/>
    <w:rsid w:val="00DD6010"/>
    <w:rsid w:val="00DD60AC"/>
    <w:rsid w:val="00DD63B9"/>
    <w:rsid w:val="00DD6704"/>
    <w:rsid w:val="00DD6709"/>
    <w:rsid w:val="00DD6BAF"/>
    <w:rsid w:val="00DD6C68"/>
    <w:rsid w:val="00DD6D5D"/>
    <w:rsid w:val="00DD6DAA"/>
    <w:rsid w:val="00DD6DE3"/>
    <w:rsid w:val="00DD6FFF"/>
    <w:rsid w:val="00DD717A"/>
    <w:rsid w:val="00DD71E6"/>
    <w:rsid w:val="00DD72ED"/>
    <w:rsid w:val="00DD768A"/>
    <w:rsid w:val="00DD7AAE"/>
    <w:rsid w:val="00DD7B32"/>
    <w:rsid w:val="00DD7DC4"/>
    <w:rsid w:val="00DD7EC4"/>
    <w:rsid w:val="00DE010D"/>
    <w:rsid w:val="00DE0165"/>
    <w:rsid w:val="00DE0177"/>
    <w:rsid w:val="00DE0560"/>
    <w:rsid w:val="00DE0EBB"/>
    <w:rsid w:val="00DE0FBD"/>
    <w:rsid w:val="00DE0FCB"/>
    <w:rsid w:val="00DE10DA"/>
    <w:rsid w:val="00DE134D"/>
    <w:rsid w:val="00DE14D6"/>
    <w:rsid w:val="00DE1DA8"/>
    <w:rsid w:val="00DE1F64"/>
    <w:rsid w:val="00DE2146"/>
    <w:rsid w:val="00DE22A7"/>
    <w:rsid w:val="00DE25DC"/>
    <w:rsid w:val="00DE2934"/>
    <w:rsid w:val="00DE2A6B"/>
    <w:rsid w:val="00DE2B5B"/>
    <w:rsid w:val="00DE2F55"/>
    <w:rsid w:val="00DE3203"/>
    <w:rsid w:val="00DE35EF"/>
    <w:rsid w:val="00DE38EB"/>
    <w:rsid w:val="00DE395A"/>
    <w:rsid w:val="00DE3E29"/>
    <w:rsid w:val="00DE4026"/>
    <w:rsid w:val="00DE427E"/>
    <w:rsid w:val="00DE448F"/>
    <w:rsid w:val="00DE4861"/>
    <w:rsid w:val="00DE4CCB"/>
    <w:rsid w:val="00DE4D5A"/>
    <w:rsid w:val="00DE5042"/>
    <w:rsid w:val="00DE5324"/>
    <w:rsid w:val="00DE533B"/>
    <w:rsid w:val="00DE5471"/>
    <w:rsid w:val="00DE547D"/>
    <w:rsid w:val="00DE5763"/>
    <w:rsid w:val="00DE5949"/>
    <w:rsid w:val="00DE5B94"/>
    <w:rsid w:val="00DE5C35"/>
    <w:rsid w:val="00DE5DB3"/>
    <w:rsid w:val="00DE5F50"/>
    <w:rsid w:val="00DE63E0"/>
    <w:rsid w:val="00DE63E7"/>
    <w:rsid w:val="00DE6435"/>
    <w:rsid w:val="00DE674F"/>
    <w:rsid w:val="00DE6B05"/>
    <w:rsid w:val="00DE7074"/>
    <w:rsid w:val="00DE711B"/>
    <w:rsid w:val="00DE7264"/>
    <w:rsid w:val="00DE7319"/>
    <w:rsid w:val="00DE731D"/>
    <w:rsid w:val="00DE7953"/>
    <w:rsid w:val="00DE7F5E"/>
    <w:rsid w:val="00DF020E"/>
    <w:rsid w:val="00DF03EB"/>
    <w:rsid w:val="00DF068C"/>
    <w:rsid w:val="00DF083A"/>
    <w:rsid w:val="00DF0B07"/>
    <w:rsid w:val="00DF0D13"/>
    <w:rsid w:val="00DF10D5"/>
    <w:rsid w:val="00DF1385"/>
    <w:rsid w:val="00DF1500"/>
    <w:rsid w:val="00DF1533"/>
    <w:rsid w:val="00DF172D"/>
    <w:rsid w:val="00DF1828"/>
    <w:rsid w:val="00DF1963"/>
    <w:rsid w:val="00DF2052"/>
    <w:rsid w:val="00DF25F7"/>
    <w:rsid w:val="00DF2697"/>
    <w:rsid w:val="00DF292B"/>
    <w:rsid w:val="00DF293F"/>
    <w:rsid w:val="00DF32A1"/>
    <w:rsid w:val="00DF35A1"/>
    <w:rsid w:val="00DF38CB"/>
    <w:rsid w:val="00DF3A6D"/>
    <w:rsid w:val="00DF438D"/>
    <w:rsid w:val="00DF463D"/>
    <w:rsid w:val="00DF4B7F"/>
    <w:rsid w:val="00DF4C68"/>
    <w:rsid w:val="00DF4CBD"/>
    <w:rsid w:val="00DF4D47"/>
    <w:rsid w:val="00DF4F1E"/>
    <w:rsid w:val="00DF4F95"/>
    <w:rsid w:val="00DF51F2"/>
    <w:rsid w:val="00DF5405"/>
    <w:rsid w:val="00DF5888"/>
    <w:rsid w:val="00DF5913"/>
    <w:rsid w:val="00DF5A68"/>
    <w:rsid w:val="00DF5C9A"/>
    <w:rsid w:val="00DF6104"/>
    <w:rsid w:val="00DF63DF"/>
    <w:rsid w:val="00DF64AB"/>
    <w:rsid w:val="00DF64D5"/>
    <w:rsid w:val="00DF65D5"/>
    <w:rsid w:val="00DF675F"/>
    <w:rsid w:val="00DF6833"/>
    <w:rsid w:val="00DF6845"/>
    <w:rsid w:val="00DF688E"/>
    <w:rsid w:val="00DF6AAC"/>
    <w:rsid w:val="00DF6C3D"/>
    <w:rsid w:val="00DF70DF"/>
    <w:rsid w:val="00DF72E9"/>
    <w:rsid w:val="00DF73E9"/>
    <w:rsid w:val="00DF7559"/>
    <w:rsid w:val="00DF76FE"/>
    <w:rsid w:val="00DF794E"/>
    <w:rsid w:val="00DF7CF1"/>
    <w:rsid w:val="00DF7D78"/>
    <w:rsid w:val="00DF7EA6"/>
    <w:rsid w:val="00E0014B"/>
    <w:rsid w:val="00E002C1"/>
    <w:rsid w:val="00E00844"/>
    <w:rsid w:val="00E00AB7"/>
    <w:rsid w:val="00E00AEE"/>
    <w:rsid w:val="00E0116F"/>
    <w:rsid w:val="00E011DC"/>
    <w:rsid w:val="00E01483"/>
    <w:rsid w:val="00E0151E"/>
    <w:rsid w:val="00E01DF9"/>
    <w:rsid w:val="00E01E4A"/>
    <w:rsid w:val="00E02420"/>
    <w:rsid w:val="00E02C97"/>
    <w:rsid w:val="00E03276"/>
    <w:rsid w:val="00E032D2"/>
    <w:rsid w:val="00E03440"/>
    <w:rsid w:val="00E034E6"/>
    <w:rsid w:val="00E03517"/>
    <w:rsid w:val="00E0379F"/>
    <w:rsid w:val="00E038E3"/>
    <w:rsid w:val="00E03E62"/>
    <w:rsid w:val="00E03FD9"/>
    <w:rsid w:val="00E0406C"/>
    <w:rsid w:val="00E041BD"/>
    <w:rsid w:val="00E041D9"/>
    <w:rsid w:val="00E042C7"/>
    <w:rsid w:val="00E04351"/>
    <w:rsid w:val="00E043B5"/>
    <w:rsid w:val="00E04457"/>
    <w:rsid w:val="00E0488C"/>
    <w:rsid w:val="00E04E81"/>
    <w:rsid w:val="00E04EBD"/>
    <w:rsid w:val="00E05159"/>
    <w:rsid w:val="00E051D9"/>
    <w:rsid w:val="00E05993"/>
    <w:rsid w:val="00E05AEA"/>
    <w:rsid w:val="00E05C51"/>
    <w:rsid w:val="00E05FB8"/>
    <w:rsid w:val="00E0607E"/>
    <w:rsid w:val="00E0633F"/>
    <w:rsid w:val="00E0636D"/>
    <w:rsid w:val="00E063DF"/>
    <w:rsid w:val="00E06477"/>
    <w:rsid w:val="00E064F4"/>
    <w:rsid w:val="00E0687F"/>
    <w:rsid w:val="00E06A72"/>
    <w:rsid w:val="00E06BCC"/>
    <w:rsid w:val="00E071D4"/>
    <w:rsid w:val="00E0720F"/>
    <w:rsid w:val="00E072AD"/>
    <w:rsid w:val="00E07711"/>
    <w:rsid w:val="00E077B3"/>
    <w:rsid w:val="00E07A4F"/>
    <w:rsid w:val="00E07B04"/>
    <w:rsid w:val="00E07B2F"/>
    <w:rsid w:val="00E07D3B"/>
    <w:rsid w:val="00E100CA"/>
    <w:rsid w:val="00E10524"/>
    <w:rsid w:val="00E10C25"/>
    <w:rsid w:val="00E10C81"/>
    <w:rsid w:val="00E10C89"/>
    <w:rsid w:val="00E112F3"/>
    <w:rsid w:val="00E114AD"/>
    <w:rsid w:val="00E116A2"/>
    <w:rsid w:val="00E119C6"/>
    <w:rsid w:val="00E11D82"/>
    <w:rsid w:val="00E122F4"/>
    <w:rsid w:val="00E124AE"/>
    <w:rsid w:val="00E1274A"/>
    <w:rsid w:val="00E12776"/>
    <w:rsid w:val="00E127AF"/>
    <w:rsid w:val="00E129B7"/>
    <w:rsid w:val="00E12F5E"/>
    <w:rsid w:val="00E13F2D"/>
    <w:rsid w:val="00E141A8"/>
    <w:rsid w:val="00E14CC5"/>
    <w:rsid w:val="00E14D7B"/>
    <w:rsid w:val="00E14D83"/>
    <w:rsid w:val="00E15164"/>
    <w:rsid w:val="00E152B1"/>
    <w:rsid w:val="00E1559E"/>
    <w:rsid w:val="00E15B17"/>
    <w:rsid w:val="00E15D15"/>
    <w:rsid w:val="00E161D1"/>
    <w:rsid w:val="00E16297"/>
    <w:rsid w:val="00E1633A"/>
    <w:rsid w:val="00E16519"/>
    <w:rsid w:val="00E16DF7"/>
    <w:rsid w:val="00E17101"/>
    <w:rsid w:val="00E1734F"/>
    <w:rsid w:val="00E175DE"/>
    <w:rsid w:val="00E1785B"/>
    <w:rsid w:val="00E1794A"/>
    <w:rsid w:val="00E179C7"/>
    <w:rsid w:val="00E17AB2"/>
    <w:rsid w:val="00E17ECC"/>
    <w:rsid w:val="00E17F75"/>
    <w:rsid w:val="00E20B9D"/>
    <w:rsid w:val="00E2134A"/>
    <w:rsid w:val="00E2176E"/>
    <w:rsid w:val="00E219D4"/>
    <w:rsid w:val="00E21A06"/>
    <w:rsid w:val="00E21BF1"/>
    <w:rsid w:val="00E21D42"/>
    <w:rsid w:val="00E22712"/>
    <w:rsid w:val="00E22943"/>
    <w:rsid w:val="00E23112"/>
    <w:rsid w:val="00E2342C"/>
    <w:rsid w:val="00E2392F"/>
    <w:rsid w:val="00E23D4B"/>
    <w:rsid w:val="00E243D9"/>
    <w:rsid w:val="00E24A4E"/>
    <w:rsid w:val="00E24B91"/>
    <w:rsid w:val="00E24D83"/>
    <w:rsid w:val="00E25144"/>
    <w:rsid w:val="00E257D4"/>
    <w:rsid w:val="00E25CF2"/>
    <w:rsid w:val="00E25D8E"/>
    <w:rsid w:val="00E25DCE"/>
    <w:rsid w:val="00E2661C"/>
    <w:rsid w:val="00E26776"/>
    <w:rsid w:val="00E26986"/>
    <w:rsid w:val="00E26D25"/>
    <w:rsid w:val="00E27081"/>
    <w:rsid w:val="00E27339"/>
    <w:rsid w:val="00E27672"/>
    <w:rsid w:val="00E27A9D"/>
    <w:rsid w:val="00E27EE1"/>
    <w:rsid w:val="00E302FC"/>
    <w:rsid w:val="00E3053B"/>
    <w:rsid w:val="00E30668"/>
    <w:rsid w:val="00E30736"/>
    <w:rsid w:val="00E3083F"/>
    <w:rsid w:val="00E30C08"/>
    <w:rsid w:val="00E3115E"/>
    <w:rsid w:val="00E31513"/>
    <w:rsid w:val="00E31683"/>
    <w:rsid w:val="00E31B89"/>
    <w:rsid w:val="00E31F84"/>
    <w:rsid w:val="00E32121"/>
    <w:rsid w:val="00E3265E"/>
    <w:rsid w:val="00E32817"/>
    <w:rsid w:val="00E3295B"/>
    <w:rsid w:val="00E32D85"/>
    <w:rsid w:val="00E333C6"/>
    <w:rsid w:val="00E33471"/>
    <w:rsid w:val="00E33504"/>
    <w:rsid w:val="00E33B07"/>
    <w:rsid w:val="00E33EAE"/>
    <w:rsid w:val="00E33F11"/>
    <w:rsid w:val="00E33F53"/>
    <w:rsid w:val="00E34092"/>
    <w:rsid w:val="00E3451D"/>
    <w:rsid w:val="00E3491A"/>
    <w:rsid w:val="00E34979"/>
    <w:rsid w:val="00E3505E"/>
    <w:rsid w:val="00E3549B"/>
    <w:rsid w:val="00E355E4"/>
    <w:rsid w:val="00E356B4"/>
    <w:rsid w:val="00E357B7"/>
    <w:rsid w:val="00E3581B"/>
    <w:rsid w:val="00E358C6"/>
    <w:rsid w:val="00E35A22"/>
    <w:rsid w:val="00E35B7E"/>
    <w:rsid w:val="00E35BF0"/>
    <w:rsid w:val="00E35EC5"/>
    <w:rsid w:val="00E36197"/>
    <w:rsid w:val="00E369F7"/>
    <w:rsid w:val="00E36D0F"/>
    <w:rsid w:val="00E36D1F"/>
    <w:rsid w:val="00E37A38"/>
    <w:rsid w:val="00E40256"/>
    <w:rsid w:val="00E40AA9"/>
    <w:rsid w:val="00E40CFD"/>
    <w:rsid w:val="00E4111B"/>
    <w:rsid w:val="00E41799"/>
    <w:rsid w:val="00E418A9"/>
    <w:rsid w:val="00E41A70"/>
    <w:rsid w:val="00E41AFF"/>
    <w:rsid w:val="00E424CA"/>
    <w:rsid w:val="00E425BE"/>
    <w:rsid w:val="00E4291E"/>
    <w:rsid w:val="00E4296A"/>
    <w:rsid w:val="00E42EE1"/>
    <w:rsid w:val="00E43123"/>
    <w:rsid w:val="00E432ED"/>
    <w:rsid w:val="00E4366B"/>
    <w:rsid w:val="00E43670"/>
    <w:rsid w:val="00E4395A"/>
    <w:rsid w:val="00E43B6E"/>
    <w:rsid w:val="00E43E06"/>
    <w:rsid w:val="00E44112"/>
    <w:rsid w:val="00E44795"/>
    <w:rsid w:val="00E4492E"/>
    <w:rsid w:val="00E4495C"/>
    <w:rsid w:val="00E44D53"/>
    <w:rsid w:val="00E44D5D"/>
    <w:rsid w:val="00E44F19"/>
    <w:rsid w:val="00E45217"/>
    <w:rsid w:val="00E45548"/>
    <w:rsid w:val="00E4566C"/>
    <w:rsid w:val="00E45E8E"/>
    <w:rsid w:val="00E45FE6"/>
    <w:rsid w:val="00E460E2"/>
    <w:rsid w:val="00E46158"/>
    <w:rsid w:val="00E46291"/>
    <w:rsid w:val="00E463FC"/>
    <w:rsid w:val="00E4680A"/>
    <w:rsid w:val="00E468DA"/>
    <w:rsid w:val="00E46A6C"/>
    <w:rsid w:val="00E4714A"/>
    <w:rsid w:val="00E474E9"/>
    <w:rsid w:val="00E479CD"/>
    <w:rsid w:val="00E47E07"/>
    <w:rsid w:val="00E47E3D"/>
    <w:rsid w:val="00E47F62"/>
    <w:rsid w:val="00E5015A"/>
    <w:rsid w:val="00E5037E"/>
    <w:rsid w:val="00E509AB"/>
    <w:rsid w:val="00E50F0E"/>
    <w:rsid w:val="00E51021"/>
    <w:rsid w:val="00E515BF"/>
    <w:rsid w:val="00E51938"/>
    <w:rsid w:val="00E52C07"/>
    <w:rsid w:val="00E52D1E"/>
    <w:rsid w:val="00E52E5A"/>
    <w:rsid w:val="00E52EA7"/>
    <w:rsid w:val="00E53310"/>
    <w:rsid w:val="00E534DC"/>
    <w:rsid w:val="00E53772"/>
    <w:rsid w:val="00E53800"/>
    <w:rsid w:val="00E5380B"/>
    <w:rsid w:val="00E538EC"/>
    <w:rsid w:val="00E53CBA"/>
    <w:rsid w:val="00E541E0"/>
    <w:rsid w:val="00E548A0"/>
    <w:rsid w:val="00E54B0F"/>
    <w:rsid w:val="00E54BC2"/>
    <w:rsid w:val="00E54E71"/>
    <w:rsid w:val="00E54EF4"/>
    <w:rsid w:val="00E551A7"/>
    <w:rsid w:val="00E5574C"/>
    <w:rsid w:val="00E55788"/>
    <w:rsid w:val="00E55926"/>
    <w:rsid w:val="00E55D4F"/>
    <w:rsid w:val="00E55E31"/>
    <w:rsid w:val="00E55E35"/>
    <w:rsid w:val="00E55E8D"/>
    <w:rsid w:val="00E56119"/>
    <w:rsid w:val="00E56623"/>
    <w:rsid w:val="00E567CD"/>
    <w:rsid w:val="00E56918"/>
    <w:rsid w:val="00E569F4"/>
    <w:rsid w:val="00E56C14"/>
    <w:rsid w:val="00E571D2"/>
    <w:rsid w:val="00E5721B"/>
    <w:rsid w:val="00E5729C"/>
    <w:rsid w:val="00E57630"/>
    <w:rsid w:val="00E578C9"/>
    <w:rsid w:val="00E57AEC"/>
    <w:rsid w:val="00E57C3A"/>
    <w:rsid w:val="00E6025C"/>
    <w:rsid w:val="00E606EE"/>
    <w:rsid w:val="00E6081F"/>
    <w:rsid w:val="00E60942"/>
    <w:rsid w:val="00E60A90"/>
    <w:rsid w:val="00E60AFD"/>
    <w:rsid w:val="00E60DEE"/>
    <w:rsid w:val="00E60EF1"/>
    <w:rsid w:val="00E6134A"/>
    <w:rsid w:val="00E614E4"/>
    <w:rsid w:val="00E6182A"/>
    <w:rsid w:val="00E61B52"/>
    <w:rsid w:val="00E62017"/>
    <w:rsid w:val="00E622A2"/>
    <w:rsid w:val="00E6232A"/>
    <w:rsid w:val="00E62333"/>
    <w:rsid w:val="00E62493"/>
    <w:rsid w:val="00E62524"/>
    <w:rsid w:val="00E6258E"/>
    <w:rsid w:val="00E6291E"/>
    <w:rsid w:val="00E62947"/>
    <w:rsid w:val="00E6302F"/>
    <w:rsid w:val="00E63188"/>
    <w:rsid w:val="00E633CF"/>
    <w:rsid w:val="00E63703"/>
    <w:rsid w:val="00E638FF"/>
    <w:rsid w:val="00E63CC6"/>
    <w:rsid w:val="00E63D61"/>
    <w:rsid w:val="00E63F81"/>
    <w:rsid w:val="00E64125"/>
    <w:rsid w:val="00E642EF"/>
    <w:rsid w:val="00E6430B"/>
    <w:rsid w:val="00E644B6"/>
    <w:rsid w:val="00E645C9"/>
    <w:rsid w:val="00E65096"/>
    <w:rsid w:val="00E653DA"/>
    <w:rsid w:val="00E654A7"/>
    <w:rsid w:val="00E65C71"/>
    <w:rsid w:val="00E65EDD"/>
    <w:rsid w:val="00E66432"/>
    <w:rsid w:val="00E66751"/>
    <w:rsid w:val="00E66881"/>
    <w:rsid w:val="00E669A3"/>
    <w:rsid w:val="00E66BB0"/>
    <w:rsid w:val="00E66DB6"/>
    <w:rsid w:val="00E67144"/>
    <w:rsid w:val="00E67163"/>
    <w:rsid w:val="00E6753C"/>
    <w:rsid w:val="00E6775E"/>
    <w:rsid w:val="00E67854"/>
    <w:rsid w:val="00E67D07"/>
    <w:rsid w:val="00E7009C"/>
    <w:rsid w:val="00E70395"/>
    <w:rsid w:val="00E7045C"/>
    <w:rsid w:val="00E70580"/>
    <w:rsid w:val="00E706C3"/>
    <w:rsid w:val="00E706DB"/>
    <w:rsid w:val="00E7081C"/>
    <w:rsid w:val="00E70AC2"/>
    <w:rsid w:val="00E70B24"/>
    <w:rsid w:val="00E70B8F"/>
    <w:rsid w:val="00E70BBD"/>
    <w:rsid w:val="00E71575"/>
    <w:rsid w:val="00E71708"/>
    <w:rsid w:val="00E71B72"/>
    <w:rsid w:val="00E71BC4"/>
    <w:rsid w:val="00E71F12"/>
    <w:rsid w:val="00E722B9"/>
    <w:rsid w:val="00E722E0"/>
    <w:rsid w:val="00E723F0"/>
    <w:rsid w:val="00E726EE"/>
    <w:rsid w:val="00E72765"/>
    <w:rsid w:val="00E7290C"/>
    <w:rsid w:val="00E7295E"/>
    <w:rsid w:val="00E72CD6"/>
    <w:rsid w:val="00E7329D"/>
    <w:rsid w:val="00E73420"/>
    <w:rsid w:val="00E737A4"/>
    <w:rsid w:val="00E73976"/>
    <w:rsid w:val="00E73B97"/>
    <w:rsid w:val="00E73C37"/>
    <w:rsid w:val="00E73D1C"/>
    <w:rsid w:val="00E7449F"/>
    <w:rsid w:val="00E747D3"/>
    <w:rsid w:val="00E747D5"/>
    <w:rsid w:val="00E74949"/>
    <w:rsid w:val="00E74F71"/>
    <w:rsid w:val="00E754E5"/>
    <w:rsid w:val="00E7590E"/>
    <w:rsid w:val="00E75981"/>
    <w:rsid w:val="00E75991"/>
    <w:rsid w:val="00E759A3"/>
    <w:rsid w:val="00E76239"/>
    <w:rsid w:val="00E765D4"/>
    <w:rsid w:val="00E76623"/>
    <w:rsid w:val="00E76835"/>
    <w:rsid w:val="00E76D4F"/>
    <w:rsid w:val="00E76EEB"/>
    <w:rsid w:val="00E77085"/>
    <w:rsid w:val="00E7710D"/>
    <w:rsid w:val="00E771E6"/>
    <w:rsid w:val="00E777E2"/>
    <w:rsid w:val="00E77DF5"/>
    <w:rsid w:val="00E77E51"/>
    <w:rsid w:val="00E801A6"/>
    <w:rsid w:val="00E806C5"/>
    <w:rsid w:val="00E8072B"/>
    <w:rsid w:val="00E808C3"/>
    <w:rsid w:val="00E80CB4"/>
    <w:rsid w:val="00E80E77"/>
    <w:rsid w:val="00E80F87"/>
    <w:rsid w:val="00E80FD5"/>
    <w:rsid w:val="00E81099"/>
    <w:rsid w:val="00E817C2"/>
    <w:rsid w:val="00E81F8E"/>
    <w:rsid w:val="00E81FD1"/>
    <w:rsid w:val="00E820ED"/>
    <w:rsid w:val="00E821A3"/>
    <w:rsid w:val="00E821E3"/>
    <w:rsid w:val="00E823D2"/>
    <w:rsid w:val="00E8246F"/>
    <w:rsid w:val="00E82604"/>
    <w:rsid w:val="00E82784"/>
    <w:rsid w:val="00E82C09"/>
    <w:rsid w:val="00E82F9D"/>
    <w:rsid w:val="00E835E2"/>
    <w:rsid w:val="00E839FC"/>
    <w:rsid w:val="00E83C3F"/>
    <w:rsid w:val="00E83D7E"/>
    <w:rsid w:val="00E8403D"/>
    <w:rsid w:val="00E840D7"/>
    <w:rsid w:val="00E843DE"/>
    <w:rsid w:val="00E843FF"/>
    <w:rsid w:val="00E84538"/>
    <w:rsid w:val="00E84938"/>
    <w:rsid w:val="00E84DD0"/>
    <w:rsid w:val="00E854C2"/>
    <w:rsid w:val="00E854D2"/>
    <w:rsid w:val="00E857B6"/>
    <w:rsid w:val="00E85811"/>
    <w:rsid w:val="00E859C5"/>
    <w:rsid w:val="00E85A38"/>
    <w:rsid w:val="00E85D16"/>
    <w:rsid w:val="00E85F4D"/>
    <w:rsid w:val="00E86807"/>
    <w:rsid w:val="00E86D01"/>
    <w:rsid w:val="00E86EC8"/>
    <w:rsid w:val="00E86F15"/>
    <w:rsid w:val="00E86FFC"/>
    <w:rsid w:val="00E87939"/>
    <w:rsid w:val="00E87ACD"/>
    <w:rsid w:val="00E87C23"/>
    <w:rsid w:val="00E87C54"/>
    <w:rsid w:val="00E90384"/>
    <w:rsid w:val="00E9068A"/>
    <w:rsid w:val="00E90D07"/>
    <w:rsid w:val="00E90D47"/>
    <w:rsid w:val="00E90E44"/>
    <w:rsid w:val="00E90FB5"/>
    <w:rsid w:val="00E911A2"/>
    <w:rsid w:val="00E9139B"/>
    <w:rsid w:val="00E91B3B"/>
    <w:rsid w:val="00E91E33"/>
    <w:rsid w:val="00E92230"/>
    <w:rsid w:val="00E924DC"/>
    <w:rsid w:val="00E92A54"/>
    <w:rsid w:val="00E92AF9"/>
    <w:rsid w:val="00E92E75"/>
    <w:rsid w:val="00E92EF9"/>
    <w:rsid w:val="00E93124"/>
    <w:rsid w:val="00E93406"/>
    <w:rsid w:val="00E9370E"/>
    <w:rsid w:val="00E93DB4"/>
    <w:rsid w:val="00E941ED"/>
    <w:rsid w:val="00E943C6"/>
    <w:rsid w:val="00E9442A"/>
    <w:rsid w:val="00E94434"/>
    <w:rsid w:val="00E9446C"/>
    <w:rsid w:val="00E944F4"/>
    <w:rsid w:val="00E94894"/>
    <w:rsid w:val="00E94997"/>
    <w:rsid w:val="00E94ADE"/>
    <w:rsid w:val="00E94DC3"/>
    <w:rsid w:val="00E94F06"/>
    <w:rsid w:val="00E94F8F"/>
    <w:rsid w:val="00E95151"/>
    <w:rsid w:val="00E957CF"/>
    <w:rsid w:val="00E959B7"/>
    <w:rsid w:val="00E96022"/>
    <w:rsid w:val="00E960D8"/>
    <w:rsid w:val="00E9616B"/>
    <w:rsid w:val="00E9621B"/>
    <w:rsid w:val="00E96931"/>
    <w:rsid w:val="00E969B0"/>
    <w:rsid w:val="00E969CB"/>
    <w:rsid w:val="00E96AF7"/>
    <w:rsid w:val="00E96B6E"/>
    <w:rsid w:val="00E96E44"/>
    <w:rsid w:val="00E96F2A"/>
    <w:rsid w:val="00E96FD9"/>
    <w:rsid w:val="00E97117"/>
    <w:rsid w:val="00E972BB"/>
    <w:rsid w:val="00E97731"/>
    <w:rsid w:val="00E97A8B"/>
    <w:rsid w:val="00E97AB3"/>
    <w:rsid w:val="00E97B1F"/>
    <w:rsid w:val="00E97D58"/>
    <w:rsid w:val="00E97E20"/>
    <w:rsid w:val="00E97FAB"/>
    <w:rsid w:val="00EA0132"/>
    <w:rsid w:val="00EA0334"/>
    <w:rsid w:val="00EA03F8"/>
    <w:rsid w:val="00EA04B2"/>
    <w:rsid w:val="00EA05D2"/>
    <w:rsid w:val="00EA0885"/>
    <w:rsid w:val="00EA0BC2"/>
    <w:rsid w:val="00EA0F0C"/>
    <w:rsid w:val="00EA13D9"/>
    <w:rsid w:val="00EA13FB"/>
    <w:rsid w:val="00EA1831"/>
    <w:rsid w:val="00EA1839"/>
    <w:rsid w:val="00EA1953"/>
    <w:rsid w:val="00EA1E33"/>
    <w:rsid w:val="00EA20F3"/>
    <w:rsid w:val="00EA2462"/>
    <w:rsid w:val="00EA2531"/>
    <w:rsid w:val="00EA253F"/>
    <w:rsid w:val="00EA2A38"/>
    <w:rsid w:val="00EA2B51"/>
    <w:rsid w:val="00EA2BFF"/>
    <w:rsid w:val="00EA2C25"/>
    <w:rsid w:val="00EA2F11"/>
    <w:rsid w:val="00EA2FD1"/>
    <w:rsid w:val="00EA39C8"/>
    <w:rsid w:val="00EA3A64"/>
    <w:rsid w:val="00EA3A88"/>
    <w:rsid w:val="00EA3C64"/>
    <w:rsid w:val="00EA3E26"/>
    <w:rsid w:val="00EA40B8"/>
    <w:rsid w:val="00EA442C"/>
    <w:rsid w:val="00EA462B"/>
    <w:rsid w:val="00EA464B"/>
    <w:rsid w:val="00EA497B"/>
    <w:rsid w:val="00EA4CC1"/>
    <w:rsid w:val="00EA4FD2"/>
    <w:rsid w:val="00EA5028"/>
    <w:rsid w:val="00EA5456"/>
    <w:rsid w:val="00EA555A"/>
    <w:rsid w:val="00EA5E41"/>
    <w:rsid w:val="00EA5EAA"/>
    <w:rsid w:val="00EA5EC3"/>
    <w:rsid w:val="00EA610D"/>
    <w:rsid w:val="00EA65DC"/>
    <w:rsid w:val="00EA67EA"/>
    <w:rsid w:val="00EA6821"/>
    <w:rsid w:val="00EA6A14"/>
    <w:rsid w:val="00EA6B3E"/>
    <w:rsid w:val="00EA76E8"/>
    <w:rsid w:val="00EA77CE"/>
    <w:rsid w:val="00EA7987"/>
    <w:rsid w:val="00EA7B1B"/>
    <w:rsid w:val="00EA7B74"/>
    <w:rsid w:val="00EB033D"/>
    <w:rsid w:val="00EB0526"/>
    <w:rsid w:val="00EB06F0"/>
    <w:rsid w:val="00EB07B3"/>
    <w:rsid w:val="00EB0814"/>
    <w:rsid w:val="00EB0AA5"/>
    <w:rsid w:val="00EB0AB1"/>
    <w:rsid w:val="00EB0BFE"/>
    <w:rsid w:val="00EB0D71"/>
    <w:rsid w:val="00EB0E11"/>
    <w:rsid w:val="00EB128B"/>
    <w:rsid w:val="00EB1DD4"/>
    <w:rsid w:val="00EB1E6D"/>
    <w:rsid w:val="00EB1F8E"/>
    <w:rsid w:val="00EB213D"/>
    <w:rsid w:val="00EB2611"/>
    <w:rsid w:val="00EB263D"/>
    <w:rsid w:val="00EB2760"/>
    <w:rsid w:val="00EB2788"/>
    <w:rsid w:val="00EB2C47"/>
    <w:rsid w:val="00EB2C63"/>
    <w:rsid w:val="00EB2D80"/>
    <w:rsid w:val="00EB2E04"/>
    <w:rsid w:val="00EB2F4A"/>
    <w:rsid w:val="00EB30F3"/>
    <w:rsid w:val="00EB3192"/>
    <w:rsid w:val="00EB3388"/>
    <w:rsid w:val="00EB356C"/>
    <w:rsid w:val="00EB3A9F"/>
    <w:rsid w:val="00EB3B1C"/>
    <w:rsid w:val="00EB3B4A"/>
    <w:rsid w:val="00EB3B5B"/>
    <w:rsid w:val="00EB3DAC"/>
    <w:rsid w:val="00EB3EFC"/>
    <w:rsid w:val="00EB3FFB"/>
    <w:rsid w:val="00EB40C9"/>
    <w:rsid w:val="00EB4453"/>
    <w:rsid w:val="00EB49E7"/>
    <w:rsid w:val="00EB4B69"/>
    <w:rsid w:val="00EB4CB3"/>
    <w:rsid w:val="00EB4FD8"/>
    <w:rsid w:val="00EB4FDA"/>
    <w:rsid w:val="00EB5490"/>
    <w:rsid w:val="00EB5A41"/>
    <w:rsid w:val="00EB5A81"/>
    <w:rsid w:val="00EB5D94"/>
    <w:rsid w:val="00EB5F0C"/>
    <w:rsid w:val="00EB5FB2"/>
    <w:rsid w:val="00EB5FC7"/>
    <w:rsid w:val="00EB69C4"/>
    <w:rsid w:val="00EB6B95"/>
    <w:rsid w:val="00EB6C4E"/>
    <w:rsid w:val="00EB6D1E"/>
    <w:rsid w:val="00EB6D61"/>
    <w:rsid w:val="00EB72DA"/>
    <w:rsid w:val="00EB7710"/>
    <w:rsid w:val="00EB78EE"/>
    <w:rsid w:val="00EB7A03"/>
    <w:rsid w:val="00EB7C6F"/>
    <w:rsid w:val="00EB7CA3"/>
    <w:rsid w:val="00EB7E2A"/>
    <w:rsid w:val="00EC048F"/>
    <w:rsid w:val="00EC050D"/>
    <w:rsid w:val="00EC0829"/>
    <w:rsid w:val="00EC086D"/>
    <w:rsid w:val="00EC0952"/>
    <w:rsid w:val="00EC0BC3"/>
    <w:rsid w:val="00EC0BF8"/>
    <w:rsid w:val="00EC0C93"/>
    <w:rsid w:val="00EC0D8E"/>
    <w:rsid w:val="00EC147F"/>
    <w:rsid w:val="00EC1712"/>
    <w:rsid w:val="00EC18ED"/>
    <w:rsid w:val="00EC1A48"/>
    <w:rsid w:val="00EC2029"/>
    <w:rsid w:val="00EC20CC"/>
    <w:rsid w:val="00EC234B"/>
    <w:rsid w:val="00EC2567"/>
    <w:rsid w:val="00EC27D8"/>
    <w:rsid w:val="00EC2A8D"/>
    <w:rsid w:val="00EC2AD1"/>
    <w:rsid w:val="00EC2D11"/>
    <w:rsid w:val="00EC3AA9"/>
    <w:rsid w:val="00EC3CDC"/>
    <w:rsid w:val="00EC3E1B"/>
    <w:rsid w:val="00EC3EE7"/>
    <w:rsid w:val="00EC46AD"/>
    <w:rsid w:val="00EC4E4A"/>
    <w:rsid w:val="00EC5320"/>
    <w:rsid w:val="00EC545C"/>
    <w:rsid w:val="00EC5757"/>
    <w:rsid w:val="00EC59C0"/>
    <w:rsid w:val="00EC5CCC"/>
    <w:rsid w:val="00EC62D9"/>
    <w:rsid w:val="00EC66AB"/>
    <w:rsid w:val="00EC6C34"/>
    <w:rsid w:val="00EC6C36"/>
    <w:rsid w:val="00EC6C73"/>
    <w:rsid w:val="00EC6C7C"/>
    <w:rsid w:val="00EC7046"/>
    <w:rsid w:val="00EC7087"/>
    <w:rsid w:val="00EC71D5"/>
    <w:rsid w:val="00EC7473"/>
    <w:rsid w:val="00EC7945"/>
    <w:rsid w:val="00EC7BEA"/>
    <w:rsid w:val="00EC7CB7"/>
    <w:rsid w:val="00ED033B"/>
    <w:rsid w:val="00ED0664"/>
    <w:rsid w:val="00ED0839"/>
    <w:rsid w:val="00ED0860"/>
    <w:rsid w:val="00ED0B88"/>
    <w:rsid w:val="00ED0E72"/>
    <w:rsid w:val="00ED1147"/>
    <w:rsid w:val="00ED15F2"/>
    <w:rsid w:val="00ED165A"/>
    <w:rsid w:val="00ED1A88"/>
    <w:rsid w:val="00ED1B92"/>
    <w:rsid w:val="00ED1C5A"/>
    <w:rsid w:val="00ED1D96"/>
    <w:rsid w:val="00ED1E63"/>
    <w:rsid w:val="00ED1EB1"/>
    <w:rsid w:val="00ED1F88"/>
    <w:rsid w:val="00ED29BA"/>
    <w:rsid w:val="00ED2D44"/>
    <w:rsid w:val="00ED2D83"/>
    <w:rsid w:val="00ED32FA"/>
    <w:rsid w:val="00ED3520"/>
    <w:rsid w:val="00ED375A"/>
    <w:rsid w:val="00ED3786"/>
    <w:rsid w:val="00ED3874"/>
    <w:rsid w:val="00ED3A37"/>
    <w:rsid w:val="00ED3AC8"/>
    <w:rsid w:val="00ED3CB2"/>
    <w:rsid w:val="00ED43D1"/>
    <w:rsid w:val="00ED49C1"/>
    <w:rsid w:val="00ED4F32"/>
    <w:rsid w:val="00ED5036"/>
    <w:rsid w:val="00ED53B0"/>
    <w:rsid w:val="00ED57F3"/>
    <w:rsid w:val="00ED5839"/>
    <w:rsid w:val="00ED5883"/>
    <w:rsid w:val="00ED598B"/>
    <w:rsid w:val="00ED5AF3"/>
    <w:rsid w:val="00ED5DE8"/>
    <w:rsid w:val="00ED603C"/>
    <w:rsid w:val="00ED63B7"/>
    <w:rsid w:val="00ED6483"/>
    <w:rsid w:val="00ED67E0"/>
    <w:rsid w:val="00ED6B8D"/>
    <w:rsid w:val="00ED6BD9"/>
    <w:rsid w:val="00ED6C0E"/>
    <w:rsid w:val="00ED6CA3"/>
    <w:rsid w:val="00ED6FA4"/>
    <w:rsid w:val="00ED73CE"/>
    <w:rsid w:val="00ED7965"/>
    <w:rsid w:val="00ED7A29"/>
    <w:rsid w:val="00ED7F99"/>
    <w:rsid w:val="00EE0149"/>
    <w:rsid w:val="00EE035A"/>
    <w:rsid w:val="00EE0BD4"/>
    <w:rsid w:val="00EE1286"/>
    <w:rsid w:val="00EE1480"/>
    <w:rsid w:val="00EE162F"/>
    <w:rsid w:val="00EE1655"/>
    <w:rsid w:val="00EE1683"/>
    <w:rsid w:val="00EE16D9"/>
    <w:rsid w:val="00EE19A0"/>
    <w:rsid w:val="00EE1A76"/>
    <w:rsid w:val="00EE20DF"/>
    <w:rsid w:val="00EE26E2"/>
    <w:rsid w:val="00EE2D5D"/>
    <w:rsid w:val="00EE2F74"/>
    <w:rsid w:val="00EE3171"/>
    <w:rsid w:val="00EE32AE"/>
    <w:rsid w:val="00EE33B1"/>
    <w:rsid w:val="00EE342A"/>
    <w:rsid w:val="00EE363D"/>
    <w:rsid w:val="00EE3AC8"/>
    <w:rsid w:val="00EE41D7"/>
    <w:rsid w:val="00EE434D"/>
    <w:rsid w:val="00EE4536"/>
    <w:rsid w:val="00EE454B"/>
    <w:rsid w:val="00EE45A3"/>
    <w:rsid w:val="00EE4A9C"/>
    <w:rsid w:val="00EE4AE2"/>
    <w:rsid w:val="00EE4C78"/>
    <w:rsid w:val="00EE4D9E"/>
    <w:rsid w:val="00EE4EE1"/>
    <w:rsid w:val="00EE503C"/>
    <w:rsid w:val="00EE50A7"/>
    <w:rsid w:val="00EE530E"/>
    <w:rsid w:val="00EE538F"/>
    <w:rsid w:val="00EE5393"/>
    <w:rsid w:val="00EE5458"/>
    <w:rsid w:val="00EE54F7"/>
    <w:rsid w:val="00EE5614"/>
    <w:rsid w:val="00EE5864"/>
    <w:rsid w:val="00EE5A17"/>
    <w:rsid w:val="00EE5A28"/>
    <w:rsid w:val="00EE607C"/>
    <w:rsid w:val="00EE61A1"/>
    <w:rsid w:val="00EE6353"/>
    <w:rsid w:val="00EE6569"/>
    <w:rsid w:val="00EE6AC5"/>
    <w:rsid w:val="00EE6F1F"/>
    <w:rsid w:val="00EE75C9"/>
    <w:rsid w:val="00EE7E09"/>
    <w:rsid w:val="00EE7FD8"/>
    <w:rsid w:val="00EF01F8"/>
    <w:rsid w:val="00EF0502"/>
    <w:rsid w:val="00EF0595"/>
    <w:rsid w:val="00EF0707"/>
    <w:rsid w:val="00EF0982"/>
    <w:rsid w:val="00EF0C37"/>
    <w:rsid w:val="00EF12C7"/>
    <w:rsid w:val="00EF1444"/>
    <w:rsid w:val="00EF153E"/>
    <w:rsid w:val="00EF165F"/>
    <w:rsid w:val="00EF179A"/>
    <w:rsid w:val="00EF1916"/>
    <w:rsid w:val="00EF1AE8"/>
    <w:rsid w:val="00EF1B10"/>
    <w:rsid w:val="00EF1BD3"/>
    <w:rsid w:val="00EF24FF"/>
    <w:rsid w:val="00EF27CC"/>
    <w:rsid w:val="00EF30BE"/>
    <w:rsid w:val="00EF30DB"/>
    <w:rsid w:val="00EF31E6"/>
    <w:rsid w:val="00EF3860"/>
    <w:rsid w:val="00EF3A2F"/>
    <w:rsid w:val="00EF3EAD"/>
    <w:rsid w:val="00EF4031"/>
    <w:rsid w:val="00EF4147"/>
    <w:rsid w:val="00EF42A4"/>
    <w:rsid w:val="00EF4574"/>
    <w:rsid w:val="00EF474E"/>
    <w:rsid w:val="00EF4959"/>
    <w:rsid w:val="00EF4C44"/>
    <w:rsid w:val="00EF4D8C"/>
    <w:rsid w:val="00EF4F50"/>
    <w:rsid w:val="00EF4FBA"/>
    <w:rsid w:val="00EF5357"/>
    <w:rsid w:val="00EF55AE"/>
    <w:rsid w:val="00EF5629"/>
    <w:rsid w:val="00EF5689"/>
    <w:rsid w:val="00EF5B10"/>
    <w:rsid w:val="00EF5BC5"/>
    <w:rsid w:val="00EF5C9D"/>
    <w:rsid w:val="00EF6228"/>
    <w:rsid w:val="00EF6ACB"/>
    <w:rsid w:val="00EF6F26"/>
    <w:rsid w:val="00EF7414"/>
    <w:rsid w:val="00EF74FE"/>
    <w:rsid w:val="00EF7755"/>
    <w:rsid w:val="00EF77B7"/>
    <w:rsid w:val="00EF77E4"/>
    <w:rsid w:val="00EF7A90"/>
    <w:rsid w:val="00EF7B6D"/>
    <w:rsid w:val="00EF7E28"/>
    <w:rsid w:val="00EF7F49"/>
    <w:rsid w:val="00F000D3"/>
    <w:rsid w:val="00F0044A"/>
    <w:rsid w:val="00F00A90"/>
    <w:rsid w:val="00F00BA4"/>
    <w:rsid w:val="00F00CD3"/>
    <w:rsid w:val="00F00D8E"/>
    <w:rsid w:val="00F011E9"/>
    <w:rsid w:val="00F01345"/>
    <w:rsid w:val="00F0165C"/>
    <w:rsid w:val="00F019EA"/>
    <w:rsid w:val="00F0206E"/>
    <w:rsid w:val="00F021D2"/>
    <w:rsid w:val="00F02BBA"/>
    <w:rsid w:val="00F02CDE"/>
    <w:rsid w:val="00F02F32"/>
    <w:rsid w:val="00F03039"/>
    <w:rsid w:val="00F0313B"/>
    <w:rsid w:val="00F03272"/>
    <w:rsid w:val="00F03794"/>
    <w:rsid w:val="00F03861"/>
    <w:rsid w:val="00F039B5"/>
    <w:rsid w:val="00F03CF4"/>
    <w:rsid w:val="00F03D41"/>
    <w:rsid w:val="00F03D7E"/>
    <w:rsid w:val="00F041F6"/>
    <w:rsid w:val="00F045F2"/>
    <w:rsid w:val="00F04D47"/>
    <w:rsid w:val="00F04D76"/>
    <w:rsid w:val="00F04DED"/>
    <w:rsid w:val="00F04E9F"/>
    <w:rsid w:val="00F04EA0"/>
    <w:rsid w:val="00F04F9F"/>
    <w:rsid w:val="00F05175"/>
    <w:rsid w:val="00F053A0"/>
    <w:rsid w:val="00F05A27"/>
    <w:rsid w:val="00F05DB2"/>
    <w:rsid w:val="00F05ECA"/>
    <w:rsid w:val="00F05FC8"/>
    <w:rsid w:val="00F060EA"/>
    <w:rsid w:val="00F0631A"/>
    <w:rsid w:val="00F06F6F"/>
    <w:rsid w:val="00F07059"/>
    <w:rsid w:val="00F0706E"/>
    <w:rsid w:val="00F07183"/>
    <w:rsid w:val="00F0726B"/>
    <w:rsid w:val="00F072A1"/>
    <w:rsid w:val="00F07310"/>
    <w:rsid w:val="00F0749E"/>
    <w:rsid w:val="00F0763F"/>
    <w:rsid w:val="00F078D1"/>
    <w:rsid w:val="00F0790E"/>
    <w:rsid w:val="00F103EE"/>
    <w:rsid w:val="00F104A5"/>
    <w:rsid w:val="00F10602"/>
    <w:rsid w:val="00F107F6"/>
    <w:rsid w:val="00F10863"/>
    <w:rsid w:val="00F10C66"/>
    <w:rsid w:val="00F1118A"/>
    <w:rsid w:val="00F1132E"/>
    <w:rsid w:val="00F1136F"/>
    <w:rsid w:val="00F11718"/>
    <w:rsid w:val="00F11A78"/>
    <w:rsid w:val="00F11B2B"/>
    <w:rsid w:val="00F11B69"/>
    <w:rsid w:val="00F11F79"/>
    <w:rsid w:val="00F11F85"/>
    <w:rsid w:val="00F122BD"/>
    <w:rsid w:val="00F12342"/>
    <w:rsid w:val="00F1268C"/>
    <w:rsid w:val="00F12CF1"/>
    <w:rsid w:val="00F12D13"/>
    <w:rsid w:val="00F13390"/>
    <w:rsid w:val="00F134E0"/>
    <w:rsid w:val="00F13710"/>
    <w:rsid w:val="00F13ADB"/>
    <w:rsid w:val="00F13B49"/>
    <w:rsid w:val="00F140D2"/>
    <w:rsid w:val="00F14A6E"/>
    <w:rsid w:val="00F14BCB"/>
    <w:rsid w:val="00F14D8E"/>
    <w:rsid w:val="00F14E78"/>
    <w:rsid w:val="00F14ED9"/>
    <w:rsid w:val="00F15523"/>
    <w:rsid w:val="00F155E4"/>
    <w:rsid w:val="00F1560C"/>
    <w:rsid w:val="00F157DF"/>
    <w:rsid w:val="00F160AC"/>
    <w:rsid w:val="00F1613C"/>
    <w:rsid w:val="00F1623A"/>
    <w:rsid w:val="00F1631A"/>
    <w:rsid w:val="00F17049"/>
    <w:rsid w:val="00F176E0"/>
    <w:rsid w:val="00F17DB8"/>
    <w:rsid w:val="00F17E9A"/>
    <w:rsid w:val="00F17FA6"/>
    <w:rsid w:val="00F20077"/>
    <w:rsid w:val="00F20126"/>
    <w:rsid w:val="00F2023A"/>
    <w:rsid w:val="00F2049E"/>
    <w:rsid w:val="00F20545"/>
    <w:rsid w:val="00F20597"/>
    <w:rsid w:val="00F20741"/>
    <w:rsid w:val="00F20A92"/>
    <w:rsid w:val="00F20B85"/>
    <w:rsid w:val="00F20CFA"/>
    <w:rsid w:val="00F20F80"/>
    <w:rsid w:val="00F21522"/>
    <w:rsid w:val="00F2184E"/>
    <w:rsid w:val="00F2203C"/>
    <w:rsid w:val="00F2217F"/>
    <w:rsid w:val="00F22D59"/>
    <w:rsid w:val="00F22F1B"/>
    <w:rsid w:val="00F23020"/>
    <w:rsid w:val="00F23383"/>
    <w:rsid w:val="00F23704"/>
    <w:rsid w:val="00F23AA3"/>
    <w:rsid w:val="00F23B0A"/>
    <w:rsid w:val="00F23BD6"/>
    <w:rsid w:val="00F23D68"/>
    <w:rsid w:val="00F23F8F"/>
    <w:rsid w:val="00F241C0"/>
    <w:rsid w:val="00F245A2"/>
    <w:rsid w:val="00F2465E"/>
    <w:rsid w:val="00F24ABB"/>
    <w:rsid w:val="00F24C2D"/>
    <w:rsid w:val="00F25C75"/>
    <w:rsid w:val="00F25E57"/>
    <w:rsid w:val="00F2604E"/>
    <w:rsid w:val="00F2647E"/>
    <w:rsid w:val="00F267F9"/>
    <w:rsid w:val="00F2684E"/>
    <w:rsid w:val="00F26877"/>
    <w:rsid w:val="00F27176"/>
    <w:rsid w:val="00F2729D"/>
    <w:rsid w:val="00F276DC"/>
    <w:rsid w:val="00F27BAA"/>
    <w:rsid w:val="00F27CAB"/>
    <w:rsid w:val="00F27CF0"/>
    <w:rsid w:val="00F27E62"/>
    <w:rsid w:val="00F301F1"/>
    <w:rsid w:val="00F30269"/>
    <w:rsid w:val="00F307A3"/>
    <w:rsid w:val="00F308EC"/>
    <w:rsid w:val="00F31489"/>
    <w:rsid w:val="00F31564"/>
    <w:rsid w:val="00F31754"/>
    <w:rsid w:val="00F31AB0"/>
    <w:rsid w:val="00F322E0"/>
    <w:rsid w:val="00F324DC"/>
    <w:rsid w:val="00F32859"/>
    <w:rsid w:val="00F328AB"/>
    <w:rsid w:val="00F32A04"/>
    <w:rsid w:val="00F32D31"/>
    <w:rsid w:val="00F32DF9"/>
    <w:rsid w:val="00F33043"/>
    <w:rsid w:val="00F33150"/>
    <w:rsid w:val="00F33352"/>
    <w:rsid w:val="00F33384"/>
    <w:rsid w:val="00F3349A"/>
    <w:rsid w:val="00F33F79"/>
    <w:rsid w:val="00F342BC"/>
    <w:rsid w:val="00F344EC"/>
    <w:rsid w:val="00F34543"/>
    <w:rsid w:val="00F34652"/>
    <w:rsid w:val="00F347A2"/>
    <w:rsid w:val="00F34AD3"/>
    <w:rsid w:val="00F34E86"/>
    <w:rsid w:val="00F352F6"/>
    <w:rsid w:val="00F35384"/>
    <w:rsid w:val="00F3538A"/>
    <w:rsid w:val="00F353EA"/>
    <w:rsid w:val="00F35594"/>
    <w:rsid w:val="00F35733"/>
    <w:rsid w:val="00F35BAB"/>
    <w:rsid w:val="00F35C53"/>
    <w:rsid w:val="00F35CDC"/>
    <w:rsid w:val="00F36130"/>
    <w:rsid w:val="00F3663E"/>
    <w:rsid w:val="00F36CCF"/>
    <w:rsid w:val="00F36EA4"/>
    <w:rsid w:val="00F36FFE"/>
    <w:rsid w:val="00F37141"/>
    <w:rsid w:val="00F37151"/>
    <w:rsid w:val="00F37208"/>
    <w:rsid w:val="00F37308"/>
    <w:rsid w:val="00F37526"/>
    <w:rsid w:val="00F3789C"/>
    <w:rsid w:val="00F37C7B"/>
    <w:rsid w:val="00F37F72"/>
    <w:rsid w:val="00F37FDE"/>
    <w:rsid w:val="00F40289"/>
    <w:rsid w:val="00F404CB"/>
    <w:rsid w:val="00F40BC4"/>
    <w:rsid w:val="00F40BD2"/>
    <w:rsid w:val="00F40E06"/>
    <w:rsid w:val="00F41560"/>
    <w:rsid w:val="00F415C5"/>
    <w:rsid w:val="00F419A7"/>
    <w:rsid w:val="00F41A36"/>
    <w:rsid w:val="00F41DB9"/>
    <w:rsid w:val="00F41E07"/>
    <w:rsid w:val="00F41FBC"/>
    <w:rsid w:val="00F427DD"/>
    <w:rsid w:val="00F42810"/>
    <w:rsid w:val="00F42A2E"/>
    <w:rsid w:val="00F42B1A"/>
    <w:rsid w:val="00F42F82"/>
    <w:rsid w:val="00F43010"/>
    <w:rsid w:val="00F430C1"/>
    <w:rsid w:val="00F43137"/>
    <w:rsid w:val="00F43169"/>
    <w:rsid w:val="00F43A27"/>
    <w:rsid w:val="00F43A9A"/>
    <w:rsid w:val="00F43B1E"/>
    <w:rsid w:val="00F43B3B"/>
    <w:rsid w:val="00F43B50"/>
    <w:rsid w:val="00F44094"/>
    <w:rsid w:val="00F441D7"/>
    <w:rsid w:val="00F44626"/>
    <w:rsid w:val="00F4480A"/>
    <w:rsid w:val="00F451C1"/>
    <w:rsid w:val="00F456B1"/>
    <w:rsid w:val="00F456EC"/>
    <w:rsid w:val="00F45BAB"/>
    <w:rsid w:val="00F4609A"/>
    <w:rsid w:val="00F46388"/>
    <w:rsid w:val="00F466B8"/>
    <w:rsid w:val="00F46ACD"/>
    <w:rsid w:val="00F46D29"/>
    <w:rsid w:val="00F46EAD"/>
    <w:rsid w:val="00F4716F"/>
    <w:rsid w:val="00F47231"/>
    <w:rsid w:val="00F472D8"/>
    <w:rsid w:val="00F472F2"/>
    <w:rsid w:val="00F4782A"/>
    <w:rsid w:val="00F479AB"/>
    <w:rsid w:val="00F47A09"/>
    <w:rsid w:val="00F47C68"/>
    <w:rsid w:val="00F47E6F"/>
    <w:rsid w:val="00F47EB6"/>
    <w:rsid w:val="00F50C7B"/>
    <w:rsid w:val="00F50FD3"/>
    <w:rsid w:val="00F51195"/>
    <w:rsid w:val="00F5123B"/>
    <w:rsid w:val="00F5145E"/>
    <w:rsid w:val="00F516D5"/>
    <w:rsid w:val="00F524BC"/>
    <w:rsid w:val="00F52B5D"/>
    <w:rsid w:val="00F53B86"/>
    <w:rsid w:val="00F54528"/>
    <w:rsid w:val="00F547D5"/>
    <w:rsid w:val="00F54D8A"/>
    <w:rsid w:val="00F54F4C"/>
    <w:rsid w:val="00F55069"/>
    <w:rsid w:val="00F5530F"/>
    <w:rsid w:val="00F55B14"/>
    <w:rsid w:val="00F55DD2"/>
    <w:rsid w:val="00F56063"/>
    <w:rsid w:val="00F563F9"/>
    <w:rsid w:val="00F5640B"/>
    <w:rsid w:val="00F564E6"/>
    <w:rsid w:val="00F56A12"/>
    <w:rsid w:val="00F56B00"/>
    <w:rsid w:val="00F56FAC"/>
    <w:rsid w:val="00F57013"/>
    <w:rsid w:val="00F570B5"/>
    <w:rsid w:val="00F57650"/>
    <w:rsid w:val="00F576C8"/>
    <w:rsid w:val="00F576DF"/>
    <w:rsid w:val="00F57DEE"/>
    <w:rsid w:val="00F57EDA"/>
    <w:rsid w:val="00F600D3"/>
    <w:rsid w:val="00F60CA4"/>
    <w:rsid w:val="00F60D96"/>
    <w:rsid w:val="00F60DB4"/>
    <w:rsid w:val="00F60E66"/>
    <w:rsid w:val="00F60F23"/>
    <w:rsid w:val="00F6101D"/>
    <w:rsid w:val="00F610D5"/>
    <w:rsid w:val="00F611EB"/>
    <w:rsid w:val="00F6147C"/>
    <w:rsid w:val="00F61C0F"/>
    <w:rsid w:val="00F61C72"/>
    <w:rsid w:val="00F61D99"/>
    <w:rsid w:val="00F61E4C"/>
    <w:rsid w:val="00F6204A"/>
    <w:rsid w:val="00F62339"/>
    <w:rsid w:val="00F6269F"/>
    <w:rsid w:val="00F62A3E"/>
    <w:rsid w:val="00F62D77"/>
    <w:rsid w:val="00F62D83"/>
    <w:rsid w:val="00F6320B"/>
    <w:rsid w:val="00F633E3"/>
    <w:rsid w:val="00F63400"/>
    <w:rsid w:val="00F636FE"/>
    <w:rsid w:val="00F63755"/>
    <w:rsid w:val="00F63CAA"/>
    <w:rsid w:val="00F63EFE"/>
    <w:rsid w:val="00F63F82"/>
    <w:rsid w:val="00F63F8A"/>
    <w:rsid w:val="00F64209"/>
    <w:rsid w:val="00F64396"/>
    <w:rsid w:val="00F646B6"/>
    <w:rsid w:val="00F649ED"/>
    <w:rsid w:val="00F64ABE"/>
    <w:rsid w:val="00F64ADC"/>
    <w:rsid w:val="00F64D8D"/>
    <w:rsid w:val="00F6538F"/>
    <w:rsid w:val="00F65556"/>
    <w:rsid w:val="00F655E7"/>
    <w:rsid w:val="00F65E0B"/>
    <w:rsid w:val="00F661D5"/>
    <w:rsid w:val="00F6663B"/>
    <w:rsid w:val="00F66642"/>
    <w:rsid w:val="00F667A0"/>
    <w:rsid w:val="00F66820"/>
    <w:rsid w:val="00F66974"/>
    <w:rsid w:val="00F6777B"/>
    <w:rsid w:val="00F67C2B"/>
    <w:rsid w:val="00F67EC7"/>
    <w:rsid w:val="00F700F2"/>
    <w:rsid w:val="00F70346"/>
    <w:rsid w:val="00F708DA"/>
    <w:rsid w:val="00F70951"/>
    <w:rsid w:val="00F70ABA"/>
    <w:rsid w:val="00F70CF8"/>
    <w:rsid w:val="00F70E9C"/>
    <w:rsid w:val="00F715C9"/>
    <w:rsid w:val="00F7186D"/>
    <w:rsid w:val="00F721CA"/>
    <w:rsid w:val="00F7257B"/>
    <w:rsid w:val="00F729EF"/>
    <w:rsid w:val="00F72C01"/>
    <w:rsid w:val="00F7302D"/>
    <w:rsid w:val="00F731D5"/>
    <w:rsid w:val="00F73210"/>
    <w:rsid w:val="00F73326"/>
    <w:rsid w:val="00F73711"/>
    <w:rsid w:val="00F73EE6"/>
    <w:rsid w:val="00F73EEC"/>
    <w:rsid w:val="00F74160"/>
    <w:rsid w:val="00F74F4A"/>
    <w:rsid w:val="00F74FAD"/>
    <w:rsid w:val="00F75088"/>
    <w:rsid w:val="00F75E90"/>
    <w:rsid w:val="00F75EA0"/>
    <w:rsid w:val="00F7632B"/>
    <w:rsid w:val="00F763A7"/>
    <w:rsid w:val="00F764C7"/>
    <w:rsid w:val="00F766E5"/>
    <w:rsid w:val="00F76750"/>
    <w:rsid w:val="00F76819"/>
    <w:rsid w:val="00F76BD0"/>
    <w:rsid w:val="00F76CD9"/>
    <w:rsid w:val="00F76FB5"/>
    <w:rsid w:val="00F77271"/>
    <w:rsid w:val="00F77275"/>
    <w:rsid w:val="00F773A3"/>
    <w:rsid w:val="00F77CAE"/>
    <w:rsid w:val="00F80073"/>
    <w:rsid w:val="00F800AE"/>
    <w:rsid w:val="00F800F3"/>
    <w:rsid w:val="00F80307"/>
    <w:rsid w:val="00F80475"/>
    <w:rsid w:val="00F806F4"/>
    <w:rsid w:val="00F80C5E"/>
    <w:rsid w:val="00F80E16"/>
    <w:rsid w:val="00F80E1D"/>
    <w:rsid w:val="00F80EA6"/>
    <w:rsid w:val="00F80FFA"/>
    <w:rsid w:val="00F811F5"/>
    <w:rsid w:val="00F81224"/>
    <w:rsid w:val="00F815F5"/>
    <w:rsid w:val="00F81693"/>
    <w:rsid w:val="00F81743"/>
    <w:rsid w:val="00F81990"/>
    <w:rsid w:val="00F81C00"/>
    <w:rsid w:val="00F81CAE"/>
    <w:rsid w:val="00F81F6F"/>
    <w:rsid w:val="00F82227"/>
    <w:rsid w:val="00F822F3"/>
    <w:rsid w:val="00F823B8"/>
    <w:rsid w:val="00F823C1"/>
    <w:rsid w:val="00F82516"/>
    <w:rsid w:val="00F82758"/>
    <w:rsid w:val="00F82768"/>
    <w:rsid w:val="00F82CFF"/>
    <w:rsid w:val="00F82E00"/>
    <w:rsid w:val="00F83095"/>
    <w:rsid w:val="00F831F8"/>
    <w:rsid w:val="00F83313"/>
    <w:rsid w:val="00F83DB0"/>
    <w:rsid w:val="00F845E3"/>
    <w:rsid w:val="00F847F2"/>
    <w:rsid w:val="00F8520D"/>
    <w:rsid w:val="00F85507"/>
    <w:rsid w:val="00F857FD"/>
    <w:rsid w:val="00F85CA6"/>
    <w:rsid w:val="00F85CE6"/>
    <w:rsid w:val="00F85F0F"/>
    <w:rsid w:val="00F85F1A"/>
    <w:rsid w:val="00F86930"/>
    <w:rsid w:val="00F86E13"/>
    <w:rsid w:val="00F86E31"/>
    <w:rsid w:val="00F872DE"/>
    <w:rsid w:val="00F87521"/>
    <w:rsid w:val="00F87524"/>
    <w:rsid w:val="00F879C0"/>
    <w:rsid w:val="00F87AD1"/>
    <w:rsid w:val="00F87B55"/>
    <w:rsid w:val="00F87B62"/>
    <w:rsid w:val="00F87C21"/>
    <w:rsid w:val="00F87CCA"/>
    <w:rsid w:val="00F87E2F"/>
    <w:rsid w:val="00F905FE"/>
    <w:rsid w:val="00F90603"/>
    <w:rsid w:val="00F9069E"/>
    <w:rsid w:val="00F907FA"/>
    <w:rsid w:val="00F909EF"/>
    <w:rsid w:val="00F91061"/>
    <w:rsid w:val="00F91122"/>
    <w:rsid w:val="00F91621"/>
    <w:rsid w:val="00F91F53"/>
    <w:rsid w:val="00F92065"/>
    <w:rsid w:val="00F922DA"/>
    <w:rsid w:val="00F92300"/>
    <w:rsid w:val="00F92AD8"/>
    <w:rsid w:val="00F9306A"/>
    <w:rsid w:val="00F934B9"/>
    <w:rsid w:val="00F937CC"/>
    <w:rsid w:val="00F93B1A"/>
    <w:rsid w:val="00F93D41"/>
    <w:rsid w:val="00F93E73"/>
    <w:rsid w:val="00F93EED"/>
    <w:rsid w:val="00F93F89"/>
    <w:rsid w:val="00F93FE6"/>
    <w:rsid w:val="00F94118"/>
    <w:rsid w:val="00F94420"/>
    <w:rsid w:val="00F9484A"/>
    <w:rsid w:val="00F94D06"/>
    <w:rsid w:val="00F94D3B"/>
    <w:rsid w:val="00F94E19"/>
    <w:rsid w:val="00F95184"/>
    <w:rsid w:val="00F951D0"/>
    <w:rsid w:val="00F9595A"/>
    <w:rsid w:val="00F95CB2"/>
    <w:rsid w:val="00F95CFC"/>
    <w:rsid w:val="00F9601B"/>
    <w:rsid w:val="00F96330"/>
    <w:rsid w:val="00F965A3"/>
    <w:rsid w:val="00F96BB9"/>
    <w:rsid w:val="00F970CF"/>
    <w:rsid w:val="00F9758B"/>
    <w:rsid w:val="00F979EA"/>
    <w:rsid w:val="00F97CDF"/>
    <w:rsid w:val="00F97CE2"/>
    <w:rsid w:val="00F97D58"/>
    <w:rsid w:val="00F97DC1"/>
    <w:rsid w:val="00FA00EC"/>
    <w:rsid w:val="00FA0945"/>
    <w:rsid w:val="00FA0B4D"/>
    <w:rsid w:val="00FA1373"/>
    <w:rsid w:val="00FA143B"/>
    <w:rsid w:val="00FA15C9"/>
    <w:rsid w:val="00FA1F32"/>
    <w:rsid w:val="00FA206D"/>
    <w:rsid w:val="00FA2118"/>
    <w:rsid w:val="00FA2922"/>
    <w:rsid w:val="00FA2A91"/>
    <w:rsid w:val="00FA2DF2"/>
    <w:rsid w:val="00FA2E80"/>
    <w:rsid w:val="00FA2F44"/>
    <w:rsid w:val="00FA2F94"/>
    <w:rsid w:val="00FA3457"/>
    <w:rsid w:val="00FA377E"/>
    <w:rsid w:val="00FA3C1C"/>
    <w:rsid w:val="00FA41F2"/>
    <w:rsid w:val="00FA465A"/>
    <w:rsid w:val="00FA4B26"/>
    <w:rsid w:val="00FA4C38"/>
    <w:rsid w:val="00FA512B"/>
    <w:rsid w:val="00FA515F"/>
    <w:rsid w:val="00FA5552"/>
    <w:rsid w:val="00FA557F"/>
    <w:rsid w:val="00FA58F3"/>
    <w:rsid w:val="00FA5B4C"/>
    <w:rsid w:val="00FA5DC8"/>
    <w:rsid w:val="00FA5E6B"/>
    <w:rsid w:val="00FA5F4A"/>
    <w:rsid w:val="00FA5F5F"/>
    <w:rsid w:val="00FA60A0"/>
    <w:rsid w:val="00FA60F1"/>
    <w:rsid w:val="00FA6AB2"/>
    <w:rsid w:val="00FA6AFD"/>
    <w:rsid w:val="00FA6DC7"/>
    <w:rsid w:val="00FA6DC9"/>
    <w:rsid w:val="00FA76C9"/>
    <w:rsid w:val="00FA76EA"/>
    <w:rsid w:val="00FA7BE6"/>
    <w:rsid w:val="00FA7DCB"/>
    <w:rsid w:val="00FA7F4D"/>
    <w:rsid w:val="00FA7FE6"/>
    <w:rsid w:val="00FB03A4"/>
    <w:rsid w:val="00FB041F"/>
    <w:rsid w:val="00FB07E3"/>
    <w:rsid w:val="00FB0A91"/>
    <w:rsid w:val="00FB0E11"/>
    <w:rsid w:val="00FB0F26"/>
    <w:rsid w:val="00FB0F6E"/>
    <w:rsid w:val="00FB1057"/>
    <w:rsid w:val="00FB11DC"/>
    <w:rsid w:val="00FB1558"/>
    <w:rsid w:val="00FB16C1"/>
    <w:rsid w:val="00FB199D"/>
    <w:rsid w:val="00FB1A2A"/>
    <w:rsid w:val="00FB1A93"/>
    <w:rsid w:val="00FB1AD6"/>
    <w:rsid w:val="00FB1CB0"/>
    <w:rsid w:val="00FB2176"/>
    <w:rsid w:val="00FB22F2"/>
    <w:rsid w:val="00FB2313"/>
    <w:rsid w:val="00FB237A"/>
    <w:rsid w:val="00FB2A84"/>
    <w:rsid w:val="00FB2D21"/>
    <w:rsid w:val="00FB325B"/>
    <w:rsid w:val="00FB392E"/>
    <w:rsid w:val="00FB3A70"/>
    <w:rsid w:val="00FB3AF1"/>
    <w:rsid w:val="00FB3C66"/>
    <w:rsid w:val="00FB3DEB"/>
    <w:rsid w:val="00FB40D6"/>
    <w:rsid w:val="00FB44AA"/>
    <w:rsid w:val="00FB4AE5"/>
    <w:rsid w:val="00FB5012"/>
    <w:rsid w:val="00FB5379"/>
    <w:rsid w:val="00FB575D"/>
    <w:rsid w:val="00FB5A64"/>
    <w:rsid w:val="00FB5E3B"/>
    <w:rsid w:val="00FB63DA"/>
    <w:rsid w:val="00FB6644"/>
    <w:rsid w:val="00FB66C6"/>
    <w:rsid w:val="00FB6ABD"/>
    <w:rsid w:val="00FB6D1D"/>
    <w:rsid w:val="00FB6F02"/>
    <w:rsid w:val="00FB71B6"/>
    <w:rsid w:val="00FB720E"/>
    <w:rsid w:val="00FB7211"/>
    <w:rsid w:val="00FB7853"/>
    <w:rsid w:val="00FB7A2B"/>
    <w:rsid w:val="00FB7D38"/>
    <w:rsid w:val="00FC0133"/>
    <w:rsid w:val="00FC042C"/>
    <w:rsid w:val="00FC07C1"/>
    <w:rsid w:val="00FC08F0"/>
    <w:rsid w:val="00FC08F6"/>
    <w:rsid w:val="00FC0A36"/>
    <w:rsid w:val="00FC0AF4"/>
    <w:rsid w:val="00FC0BC2"/>
    <w:rsid w:val="00FC0F6C"/>
    <w:rsid w:val="00FC1061"/>
    <w:rsid w:val="00FC1082"/>
    <w:rsid w:val="00FC135D"/>
    <w:rsid w:val="00FC13A3"/>
    <w:rsid w:val="00FC1674"/>
    <w:rsid w:val="00FC1DDF"/>
    <w:rsid w:val="00FC2999"/>
    <w:rsid w:val="00FC2A72"/>
    <w:rsid w:val="00FC3069"/>
    <w:rsid w:val="00FC320D"/>
    <w:rsid w:val="00FC34B5"/>
    <w:rsid w:val="00FC36FE"/>
    <w:rsid w:val="00FC3963"/>
    <w:rsid w:val="00FC3A97"/>
    <w:rsid w:val="00FC3B35"/>
    <w:rsid w:val="00FC3C6C"/>
    <w:rsid w:val="00FC4144"/>
    <w:rsid w:val="00FC41E8"/>
    <w:rsid w:val="00FC4375"/>
    <w:rsid w:val="00FC4C9C"/>
    <w:rsid w:val="00FC4F21"/>
    <w:rsid w:val="00FC5758"/>
    <w:rsid w:val="00FC5A74"/>
    <w:rsid w:val="00FC5BE1"/>
    <w:rsid w:val="00FC5C6D"/>
    <w:rsid w:val="00FC5FF9"/>
    <w:rsid w:val="00FC637C"/>
    <w:rsid w:val="00FC63E4"/>
    <w:rsid w:val="00FC6BC8"/>
    <w:rsid w:val="00FC718D"/>
    <w:rsid w:val="00FC72AF"/>
    <w:rsid w:val="00FC7334"/>
    <w:rsid w:val="00FC7373"/>
    <w:rsid w:val="00FC75AD"/>
    <w:rsid w:val="00FC79F5"/>
    <w:rsid w:val="00FC7AE0"/>
    <w:rsid w:val="00FC7C09"/>
    <w:rsid w:val="00FC7C4E"/>
    <w:rsid w:val="00FC7F1D"/>
    <w:rsid w:val="00FD0029"/>
    <w:rsid w:val="00FD0126"/>
    <w:rsid w:val="00FD026E"/>
    <w:rsid w:val="00FD04EF"/>
    <w:rsid w:val="00FD0565"/>
    <w:rsid w:val="00FD05CD"/>
    <w:rsid w:val="00FD064D"/>
    <w:rsid w:val="00FD06A3"/>
    <w:rsid w:val="00FD0916"/>
    <w:rsid w:val="00FD0A7F"/>
    <w:rsid w:val="00FD0C8F"/>
    <w:rsid w:val="00FD124B"/>
    <w:rsid w:val="00FD1825"/>
    <w:rsid w:val="00FD1AF7"/>
    <w:rsid w:val="00FD1D04"/>
    <w:rsid w:val="00FD1E69"/>
    <w:rsid w:val="00FD20A0"/>
    <w:rsid w:val="00FD2265"/>
    <w:rsid w:val="00FD2427"/>
    <w:rsid w:val="00FD27D2"/>
    <w:rsid w:val="00FD2C64"/>
    <w:rsid w:val="00FD2D5B"/>
    <w:rsid w:val="00FD2E7C"/>
    <w:rsid w:val="00FD2F43"/>
    <w:rsid w:val="00FD357F"/>
    <w:rsid w:val="00FD3A1E"/>
    <w:rsid w:val="00FD3A33"/>
    <w:rsid w:val="00FD3ED7"/>
    <w:rsid w:val="00FD3FA9"/>
    <w:rsid w:val="00FD46C3"/>
    <w:rsid w:val="00FD472D"/>
    <w:rsid w:val="00FD4892"/>
    <w:rsid w:val="00FD4996"/>
    <w:rsid w:val="00FD4AE4"/>
    <w:rsid w:val="00FD4BA3"/>
    <w:rsid w:val="00FD4C2C"/>
    <w:rsid w:val="00FD5681"/>
    <w:rsid w:val="00FD5721"/>
    <w:rsid w:val="00FD57BD"/>
    <w:rsid w:val="00FD590C"/>
    <w:rsid w:val="00FD5DAF"/>
    <w:rsid w:val="00FD602E"/>
    <w:rsid w:val="00FD6035"/>
    <w:rsid w:val="00FD629C"/>
    <w:rsid w:val="00FD6311"/>
    <w:rsid w:val="00FD65CF"/>
    <w:rsid w:val="00FD66BD"/>
    <w:rsid w:val="00FD6B15"/>
    <w:rsid w:val="00FD6DC6"/>
    <w:rsid w:val="00FD6F89"/>
    <w:rsid w:val="00FD7217"/>
    <w:rsid w:val="00FD7659"/>
    <w:rsid w:val="00FD76E6"/>
    <w:rsid w:val="00FE0562"/>
    <w:rsid w:val="00FE063B"/>
    <w:rsid w:val="00FE068B"/>
    <w:rsid w:val="00FE073D"/>
    <w:rsid w:val="00FE0CEB"/>
    <w:rsid w:val="00FE0EB5"/>
    <w:rsid w:val="00FE1001"/>
    <w:rsid w:val="00FE100A"/>
    <w:rsid w:val="00FE12C4"/>
    <w:rsid w:val="00FE17B9"/>
    <w:rsid w:val="00FE1A4F"/>
    <w:rsid w:val="00FE1BC4"/>
    <w:rsid w:val="00FE1F72"/>
    <w:rsid w:val="00FE2128"/>
    <w:rsid w:val="00FE2509"/>
    <w:rsid w:val="00FE252A"/>
    <w:rsid w:val="00FE2542"/>
    <w:rsid w:val="00FE26B7"/>
    <w:rsid w:val="00FE2B23"/>
    <w:rsid w:val="00FE2D6F"/>
    <w:rsid w:val="00FE2DCC"/>
    <w:rsid w:val="00FE2FD9"/>
    <w:rsid w:val="00FE311F"/>
    <w:rsid w:val="00FE3983"/>
    <w:rsid w:val="00FE3B3A"/>
    <w:rsid w:val="00FE3BF3"/>
    <w:rsid w:val="00FE3DFF"/>
    <w:rsid w:val="00FE406D"/>
    <w:rsid w:val="00FE42E2"/>
    <w:rsid w:val="00FE449B"/>
    <w:rsid w:val="00FE4E13"/>
    <w:rsid w:val="00FE4ED9"/>
    <w:rsid w:val="00FE5249"/>
    <w:rsid w:val="00FE534B"/>
    <w:rsid w:val="00FE5B53"/>
    <w:rsid w:val="00FE5C61"/>
    <w:rsid w:val="00FE5C78"/>
    <w:rsid w:val="00FE5C7A"/>
    <w:rsid w:val="00FE5CCB"/>
    <w:rsid w:val="00FE5D3A"/>
    <w:rsid w:val="00FE60B2"/>
    <w:rsid w:val="00FE61E3"/>
    <w:rsid w:val="00FE6257"/>
    <w:rsid w:val="00FE643A"/>
    <w:rsid w:val="00FE64BF"/>
    <w:rsid w:val="00FE65BE"/>
    <w:rsid w:val="00FE65D2"/>
    <w:rsid w:val="00FE66E6"/>
    <w:rsid w:val="00FE67B4"/>
    <w:rsid w:val="00FE6D51"/>
    <w:rsid w:val="00FE6DEF"/>
    <w:rsid w:val="00FE7008"/>
    <w:rsid w:val="00FE7293"/>
    <w:rsid w:val="00FE729B"/>
    <w:rsid w:val="00FE738B"/>
    <w:rsid w:val="00FE767B"/>
    <w:rsid w:val="00FE768E"/>
    <w:rsid w:val="00FE797A"/>
    <w:rsid w:val="00FF0089"/>
    <w:rsid w:val="00FF00C5"/>
    <w:rsid w:val="00FF026D"/>
    <w:rsid w:val="00FF0572"/>
    <w:rsid w:val="00FF0CCC"/>
    <w:rsid w:val="00FF0D42"/>
    <w:rsid w:val="00FF0DC7"/>
    <w:rsid w:val="00FF1C2F"/>
    <w:rsid w:val="00FF1CA4"/>
    <w:rsid w:val="00FF1CB2"/>
    <w:rsid w:val="00FF1CFA"/>
    <w:rsid w:val="00FF2557"/>
    <w:rsid w:val="00FF276F"/>
    <w:rsid w:val="00FF27A4"/>
    <w:rsid w:val="00FF2823"/>
    <w:rsid w:val="00FF2A91"/>
    <w:rsid w:val="00FF33AB"/>
    <w:rsid w:val="00FF381D"/>
    <w:rsid w:val="00FF3992"/>
    <w:rsid w:val="00FF39D1"/>
    <w:rsid w:val="00FF41EF"/>
    <w:rsid w:val="00FF4357"/>
    <w:rsid w:val="00FF449E"/>
    <w:rsid w:val="00FF48F6"/>
    <w:rsid w:val="00FF4B85"/>
    <w:rsid w:val="00FF4CCD"/>
    <w:rsid w:val="00FF4D93"/>
    <w:rsid w:val="00FF4DC0"/>
    <w:rsid w:val="00FF53BB"/>
    <w:rsid w:val="00FF53FC"/>
    <w:rsid w:val="00FF54C0"/>
    <w:rsid w:val="00FF571B"/>
    <w:rsid w:val="00FF5850"/>
    <w:rsid w:val="00FF5B29"/>
    <w:rsid w:val="00FF5E6C"/>
    <w:rsid w:val="00FF634F"/>
    <w:rsid w:val="00FF670E"/>
    <w:rsid w:val="00FF69E1"/>
    <w:rsid w:val="00FF6AF2"/>
    <w:rsid w:val="00FF7058"/>
    <w:rsid w:val="00FF72DF"/>
    <w:rsid w:val="00FF738C"/>
    <w:rsid w:val="00FF78E7"/>
    <w:rsid w:val="00FF7BC6"/>
    <w:rsid w:val="00FF7D39"/>
    <w:rsid w:val="00FF7E84"/>
    <w:rsid w:val="025B3BC9"/>
    <w:rsid w:val="04B123B9"/>
    <w:rsid w:val="04DF645B"/>
    <w:rsid w:val="057F983F"/>
    <w:rsid w:val="05C6B7AF"/>
    <w:rsid w:val="05E6E7EB"/>
    <w:rsid w:val="06E63A09"/>
    <w:rsid w:val="06EE9E4E"/>
    <w:rsid w:val="073FCEEC"/>
    <w:rsid w:val="07451EFB"/>
    <w:rsid w:val="07A2E525"/>
    <w:rsid w:val="07EF22A7"/>
    <w:rsid w:val="08BCB717"/>
    <w:rsid w:val="08C0669E"/>
    <w:rsid w:val="09287BC3"/>
    <w:rsid w:val="0A259505"/>
    <w:rsid w:val="0A3115C5"/>
    <w:rsid w:val="0AA2444C"/>
    <w:rsid w:val="0AEBF3BC"/>
    <w:rsid w:val="0B082705"/>
    <w:rsid w:val="0B1344FB"/>
    <w:rsid w:val="0B523973"/>
    <w:rsid w:val="0B7BD284"/>
    <w:rsid w:val="0B7FF040"/>
    <w:rsid w:val="0C47E1FD"/>
    <w:rsid w:val="0DACA9BF"/>
    <w:rsid w:val="0DAED895"/>
    <w:rsid w:val="0DD4C532"/>
    <w:rsid w:val="0DE67E0E"/>
    <w:rsid w:val="0E400D66"/>
    <w:rsid w:val="0E6F0014"/>
    <w:rsid w:val="0EA96658"/>
    <w:rsid w:val="100BDD76"/>
    <w:rsid w:val="104EA879"/>
    <w:rsid w:val="1080CC80"/>
    <w:rsid w:val="10A2E70A"/>
    <w:rsid w:val="10ECC63E"/>
    <w:rsid w:val="10F7DA54"/>
    <w:rsid w:val="1105C86F"/>
    <w:rsid w:val="1155C301"/>
    <w:rsid w:val="11771A3D"/>
    <w:rsid w:val="11948924"/>
    <w:rsid w:val="125D76D1"/>
    <w:rsid w:val="1292E770"/>
    <w:rsid w:val="12F5D9CA"/>
    <w:rsid w:val="132B1A63"/>
    <w:rsid w:val="1346EF59"/>
    <w:rsid w:val="13D38828"/>
    <w:rsid w:val="141F1102"/>
    <w:rsid w:val="14FFBCDD"/>
    <w:rsid w:val="154E1B4B"/>
    <w:rsid w:val="15649836"/>
    <w:rsid w:val="157A32BF"/>
    <w:rsid w:val="161ACCE7"/>
    <w:rsid w:val="16699EB9"/>
    <w:rsid w:val="167A3264"/>
    <w:rsid w:val="173F995E"/>
    <w:rsid w:val="1771C08F"/>
    <w:rsid w:val="17DB648C"/>
    <w:rsid w:val="183BFD0A"/>
    <w:rsid w:val="186A4094"/>
    <w:rsid w:val="18EEA513"/>
    <w:rsid w:val="191D572E"/>
    <w:rsid w:val="198ED958"/>
    <w:rsid w:val="19A563E2"/>
    <w:rsid w:val="1A3C1C80"/>
    <w:rsid w:val="1AB832D4"/>
    <w:rsid w:val="1AD341E6"/>
    <w:rsid w:val="1AF94B16"/>
    <w:rsid w:val="1B5BA54D"/>
    <w:rsid w:val="1C972C08"/>
    <w:rsid w:val="1D0F4797"/>
    <w:rsid w:val="1D72703A"/>
    <w:rsid w:val="1DF69C40"/>
    <w:rsid w:val="1E0A2CBB"/>
    <w:rsid w:val="1E0A5D51"/>
    <w:rsid w:val="1E7340E5"/>
    <w:rsid w:val="1F9F109E"/>
    <w:rsid w:val="2057E35A"/>
    <w:rsid w:val="2124563C"/>
    <w:rsid w:val="2245FF53"/>
    <w:rsid w:val="2275A358"/>
    <w:rsid w:val="22812B04"/>
    <w:rsid w:val="22BCD4EE"/>
    <w:rsid w:val="235D69CB"/>
    <w:rsid w:val="24B0988F"/>
    <w:rsid w:val="251279B2"/>
    <w:rsid w:val="25EEBBA6"/>
    <w:rsid w:val="25F79511"/>
    <w:rsid w:val="260627E5"/>
    <w:rsid w:val="2673F7B6"/>
    <w:rsid w:val="26757C2F"/>
    <w:rsid w:val="268D560C"/>
    <w:rsid w:val="27639E8A"/>
    <w:rsid w:val="27A9DE08"/>
    <w:rsid w:val="27CD8085"/>
    <w:rsid w:val="27D424E7"/>
    <w:rsid w:val="27FBD6A7"/>
    <w:rsid w:val="28681CA0"/>
    <w:rsid w:val="2868E674"/>
    <w:rsid w:val="28D9C528"/>
    <w:rsid w:val="28DF2489"/>
    <w:rsid w:val="2912F2CA"/>
    <w:rsid w:val="2948DAA4"/>
    <w:rsid w:val="299E7BF6"/>
    <w:rsid w:val="29F56BA9"/>
    <w:rsid w:val="2A46CE91"/>
    <w:rsid w:val="2B339B10"/>
    <w:rsid w:val="2B69CECA"/>
    <w:rsid w:val="2C32A8C7"/>
    <w:rsid w:val="2D125F7A"/>
    <w:rsid w:val="2D16D21E"/>
    <w:rsid w:val="2E26E531"/>
    <w:rsid w:val="2E84B2BB"/>
    <w:rsid w:val="2F9DCA20"/>
    <w:rsid w:val="2FA6E382"/>
    <w:rsid w:val="2FC75B3B"/>
    <w:rsid w:val="3024BCCA"/>
    <w:rsid w:val="304CCD6B"/>
    <w:rsid w:val="30A3164E"/>
    <w:rsid w:val="30B59CBF"/>
    <w:rsid w:val="30B870EF"/>
    <w:rsid w:val="30BDB272"/>
    <w:rsid w:val="30DFEE84"/>
    <w:rsid w:val="31244495"/>
    <w:rsid w:val="31F56C6F"/>
    <w:rsid w:val="320A4167"/>
    <w:rsid w:val="33827BC2"/>
    <w:rsid w:val="33A2D7AF"/>
    <w:rsid w:val="33AA13E5"/>
    <w:rsid w:val="33B779BE"/>
    <w:rsid w:val="33FABCA9"/>
    <w:rsid w:val="344C636A"/>
    <w:rsid w:val="34B86A41"/>
    <w:rsid w:val="34D8E6DB"/>
    <w:rsid w:val="356B6943"/>
    <w:rsid w:val="3575B322"/>
    <w:rsid w:val="35A4DAD2"/>
    <w:rsid w:val="35AE5E95"/>
    <w:rsid w:val="35E033DD"/>
    <w:rsid w:val="362F9F8A"/>
    <w:rsid w:val="3682C0ED"/>
    <w:rsid w:val="36E6D434"/>
    <w:rsid w:val="382C6146"/>
    <w:rsid w:val="382F0CCC"/>
    <w:rsid w:val="383E8449"/>
    <w:rsid w:val="3843A20C"/>
    <w:rsid w:val="3846EB81"/>
    <w:rsid w:val="3878A00B"/>
    <w:rsid w:val="38CA2D61"/>
    <w:rsid w:val="394F754E"/>
    <w:rsid w:val="395BCB11"/>
    <w:rsid w:val="3A7EF80C"/>
    <w:rsid w:val="3AF54B61"/>
    <w:rsid w:val="3B2E6985"/>
    <w:rsid w:val="3BAB3D53"/>
    <w:rsid w:val="3BC123A8"/>
    <w:rsid w:val="3C2CAB9D"/>
    <w:rsid w:val="3C9B5CF9"/>
    <w:rsid w:val="3D6234BD"/>
    <w:rsid w:val="3D6955A0"/>
    <w:rsid w:val="3D75658A"/>
    <w:rsid w:val="3EAB873F"/>
    <w:rsid w:val="3F2D2297"/>
    <w:rsid w:val="3F4386F4"/>
    <w:rsid w:val="3F4C29F2"/>
    <w:rsid w:val="3FD0CED0"/>
    <w:rsid w:val="40284683"/>
    <w:rsid w:val="402D50A9"/>
    <w:rsid w:val="40CD7E07"/>
    <w:rsid w:val="4276078F"/>
    <w:rsid w:val="42894B37"/>
    <w:rsid w:val="435BA441"/>
    <w:rsid w:val="4360380C"/>
    <w:rsid w:val="43E2C61C"/>
    <w:rsid w:val="43FCDC71"/>
    <w:rsid w:val="4404C999"/>
    <w:rsid w:val="446CAA68"/>
    <w:rsid w:val="456DAF4F"/>
    <w:rsid w:val="45F29586"/>
    <w:rsid w:val="4648A7C6"/>
    <w:rsid w:val="46C105EC"/>
    <w:rsid w:val="470181B8"/>
    <w:rsid w:val="47CCF202"/>
    <w:rsid w:val="482A169D"/>
    <w:rsid w:val="4855C273"/>
    <w:rsid w:val="48C9E894"/>
    <w:rsid w:val="48EDF820"/>
    <w:rsid w:val="4A2F0A81"/>
    <w:rsid w:val="4AF595D2"/>
    <w:rsid w:val="4B0D6E5E"/>
    <w:rsid w:val="4B52E471"/>
    <w:rsid w:val="4B6639AF"/>
    <w:rsid w:val="4D62C495"/>
    <w:rsid w:val="4E3984E4"/>
    <w:rsid w:val="4E79766E"/>
    <w:rsid w:val="4E89B87F"/>
    <w:rsid w:val="4E92EA9B"/>
    <w:rsid w:val="4EA3F926"/>
    <w:rsid w:val="4ECE3C8A"/>
    <w:rsid w:val="4ED2005A"/>
    <w:rsid w:val="4F032580"/>
    <w:rsid w:val="4F671B34"/>
    <w:rsid w:val="4F7C8622"/>
    <w:rsid w:val="4FCD6095"/>
    <w:rsid w:val="506A0CEB"/>
    <w:rsid w:val="50C135DD"/>
    <w:rsid w:val="512BD746"/>
    <w:rsid w:val="5214D8E8"/>
    <w:rsid w:val="5347AA40"/>
    <w:rsid w:val="53BF0693"/>
    <w:rsid w:val="54E452A3"/>
    <w:rsid w:val="550B194C"/>
    <w:rsid w:val="55E759D3"/>
    <w:rsid w:val="570661C0"/>
    <w:rsid w:val="57088723"/>
    <w:rsid w:val="5765F7CC"/>
    <w:rsid w:val="57A54723"/>
    <w:rsid w:val="57B5C53C"/>
    <w:rsid w:val="57FF3D58"/>
    <w:rsid w:val="5810D8D7"/>
    <w:rsid w:val="5857BE23"/>
    <w:rsid w:val="5866959B"/>
    <w:rsid w:val="58CA5B04"/>
    <w:rsid w:val="5922DC64"/>
    <w:rsid w:val="59AAFCFF"/>
    <w:rsid w:val="59FEDEA2"/>
    <w:rsid w:val="5A3C47F3"/>
    <w:rsid w:val="5BBC79DF"/>
    <w:rsid w:val="5C0FD798"/>
    <w:rsid w:val="5C252B4A"/>
    <w:rsid w:val="5C58ACE0"/>
    <w:rsid w:val="5CF4566B"/>
    <w:rsid w:val="5DA11FC6"/>
    <w:rsid w:val="5DA8F047"/>
    <w:rsid w:val="5DD3473E"/>
    <w:rsid w:val="5DF5C78A"/>
    <w:rsid w:val="5E13AC9D"/>
    <w:rsid w:val="5EF12607"/>
    <w:rsid w:val="5F06D3B5"/>
    <w:rsid w:val="5FADDFE3"/>
    <w:rsid w:val="5FF9B224"/>
    <w:rsid w:val="605B89A9"/>
    <w:rsid w:val="60A519C4"/>
    <w:rsid w:val="60D41E93"/>
    <w:rsid w:val="60E0486C"/>
    <w:rsid w:val="6148C20E"/>
    <w:rsid w:val="618B8CD1"/>
    <w:rsid w:val="61F14B71"/>
    <w:rsid w:val="62793CC7"/>
    <w:rsid w:val="62D1F6D2"/>
    <w:rsid w:val="636A0146"/>
    <w:rsid w:val="638EE17B"/>
    <w:rsid w:val="63906D98"/>
    <w:rsid w:val="64BA1D76"/>
    <w:rsid w:val="64CD8B64"/>
    <w:rsid w:val="64DCD69B"/>
    <w:rsid w:val="65AC33CB"/>
    <w:rsid w:val="65C64A3C"/>
    <w:rsid w:val="65EF63DA"/>
    <w:rsid w:val="66B40E1C"/>
    <w:rsid w:val="66C1264F"/>
    <w:rsid w:val="670085A2"/>
    <w:rsid w:val="674B40AC"/>
    <w:rsid w:val="6811A681"/>
    <w:rsid w:val="68795EF6"/>
    <w:rsid w:val="69537140"/>
    <w:rsid w:val="6961A4E0"/>
    <w:rsid w:val="69758470"/>
    <w:rsid w:val="69C5EDFC"/>
    <w:rsid w:val="6A9C2EE3"/>
    <w:rsid w:val="6ABA4547"/>
    <w:rsid w:val="6B6EE5C4"/>
    <w:rsid w:val="6CABCA8D"/>
    <w:rsid w:val="6CDDC644"/>
    <w:rsid w:val="6CDDD2A3"/>
    <w:rsid w:val="6D09183F"/>
    <w:rsid w:val="6E783F86"/>
    <w:rsid w:val="6EC789E6"/>
    <w:rsid w:val="6F0C0939"/>
    <w:rsid w:val="6F3A592B"/>
    <w:rsid w:val="6F6AA0D1"/>
    <w:rsid w:val="6F8CBDB5"/>
    <w:rsid w:val="6FA48983"/>
    <w:rsid w:val="6FE10EC4"/>
    <w:rsid w:val="7002993F"/>
    <w:rsid w:val="7129F99C"/>
    <w:rsid w:val="7185AFE5"/>
    <w:rsid w:val="71C81559"/>
    <w:rsid w:val="72135FC2"/>
    <w:rsid w:val="72EF5EC9"/>
    <w:rsid w:val="72F2B8C8"/>
    <w:rsid w:val="7301834B"/>
    <w:rsid w:val="73D99221"/>
    <w:rsid w:val="73F94F36"/>
    <w:rsid w:val="740307B4"/>
    <w:rsid w:val="752567CA"/>
    <w:rsid w:val="75951194"/>
    <w:rsid w:val="760B0B0A"/>
    <w:rsid w:val="77577F0A"/>
    <w:rsid w:val="77F9B534"/>
    <w:rsid w:val="78ACCABF"/>
    <w:rsid w:val="790A0521"/>
    <w:rsid w:val="79687F0D"/>
    <w:rsid w:val="79EC989C"/>
    <w:rsid w:val="7A3F7B5C"/>
    <w:rsid w:val="7AA5BFE7"/>
    <w:rsid w:val="7AA82F52"/>
    <w:rsid w:val="7B372A1D"/>
    <w:rsid w:val="7B7A3FEE"/>
    <w:rsid w:val="7C0F4889"/>
    <w:rsid w:val="7DAE3182"/>
    <w:rsid w:val="7DE39B12"/>
    <w:rsid w:val="7DF0E676"/>
    <w:rsid w:val="7E138997"/>
    <w:rsid w:val="7F0F13FE"/>
    <w:rsid w:val="7F14F72F"/>
    <w:rsid w:val="7F647119"/>
    <w:rsid w:val="7F694761"/>
    <w:rsid w:val="7FFAA0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0A930"/>
  <w15:docId w15:val="{C0872065-0091-42CB-80FA-BE077C4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CAE"/>
    <w:pPr>
      <w:suppressAutoHyphens/>
      <w:spacing w:before="140" w:after="60" w:line="280" w:lineRule="atLeast"/>
    </w:pPr>
    <w:rPr>
      <w:rFonts w:ascii="Calibri" w:hAnsi="Calibri"/>
      <w:szCs w:val="28"/>
    </w:rPr>
  </w:style>
  <w:style w:type="paragraph" w:styleId="Heading1">
    <w:name w:val="heading 1"/>
    <w:basedOn w:val="Normal"/>
    <w:next w:val="Normal"/>
    <w:link w:val="Heading1Char"/>
    <w:uiPriority w:val="9"/>
    <w:qFormat/>
    <w:rsid w:val="003D6589"/>
    <w:pPr>
      <w:keepNext/>
      <w:keepLines/>
      <w:numPr>
        <w:numId w:val="41"/>
      </w:numPr>
      <w:spacing w:before="360" w:after="120" w:line="460" w:lineRule="atLeast"/>
      <w:ind w:left="993" w:hanging="993"/>
      <w:contextualSpacing/>
      <w:outlineLvl w:val="0"/>
    </w:pPr>
    <w:rPr>
      <w:rFonts w:asciiTheme="majorHAnsi" w:eastAsiaTheme="majorEastAsia" w:hAnsiTheme="majorHAnsi" w:cstheme="majorBidi"/>
      <w:bCs/>
      <w:color w:val="1C1C1C" w:themeColor="text2"/>
      <w:sz w:val="40"/>
    </w:rPr>
  </w:style>
  <w:style w:type="paragraph" w:styleId="Heading2">
    <w:name w:val="heading 2"/>
    <w:basedOn w:val="Heading1"/>
    <w:next w:val="Normal"/>
    <w:link w:val="Heading2Char"/>
    <w:uiPriority w:val="9"/>
    <w:unhideWhenUsed/>
    <w:rsid w:val="002270D6"/>
    <w:pPr>
      <w:numPr>
        <w:ilvl w:val="1"/>
      </w:numPr>
      <w:spacing w:line="400" w:lineRule="atLeast"/>
      <w:ind w:left="992" w:hanging="992"/>
      <w:outlineLvl w:val="1"/>
    </w:pPr>
    <w:rPr>
      <w:bCs w:val="0"/>
      <w:sz w:val="34"/>
      <w:szCs w:val="26"/>
    </w:rPr>
  </w:style>
  <w:style w:type="paragraph" w:styleId="Heading3">
    <w:name w:val="heading 3"/>
    <w:basedOn w:val="Heading2"/>
    <w:next w:val="Normal"/>
    <w:link w:val="Heading3Char"/>
    <w:uiPriority w:val="9"/>
    <w:unhideWhenUsed/>
    <w:qFormat/>
    <w:rsid w:val="009F7A2E"/>
    <w:pPr>
      <w:numPr>
        <w:ilvl w:val="2"/>
      </w:numPr>
      <w:spacing w:line="340" w:lineRule="atLeast"/>
      <w:ind w:left="992" w:hanging="992"/>
      <w:contextualSpacing w:val="0"/>
      <w:outlineLvl w:val="2"/>
    </w:pPr>
    <w:rPr>
      <w:rFonts w:cs="Calibri"/>
      <w:bCs/>
      <w:sz w:val="30"/>
    </w:rPr>
  </w:style>
  <w:style w:type="paragraph" w:styleId="Heading4">
    <w:name w:val="heading 4"/>
    <w:basedOn w:val="Heading2"/>
    <w:next w:val="Normal"/>
    <w:link w:val="Heading4Char"/>
    <w:uiPriority w:val="9"/>
    <w:unhideWhenUsed/>
    <w:rsid w:val="00192C36"/>
    <w:pPr>
      <w:numPr>
        <w:ilvl w:val="3"/>
      </w:numPr>
      <w:ind w:left="993" w:hanging="993"/>
      <w:outlineLvl w:val="3"/>
    </w:pPr>
    <w:rPr>
      <w:sz w:val="28"/>
      <w:szCs w:val="28"/>
    </w:rPr>
  </w:style>
  <w:style w:type="paragraph" w:styleId="Heading5">
    <w:name w:val="heading 5"/>
    <w:basedOn w:val="Heading4"/>
    <w:next w:val="Normal"/>
    <w:link w:val="Heading5Char"/>
    <w:uiPriority w:val="9"/>
    <w:unhideWhenUsed/>
    <w:qFormat/>
    <w:rsid w:val="00BC18D2"/>
    <w:pPr>
      <w:numPr>
        <w:ilvl w:val="4"/>
      </w:numPr>
      <w:outlineLvl w:val="4"/>
    </w:pPr>
    <w:rPr>
      <w:i/>
      <w:color w:val="77B6BD" w:themeColor="accent1" w:themeShade="BF"/>
      <w:sz w:val="22"/>
      <w:szCs w:val="26"/>
    </w:rPr>
  </w:style>
  <w:style w:type="paragraph" w:styleId="Heading6">
    <w:name w:val="heading 6"/>
    <w:basedOn w:val="Heading5"/>
    <w:next w:val="Normal"/>
    <w:link w:val="Heading6Char"/>
    <w:uiPriority w:val="9"/>
    <w:unhideWhenUsed/>
    <w:qFormat/>
    <w:rsid w:val="00BC18D2"/>
    <w:pPr>
      <w:numPr>
        <w:ilvl w:val="5"/>
      </w:num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BC18D2"/>
    <w:pPr>
      <w:numPr>
        <w:ilvl w:val="6"/>
      </w:numPr>
      <w:outlineLvl w:val="6"/>
    </w:pPr>
    <w:rPr>
      <w:i w:val="0"/>
      <w:iCs/>
    </w:rPr>
  </w:style>
  <w:style w:type="paragraph" w:styleId="Heading8">
    <w:name w:val="heading 8"/>
    <w:basedOn w:val="Heading7"/>
    <w:next w:val="Normal"/>
    <w:link w:val="Heading8Char"/>
    <w:uiPriority w:val="9"/>
    <w:semiHidden/>
    <w:unhideWhenUsed/>
    <w:qFormat/>
    <w:rsid w:val="00BC18D2"/>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C18D2"/>
    <w:pPr>
      <w:numPr>
        <w:ilvl w:val="8"/>
      </w:numPr>
      <w:outlineLvl w:val="8"/>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9"/>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2270D6"/>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9F7A2E"/>
    <w:rPr>
      <w:rFonts w:asciiTheme="majorHAnsi" w:eastAsiaTheme="majorEastAsia" w:hAnsiTheme="majorHAnsi" w:cs="Calibr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2"/>
    <w:qFormat/>
    <w:rsid w:val="00DB6D69"/>
    <w:pPr>
      <w:spacing w:before="360" w:line="260" w:lineRule="atLeast"/>
      <w:ind w:left="576" w:hanging="576"/>
    </w:pPr>
    <w:rPr>
      <w:b/>
      <w:iCs/>
      <w:sz w:val="20"/>
      <w:szCs w:val="24"/>
    </w:rPr>
  </w:style>
  <w:style w:type="character" w:customStyle="1" w:styleId="SubtitleChar">
    <w:name w:val="Subtitle Char"/>
    <w:basedOn w:val="DefaultParagraphFont"/>
    <w:link w:val="Subtitle"/>
    <w:uiPriority w:val="2"/>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link w:val="Bullet1Char"/>
    <w:qFormat/>
    <w:rsid w:val="00B54999"/>
    <w:pPr>
      <w:numPr>
        <w:numId w:val="6"/>
      </w:numPr>
      <w:tabs>
        <w:tab w:val="clear" w:pos="785"/>
      </w:tabs>
      <w:suppressAutoHyphens w:val="0"/>
      <w:spacing w:before="100" w:after="100" w:line="264" w:lineRule="auto"/>
      <w:ind w:left="426"/>
    </w:pPr>
    <w:rPr>
      <w:rFonts w:eastAsia="Cambria" w:cs="Calibri"/>
    </w:rPr>
  </w:style>
  <w:style w:type="paragraph" w:customStyle="1" w:styleId="Bullet4">
    <w:name w:val="Bullet 4"/>
    <w:basedOn w:val="BodyText"/>
    <w:qFormat/>
    <w:rsid w:val="00404DBE"/>
    <w:pPr>
      <w:numPr>
        <w:ilvl w:val="2"/>
        <w:numId w:val="16"/>
      </w:numPr>
      <w:spacing w:line="240" w:lineRule="auto"/>
      <w:ind w:left="1701" w:right="0" w:hanging="425"/>
      <w:contextualSpacing/>
    </w:pPr>
  </w:style>
  <w:style w:type="paragraph" w:customStyle="1" w:styleId="Bullet2">
    <w:name w:val="Bullet 2"/>
    <w:basedOn w:val="ListBullet"/>
    <w:qFormat/>
    <w:rsid w:val="003A4B20"/>
    <w:pPr>
      <w:numPr>
        <w:numId w:val="12"/>
      </w:numPr>
      <w:spacing w:before="80" w:after="80"/>
      <w:ind w:right="272"/>
      <w:contextualSpacing w:val="0"/>
    </w:pPr>
    <w:rPr>
      <w:rFonts w:ascii="Calibri" w:hAnsi="Calibri" w:cs="Calibri"/>
    </w:rPr>
  </w:style>
  <w:style w:type="paragraph" w:customStyle="1" w:styleId="NumberedList1">
    <w:name w:val="Numbered List 1"/>
    <w:basedOn w:val="Normal"/>
    <w:link w:val="NumberedList1Char"/>
    <w:autoRedefine/>
    <w:qFormat/>
    <w:rsid w:val="00FE449B"/>
    <w:pPr>
      <w:widowControl w:val="0"/>
      <w:spacing w:before="80" w:after="80" w:line="240" w:lineRule="auto"/>
    </w:pPr>
    <w:rPr>
      <w:color w:val="FF0000"/>
      <w:u w:val="single"/>
    </w:rPr>
  </w:style>
  <w:style w:type="paragraph" w:customStyle="1" w:styleId="NumberedList2">
    <w:name w:val="Numbered List 2"/>
    <w:basedOn w:val="NumberedList1"/>
    <w:link w:val="NumberedList2Char"/>
    <w:qFormat/>
    <w:rsid w:val="00A87BD4"/>
    <w:pPr>
      <w:numPr>
        <w:ilvl w:val="1"/>
        <w:numId w:val="13"/>
      </w:numPr>
      <w:ind w:left="284"/>
    </w:pPr>
  </w:style>
  <w:style w:type="paragraph" w:customStyle="1" w:styleId="NumberedList3">
    <w:name w:val="Numbered List 3"/>
    <w:basedOn w:val="NumberedList2"/>
    <w:qFormat/>
    <w:rsid w:val="00576566"/>
    <w:pPr>
      <w:numPr>
        <w:ilvl w:val="2"/>
      </w:numPr>
      <w:ind w:left="964" w:hanging="397"/>
    </w:pPr>
  </w:style>
  <w:style w:type="character" w:customStyle="1" w:styleId="UnresolvedMention1">
    <w:name w:val="Unresolved Mention1"/>
    <w:basedOn w:val="DefaultParagraphFont"/>
    <w:uiPriority w:val="99"/>
    <w:semiHidden/>
    <w:unhideWhenUsed/>
    <w:rsid w:val="00BE4298"/>
    <w:rPr>
      <w:color w:val="605E5C"/>
      <w:shd w:val="clear" w:color="auto" w:fill="E1DFDD"/>
    </w:rPr>
  </w:style>
  <w:style w:type="paragraph" w:customStyle="1" w:styleId="Bullet3">
    <w:name w:val="Bullet 3"/>
    <w:basedOn w:val="Bullet2"/>
    <w:qFormat/>
    <w:rsid w:val="00074797"/>
    <w:pPr>
      <w:numPr>
        <w:numId w:val="36"/>
      </w:numPr>
      <w:ind w:left="1276" w:right="0" w:hanging="425"/>
    </w:p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outlineLvl w:val="9"/>
    </w:pPr>
    <w:rPr>
      <w:bCs w:val="0"/>
      <w:szCs w:val="32"/>
      <w:lang w:val="en-US"/>
    </w:rPr>
  </w:style>
  <w:style w:type="character" w:customStyle="1" w:styleId="Heading4Char">
    <w:name w:val="Heading 4 Char"/>
    <w:basedOn w:val="DefaultParagraphFont"/>
    <w:link w:val="Heading4"/>
    <w:uiPriority w:val="9"/>
    <w:rsid w:val="00192C36"/>
    <w:rPr>
      <w:rFonts w:asciiTheme="majorHAnsi" w:eastAsiaTheme="majorEastAsia" w:hAnsiTheme="majorHAnsi" w:cstheme="majorBidi"/>
      <w:color w:val="1C1C1C" w:themeColor="text2"/>
      <w:sz w:val="28"/>
      <w:szCs w:val="28"/>
    </w:rPr>
  </w:style>
  <w:style w:type="paragraph" w:styleId="TOC1">
    <w:name w:val="toc 1"/>
    <w:basedOn w:val="Normal"/>
    <w:next w:val="Normal"/>
    <w:autoRedefine/>
    <w:uiPriority w:val="39"/>
    <w:unhideWhenUsed/>
    <w:qFormat/>
    <w:rsid w:val="00AA7365"/>
    <w:pPr>
      <w:tabs>
        <w:tab w:val="left" w:pos="567"/>
        <w:tab w:val="right" w:pos="9072"/>
      </w:tabs>
      <w:spacing w:after="180" w:line="230" w:lineRule="atLeast"/>
      <w:ind w:right="425"/>
    </w:pPr>
    <w:rPr>
      <w:noProof/>
      <w:sz w:val="24"/>
    </w:rPr>
  </w:style>
  <w:style w:type="paragraph" w:styleId="TOC2">
    <w:name w:val="toc 2"/>
    <w:basedOn w:val="Normal"/>
    <w:next w:val="Normal"/>
    <w:autoRedefine/>
    <w:uiPriority w:val="39"/>
    <w:unhideWhenUsed/>
    <w:qFormat/>
    <w:rsid w:val="00104462"/>
    <w:pPr>
      <w:tabs>
        <w:tab w:val="left" w:pos="1276"/>
        <w:tab w:val="right" w:pos="9072"/>
      </w:tabs>
      <w:spacing w:before="100" w:after="100" w:line="230" w:lineRule="atLeast"/>
      <w:ind w:left="567"/>
    </w:pPr>
    <w:rPr>
      <w:noProof/>
    </w:rPr>
  </w:style>
  <w:style w:type="paragraph" w:styleId="TOC3">
    <w:name w:val="toc 3"/>
    <w:basedOn w:val="Normal"/>
    <w:next w:val="Normal"/>
    <w:autoRedefine/>
    <w:uiPriority w:val="39"/>
    <w:unhideWhenUsed/>
    <w:qFormat/>
    <w:rsid w:val="00E92A54"/>
    <w:pPr>
      <w:tabs>
        <w:tab w:val="left" w:pos="2127"/>
        <w:tab w:val="right" w:pos="9072"/>
      </w:tabs>
      <w:spacing w:before="60" w:line="220" w:lineRule="atLeast"/>
      <w:ind w:left="2835" w:right="842" w:hanging="1559"/>
    </w:pPr>
    <w:rPr>
      <w:noProof/>
    </w:rPr>
  </w:style>
  <w:style w:type="paragraph" w:styleId="Header">
    <w:name w:val="header"/>
    <w:basedOn w:val="Normal"/>
    <w:link w:val="HeaderChar"/>
    <w:uiPriority w:val="99"/>
    <w:unhideWhenUsed/>
    <w:rsid w:val="00CB050D"/>
    <w:pPr>
      <w:tabs>
        <w:tab w:val="left" w:pos="4253"/>
        <w:tab w:val="left" w:pos="7655"/>
      </w:tabs>
      <w:spacing w:before="0" w:after="0" w:line="180" w:lineRule="atLeast"/>
      <w:ind w:right="-6" w:firstLine="4253"/>
      <w:jc w:val="center"/>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Reports1">
    <w:name w:val="Reports 1"/>
    <w:basedOn w:val="BodyText"/>
    <w:qFormat/>
    <w:rsid w:val="001774BB"/>
    <w:pPr>
      <w:numPr>
        <w:numId w:val="34"/>
      </w:numPr>
      <w:ind w:left="425" w:right="0" w:hanging="357"/>
    </w:pPr>
    <w:rPr>
      <w:i/>
      <w:color w:val="0070C0"/>
    </w:rPr>
  </w:style>
  <w:style w:type="table" w:styleId="TableGrid">
    <w:name w:val="Table Grid"/>
    <w:basedOn w:val="TableNormal"/>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B050D"/>
    <w:rPr>
      <w:rFonts w:ascii="Calibri" w:hAnsi="Calibri"/>
      <w:sz w:val="14"/>
      <w:szCs w:val="28"/>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qFormat/>
    <w:rsid w:val="007914A0"/>
    <w:rPr>
      <w:rFonts w:ascii="Calibri" w:hAnsi="Calibri" w:cs="MuseoSans-500"/>
      <w:color w:val="auto"/>
      <w:sz w:val="22"/>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BC18D2"/>
    <w:rPr>
      <w:rFonts w:asciiTheme="majorHAnsi" w:eastAsiaTheme="majorEastAsia" w:hAnsiTheme="majorHAnsi" w:cstheme="majorBidi"/>
      <w:i/>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rsid w:val="00BC18D2"/>
    <w:rPr>
      <w:rFonts w:asciiTheme="majorHAnsi" w:eastAsiaTheme="majorEastAsia" w:hAnsiTheme="majorHAnsi" w:cstheme="majorBidi"/>
      <w:i/>
      <w:color w:val="43838A" w:themeColor="accent1" w:themeShade="7F"/>
      <w:szCs w:val="26"/>
    </w:rPr>
  </w:style>
  <w:style w:type="character" w:customStyle="1" w:styleId="Heading7Char">
    <w:name w:val="Heading 7 Char"/>
    <w:basedOn w:val="DefaultParagraphFont"/>
    <w:link w:val="Heading7"/>
    <w:uiPriority w:val="9"/>
    <w:semiHidden/>
    <w:rsid w:val="00BC18D2"/>
    <w:rPr>
      <w:rFonts w:asciiTheme="majorHAnsi" w:eastAsiaTheme="majorEastAsia" w:hAnsiTheme="majorHAnsi" w:cstheme="majorBidi"/>
      <w:iCs/>
      <w:color w:val="43838A" w:themeColor="accent1" w:themeShade="7F"/>
      <w:szCs w:val="26"/>
    </w:rPr>
  </w:style>
  <w:style w:type="character" w:customStyle="1" w:styleId="Heading8Char">
    <w:name w:val="Heading 8 Char"/>
    <w:basedOn w:val="DefaultParagraphFont"/>
    <w:link w:val="Heading8"/>
    <w:uiPriority w:val="9"/>
    <w:semiHidden/>
    <w:rsid w:val="00BC18D2"/>
    <w:rPr>
      <w:rFonts w:asciiTheme="majorHAnsi" w:eastAsiaTheme="majorEastAsia" w:hAnsiTheme="majorHAnsi" w:cstheme="majorBidi"/>
      <w:iCs/>
      <w:color w:val="272727" w:themeColor="text1" w:themeTint="D8"/>
      <w:sz w:val="21"/>
      <w:szCs w:val="21"/>
    </w:rPr>
  </w:style>
  <w:style w:type="character" w:customStyle="1" w:styleId="Heading9Char">
    <w:name w:val="Heading 9 Char"/>
    <w:basedOn w:val="DefaultParagraphFont"/>
    <w:link w:val="Heading9"/>
    <w:uiPriority w:val="9"/>
    <w:semiHidden/>
    <w:rsid w:val="00BC18D2"/>
    <w:rPr>
      <w:rFonts w:asciiTheme="majorHAnsi" w:eastAsiaTheme="majorEastAsia" w:hAnsiTheme="majorHAnsi" w:cstheme="majorBidi"/>
      <w:i/>
      <w:color w:val="272727" w:themeColor="text1" w:themeTint="D8"/>
      <w:sz w:val="21"/>
      <w:szCs w:val="21"/>
    </w:rPr>
  </w:style>
  <w:style w:type="paragraph" w:customStyle="1" w:styleId="Reports2">
    <w:name w:val="Reports 2"/>
    <w:basedOn w:val="Bullet1"/>
    <w:qFormat/>
    <w:rsid w:val="001E7A6E"/>
    <w:pPr>
      <w:numPr>
        <w:numId w:val="30"/>
      </w:numPr>
      <w:ind w:left="850" w:hanging="425"/>
    </w:pPr>
    <w:rPr>
      <w:i/>
      <w:color w:val="0070C0"/>
    </w:rPr>
  </w:style>
  <w:style w:type="paragraph" w:customStyle="1" w:styleId="Reports3">
    <w:name w:val="Reports 3"/>
    <w:basedOn w:val="Reports2"/>
    <w:qFormat/>
    <w:rsid w:val="001A4BB6"/>
    <w:pPr>
      <w:numPr>
        <w:numId w:val="14"/>
      </w:numPr>
    </w:pPr>
  </w:style>
  <w:style w:type="paragraph" w:customStyle="1" w:styleId="IndentBlueText">
    <w:name w:val="Indent Blue Text"/>
    <w:basedOn w:val="ListBullet"/>
    <w:qFormat/>
    <w:rsid w:val="0003645A"/>
    <w:pPr>
      <w:spacing w:before="120" w:after="120" w:line="280" w:lineRule="exact"/>
      <w:ind w:left="425" w:right="284" w:firstLine="0"/>
    </w:pPr>
    <w:rPr>
      <w:rFonts w:ascii="Calibri" w:hAnsi="Calibri" w:cs="Calibri"/>
      <w:color w:val="0070C0"/>
    </w:rPr>
  </w:style>
  <w:style w:type="paragraph" w:customStyle="1" w:styleId="MeasuresExampleText">
    <w:name w:val="Measures Example Text"/>
    <w:basedOn w:val="Normal"/>
    <w:qFormat/>
    <w:rsid w:val="000C302A"/>
    <w:pPr>
      <w:spacing w:before="0" w:after="0" w:line="240" w:lineRule="auto"/>
    </w:pPr>
    <w:rPr>
      <w:rFonts w:ascii="Arial" w:eastAsia="Times New Roman" w:hAnsi="Arial" w:cs="Arial"/>
      <w:b/>
      <w:bCs/>
      <w:sz w:val="16"/>
      <w:szCs w:val="16"/>
      <w:lang w:eastAsia="en-AU"/>
    </w:rPr>
  </w:style>
  <w:style w:type="character" w:styleId="PageNumber">
    <w:name w:val="page number"/>
    <w:basedOn w:val="DefaultParagraphFont"/>
    <w:uiPriority w:val="99"/>
    <w:unhideWhenUsed/>
    <w:qFormat/>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unhideWhenUsed/>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PortfolioNumberingText">
    <w:name w:val="Portfolio Numbering Text"/>
    <w:basedOn w:val="Normal"/>
    <w:qFormat/>
    <w:rsid w:val="00FE534B"/>
    <w:pPr>
      <w:spacing w:before="60"/>
      <w:ind w:left="1169" w:hanging="851"/>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BodyText1">
    <w:name w:val="Body Text1"/>
    <w:link w:val="BodyText1Char"/>
    <w:semiHidden/>
    <w:rsid w:val="00FA0945"/>
    <w:pPr>
      <w:spacing w:after="113" w:line="260" w:lineRule="atLeast"/>
    </w:pPr>
    <w:rPr>
      <w:rFonts w:ascii="Cambria" w:eastAsia="Times New Roman" w:hAnsi="Cambria" w:cs="Times New Roman"/>
      <w:szCs w:val="24"/>
    </w:rPr>
  </w:style>
  <w:style w:type="numbering" w:customStyle="1" w:styleId="Bullets">
    <w:name w:val="Bullets"/>
    <w:basedOn w:val="NoList"/>
    <w:uiPriority w:val="99"/>
    <w:rsid w:val="00FA0945"/>
    <w:pPr>
      <w:numPr>
        <w:numId w:val="9"/>
      </w:numPr>
    </w:pPr>
  </w:style>
  <w:style w:type="paragraph" w:customStyle="1" w:styleId="Footertext">
    <w:name w:val="Footer text"/>
    <w:semiHidden/>
    <w:rsid w:val="00FA0945"/>
    <w:pPr>
      <w:framePr w:hSpace="181" w:wrap="around" w:vAnchor="text" w:hAnchor="page" w:x="11228" w:y="1"/>
      <w:spacing w:after="0" w:line="200" w:lineRule="atLeast"/>
      <w:ind w:right="113"/>
      <w:suppressOverlap/>
    </w:pPr>
    <w:rPr>
      <w:rFonts w:ascii="Arial" w:eastAsia="Times New Roman" w:hAnsi="Arial" w:cs="Arial"/>
      <w:sz w:val="16"/>
      <w:szCs w:val="24"/>
    </w:rPr>
  </w:style>
  <w:style w:type="paragraph" w:customStyle="1" w:styleId="Sourcenotetext">
    <w:name w:val="Source/note text"/>
    <w:qFormat/>
    <w:rsid w:val="00FA0945"/>
    <w:pPr>
      <w:spacing w:before="85" w:after="85" w:line="240" w:lineRule="auto"/>
    </w:pPr>
    <w:rPr>
      <w:rFonts w:ascii="Arial" w:eastAsia="Times New Roman" w:hAnsi="Arial" w:cs="Arial"/>
      <w:i/>
      <w:sz w:val="12"/>
      <w:szCs w:val="12"/>
    </w:rPr>
  </w:style>
  <w:style w:type="numbering" w:customStyle="1" w:styleId="Numbers">
    <w:name w:val="Numbers"/>
    <w:basedOn w:val="NoList"/>
    <w:rsid w:val="00FA0945"/>
    <w:pPr>
      <w:numPr>
        <w:numId w:val="8"/>
      </w:numPr>
    </w:pPr>
  </w:style>
  <w:style w:type="paragraph" w:customStyle="1" w:styleId="Tablebodytext">
    <w:name w:val="Table body text"/>
    <w:qFormat/>
    <w:rsid w:val="00FA0945"/>
    <w:pPr>
      <w:spacing w:before="57" w:after="57" w:line="240" w:lineRule="auto"/>
      <w:ind w:left="96" w:right="96"/>
    </w:pPr>
    <w:rPr>
      <w:rFonts w:ascii="Arial" w:eastAsia="Times New Roman" w:hAnsi="Arial" w:cs="Times New Roman"/>
      <w:sz w:val="18"/>
      <w:szCs w:val="24"/>
    </w:rPr>
  </w:style>
  <w:style w:type="paragraph" w:customStyle="1" w:styleId="Tablebullets2ndindent">
    <w:name w:val="Table bullets (2nd indent)"/>
    <w:basedOn w:val="Tablebodytext"/>
    <w:qFormat/>
    <w:rsid w:val="00FA0945"/>
    <w:pPr>
      <w:numPr>
        <w:ilvl w:val="6"/>
        <w:numId w:val="9"/>
      </w:numPr>
    </w:pPr>
  </w:style>
  <w:style w:type="paragraph" w:customStyle="1" w:styleId="Tablebullets1stindent">
    <w:name w:val="Table bullets (1st indent)"/>
    <w:basedOn w:val="Tablebodytext"/>
    <w:qFormat/>
    <w:rsid w:val="00FA0945"/>
    <w:pPr>
      <w:numPr>
        <w:ilvl w:val="5"/>
        <w:numId w:val="9"/>
      </w:numPr>
    </w:pPr>
  </w:style>
  <w:style w:type="paragraph" w:customStyle="1" w:styleId="Tablecolumnheading">
    <w:name w:val="Table column heading"/>
    <w:basedOn w:val="Tablebodytext"/>
    <w:qFormat/>
    <w:rsid w:val="00FA0945"/>
    <w:pPr>
      <w:keepNext/>
    </w:pPr>
    <w:rPr>
      <w:b/>
      <w:szCs w:val="18"/>
    </w:rPr>
  </w:style>
  <w:style w:type="paragraph" w:customStyle="1" w:styleId="Tabletitle">
    <w:name w:val="Table title"/>
    <w:next w:val="BodyText1"/>
    <w:qFormat/>
    <w:rsid w:val="00FA0945"/>
    <w:pPr>
      <w:keepNext/>
      <w:spacing w:before="340" w:after="170" w:line="240" w:lineRule="auto"/>
    </w:pPr>
    <w:rPr>
      <w:rFonts w:ascii="Arial" w:eastAsia="Times New Roman" w:hAnsi="Arial" w:cs="Times New Roman"/>
      <w:b/>
      <w:color w:val="005A77"/>
      <w:spacing w:val="-6"/>
      <w:sz w:val="24"/>
      <w:szCs w:val="24"/>
      <w:lang w:val="en-US"/>
    </w:rPr>
  </w:style>
  <w:style w:type="paragraph" w:customStyle="1" w:styleId="Simpletableheading">
    <w:name w:val="Simple table heading"/>
    <w:next w:val="BodyText1"/>
    <w:uiPriority w:val="1"/>
    <w:rsid w:val="00FA0945"/>
    <w:pPr>
      <w:spacing w:after="0" w:line="240" w:lineRule="atLeast"/>
    </w:pPr>
    <w:rPr>
      <w:rFonts w:ascii="Arial" w:eastAsia="Times New Roman" w:hAnsi="Arial" w:cs="Times New Roman"/>
      <w:b/>
      <w:color w:val="37424A"/>
      <w:szCs w:val="24"/>
    </w:rPr>
  </w:style>
  <w:style w:type="paragraph" w:styleId="BalloonText">
    <w:name w:val="Balloon Text"/>
    <w:basedOn w:val="Normal"/>
    <w:link w:val="BalloonTextChar"/>
    <w:uiPriority w:val="99"/>
    <w:semiHidden/>
    <w:rsid w:val="00FA0945"/>
    <w:pPr>
      <w:suppressAutoHyphens w:val="0"/>
      <w:spacing w:before="0" w:after="200" w:line="240" w:lineRule="auto"/>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FA0945"/>
    <w:rPr>
      <w:rFonts w:ascii="Tahoma" w:eastAsia="Cambria" w:hAnsi="Tahoma" w:cs="Tahoma"/>
      <w:sz w:val="16"/>
      <w:szCs w:val="16"/>
    </w:rPr>
  </w:style>
  <w:style w:type="paragraph" w:customStyle="1" w:styleId="Subtitle2">
    <w:name w:val="Subtitle 2"/>
    <w:uiPriority w:val="2"/>
    <w:semiHidden/>
    <w:rsid w:val="00FA0945"/>
    <w:pPr>
      <w:spacing w:before="200" w:after="0" w:line="240" w:lineRule="auto"/>
      <w:contextualSpacing/>
    </w:pPr>
    <w:rPr>
      <w:rFonts w:ascii="Arial" w:eastAsia="Times New Roman" w:hAnsi="Arial" w:cs="Times New Roman"/>
      <w:caps/>
      <w:color w:val="1C2735"/>
      <w:kern w:val="28"/>
      <w:szCs w:val="32"/>
    </w:rPr>
  </w:style>
  <w:style w:type="paragraph" w:styleId="Quote">
    <w:name w:val="Quote"/>
    <w:link w:val="QuoteChar"/>
    <w:qFormat/>
    <w:rsid w:val="00FA0945"/>
    <w:pPr>
      <w:spacing w:before="170" w:after="170" w:line="240" w:lineRule="auto"/>
      <w:ind w:left="284" w:right="284"/>
    </w:pPr>
    <w:rPr>
      <w:rFonts w:ascii="Cambria" w:eastAsia="Times New Roman" w:hAnsi="Cambria" w:cs="Times New Roman"/>
      <w:i/>
      <w:iCs/>
      <w:color w:val="000000"/>
      <w:spacing w:val="-2"/>
      <w:szCs w:val="24"/>
    </w:rPr>
  </w:style>
  <w:style w:type="character" w:customStyle="1" w:styleId="QuoteChar">
    <w:name w:val="Quote Char"/>
    <w:basedOn w:val="DefaultParagraphFont"/>
    <w:link w:val="Quote"/>
    <w:rsid w:val="00FA0945"/>
    <w:rPr>
      <w:rFonts w:ascii="Cambria" w:eastAsia="Times New Roman" w:hAnsi="Cambria" w:cs="Times New Roman"/>
      <w:i/>
      <w:iCs/>
      <w:color w:val="000000"/>
      <w:spacing w:val="-2"/>
      <w:szCs w:val="24"/>
    </w:rPr>
  </w:style>
  <w:style w:type="table" w:customStyle="1" w:styleId="DOFDwithheader">
    <w:name w:val="DOFD with header"/>
    <w:basedOn w:val="TableNormal"/>
    <w:uiPriority w:val="99"/>
    <w:qFormat/>
    <w:rsid w:val="00FA0945"/>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character" w:customStyle="1" w:styleId="ArialBlackBlue">
    <w:name w:val="Arial Black Blue"/>
    <w:uiPriority w:val="1"/>
    <w:semiHidden/>
    <w:qFormat/>
    <w:rsid w:val="00FA0945"/>
    <w:rPr>
      <w:rFonts w:ascii="Arial Black" w:hAnsi="Arial Black"/>
      <w:color w:val="005A77"/>
    </w:rPr>
  </w:style>
  <w:style w:type="paragraph" w:customStyle="1" w:styleId="Notetitle">
    <w:name w:val="Note title"/>
    <w:qFormat/>
    <w:rsid w:val="00FA0945"/>
    <w:pPr>
      <w:keepNext/>
      <w:spacing w:before="340" w:after="170" w:line="240" w:lineRule="auto"/>
    </w:pPr>
    <w:rPr>
      <w:rFonts w:ascii="Arial" w:eastAsia="MS Gothic" w:hAnsi="Arial" w:cs="Times New Roman"/>
      <w:b/>
      <w:bCs/>
      <w:iCs/>
      <w:color w:val="005A77"/>
      <w:spacing w:val="-6"/>
      <w:sz w:val="24"/>
      <w:szCs w:val="28"/>
      <w:lang w:val="en-US"/>
    </w:rPr>
  </w:style>
  <w:style w:type="character" w:customStyle="1" w:styleId="Black">
    <w:name w:val="Black"/>
    <w:uiPriority w:val="1"/>
    <w:semiHidden/>
    <w:qFormat/>
    <w:rsid w:val="00FA0945"/>
    <w:rPr>
      <w:color w:val="1C2735"/>
      <w:lang w:val="en-AU"/>
    </w:rPr>
  </w:style>
  <w:style w:type="paragraph" w:customStyle="1" w:styleId="Boxed2Text-Bullet1">
    <w:name w:val="Boxed 2 Text - Bullet 1"/>
    <w:basedOn w:val="Boxed2Text"/>
    <w:qFormat/>
    <w:rsid w:val="00C1760E"/>
    <w:pPr>
      <w:numPr>
        <w:numId w:val="19"/>
      </w:numPr>
      <w:spacing w:before="0"/>
      <w:ind w:left="709" w:hanging="425"/>
    </w:pPr>
  </w:style>
  <w:style w:type="paragraph" w:customStyle="1" w:styleId="Boxtitle">
    <w:name w:val="Box title"/>
    <w:basedOn w:val="Normal"/>
    <w:uiPriority w:val="1"/>
    <w:unhideWhenUsed/>
    <w:rsid w:val="00846B1F"/>
    <w:pPr>
      <w:suppressAutoHyphens w:val="0"/>
      <w:spacing w:before="113" w:after="113" w:line="240" w:lineRule="atLeast"/>
    </w:pPr>
    <w:rPr>
      <w:rFonts w:ascii="Arial" w:eastAsia="Times New Roman" w:hAnsi="Arial" w:cs="Times New Roman"/>
      <w:b/>
      <w:color w:val="005A77"/>
      <w:szCs w:val="24"/>
    </w:rPr>
  </w:style>
  <w:style w:type="table" w:customStyle="1" w:styleId="DOFDplain">
    <w:name w:val="DOFD plain"/>
    <w:basedOn w:val="TableNormal"/>
    <w:uiPriority w:val="99"/>
    <w:qFormat/>
    <w:rsid w:val="00FA0945"/>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FA0945"/>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tcBorders>
          <w:top w:val="single" w:sz="2" w:space="0" w:color="A7B4BE"/>
          <w:left w:val="nil"/>
          <w:bottom w:val="single" w:sz="2" w:space="0" w:color="A7B4BE"/>
          <w:right w:val="nil"/>
          <w:insideH w:val="single" w:sz="2" w:space="0" w:color="A7B4BE"/>
          <w:insideV w:val="single" w:sz="2" w:space="0" w:color="A7B4BE"/>
          <w:tl2br w:val="nil"/>
          <w:tr2bl w:val="nil"/>
        </w:tcBorders>
        <w:shd w:val="clear" w:color="auto" w:fill="DDF3FA"/>
      </w:tcPr>
    </w:tblStylePr>
  </w:style>
  <w:style w:type="paragraph" w:styleId="BodyText">
    <w:name w:val="Body Text"/>
    <w:basedOn w:val="Normal"/>
    <w:link w:val="BodyTextChar"/>
    <w:uiPriority w:val="1"/>
    <w:qFormat/>
    <w:rsid w:val="0055235A"/>
    <w:pPr>
      <w:suppressAutoHyphens w:val="0"/>
      <w:spacing w:before="120" w:after="120" w:line="264" w:lineRule="auto"/>
      <w:ind w:right="272"/>
    </w:pPr>
    <w:rPr>
      <w:rFonts w:eastAsia="Cambria" w:cs="Times New Roman"/>
    </w:rPr>
  </w:style>
  <w:style w:type="character" w:customStyle="1" w:styleId="BodyTextChar">
    <w:name w:val="Body Text Char"/>
    <w:basedOn w:val="DefaultParagraphFont"/>
    <w:link w:val="BodyText"/>
    <w:uiPriority w:val="1"/>
    <w:rsid w:val="0055235A"/>
    <w:rPr>
      <w:rFonts w:eastAsia="Cambria" w:cs="Times New Roman"/>
    </w:rPr>
  </w:style>
  <w:style w:type="character" w:customStyle="1" w:styleId="BodyText1Char">
    <w:name w:val="Body Text1 Char"/>
    <w:link w:val="BodyText1"/>
    <w:semiHidden/>
    <w:rsid w:val="00FA0945"/>
    <w:rPr>
      <w:rFonts w:ascii="Cambria" w:eastAsia="Times New Roman" w:hAnsi="Cambria" w:cs="Times New Roman"/>
      <w:szCs w:val="24"/>
    </w:rPr>
  </w:style>
  <w:style w:type="character" w:styleId="CommentReference">
    <w:name w:val="annotation reference"/>
    <w:semiHidden/>
    <w:rsid w:val="00FA0945"/>
    <w:rPr>
      <w:sz w:val="16"/>
      <w:szCs w:val="16"/>
    </w:rPr>
  </w:style>
  <w:style w:type="paragraph" w:styleId="CommentText">
    <w:name w:val="annotation text"/>
    <w:basedOn w:val="Normal"/>
    <w:link w:val="CommentTextChar"/>
    <w:qFormat/>
    <w:rsid w:val="007B5237"/>
    <w:pPr>
      <w:suppressAutoHyphens w:val="0"/>
      <w:spacing w:before="0" w:after="200" w:line="240" w:lineRule="auto"/>
    </w:pPr>
    <w:rPr>
      <w:rFonts w:eastAsia="Cambria" w:cs="Times New Roman"/>
      <w:sz w:val="14"/>
      <w:szCs w:val="20"/>
    </w:rPr>
  </w:style>
  <w:style w:type="character" w:customStyle="1" w:styleId="CommentTextChar">
    <w:name w:val="Comment Text Char"/>
    <w:basedOn w:val="DefaultParagraphFont"/>
    <w:link w:val="CommentText"/>
    <w:rsid w:val="007B5237"/>
    <w:rPr>
      <w:rFonts w:ascii="Calibri" w:eastAsia="Cambria" w:hAnsi="Calibri" w:cs="Times New Roman"/>
      <w:sz w:val="14"/>
      <w:szCs w:val="20"/>
    </w:rPr>
  </w:style>
  <w:style w:type="paragraph" w:styleId="ListNumber">
    <w:name w:val="List Number"/>
    <w:basedOn w:val="Normal"/>
    <w:qFormat/>
    <w:rsid w:val="00FA0945"/>
    <w:pPr>
      <w:tabs>
        <w:tab w:val="num" w:pos="360"/>
      </w:tabs>
      <w:suppressAutoHyphens w:val="0"/>
      <w:spacing w:before="0" w:after="240" w:line="240" w:lineRule="auto"/>
      <w:ind w:left="360" w:hanging="360"/>
      <w:contextualSpacing/>
    </w:pPr>
    <w:rPr>
      <w:rFonts w:ascii="Cambria" w:eastAsia="Cambria" w:hAnsi="Cambria" w:cs="Times New Roman"/>
    </w:rPr>
  </w:style>
  <w:style w:type="paragraph" w:styleId="ListNumber2">
    <w:name w:val="List Number 2"/>
    <w:basedOn w:val="Normal"/>
    <w:uiPriority w:val="99"/>
    <w:rsid w:val="00FA0945"/>
    <w:pPr>
      <w:tabs>
        <w:tab w:val="num" w:pos="643"/>
      </w:tabs>
      <w:suppressAutoHyphens w:val="0"/>
      <w:spacing w:before="0" w:after="200" w:line="240" w:lineRule="auto"/>
      <w:ind w:left="643" w:hanging="360"/>
      <w:contextualSpacing/>
    </w:pPr>
    <w:rPr>
      <w:rFonts w:ascii="Cambria" w:eastAsia="Cambria" w:hAnsi="Cambria" w:cs="Times New Roman"/>
    </w:rPr>
  </w:style>
  <w:style w:type="paragraph" w:styleId="ListBullet">
    <w:name w:val="List Bullet"/>
    <w:basedOn w:val="Normal"/>
    <w:qFormat/>
    <w:rsid w:val="00E86EC8"/>
    <w:pPr>
      <w:suppressAutoHyphens w:val="0"/>
      <w:spacing w:before="0" w:after="240" w:line="240" w:lineRule="auto"/>
      <w:ind w:left="360" w:hanging="360"/>
      <w:contextualSpacing/>
    </w:pPr>
    <w:rPr>
      <w:rFonts w:ascii="Arial" w:eastAsia="Cambria" w:hAnsi="Arial" w:cs="Times New Roman"/>
    </w:rPr>
  </w:style>
  <w:style w:type="table" w:customStyle="1" w:styleId="DOFDtexttable">
    <w:name w:val="DOFD_text table"/>
    <w:basedOn w:val="TableNormal"/>
    <w:uiPriority w:val="99"/>
    <w:qFormat/>
    <w:rsid w:val="00FA0945"/>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72CE9B"/>
        <w:tcMar>
          <w:top w:w="113" w:type="dxa"/>
          <w:left w:w="0" w:type="nil"/>
          <w:bottom w:w="113" w:type="dxa"/>
          <w:right w:w="0" w:type="nil"/>
        </w:tcMar>
      </w:tcPr>
    </w:tblStylePr>
  </w:style>
  <w:style w:type="paragraph" w:styleId="EndnoteText">
    <w:name w:val="endnote text"/>
    <w:basedOn w:val="Normal"/>
    <w:link w:val="EndnoteTextChar"/>
    <w:uiPriority w:val="99"/>
    <w:semiHidden/>
    <w:rsid w:val="00FA0945"/>
    <w:pPr>
      <w:suppressAutoHyphens w:val="0"/>
      <w:spacing w:before="0" w:after="200" w:line="240" w:lineRule="auto"/>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FA0945"/>
    <w:rPr>
      <w:rFonts w:ascii="Cambria" w:eastAsia="Cambria" w:hAnsi="Cambria" w:cs="Times New Roman"/>
      <w:szCs w:val="20"/>
    </w:rPr>
  </w:style>
  <w:style w:type="character" w:styleId="EndnoteReference">
    <w:name w:val="endnote reference"/>
    <w:uiPriority w:val="99"/>
    <w:semiHidden/>
    <w:rsid w:val="00FA0945"/>
    <w:rPr>
      <w:vertAlign w:val="superscript"/>
    </w:rPr>
  </w:style>
  <w:style w:type="paragraph" w:styleId="List3">
    <w:name w:val="List 3"/>
    <w:basedOn w:val="Normal"/>
    <w:qFormat/>
    <w:rsid w:val="00846B1F"/>
    <w:pPr>
      <w:numPr>
        <w:ilvl w:val="5"/>
      </w:numPr>
      <w:suppressAutoHyphens w:val="0"/>
      <w:spacing w:before="0" w:after="0" w:line="240" w:lineRule="auto"/>
      <w:ind w:left="1135" w:hanging="284"/>
    </w:pPr>
    <w:rPr>
      <w:rFonts w:ascii="Cambria" w:eastAsia="Times New Roman" w:hAnsi="Cambria" w:cs="Times New Roman"/>
      <w:szCs w:val="24"/>
    </w:rPr>
  </w:style>
  <w:style w:type="character" w:styleId="FollowedHyperlink">
    <w:name w:val="FollowedHyperlink"/>
    <w:uiPriority w:val="99"/>
    <w:semiHidden/>
    <w:rsid w:val="00FA0945"/>
    <w:rPr>
      <w:color w:val="800080"/>
      <w:u w:val="single"/>
    </w:rPr>
  </w:style>
  <w:style w:type="paragraph" w:styleId="Revision">
    <w:name w:val="Revision"/>
    <w:hidden/>
    <w:uiPriority w:val="99"/>
    <w:semiHidden/>
    <w:rsid w:val="00FA0945"/>
    <w:pPr>
      <w:spacing w:after="0" w:line="240" w:lineRule="auto"/>
    </w:pPr>
    <w:rPr>
      <w:rFonts w:ascii="Cambria" w:eastAsia="Cambria" w:hAnsi="Cambria" w:cs="Times New Roman"/>
    </w:rPr>
  </w:style>
  <w:style w:type="numbering" w:styleId="111111">
    <w:name w:val="Outline List 2"/>
    <w:basedOn w:val="NoList"/>
    <w:semiHidden/>
    <w:unhideWhenUsed/>
    <w:rsid w:val="00FA0945"/>
    <w:pPr>
      <w:numPr>
        <w:numId w:val="10"/>
      </w:numPr>
    </w:pPr>
  </w:style>
  <w:style w:type="paragraph" w:customStyle="1" w:styleId="OutlineNumbered1">
    <w:name w:val="Outline Numbered 1"/>
    <w:basedOn w:val="Normal"/>
    <w:rsid w:val="00FA0945"/>
    <w:pPr>
      <w:numPr>
        <w:numId w:val="11"/>
      </w:numPr>
      <w:suppressAutoHyphens w:val="0"/>
      <w:spacing w:before="80" w:after="0" w:line="240" w:lineRule="auto"/>
    </w:pPr>
    <w:rPr>
      <w:rFonts w:ascii="Arial" w:eastAsia="Times New Roman" w:hAnsi="Arial" w:cs="Times New Roman"/>
      <w:sz w:val="18"/>
      <w:szCs w:val="20"/>
      <w:lang w:eastAsia="en-AU"/>
    </w:rPr>
  </w:style>
  <w:style w:type="paragraph" w:customStyle="1" w:styleId="OutlineNumbered2">
    <w:name w:val="Outline Numbered 2"/>
    <w:basedOn w:val="Normal"/>
    <w:rsid w:val="00FA0945"/>
    <w:pPr>
      <w:numPr>
        <w:ilvl w:val="1"/>
        <w:numId w:val="11"/>
      </w:numPr>
      <w:suppressAutoHyphens w:val="0"/>
      <w:spacing w:before="80" w:after="0" w:line="240" w:lineRule="auto"/>
    </w:pPr>
    <w:rPr>
      <w:rFonts w:ascii="Arial" w:eastAsia="Times New Roman" w:hAnsi="Arial" w:cs="Times New Roman"/>
      <w:sz w:val="18"/>
      <w:szCs w:val="20"/>
      <w:lang w:eastAsia="en-AU"/>
    </w:rPr>
  </w:style>
  <w:style w:type="paragraph" w:customStyle="1" w:styleId="OutlineNumbered3">
    <w:name w:val="Outline Numbered 3"/>
    <w:basedOn w:val="Normal"/>
    <w:rsid w:val="00FA0945"/>
    <w:pPr>
      <w:numPr>
        <w:ilvl w:val="2"/>
        <w:numId w:val="11"/>
      </w:numPr>
      <w:suppressAutoHyphens w:val="0"/>
      <w:spacing w:before="80" w:after="0" w:line="240" w:lineRule="auto"/>
    </w:pPr>
    <w:rPr>
      <w:rFonts w:ascii="Arial" w:eastAsia="Times New Roman" w:hAnsi="Arial" w:cs="Times New Roman"/>
      <w:sz w:val="18"/>
      <w:szCs w:val="20"/>
      <w:lang w:eastAsia="en-AU"/>
    </w:rPr>
  </w:style>
  <w:style w:type="paragraph" w:styleId="CommentSubject">
    <w:name w:val="annotation subject"/>
    <w:basedOn w:val="CommentText"/>
    <w:next w:val="CommentText"/>
    <w:link w:val="CommentSubjectChar"/>
    <w:uiPriority w:val="99"/>
    <w:semiHidden/>
    <w:rsid w:val="00FA0945"/>
    <w:rPr>
      <w:b/>
      <w:bCs/>
      <w:sz w:val="20"/>
    </w:rPr>
  </w:style>
  <w:style w:type="character" w:customStyle="1" w:styleId="CommentSubjectChar">
    <w:name w:val="Comment Subject Char"/>
    <w:basedOn w:val="CommentTextChar"/>
    <w:link w:val="CommentSubject"/>
    <w:uiPriority w:val="99"/>
    <w:semiHidden/>
    <w:rsid w:val="00FA0945"/>
    <w:rPr>
      <w:rFonts w:ascii="Cambria" w:eastAsia="Cambria" w:hAnsi="Cambria" w:cs="Times New Roman"/>
      <w:b/>
      <w:bCs/>
      <w:sz w:val="20"/>
      <w:szCs w:val="20"/>
    </w:rPr>
  </w:style>
  <w:style w:type="paragraph" w:customStyle="1" w:styleId="Exampletext">
    <w:name w:val="Example text"/>
    <w:basedOn w:val="Normal"/>
    <w:link w:val="ExampletextCharChar"/>
    <w:rsid w:val="00FA0945"/>
    <w:pPr>
      <w:suppressAutoHyphens w:val="0"/>
      <w:spacing w:before="0" w:after="240" w:line="260" w:lineRule="exact"/>
      <w:jc w:val="both"/>
    </w:pPr>
    <w:rPr>
      <w:rFonts w:ascii="Book Antiqua" w:eastAsia="Times New Roman" w:hAnsi="Book Antiqua" w:cs="Times New Roman"/>
      <w:i/>
      <w:color w:val="FF0000"/>
      <w:szCs w:val="20"/>
      <w:lang w:val="x-none" w:eastAsia="x-none"/>
    </w:rPr>
  </w:style>
  <w:style w:type="character" w:customStyle="1" w:styleId="ExampletextCharChar">
    <w:name w:val="Example text Char Char"/>
    <w:link w:val="Exampletext"/>
    <w:rsid w:val="00FA0945"/>
    <w:rPr>
      <w:rFonts w:ascii="Book Antiqua" w:eastAsia="Times New Roman" w:hAnsi="Book Antiqua" w:cs="Times New Roman"/>
      <w:i/>
      <w:color w:val="FF0000"/>
      <w:sz w:val="20"/>
      <w:szCs w:val="20"/>
      <w:lang w:val="x-none" w:eastAsia="x-none"/>
    </w:rPr>
  </w:style>
  <w:style w:type="paragraph" w:customStyle="1" w:styleId="ChartandTableFootnote">
    <w:name w:val="Chart and Table Footnote"/>
    <w:basedOn w:val="Normal"/>
    <w:next w:val="Normal"/>
    <w:link w:val="ChartandTableFootnoteChar"/>
    <w:rsid w:val="00FA0945"/>
    <w:pPr>
      <w:keepNext/>
      <w:tabs>
        <w:tab w:val="left" w:pos="284"/>
      </w:tabs>
      <w:suppressAutoHyphens w:val="0"/>
      <w:spacing w:before="0" w:after="0" w:line="240" w:lineRule="auto"/>
      <w:ind w:left="284" w:hanging="284"/>
      <w:jc w:val="both"/>
    </w:pPr>
    <w:rPr>
      <w:rFonts w:ascii="Arial" w:eastAsia="Times New Roman" w:hAnsi="Arial" w:cs="Times New Roman"/>
      <w:sz w:val="16"/>
      <w:szCs w:val="20"/>
      <w:lang w:val="x-none" w:eastAsia="x-none"/>
    </w:rPr>
  </w:style>
  <w:style w:type="character" w:customStyle="1" w:styleId="ChartandTableFootnoteChar">
    <w:name w:val="Chart and Table Footnote Char"/>
    <w:link w:val="ChartandTableFootnote"/>
    <w:rsid w:val="00FA0945"/>
    <w:rPr>
      <w:rFonts w:ascii="Arial" w:eastAsia="Times New Roman" w:hAnsi="Arial" w:cs="Times New Roman"/>
      <w:sz w:val="16"/>
      <w:szCs w:val="20"/>
      <w:lang w:val="x-none" w:eastAsia="x-none"/>
    </w:rPr>
  </w:style>
  <w:style w:type="paragraph" w:styleId="ListParagraph">
    <w:name w:val="List Paragraph"/>
    <w:basedOn w:val="Normal"/>
    <w:link w:val="ListParagraphChar"/>
    <w:uiPriority w:val="1"/>
    <w:qFormat/>
    <w:rsid w:val="00B751D1"/>
    <w:pPr>
      <w:widowControl w:val="0"/>
      <w:suppressAutoHyphens w:val="0"/>
      <w:autoSpaceDE w:val="0"/>
      <w:autoSpaceDN w:val="0"/>
      <w:spacing w:before="118" w:after="0" w:line="240" w:lineRule="auto"/>
      <w:ind w:left="664" w:hanging="360"/>
    </w:pPr>
    <w:rPr>
      <w:rFonts w:ascii="Cambria" w:eastAsia="Cambria" w:hAnsi="Cambria" w:cs="Cambria"/>
      <w:lang w:val="en-US"/>
    </w:rPr>
  </w:style>
  <w:style w:type="paragraph" w:customStyle="1" w:styleId="TableParagraph">
    <w:name w:val="Table Paragraph"/>
    <w:basedOn w:val="Normal"/>
    <w:uiPriority w:val="1"/>
    <w:qFormat/>
    <w:rsid w:val="00A27EA7"/>
    <w:pPr>
      <w:widowControl w:val="0"/>
      <w:suppressAutoHyphens w:val="0"/>
      <w:autoSpaceDE w:val="0"/>
      <w:autoSpaceDN w:val="0"/>
      <w:spacing w:before="0" w:after="0" w:line="240" w:lineRule="auto"/>
    </w:pPr>
    <w:rPr>
      <w:rFonts w:ascii="Cambria" w:eastAsia="Cambria" w:hAnsi="Cambria" w:cs="Cambria"/>
      <w:lang w:val="en-US"/>
    </w:rPr>
  </w:style>
  <w:style w:type="table" w:styleId="PlainTable4">
    <w:name w:val="Plain Table 4"/>
    <w:basedOn w:val="TableNormal"/>
    <w:uiPriority w:val="44"/>
    <w:rsid w:val="00334C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BSCoverText">
    <w:name w:val="PBS Cover Text"/>
    <w:basedOn w:val="Title"/>
    <w:qFormat/>
    <w:rsid w:val="00D018F5"/>
  </w:style>
  <w:style w:type="paragraph" w:customStyle="1" w:styleId="CoverPage">
    <w:name w:val="Cover Page"/>
    <w:basedOn w:val="Normal"/>
    <w:qFormat/>
    <w:rsid w:val="00A10310"/>
    <w:pPr>
      <w:jc w:val="center"/>
    </w:pPr>
    <w:rPr>
      <w:sz w:val="44"/>
      <w:szCs w:val="40"/>
    </w:rPr>
  </w:style>
  <w:style w:type="paragraph" w:customStyle="1" w:styleId="TableText-Normal">
    <w:name w:val="Table Text - Normal"/>
    <w:basedOn w:val="BodyText"/>
    <w:qFormat/>
    <w:rsid w:val="005D0D2F"/>
    <w:pPr>
      <w:spacing w:before="40" w:after="40" w:line="240" w:lineRule="auto"/>
      <w:ind w:left="130" w:right="96"/>
    </w:pPr>
  </w:style>
  <w:style w:type="paragraph" w:customStyle="1" w:styleId="TableText-NormalIndented">
    <w:name w:val="Table Text - Normal Indented"/>
    <w:basedOn w:val="TableText-Normal"/>
    <w:qFormat/>
    <w:rsid w:val="00CB7882"/>
    <w:pPr>
      <w:spacing w:after="60"/>
      <w:ind w:left="720"/>
      <w:contextualSpacing/>
    </w:pPr>
    <w:rPr>
      <w:szCs w:val="20"/>
    </w:rPr>
  </w:style>
  <w:style w:type="paragraph" w:customStyle="1" w:styleId="NormalTextRed">
    <w:name w:val="Normal Text Red"/>
    <w:basedOn w:val="Normal"/>
    <w:qFormat/>
    <w:rsid w:val="00DB6DDE"/>
    <w:rPr>
      <w:color w:val="FF0000"/>
    </w:rPr>
  </w:style>
  <w:style w:type="paragraph" w:customStyle="1" w:styleId="IndentRedText">
    <w:name w:val="Indent Red Text"/>
    <w:basedOn w:val="IndentBlueText"/>
    <w:qFormat/>
    <w:rsid w:val="00117EF6"/>
    <w:rPr>
      <w:color w:val="FF0000"/>
    </w:rPr>
  </w:style>
  <w:style w:type="paragraph" w:styleId="ListBullet2">
    <w:name w:val="List Bullet 2"/>
    <w:basedOn w:val="Normal"/>
    <w:uiPriority w:val="99"/>
    <w:unhideWhenUsed/>
    <w:rsid w:val="00052ECD"/>
    <w:pPr>
      <w:numPr>
        <w:numId w:val="7"/>
      </w:numPr>
      <w:contextualSpacing/>
    </w:pPr>
  </w:style>
  <w:style w:type="paragraph" w:customStyle="1" w:styleId="CBMSReportPath">
    <w:name w:val="CBMS Report Path"/>
    <w:basedOn w:val="Normal"/>
    <w:uiPriority w:val="1"/>
    <w:qFormat/>
    <w:rsid w:val="00052ECD"/>
    <w:pPr>
      <w:spacing w:before="240" w:after="240"/>
    </w:pPr>
    <w:rPr>
      <w:i/>
      <w:color w:val="0070C0"/>
    </w:rPr>
  </w:style>
  <w:style w:type="paragraph" w:customStyle="1" w:styleId="TableText-Small">
    <w:name w:val="Table Text - Small"/>
    <w:basedOn w:val="TableText-Normal"/>
    <w:qFormat/>
    <w:rsid w:val="00B56367"/>
    <w:rPr>
      <w:sz w:val="18"/>
      <w:szCs w:val="18"/>
    </w:rPr>
  </w:style>
  <w:style w:type="paragraph" w:customStyle="1" w:styleId="LeasingProgTableText">
    <w:name w:val="Leasing Prog Table Text"/>
    <w:basedOn w:val="Normal"/>
    <w:qFormat/>
    <w:rsid w:val="001C70F1"/>
    <w:pPr>
      <w:spacing w:before="0" w:after="0"/>
    </w:pPr>
    <w:rPr>
      <w:sz w:val="19"/>
      <w:lang w:eastAsia="en-AU"/>
    </w:rPr>
  </w:style>
  <w:style w:type="paragraph" w:customStyle="1" w:styleId="TableText-SuperSmallBold">
    <w:name w:val="Table Text - Super Small Bold"/>
    <w:basedOn w:val="TableText-Small"/>
    <w:qFormat/>
    <w:rsid w:val="00B45DD3"/>
    <w:rPr>
      <w:b/>
      <w:sz w:val="16"/>
      <w:szCs w:val="16"/>
    </w:rPr>
  </w:style>
  <w:style w:type="paragraph" w:customStyle="1" w:styleId="Bullet5">
    <w:name w:val="Bullet 5"/>
    <w:basedOn w:val="BodyText"/>
    <w:qFormat/>
    <w:rsid w:val="00D2417F"/>
    <w:pPr>
      <w:numPr>
        <w:ilvl w:val="3"/>
        <w:numId w:val="17"/>
      </w:numPr>
      <w:ind w:left="2126" w:right="0" w:hanging="425"/>
    </w:pPr>
  </w:style>
  <w:style w:type="paragraph" w:customStyle="1" w:styleId="TableText-NormalRed">
    <w:name w:val="Table Text - Normal Red"/>
    <w:basedOn w:val="NormalTextRed"/>
    <w:qFormat/>
    <w:rsid w:val="00314AE9"/>
  </w:style>
  <w:style w:type="paragraph" w:customStyle="1" w:styleId="TableText-Normal-DotPoint">
    <w:name w:val="Table Text - Normal - Dot Point"/>
    <w:basedOn w:val="TableText-Normal"/>
    <w:rsid w:val="0065254A"/>
    <w:pPr>
      <w:numPr>
        <w:numId w:val="18"/>
      </w:numPr>
    </w:pPr>
  </w:style>
  <w:style w:type="paragraph" w:customStyle="1" w:styleId="IndentText1">
    <w:name w:val="Indent Text 1"/>
    <w:basedOn w:val="Bullet1"/>
    <w:qFormat/>
    <w:rsid w:val="00B200D2"/>
    <w:pPr>
      <w:numPr>
        <w:numId w:val="0"/>
      </w:numPr>
      <w:ind w:left="425"/>
    </w:pPr>
  </w:style>
  <w:style w:type="paragraph" w:customStyle="1" w:styleId="Boxed1Text">
    <w:name w:val="Boxed 1 Text"/>
    <w:basedOn w:val="Normal"/>
    <w:qFormat/>
    <w:rsid w:val="00BC18D2"/>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spacing w:before="180"/>
      <w:ind w:left="284" w:right="284"/>
    </w:pPr>
    <w:rPr>
      <w:szCs w:val="22"/>
    </w:rPr>
  </w:style>
  <w:style w:type="paragraph" w:customStyle="1" w:styleId="Boxed1Heading">
    <w:name w:val="Boxed 1 Heading"/>
    <w:basedOn w:val="Boxed1Text"/>
    <w:qFormat/>
    <w:rsid w:val="00BC18D2"/>
    <w:rPr>
      <w:b/>
      <w:sz w:val="24"/>
    </w:rPr>
  </w:style>
  <w:style w:type="paragraph" w:customStyle="1" w:styleId="Boxed2Text">
    <w:name w:val="Boxed 2 Text"/>
    <w:basedOn w:val="Boxed1Text"/>
    <w:link w:val="Boxed2TextChar"/>
    <w:qFormat/>
    <w:rsid w:val="00B02F7F"/>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spacing w:before="160" w:line="260" w:lineRule="atLeast"/>
    </w:pPr>
  </w:style>
  <w:style w:type="paragraph" w:customStyle="1" w:styleId="Boxed2Heading">
    <w:name w:val="Boxed 2 Heading"/>
    <w:basedOn w:val="Boxed2Text"/>
    <w:qFormat/>
    <w:rsid w:val="00BC18D2"/>
    <w:rPr>
      <w:b/>
      <w:sz w:val="24"/>
    </w:rPr>
  </w:style>
  <w:style w:type="paragraph" w:customStyle="1" w:styleId="TableText-Bullets">
    <w:name w:val="Table Text - Bullets"/>
    <w:basedOn w:val="TableText"/>
    <w:rsid w:val="008A3568"/>
    <w:pPr>
      <w:numPr>
        <w:numId w:val="20"/>
      </w:numPr>
    </w:pPr>
  </w:style>
  <w:style w:type="paragraph" w:styleId="ListNumber3">
    <w:name w:val="List Number 3"/>
    <w:basedOn w:val="Bullet2"/>
    <w:uiPriority w:val="99"/>
    <w:unhideWhenUsed/>
    <w:rsid w:val="007433FC"/>
    <w:rPr>
      <w:color w:val="0070C0"/>
    </w:rPr>
  </w:style>
  <w:style w:type="paragraph" w:customStyle="1" w:styleId="TableText-Bullets-Compact">
    <w:name w:val="Table Text - Bullets - Compact"/>
    <w:basedOn w:val="TableText-Normal-DotPoint"/>
    <w:rsid w:val="00A250B5"/>
    <w:rPr>
      <w:sz w:val="18"/>
      <w:szCs w:val="18"/>
    </w:rPr>
  </w:style>
  <w:style w:type="paragraph" w:customStyle="1" w:styleId="CrossReference">
    <w:name w:val="Cross Reference"/>
    <w:next w:val="Normal"/>
    <w:link w:val="CrossReferenceChar"/>
    <w:qFormat/>
    <w:rsid w:val="00CA36B1"/>
    <w:rPr>
      <w:rFonts w:ascii="Calibri" w:hAnsi="Calibri" w:cs="Cambria"/>
      <w:color w:val="000000" w:themeColor="text1"/>
      <w:szCs w:val="24"/>
      <w:u w:val="single" w:color="0070C0"/>
    </w:rPr>
  </w:style>
  <w:style w:type="paragraph" w:customStyle="1" w:styleId="Bullets1stindent">
    <w:name w:val="Bullets (1st indent)"/>
    <w:basedOn w:val="Normal"/>
    <w:qFormat/>
    <w:rsid w:val="000457F9"/>
    <w:pPr>
      <w:suppressAutoHyphens w:val="0"/>
      <w:spacing w:before="0" w:after="120" w:line="276" w:lineRule="auto"/>
      <w:ind w:left="360" w:hanging="360"/>
    </w:pPr>
    <w:rPr>
      <w:szCs w:val="22"/>
    </w:rPr>
  </w:style>
  <w:style w:type="paragraph" w:customStyle="1" w:styleId="Bullets2ndindent">
    <w:name w:val="Bullets (2nd indent)"/>
    <w:basedOn w:val="Normal"/>
    <w:qFormat/>
    <w:rsid w:val="000457F9"/>
    <w:pPr>
      <w:tabs>
        <w:tab w:val="num" w:pos="567"/>
      </w:tabs>
      <w:suppressAutoHyphens w:val="0"/>
      <w:spacing w:before="0" w:after="120" w:line="276" w:lineRule="auto"/>
      <w:ind w:left="567" w:hanging="283"/>
    </w:pPr>
    <w:rPr>
      <w:szCs w:val="22"/>
    </w:rPr>
  </w:style>
  <w:style w:type="paragraph" w:customStyle="1" w:styleId="Bulletslast1stindent">
    <w:name w:val="Bullets last (1st indent)"/>
    <w:basedOn w:val="Normal"/>
    <w:rsid w:val="000457F9"/>
    <w:pPr>
      <w:tabs>
        <w:tab w:val="num" w:pos="284"/>
      </w:tabs>
      <w:suppressAutoHyphens w:val="0"/>
      <w:spacing w:before="0" w:after="200" w:line="276" w:lineRule="auto"/>
      <w:ind w:left="284" w:hanging="284"/>
    </w:pPr>
    <w:rPr>
      <w:szCs w:val="22"/>
    </w:rPr>
  </w:style>
  <w:style w:type="paragraph" w:customStyle="1" w:styleId="Bulletslast2ndindent">
    <w:name w:val="Bullets last (2nd indent)"/>
    <w:basedOn w:val="Normal"/>
    <w:rsid w:val="000457F9"/>
    <w:pPr>
      <w:tabs>
        <w:tab w:val="num" w:pos="567"/>
      </w:tabs>
      <w:suppressAutoHyphens w:val="0"/>
      <w:spacing w:before="0" w:after="57" w:line="276" w:lineRule="auto"/>
      <w:ind w:left="567" w:hanging="283"/>
    </w:pPr>
    <w:rPr>
      <w:szCs w:val="22"/>
    </w:rPr>
  </w:style>
  <w:style w:type="paragraph" w:customStyle="1" w:styleId="BulletsTable1">
    <w:name w:val="Bullets Table 1"/>
    <w:basedOn w:val="Bullets1stindent"/>
    <w:qFormat/>
    <w:rsid w:val="000457F9"/>
    <w:pPr>
      <w:spacing w:after="60"/>
      <w:ind w:left="357" w:hanging="357"/>
      <w:contextualSpacing/>
    </w:pPr>
  </w:style>
  <w:style w:type="paragraph" w:customStyle="1" w:styleId="TableText-Medium">
    <w:name w:val="Table Text - Medium"/>
    <w:basedOn w:val="TableText-Normal"/>
    <w:qFormat/>
    <w:rsid w:val="0057047B"/>
    <w:pPr>
      <w:spacing w:before="60" w:after="60"/>
    </w:pPr>
    <w:rPr>
      <w:sz w:val="20"/>
      <w:szCs w:val="20"/>
    </w:rPr>
  </w:style>
  <w:style w:type="paragraph" w:customStyle="1" w:styleId="TableText-Medium-DotPoints">
    <w:name w:val="Table Text - Medium - Dot Points"/>
    <w:basedOn w:val="TableText-Normal-DotPoint"/>
    <w:qFormat/>
    <w:rsid w:val="009F0B0E"/>
    <w:pPr>
      <w:numPr>
        <w:numId w:val="76"/>
      </w:numPr>
      <w:ind w:left="454" w:right="0" w:hanging="227"/>
    </w:pPr>
    <w:rPr>
      <w:sz w:val="20"/>
      <w:szCs w:val="20"/>
    </w:rPr>
  </w:style>
  <w:style w:type="paragraph" w:customStyle="1" w:styleId="Default">
    <w:name w:val="Default"/>
    <w:rsid w:val="00DD311E"/>
    <w:pPr>
      <w:autoSpaceDE w:val="0"/>
      <w:autoSpaceDN w:val="0"/>
      <w:adjustRightInd w:val="0"/>
      <w:spacing w:after="0" w:line="240" w:lineRule="auto"/>
    </w:pPr>
    <w:rPr>
      <w:rFonts w:ascii="Cambria" w:hAnsi="Cambria" w:cs="Cambria"/>
      <w:color w:val="000000"/>
      <w:sz w:val="24"/>
      <w:szCs w:val="24"/>
    </w:rPr>
  </w:style>
  <w:style w:type="paragraph" w:customStyle="1" w:styleId="Numbered">
    <w:name w:val="Numbered"/>
    <w:basedOn w:val="ListParagraph"/>
    <w:qFormat/>
    <w:rsid w:val="00157BAB"/>
    <w:pPr>
      <w:numPr>
        <w:numId w:val="45"/>
      </w:numPr>
      <w:tabs>
        <w:tab w:val="left" w:pos="425"/>
      </w:tabs>
      <w:spacing w:before="160"/>
    </w:pPr>
    <w:rPr>
      <w:rFonts w:ascii="Calibri" w:hAnsi="Calibri" w:cstheme="minorHAnsi"/>
      <w:lang w:val="en-AU"/>
    </w:rPr>
  </w:style>
  <w:style w:type="character" w:customStyle="1" w:styleId="ListParagraphChar">
    <w:name w:val="List Paragraph Char"/>
    <w:basedOn w:val="DefaultParagraphFont"/>
    <w:link w:val="ListParagraph"/>
    <w:uiPriority w:val="34"/>
    <w:locked/>
    <w:rsid w:val="007A0E16"/>
    <w:rPr>
      <w:rFonts w:ascii="Cambria" w:eastAsia="Cambria" w:hAnsi="Cambria" w:cs="Cambria"/>
      <w:szCs w:val="28"/>
      <w:lang w:val="en-US"/>
    </w:rPr>
  </w:style>
  <w:style w:type="paragraph" w:customStyle="1" w:styleId="ListParagraph2">
    <w:name w:val="List Paragraph 2"/>
    <w:basedOn w:val="ListParagraph"/>
    <w:qFormat/>
    <w:rsid w:val="007A0E16"/>
    <w:pPr>
      <w:widowControl/>
      <w:tabs>
        <w:tab w:val="num" w:pos="360"/>
      </w:tabs>
      <w:autoSpaceDE/>
      <w:autoSpaceDN/>
      <w:spacing w:before="0" w:after="120" w:line="22" w:lineRule="atLeast"/>
      <w:ind w:left="1111" w:hanging="357"/>
      <w:contextualSpacing/>
    </w:pPr>
    <w:rPr>
      <w:rFonts w:asciiTheme="minorHAnsi" w:eastAsiaTheme="minorHAnsi" w:hAnsiTheme="minorHAnsi" w:cstheme="minorBidi"/>
      <w:sz w:val="24"/>
      <w:szCs w:val="24"/>
      <w:lang w:val="en-AU"/>
    </w:rPr>
  </w:style>
  <w:style w:type="paragraph" w:customStyle="1" w:styleId="LetteredList">
    <w:name w:val="Lettered List"/>
    <w:basedOn w:val="ListParagraph2"/>
    <w:qFormat/>
    <w:rsid w:val="00823FE7"/>
    <w:pPr>
      <w:numPr>
        <w:numId w:val="29"/>
      </w:numPr>
      <w:spacing w:before="120"/>
      <w:ind w:left="850" w:hanging="425"/>
      <w:contextualSpacing w:val="0"/>
    </w:pPr>
    <w:rPr>
      <w:rFonts w:ascii="Calibri" w:hAnsi="Calibri"/>
      <w:sz w:val="22"/>
      <w:szCs w:val="22"/>
    </w:rPr>
  </w:style>
  <w:style w:type="paragraph" w:customStyle="1" w:styleId="Bullet">
    <w:name w:val="Bullet"/>
    <w:basedOn w:val="Normal"/>
    <w:link w:val="BulletChar"/>
    <w:qFormat/>
    <w:rsid w:val="00D419C8"/>
    <w:pPr>
      <w:tabs>
        <w:tab w:val="num" w:pos="520"/>
      </w:tabs>
      <w:suppressAutoHyphens w:val="0"/>
      <w:spacing w:before="0" w:after="240" w:line="260" w:lineRule="exact"/>
      <w:ind w:left="520" w:hanging="520"/>
      <w:jc w:val="both"/>
    </w:pPr>
    <w:rPr>
      <w:rFonts w:ascii="Book Antiqua" w:eastAsia="Times New Roman" w:hAnsi="Book Antiqua" w:cs="Times New Roman"/>
      <w:sz w:val="20"/>
      <w:szCs w:val="20"/>
      <w:lang w:val="x-none" w:eastAsia="x-none"/>
    </w:rPr>
  </w:style>
  <w:style w:type="paragraph" w:customStyle="1" w:styleId="Dash">
    <w:name w:val="Dash"/>
    <w:basedOn w:val="Normal"/>
    <w:rsid w:val="00D419C8"/>
    <w:pPr>
      <w:tabs>
        <w:tab w:val="num" w:pos="992"/>
      </w:tabs>
      <w:suppressAutoHyphens w:val="0"/>
      <w:spacing w:before="0" w:after="240" w:line="260" w:lineRule="exact"/>
      <w:ind w:left="992" w:hanging="472"/>
      <w:jc w:val="both"/>
    </w:pPr>
    <w:rPr>
      <w:rFonts w:ascii="Book Antiqua" w:eastAsia="Times New Roman" w:hAnsi="Book Antiqua" w:cs="Times New Roman"/>
      <w:sz w:val="20"/>
      <w:szCs w:val="20"/>
      <w:lang w:eastAsia="en-AU"/>
    </w:rPr>
  </w:style>
  <w:style w:type="paragraph" w:customStyle="1" w:styleId="DoubleDot">
    <w:name w:val="Double Dot"/>
    <w:basedOn w:val="Normal"/>
    <w:rsid w:val="00D419C8"/>
    <w:pPr>
      <w:tabs>
        <w:tab w:val="num" w:pos="1464"/>
      </w:tabs>
      <w:suppressAutoHyphens w:val="0"/>
      <w:spacing w:before="0" w:after="240" w:line="260" w:lineRule="exact"/>
      <w:ind w:left="1464" w:hanging="472"/>
      <w:jc w:val="both"/>
    </w:pPr>
    <w:rPr>
      <w:rFonts w:ascii="Book Antiqua" w:eastAsia="Times New Roman" w:hAnsi="Book Antiqua" w:cs="Times New Roman"/>
      <w:sz w:val="20"/>
      <w:szCs w:val="20"/>
      <w:lang w:eastAsia="en-AU"/>
    </w:rPr>
  </w:style>
  <w:style w:type="character" w:customStyle="1" w:styleId="NumberedList1Char">
    <w:name w:val="Numbered List 1 Char"/>
    <w:basedOn w:val="DefaultParagraphFont"/>
    <w:link w:val="NumberedList1"/>
    <w:rsid w:val="00922DA3"/>
    <w:rPr>
      <w:color w:val="FF0000"/>
      <w:szCs w:val="28"/>
      <w:u w:val="single"/>
    </w:rPr>
  </w:style>
  <w:style w:type="character" w:customStyle="1" w:styleId="NumberedList2Char">
    <w:name w:val="Numbered List 2 Char"/>
    <w:basedOn w:val="NumberedList1Char"/>
    <w:link w:val="NumberedList2"/>
    <w:rsid w:val="00922DA3"/>
    <w:rPr>
      <w:rFonts w:ascii="Calibri" w:hAnsi="Calibri"/>
      <w:color w:val="FF0000"/>
      <w:szCs w:val="28"/>
      <w:u w:val="single"/>
    </w:rPr>
  </w:style>
  <w:style w:type="character" w:customStyle="1" w:styleId="CrossReferenceChar">
    <w:name w:val="Cross Reference Char"/>
    <w:basedOn w:val="NumberedList2Char"/>
    <w:link w:val="CrossReference"/>
    <w:rsid w:val="00CA36B1"/>
    <w:rPr>
      <w:rFonts w:ascii="Calibri" w:hAnsi="Calibri" w:cs="Cambria"/>
      <w:color w:val="000000" w:themeColor="text1"/>
      <w:szCs w:val="24"/>
      <w:u w:val="single" w:color="0070C0"/>
    </w:rPr>
  </w:style>
  <w:style w:type="paragraph" w:styleId="ListBullet5">
    <w:name w:val="List Bullet 5"/>
    <w:basedOn w:val="Normal"/>
    <w:uiPriority w:val="99"/>
    <w:unhideWhenUsed/>
    <w:rsid w:val="00090962"/>
    <w:pPr>
      <w:numPr>
        <w:numId w:val="31"/>
      </w:numPr>
      <w:contextualSpacing/>
    </w:pPr>
  </w:style>
  <w:style w:type="paragraph" w:customStyle="1" w:styleId="TableHeading">
    <w:name w:val="Table Heading"/>
    <w:basedOn w:val="Normal"/>
    <w:next w:val="Normal"/>
    <w:link w:val="TableHeadingChar"/>
    <w:qFormat/>
    <w:rsid w:val="00611899"/>
    <w:pPr>
      <w:keepNext/>
      <w:suppressAutoHyphens w:val="0"/>
      <w:spacing w:before="0" w:after="20" w:line="240" w:lineRule="auto"/>
    </w:pPr>
    <w:rPr>
      <w:rFonts w:ascii="Arial" w:eastAsia="Times New Roman" w:hAnsi="Arial" w:cs="Times New Roman"/>
      <w:b/>
      <w:color w:val="000000"/>
      <w:sz w:val="20"/>
      <w:szCs w:val="20"/>
      <w:lang w:val="x-none" w:eastAsia="x-none"/>
    </w:rPr>
  </w:style>
  <w:style w:type="character" w:customStyle="1" w:styleId="TableHeadingChar">
    <w:name w:val="Table Heading Char"/>
    <w:link w:val="TableHeading"/>
    <w:rsid w:val="00611899"/>
    <w:rPr>
      <w:rFonts w:ascii="Arial" w:eastAsia="Times New Roman" w:hAnsi="Arial" w:cs="Times New Roman"/>
      <w:b/>
      <w:color w:val="000000"/>
      <w:sz w:val="20"/>
      <w:szCs w:val="20"/>
      <w:lang w:val="x-none" w:eastAsia="x-none"/>
    </w:rPr>
  </w:style>
  <w:style w:type="paragraph" w:customStyle="1" w:styleId="TableColumnHeadingLeft">
    <w:name w:val="Table Column Heading Left"/>
    <w:basedOn w:val="Normal"/>
    <w:next w:val="Normal"/>
    <w:rsid w:val="00611899"/>
    <w:pPr>
      <w:suppressAutoHyphens w:val="0"/>
      <w:spacing w:before="60" w:line="240" w:lineRule="auto"/>
    </w:pPr>
    <w:rPr>
      <w:rFonts w:ascii="Arial" w:eastAsia="Times New Roman" w:hAnsi="Arial" w:cs="Times New Roman"/>
      <w:b/>
      <w:sz w:val="20"/>
      <w:szCs w:val="20"/>
      <w:lang w:eastAsia="en-AU"/>
    </w:rPr>
  </w:style>
  <w:style w:type="character" w:customStyle="1" w:styleId="Bullet1Char">
    <w:name w:val="Bullet 1 Char"/>
    <w:basedOn w:val="DefaultParagraphFont"/>
    <w:link w:val="Bullet1"/>
    <w:rsid w:val="00B54999"/>
    <w:rPr>
      <w:rFonts w:ascii="Calibri" w:eastAsia="Cambria" w:hAnsi="Calibri" w:cs="Calibri"/>
      <w:szCs w:val="28"/>
    </w:rPr>
  </w:style>
  <w:style w:type="paragraph" w:customStyle="1" w:styleId="TableTextBase">
    <w:name w:val="Table Text Base"/>
    <w:basedOn w:val="Normal"/>
    <w:link w:val="TableTextBaseChar"/>
    <w:rsid w:val="00FF6AF2"/>
    <w:pPr>
      <w:suppressAutoHyphens w:val="0"/>
      <w:spacing w:before="60" w:line="240" w:lineRule="auto"/>
    </w:pPr>
    <w:rPr>
      <w:rFonts w:ascii="Arial" w:eastAsia="Times New Roman" w:hAnsi="Arial" w:cs="Times New Roman"/>
      <w:sz w:val="18"/>
      <w:szCs w:val="20"/>
      <w:lang w:eastAsia="en-AU"/>
    </w:rPr>
  </w:style>
  <w:style w:type="paragraph" w:customStyle="1" w:styleId="TableTextLeft">
    <w:name w:val="Table Text Left"/>
    <w:basedOn w:val="TableTextBase"/>
    <w:link w:val="TableTextLeftChar"/>
    <w:rsid w:val="00FF6AF2"/>
  </w:style>
  <w:style w:type="character" w:customStyle="1" w:styleId="TableTextBaseChar">
    <w:name w:val="Table Text Base Char"/>
    <w:link w:val="TableTextBase"/>
    <w:rsid w:val="00FF6AF2"/>
    <w:rPr>
      <w:rFonts w:ascii="Arial" w:eastAsia="Times New Roman" w:hAnsi="Arial" w:cs="Times New Roman"/>
      <w:sz w:val="18"/>
      <w:szCs w:val="20"/>
      <w:lang w:eastAsia="en-AU"/>
    </w:rPr>
  </w:style>
  <w:style w:type="character" w:customStyle="1" w:styleId="TableTextLeftChar">
    <w:name w:val="Table Text Left Char"/>
    <w:link w:val="TableTextLeft"/>
    <w:rsid w:val="00FF6AF2"/>
    <w:rPr>
      <w:rFonts w:ascii="Arial" w:eastAsia="Times New Roman" w:hAnsi="Arial" w:cs="Times New Roman"/>
      <w:sz w:val="18"/>
      <w:szCs w:val="20"/>
      <w:lang w:eastAsia="en-AU"/>
    </w:rPr>
  </w:style>
  <w:style w:type="paragraph" w:customStyle="1" w:styleId="ChartandTableFootnoteAlpha">
    <w:name w:val="Chart and Table Footnote Alpha"/>
    <w:basedOn w:val="Normal"/>
    <w:next w:val="Normal"/>
    <w:rsid w:val="00FF6AF2"/>
    <w:pPr>
      <w:numPr>
        <w:numId w:val="32"/>
      </w:numPr>
      <w:suppressAutoHyphens w:val="0"/>
      <w:spacing w:before="0" w:after="0" w:line="240" w:lineRule="auto"/>
      <w:jc w:val="both"/>
    </w:pPr>
    <w:rPr>
      <w:rFonts w:ascii="Arial" w:eastAsia="Times New Roman" w:hAnsi="Arial" w:cs="Times New Roman"/>
      <w:sz w:val="16"/>
      <w:szCs w:val="20"/>
      <w:lang w:eastAsia="en-AU"/>
    </w:rPr>
  </w:style>
  <w:style w:type="character" w:customStyle="1" w:styleId="UnresolvedMention2">
    <w:name w:val="Unresolved Mention2"/>
    <w:basedOn w:val="DefaultParagraphFont"/>
    <w:uiPriority w:val="99"/>
    <w:semiHidden/>
    <w:unhideWhenUsed/>
    <w:rsid w:val="00AE2AEB"/>
    <w:rPr>
      <w:color w:val="605E5C"/>
      <w:shd w:val="clear" w:color="auto" w:fill="E1DFDD"/>
    </w:rPr>
  </w:style>
  <w:style w:type="character" w:customStyle="1" w:styleId="UnresolvedMention3">
    <w:name w:val="Unresolved Mention3"/>
    <w:basedOn w:val="DefaultParagraphFont"/>
    <w:uiPriority w:val="99"/>
    <w:semiHidden/>
    <w:unhideWhenUsed/>
    <w:rsid w:val="00FC07C1"/>
    <w:rPr>
      <w:color w:val="605E5C"/>
      <w:shd w:val="clear" w:color="auto" w:fill="E1DFDD"/>
    </w:rPr>
  </w:style>
  <w:style w:type="character" w:customStyle="1" w:styleId="UnresolvedMention4">
    <w:name w:val="Unresolved Mention4"/>
    <w:basedOn w:val="DefaultParagraphFont"/>
    <w:uiPriority w:val="99"/>
    <w:semiHidden/>
    <w:unhideWhenUsed/>
    <w:rsid w:val="00007CC7"/>
    <w:rPr>
      <w:color w:val="605E5C"/>
      <w:shd w:val="clear" w:color="auto" w:fill="E1DFDD"/>
    </w:rPr>
  </w:style>
  <w:style w:type="character" w:styleId="UnresolvedMention">
    <w:name w:val="Unresolved Mention"/>
    <w:basedOn w:val="DefaultParagraphFont"/>
    <w:uiPriority w:val="99"/>
    <w:semiHidden/>
    <w:unhideWhenUsed/>
    <w:rsid w:val="00B750D7"/>
    <w:rPr>
      <w:color w:val="605E5C"/>
      <w:shd w:val="clear" w:color="auto" w:fill="E1DFDD"/>
    </w:rPr>
  </w:style>
  <w:style w:type="paragraph" w:customStyle="1" w:styleId="Bullet1ForContactsOnly">
    <w:name w:val="Bullet 1 For Contacts Only"/>
    <w:basedOn w:val="Bullet1"/>
    <w:qFormat/>
    <w:rsid w:val="00387AC1"/>
    <w:pPr>
      <w:tabs>
        <w:tab w:val="center" w:pos="4253"/>
        <w:tab w:val="right" w:pos="9639"/>
      </w:tabs>
      <w:ind w:left="357" w:hanging="357"/>
    </w:pPr>
  </w:style>
  <w:style w:type="character" w:styleId="Mention">
    <w:name w:val="Mention"/>
    <w:basedOn w:val="DefaultParagraphFont"/>
    <w:uiPriority w:val="99"/>
    <w:unhideWhenUsed/>
    <w:rsid w:val="00CD3C63"/>
    <w:rPr>
      <w:color w:val="2B579A"/>
      <w:shd w:val="clear" w:color="auto" w:fill="E1DFDD"/>
    </w:rPr>
  </w:style>
  <w:style w:type="character" w:customStyle="1" w:styleId="Boxed2TextChar">
    <w:name w:val="Boxed 2 Text Char"/>
    <w:basedOn w:val="DefaultParagraphFont"/>
    <w:link w:val="Boxed2Text"/>
    <w:rsid w:val="00E66DB6"/>
    <w:rPr>
      <w:rFonts w:ascii="Calibri" w:hAnsi="Calibri"/>
      <w:shd w:val="clear" w:color="auto" w:fill="BDDCDF" w:themeFill="accent1"/>
    </w:rPr>
  </w:style>
  <w:style w:type="character" w:customStyle="1" w:styleId="normaltextrun">
    <w:name w:val="normaltextrun"/>
    <w:basedOn w:val="DefaultParagraphFont"/>
    <w:rsid w:val="00E73C37"/>
  </w:style>
  <w:style w:type="character" w:customStyle="1" w:styleId="eop">
    <w:name w:val="eop"/>
    <w:basedOn w:val="DefaultParagraphFont"/>
    <w:rsid w:val="00E73C37"/>
  </w:style>
  <w:style w:type="paragraph" w:customStyle="1" w:styleId="CBMSReportParamater">
    <w:name w:val="CBMS Report Paramater"/>
    <w:basedOn w:val="Normal"/>
    <w:qFormat/>
    <w:rsid w:val="00C9120E"/>
    <w:rPr>
      <w:color w:val="125F51" w:themeColor="accent3" w:themeShade="BF"/>
    </w:rPr>
  </w:style>
  <w:style w:type="paragraph" w:customStyle="1" w:styleId="Headling3">
    <w:name w:val="Headling 3"/>
    <w:basedOn w:val="Heading3"/>
    <w:rsid w:val="00C9120E"/>
    <w:pPr>
      <w:ind w:left="0" w:firstLine="0"/>
    </w:pPr>
  </w:style>
  <w:style w:type="paragraph" w:customStyle="1" w:styleId="TableText-NumberofBooks">
    <w:name w:val="Table Text - Number of Books"/>
    <w:basedOn w:val="TableText-Normal"/>
    <w:qFormat/>
    <w:rsid w:val="00C9120E"/>
    <w:rPr>
      <w:rFonts w:cs="Calibri"/>
    </w:rPr>
  </w:style>
  <w:style w:type="paragraph" w:customStyle="1" w:styleId="BoxText">
    <w:name w:val="Box Text"/>
    <w:basedOn w:val="Normal"/>
    <w:qFormat/>
    <w:rsid w:val="00C9120E"/>
    <w:pPr>
      <w:suppressAutoHyphens w:val="0"/>
      <w:spacing w:before="120" w:after="120" w:line="240" w:lineRule="auto"/>
    </w:pPr>
    <w:rPr>
      <w:rFonts w:ascii="Book Antiqua" w:eastAsia="Times New Roman" w:hAnsi="Book Antiqua" w:cs="Times New Roman"/>
      <w:sz w:val="19"/>
      <w:szCs w:val="20"/>
      <w:lang w:eastAsia="en-AU"/>
    </w:rPr>
  </w:style>
  <w:style w:type="paragraph" w:customStyle="1" w:styleId="BoxHeading">
    <w:name w:val="Box Heading"/>
    <w:basedOn w:val="Normal"/>
    <w:next w:val="BoxText"/>
    <w:rsid w:val="00C9120E"/>
    <w:pPr>
      <w:keepNext/>
      <w:suppressAutoHyphens w:val="0"/>
      <w:spacing w:before="120" w:after="120" w:line="240" w:lineRule="auto"/>
    </w:pPr>
    <w:rPr>
      <w:rFonts w:ascii="Arial" w:eastAsia="Times New Roman" w:hAnsi="Arial" w:cs="Times New Roman"/>
      <w:b/>
      <w:sz w:val="20"/>
      <w:szCs w:val="20"/>
      <w:lang w:eastAsia="en-AU"/>
    </w:rPr>
  </w:style>
  <w:style w:type="paragraph" w:customStyle="1" w:styleId="BoxBullet">
    <w:name w:val="Box Bullet"/>
    <w:basedOn w:val="BoxText"/>
    <w:rsid w:val="00C9120E"/>
    <w:pPr>
      <w:numPr>
        <w:numId w:val="39"/>
      </w:numPr>
    </w:pPr>
  </w:style>
  <w:style w:type="paragraph" w:customStyle="1" w:styleId="ExampleText0">
    <w:name w:val="Example Text"/>
    <w:basedOn w:val="Normal"/>
    <w:semiHidden/>
    <w:rsid w:val="00C9120E"/>
    <w:pPr>
      <w:suppressAutoHyphens w:val="0"/>
      <w:spacing w:before="240" w:after="240" w:line="240" w:lineRule="exact"/>
    </w:pPr>
    <w:rPr>
      <w:rFonts w:ascii="Book Antiqua" w:eastAsia="Times New Roman" w:hAnsi="Book Antiqua" w:cs="Times New Roman"/>
      <w:i/>
      <w:color w:val="FF0000"/>
      <w:sz w:val="19"/>
      <w:szCs w:val="20"/>
      <w:lang w:eastAsia="en-AU"/>
    </w:rPr>
  </w:style>
  <w:style w:type="character" w:customStyle="1" w:styleId="BulletChar">
    <w:name w:val="Bullet Char"/>
    <w:basedOn w:val="Bullet1Char"/>
    <w:link w:val="Bullet"/>
    <w:rsid w:val="00C9120E"/>
    <w:rPr>
      <w:rFonts w:ascii="Book Antiqua" w:eastAsia="Times New Roman" w:hAnsi="Book Antiqua" w:cs="Times New Roman"/>
      <w:sz w:val="20"/>
      <w:szCs w:val="20"/>
      <w:lang w:val="x-none" w:eastAsia="x-none"/>
    </w:rPr>
  </w:style>
  <w:style w:type="character" w:customStyle="1" w:styleId="ui-provider">
    <w:name w:val="ui-provider"/>
    <w:basedOn w:val="DefaultParagraphFont"/>
    <w:rsid w:val="00B7730B"/>
  </w:style>
  <w:style w:type="paragraph" w:customStyle="1" w:styleId="Lettered">
    <w:name w:val="Lettered"/>
    <w:basedOn w:val="Numbered"/>
    <w:qFormat/>
    <w:rsid w:val="00157BAB"/>
    <w:pPr>
      <w:numPr>
        <w:numId w:val="22"/>
      </w:numPr>
    </w:pPr>
  </w:style>
  <w:style w:type="paragraph" w:customStyle="1" w:styleId="Heading1Numbered">
    <w:name w:val="Heading 1 Numbered"/>
    <w:basedOn w:val="Heading1"/>
    <w:next w:val="Normal"/>
    <w:qFormat/>
    <w:rsid w:val="008F2996"/>
    <w:pPr>
      <w:numPr>
        <w:numId w:val="0"/>
      </w:numPr>
      <w:ind w:left="567" w:hanging="567"/>
    </w:pPr>
  </w:style>
  <w:style w:type="paragraph" w:customStyle="1" w:styleId="Heading2Numbered">
    <w:name w:val="Heading 2 Numbered"/>
    <w:basedOn w:val="Heading2"/>
    <w:next w:val="Normal"/>
    <w:qFormat/>
    <w:rsid w:val="008F2996"/>
    <w:pPr>
      <w:numPr>
        <w:ilvl w:val="0"/>
        <w:numId w:val="0"/>
      </w:numPr>
      <w:ind w:left="851" w:hanging="851"/>
    </w:pPr>
    <w:rPr>
      <w:bCs/>
    </w:rPr>
  </w:style>
  <w:style w:type="paragraph" w:customStyle="1" w:styleId="Heading3Numbered">
    <w:name w:val="Heading 3 Numbered"/>
    <w:basedOn w:val="Heading3"/>
    <w:next w:val="Normal"/>
    <w:qFormat/>
    <w:rsid w:val="008F2996"/>
    <w:pPr>
      <w:numPr>
        <w:ilvl w:val="0"/>
        <w:numId w:val="0"/>
      </w:numPr>
      <w:ind w:left="851" w:hanging="851"/>
      <w:contextualSpacing/>
    </w:pPr>
    <w:rPr>
      <w:rFonts w:cstheme="majorBidi"/>
      <w:szCs w:val="22"/>
    </w:rPr>
  </w:style>
  <w:style w:type="paragraph" w:customStyle="1" w:styleId="IntroPara">
    <w:name w:val="Intro Para"/>
    <w:basedOn w:val="Normal"/>
    <w:qFormat/>
    <w:rsid w:val="008F2996"/>
    <w:pPr>
      <w:pBdr>
        <w:bottom w:val="single" w:sz="4" w:space="6" w:color="92C5C5" w:themeColor="accent2"/>
      </w:pBdr>
      <w:spacing w:before="180"/>
    </w:pPr>
    <w:rPr>
      <w:rFonts w:asciiTheme="minorHAnsi" w:hAnsiTheme="minorHAnsi"/>
      <w:sz w:val="24"/>
      <w:szCs w:val="22"/>
    </w:rPr>
  </w:style>
  <w:style w:type="paragraph" w:customStyle="1" w:styleId="Exampletextbullet">
    <w:name w:val="Example text bullet"/>
    <w:basedOn w:val="Exampletext"/>
    <w:semiHidden/>
    <w:rsid w:val="00A933AA"/>
    <w:pPr>
      <w:numPr>
        <w:numId w:val="60"/>
      </w:numPr>
      <w:spacing w:before="240" w:line="240" w:lineRule="exact"/>
      <w:jc w:val="left"/>
    </w:pPr>
    <w:rPr>
      <w:sz w:val="19"/>
    </w:rPr>
  </w:style>
  <w:style w:type="paragraph" w:customStyle="1" w:styleId="Exampletextdash">
    <w:name w:val="Example text dash"/>
    <w:basedOn w:val="Exampletextbullet"/>
    <w:semiHidden/>
    <w:rsid w:val="00A933AA"/>
    <w:pPr>
      <w:numPr>
        <w:ilvl w:val="1"/>
      </w:numPr>
    </w:pPr>
  </w:style>
  <w:style w:type="paragraph" w:customStyle="1" w:styleId="paragraph">
    <w:name w:val="paragraph"/>
    <w:basedOn w:val="Normal"/>
    <w:rsid w:val="0032414D"/>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PHEADING3boldspace">
    <w:name w:val="TP HEADING 3 bold space"/>
    <w:basedOn w:val="Normal"/>
    <w:semiHidden/>
    <w:rsid w:val="00347BF6"/>
    <w:pPr>
      <w:keepNext/>
      <w:suppressAutoHyphens w:val="0"/>
      <w:spacing w:before="0" w:after="120" w:line="240" w:lineRule="auto"/>
      <w:ind w:left="851"/>
    </w:pPr>
    <w:rPr>
      <w:rFonts w:ascii="Arial" w:eastAsia="Times New Roman" w:hAnsi="Arial" w:cs="Arial"/>
      <w:b/>
      <w:caps/>
      <w:spacing w:val="-10"/>
      <w:szCs w:val="22"/>
      <w:lang w:eastAsia="en-AU"/>
    </w:rPr>
  </w:style>
  <w:style w:type="paragraph" w:styleId="NoSpacing">
    <w:name w:val="No Spacing"/>
    <w:uiPriority w:val="1"/>
    <w:qFormat/>
    <w:rsid w:val="0067642E"/>
    <w:pPr>
      <w:suppressAutoHyphens/>
      <w:spacing w:after="0" w:line="240" w:lineRule="auto"/>
    </w:pPr>
    <w:rPr>
      <w:rFonts w:ascii="Calibri" w:hAnsi="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5091">
      <w:bodyDiv w:val="1"/>
      <w:marLeft w:val="0"/>
      <w:marRight w:val="0"/>
      <w:marTop w:val="0"/>
      <w:marBottom w:val="0"/>
      <w:divBdr>
        <w:top w:val="none" w:sz="0" w:space="0" w:color="auto"/>
        <w:left w:val="none" w:sz="0" w:space="0" w:color="auto"/>
        <w:bottom w:val="none" w:sz="0" w:space="0" w:color="auto"/>
        <w:right w:val="none" w:sz="0" w:space="0" w:color="auto"/>
      </w:divBdr>
    </w:div>
    <w:div w:id="141892203">
      <w:bodyDiv w:val="1"/>
      <w:marLeft w:val="0"/>
      <w:marRight w:val="0"/>
      <w:marTop w:val="0"/>
      <w:marBottom w:val="0"/>
      <w:divBdr>
        <w:top w:val="none" w:sz="0" w:space="0" w:color="auto"/>
        <w:left w:val="none" w:sz="0" w:space="0" w:color="auto"/>
        <w:bottom w:val="none" w:sz="0" w:space="0" w:color="auto"/>
        <w:right w:val="none" w:sz="0" w:space="0" w:color="auto"/>
      </w:divBdr>
    </w:div>
    <w:div w:id="175928732">
      <w:bodyDiv w:val="1"/>
      <w:marLeft w:val="0"/>
      <w:marRight w:val="0"/>
      <w:marTop w:val="0"/>
      <w:marBottom w:val="0"/>
      <w:divBdr>
        <w:top w:val="none" w:sz="0" w:space="0" w:color="auto"/>
        <w:left w:val="none" w:sz="0" w:space="0" w:color="auto"/>
        <w:bottom w:val="none" w:sz="0" w:space="0" w:color="auto"/>
        <w:right w:val="none" w:sz="0" w:space="0" w:color="auto"/>
      </w:divBdr>
    </w:div>
    <w:div w:id="238708576">
      <w:bodyDiv w:val="1"/>
      <w:marLeft w:val="0"/>
      <w:marRight w:val="0"/>
      <w:marTop w:val="0"/>
      <w:marBottom w:val="0"/>
      <w:divBdr>
        <w:top w:val="none" w:sz="0" w:space="0" w:color="auto"/>
        <w:left w:val="none" w:sz="0" w:space="0" w:color="auto"/>
        <w:bottom w:val="none" w:sz="0" w:space="0" w:color="auto"/>
        <w:right w:val="none" w:sz="0" w:space="0" w:color="auto"/>
      </w:divBdr>
    </w:div>
    <w:div w:id="283389318">
      <w:bodyDiv w:val="1"/>
      <w:marLeft w:val="0"/>
      <w:marRight w:val="0"/>
      <w:marTop w:val="0"/>
      <w:marBottom w:val="0"/>
      <w:divBdr>
        <w:top w:val="none" w:sz="0" w:space="0" w:color="auto"/>
        <w:left w:val="none" w:sz="0" w:space="0" w:color="auto"/>
        <w:bottom w:val="none" w:sz="0" w:space="0" w:color="auto"/>
        <w:right w:val="none" w:sz="0" w:space="0" w:color="auto"/>
      </w:divBdr>
    </w:div>
    <w:div w:id="308830489">
      <w:bodyDiv w:val="1"/>
      <w:marLeft w:val="0"/>
      <w:marRight w:val="0"/>
      <w:marTop w:val="0"/>
      <w:marBottom w:val="0"/>
      <w:divBdr>
        <w:top w:val="none" w:sz="0" w:space="0" w:color="auto"/>
        <w:left w:val="none" w:sz="0" w:space="0" w:color="auto"/>
        <w:bottom w:val="none" w:sz="0" w:space="0" w:color="auto"/>
        <w:right w:val="none" w:sz="0" w:space="0" w:color="auto"/>
      </w:divBdr>
    </w:div>
    <w:div w:id="349065017">
      <w:bodyDiv w:val="1"/>
      <w:marLeft w:val="0"/>
      <w:marRight w:val="0"/>
      <w:marTop w:val="0"/>
      <w:marBottom w:val="0"/>
      <w:divBdr>
        <w:top w:val="none" w:sz="0" w:space="0" w:color="auto"/>
        <w:left w:val="none" w:sz="0" w:space="0" w:color="auto"/>
        <w:bottom w:val="none" w:sz="0" w:space="0" w:color="auto"/>
        <w:right w:val="none" w:sz="0" w:space="0" w:color="auto"/>
      </w:divBdr>
    </w:div>
    <w:div w:id="707947981">
      <w:bodyDiv w:val="1"/>
      <w:marLeft w:val="0"/>
      <w:marRight w:val="0"/>
      <w:marTop w:val="0"/>
      <w:marBottom w:val="0"/>
      <w:divBdr>
        <w:top w:val="none" w:sz="0" w:space="0" w:color="auto"/>
        <w:left w:val="none" w:sz="0" w:space="0" w:color="auto"/>
        <w:bottom w:val="none" w:sz="0" w:space="0" w:color="auto"/>
        <w:right w:val="none" w:sz="0" w:space="0" w:color="auto"/>
      </w:divBdr>
    </w:div>
    <w:div w:id="742795211">
      <w:bodyDiv w:val="1"/>
      <w:marLeft w:val="0"/>
      <w:marRight w:val="0"/>
      <w:marTop w:val="0"/>
      <w:marBottom w:val="0"/>
      <w:divBdr>
        <w:top w:val="none" w:sz="0" w:space="0" w:color="auto"/>
        <w:left w:val="none" w:sz="0" w:space="0" w:color="auto"/>
        <w:bottom w:val="none" w:sz="0" w:space="0" w:color="auto"/>
        <w:right w:val="none" w:sz="0" w:space="0" w:color="auto"/>
      </w:divBdr>
    </w:div>
    <w:div w:id="795175638">
      <w:bodyDiv w:val="1"/>
      <w:marLeft w:val="0"/>
      <w:marRight w:val="0"/>
      <w:marTop w:val="0"/>
      <w:marBottom w:val="0"/>
      <w:divBdr>
        <w:top w:val="none" w:sz="0" w:space="0" w:color="auto"/>
        <w:left w:val="none" w:sz="0" w:space="0" w:color="auto"/>
        <w:bottom w:val="none" w:sz="0" w:space="0" w:color="auto"/>
        <w:right w:val="none" w:sz="0" w:space="0" w:color="auto"/>
      </w:divBdr>
    </w:div>
    <w:div w:id="918759163">
      <w:bodyDiv w:val="1"/>
      <w:marLeft w:val="0"/>
      <w:marRight w:val="0"/>
      <w:marTop w:val="0"/>
      <w:marBottom w:val="0"/>
      <w:divBdr>
        <w:top w:val="none" w:sz="0" w:space="0" w:color="auto"/>
        <w:left w:val="none" w:sz="0" w:space="0" w:color="auto"/>
        <w:bottom w:val="none" w:sz="0" w:space="0" w:color="auto"/>
        <w:right w:val="none" w:sz="0" w:space="0" w:color="auto"/>
      </w:divBdr>
    </w:div>
    <w:div w:id="928005346">
      <w:bodyDiv w:val="1"/>
      <w:marLeft w:val="0"/>
      <w:marRight w:val="0"/>
      <w:marTop w:val="0"/>
      <w:marBottom w:val="0"/>
      <w:divBdr>
        <w:top w:val="none" w:sz="0" w:space="0" w:color="auto"/>
        <w:left w:val="none" w:sz="0" w:space="0" w:color="auto"/>
        <w:bottom w:val="none" w:sz="0" w:space="0" w:color="auto"/>
        <w:right w:val="none" w:sz="0" w:space="0" w:color="auto"/>
      </w:divBdr>
    </w:div>
    <w:div w:id="1012756431">
      <w:bodyDiv w:val="1"/>
      <w:marLeft w:val="0"/>
      <w:marRight w:val="0"/>
      <w:marTop w:val="0"/>
      <w:marBottom w:val="0"/>
      <w:divBdr>
        <w:top w:val="none" w:sz="0" w:space="0" w:color="auto"/>
        <w:left w:val="none" w:sz="0" w:space="0" w:color="auto"/>
        <w:bottom w:val="none" w:sz="0" w:space="0" w:color="auto"/>
        <w:right w:val="none" w:sz="0" w:space="0" w:color="auto"/>
      </w:divBdr>
    </w:div>
    <w:div w:id="1087000178">
      <w:bodyDiv w:val="1"/>
      <w:marLeft w:val="0"/>
      <w:marRight w:val="0"/>
      <w:marTop w:val="0"/>
      <w:marBottom w:val="0"/>
      <w:divBdr>
        <w:top w:val="none" w:sz="0" w:space="0" w:color="auto"/>
        <w:left w:val="none" w:sz="0" w:space="0" w:color="auto"/>
        <w:bottom w:val="none" w:sz="0" w:space="0" w:color="auto"/>
        <w:right w:val="none" w:sz="0" w:space="0" w:color="auto"/>
      </w:divBdr>
    </w:div>
    <w:div w:id="1154568125">
      <w:bodyDiv w:val="1"/>
      <w:marLeft w:val="0"/>
      <w:marRight w:val="0"/>
      <w:marTop w:val="0"/>
      <w:marBottom w:val="0"/>
      <w:divBdr>
        <w:top w:val="none" w:sz="0" w:space="0" w:color="auto"/>
        <w:left w:val="none" w:sz="0" w:space="0" w:color="auto"/>
        <w:bottom w:val="none" w:sz="0" w:space="0" w:color="auto"/>
        <w:right w:val="none" w:sz="0" w:space="0" w:color="auto"/>
      </w:divBdr>
    </w:div>
    <w:div w:id="1450200152">
      <w:bodyDiv w:val="1"/>
      <w:marLeft w:val="0"/>
      <w:marRight w:val="0"/>
      <w:marTop w:val="0"/>
      <w:marBottom w:val="0"/>
      <w:divBdr>
        <w:top w:val="none" w:sz="0" w:space="0" w:color="auto"/>
        <w:left w:val="none" w:sz="0" w:space="0" w:color="auto"/>
        <w:bottom w:val="none" w:sz="0" w:space="0" w:color="auto"/>
        <w:right w:val="none" w:sz="0" w:space="0" w:color="auto"/>
      </w:divBdr>
    </w:div>
    <w:div w:id="1741974072">
      <w:bodyDiv w:val="1"/>
      <w:marLeft w:val="0"/>
      <w:marRight w:val="0"/>
      <w:marTop w:val="0"/>
      <w:marBottom w:val="0"/>
      <w:divBdr>
        <w:top w:val="none" w:sz="0" w:space="0" w:color="auto"/>
        <w:left w:val="none" w:sz="0" w:space="0" w:color="auto"/>
        <w:bottom w:val="none" w:sz="0" w:space="0" w:color="auto"/>
        <w:right w:val="none" w:sz="0" w:space="0" w:color="auto"/>
      </w:divBdr>
      <w:divsChild>
        <w:div w:id="20783856">
          <w:marLeft w:val="0"/>
          <w:marRight w:val="0"/>
          <w:marTop w:val="0"/>
          <w:marBottom w:val="0"/>
          <w:divBdr>
            <w:top w:val="none" w:sz="0" w:space="0" w:color="auto"/>
            <w:left w:val="none" w:sz="0" w:space="0" w:color="auto"/>
            <w:bottom w:val="none" w:sz="0" w:space="0" w:color="auto"/>
            <w:right w:val="none" w:sz="0" w:space="0" w:color="auto"/>
          </w:divBdr>
        </w:div>
        <w:div w:id="421878156">
          <w:marLeft w:val="0"/>
          <w:marRight w:val="0"/>
          <w:marTop w:val="0"/>
          <w:marBottom w:val="0"/>
          <w:divBdr>
            <w:top w:val="none" w:sz="0" w:space="0" w:color="auto"/>
            <w:left w:val="none" w:sz="0" w:space="0" w:color="auto"/>
            <w:bottom w:val="none" w:sz="0" w:space="0" w:color="auto"/>
            <w:right w:val="none" w:sz="0" w:space="0" w:color="auto"/>
          </w:divBdr>
        </w:div>
        <w:div w:id="1829400236">
          <w:marLeft w:val="0"/>
          <w:marRight w:val="0"/>
          <w:marTop w:val="0"/>
          <w:marBottom w:val="0"/>
          <w:divBdr>
            <w:top w:val="none" w:sz="0" w:space="0" w:color="auto"/>
            <w:left w:val="none" w:sz="0" w:space="0" w:color="auto"/>
            <w:bottom w:val="none" w:sz="0" w:space="0" w:color="auto"/>
            <w:right w:val="none" w:sz="0" w:space="0" w:color="auto"/>
          </w:divBdr>
        </w:div>
      </w:divsChild>
    </w:div>
    <w:div w:id="1786607975">
      <w:bodyDiv w:val="1"/>
      <w:marLeft w:val="0"/>
      <w:marRight w:val="0"/>
      <w:marTop w:val="0"/>
      <w:marBottom w:val="0"/>
      <w:divBdr>
        <w:top w:val="none" w:sz="0" w:space="0" w:color="auto"/>
        <w:left w:val="none" w:sz="0" w:space="0" w:color="auto"/>
        <w:bottom w:val="none" w:sz="0" w:space="0" w:color="auto"/>
        <w:right w:val="none" w:sz="0" w:space="0" w:color="auto"/>
      </w:divBdr>
    </w:div>
    <w:div w:id="1823964256">
      <w:bodyDiv w:val="1"/>
      <w:marLeft w:val="0"/>
      <w:marRight w:val="0"/>
      <w:marTop w:val="0"/>
      <w:marBottom w:val="0"/>
      <w:divBdr>
        <w:top w:val="none" w:sz="0" w:space="0" w:color="auto"/>
        <w:left w:val="none" w:sz="0" w:space="0" w:color="auto"/>
        <w:bottom w:val="none" w:sz="0" w:space="0" w:color="auto"/>
        <w:right w:val="none" w:sz="0" w:space="0" w:color="auto"/>
      </w:divBdr>
    </w:div>
    <w:div w:id="1957784254">
      <w:bodyDiv w:val="1"/>
      <w:marLeft w:val="0"/>
      <w:marRight w:val="0"/>
      <w:marTop w:val="0"/>
      <w:marBottom w:val="0"/>
      <w:divBdr>
        <w:top w:val="none" w:sz="0" w:space="0" w:color="auto"/>
        <w:left w:val="none" w:sz="0" w:space="0" w:color="auto"/>
        <w:bottom w:val="none" w:sz="0" w:space="0" w:color="auto"/>
        <w:right w:val="none" w:sz="0" w:space="0" w:color="auto"/>
      </w:divBdr>
    </w:div>
    <w:div w:id="196700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diagramQuickStyle" Target="diagrams/quickStyle9.xml"/><Relationship Id="rId21" Type="http://schemas.openxmlformats.org/officeDocument/2006/relationships/hyperlink" Target="mailto:budget_framework@finance.gov.au" TargetMode="External"/><Relationship Id="rId42" Type="http://schemas.openxmlformats.org/officeDocument/2006/relationships/hyperlink" Target="mailto:fadt.sen@aph.gov.au" TargetMode="External"/><Relationship Id="rId63" Type="http://schemas.openxmlformats.org/officeDocument/2006/relationships/hyperlink" Target="https://www.pmc.gov.au/publications/tabling-guidelines" TargetMode="External"/><Relationship Id="rId84" Type="http://schemas.openxmlformats.org/officeDocument/2006/relationships/diagramData" Target="diagrams/data3.xml"/><Relationship Id="rId138" Type="http://schemas.openxmlformats.org/officeDocument/2006/relationships/hyperlink" Target="https://www.finance.gov.au/government/managing-commonwealth-resources/managing-money-property/managing-money/annual-appropriations/outcome-statement-policy-and-approval-process" TargetMode="External"/><Relationship Id="rId159" Type="http://schemas.openxmlformats.org/officeDocument/2006/relationships/hyperlink" Target="https://www.finance.gov.au/government/resource-management/list-az" TargetMode="External"/><Relationship Id="rId170" Type="http://schemas.openxmlformats.org/officeDocument/2006/relationships/hyperlink" Target="https://www.finance.gov.au/government/financial-reporting-and-accounting-policy/financial-reporting-commonwealth-entities" TargetMode="External"/><Relationship Id="rId191" Type="http://schemas.openxmlformats.org/officeDocument/2006/relationships/diagramQuickStyle" Target="diagrams/quickStyle19.xml"/><Relationship Id="rId205" Type="http://schemas.openxmlformats.org/officeDocument/2006/relationships/diagramData" Target="diagrams/data22.xml"/><Relationship Id="rId226" Type="http://schemas.openxmlformats.org/officeDocument/2006/relationships/image" Target="media/image7.png"/><Relationship Id="rId247" Type="http://schemas.openxmlformats.org/officeDocument/2006/relationships/hyperlink" Target="http://www.legislation.gov.au/" TargetMode="External"/><Relationship Id="rId107" Type="http://schemas.openxmlformats.org/officeDocument/2006/relationships/diagramQuickStyle" Target="diagrams/quickStyle7.xml"/><Relationship Id="rId11" Type="http://schemas.openxmlformats.org/officeDocument/2006/relationships/footnotes" Target="footnotes.xml"/><Relationship Id="rId32" Type="http://schemas.openxmlformats.org/officeDocument/2006/relationships/hyperlink" Target="mailto:budget_framework@finance.gov.au" TargetMode="External"/><Relationship Id="rId53" Type="http://schemas.openxmlformats.org/officeDocument/2006/relationships/hyperlink" Target="https://data.gov.au/" TargetMode="External"/><Relationship Id="rId74" Type="http://schemas.openxmlformats.org/officeDocument/2006/relationships/hyperlink" Target="https://www.finance.gov.au/government/managing-commonwealth-resources/structure-australian-government-public-sector/pgpa-act-flipchart-and-list" TargetMode="External"/><Relationship Id="rId128" Type="http://schemas.openxmlformats.org/officeDocument/2006/relationships/hyperlink" Target="https://www.finance.gov.au/government/managing-commonwealth-resources/structure-australian-government-public-sector/pgpa-act-flipchart-and-list" TargetMode="External"/><Relationship Id="rId149" Type="http://schemas.openxmlformats.org/officeDocument/2006/relationships/diagramData" Target="diagrams/data13.xml"/><Relationship Id="rId5" Type="http://schemas.openxmlformats.org/officeDocument/2006/relationships/customXml" Target="../customXml/item5.xml"/><Relationship Id="rId95" Type="http://schemas.openxmlformats.org/officeDocument/2006/relationships/diagramData" Target="diagrams/data5.xml"/><Relationship Id="rId160" Type="http://schemas.openxmlformats.org/officeDocument/2006/relationships/hyperlink" Target="https://www.finance.gov.au/government/managing-commonwealth-resources/reporting-performance-information-portfolio-budget-statements-rmg-129/better-practice-examples" TargetMode="External"/><Relationship Id="rId181" Type="http://schemas.openxmlformats.org/officeDocument/2006/relationships/diagramQuickStyle" Target="diagrams/quickStyle17.xml"/><Relationship Id="rId216" Type="http://schemas.openxmlformats.org/officeDocument/2006/relationships/hyperlink" Target="https://www.finance.gov.au/government/resource-management/list-az" TargetMode="External"/><Relationship Id="rId237" Type="http://schemas.openxmlformats.org/officeDocument/2006/relationships/hyperlink" Target="mailto:budgetcommunications@treasury.gov.au" TargetMode="External"/><Relationship Id="rId22" Type="http://schemas.openxmlformats.org/officeDocument/2006/relationships/hyperlink" Target="https://data.gov.au/" TargetMode="External"/><Relationship Id="rId43" Type="http://schemas.openxmlformats.org/officeDocument/2006/relationships/hyperlink" Target="mailto:legcon.sen@aph.gov.au" TargetMode="External"/><Relationship Id="rId64" Type="http://schemas.openxmlformats.org/officeDocument/2006/relationships/hyperlink" Target="https://data.gov.au/" TargetMode="External"/><Relationship Id="rId118" Type="http://schemas.openxmlformats.org/officeDocument/2006/relationships/diagramColors" Target="diagrams/colors9.xml"/><Relationship Id="rId139" Type="http://schemas.openxmlformats.org/officeDocument/2006/relationships/hyperlink" Target="https://www.finance.gov.au/government/managing-commonwealth-resources/managing-money-property/managing-money/annual-appropriations/commonwealth-programs-policy-and-approval-process" TargetMode="External"/><Relationship Id="rId85" Type="http://schemas.openxmlformats.org/officeDocument/2006/relationships/diagramLayout" Target="diagrams/layout3.xml"/><Relationship Id="rId150" Type="http://schemas.openxmlformats.org/officeDocument/2006/relationships/diagramLayout" Target="diagrams/layout13.xml"/><Relationship Id="rId171" Type="http://schemas.openxmlformats.org/officeDocument/2006/relationships/hyperlink" Target="https://www.legislation.gov.au/F2015L00131/latest/text" TargetMode="External"/><Relationship Id="rId192" Type="http://schemas.openxmlformats.org/officeDocument/2006/relationships/diagramColors" Target="diagrams/colors19.xml"/><Relationship Id="rId206" Type="http://schemas.openxmlformats.org/officeDocument/2006/relationships/diagramLayout" Target="diagrams/layout22.xml"/><Relationship Id="rId227" Type="http://schemas.openxmlformats.org/officeDocument/2006/relationships/image" Target="media/image8.png"/><Relationship Id="rId248" Type="http://schemas.openxmlformats.org/officeDocument/2006/relationships/hyperlink" Target="https://www.finance.gov.au/government/managing-commonwealth-resources/corporate-plans-commonwealth-entities-rmg-132" TargetMode="External"/><Relationship Id="rId12" Type="http://schemas.openxmlformats.org/officeDocument/2006/relationships/endnotes" Target="endnotes.xml"/><Relationship Id="rId33" Type="http://schemas.openxmlformats.org/officeDocument/2006/relationships/header" Target="header6.xml"/><Relationship Id="rId108" Type="http://schemas.openxmlformats.org/officeDocument/2006/relationships/diagramColors" Target="diagrams/colors7.xml"/><Relationship Id="rId129" Type="http://schemas.openxmlformats.org/officeDocument/2006/relationships/hyperlink" Target="https://www.directory.gov.au/reports/australian-government-organisations-register" TargetMode="External"/><Relationship Id="rId54" Type="http://schemas.openxmlformats.org/officeDocument/2006/relationships/hyperlink" Target="https://data.gov.au/" TargetMode="External"/><Relationship Id="rId75" Type="http://schemas.openxmlformats.org/officeDocument/2006/relationships/diagramData" Target="diagrams/data2.xml"/><Relationship Id="rId96" Type="http://schemas.openxmlformats.org/officeDocument/2006/relationships/diagramLayout" Target="diagrams/layout5.xml"/><Relationship Id="rId140" Type="http://schemas.openxmlformats.org/officeDocument/2006/relationships/hyperlink" Target="https://www.finance.gov.au/government/resource-management/list-az" TargetMode="External"/><Relationship Id="rId161" Type="http://schemas.openxmlformats.org/officeDocument/2006/relationships/hyperlink" Target="https://www.finance.gov.au/government/managing-commonwealth-resources/reporting-performance-information-portfolio-budget-statements-rmg-129/finance-secretary-direction-21-august-2022" TargetMode="External"/><Relationship Id="rId182" Type="http://schemas.openxmlformats.org/officeDocument/2006/relationships/diagramColors" Target="diagrams/colors17.xml"/><Relationship Id="rId217" Type="http://schemas.openxmlformats.org/officeDocument/2006/relationships/header" Target="header9.xml"/><Relationship Id="rId6" Type="http://schemas.openxmlformats.org/officeDocument/2006/relationships/customXml" Target="../customXml/item6.xml"/><Relationship Id="rId238" Type="http://schemas.openxmlformats.org/officeDocument/2006/relationships/hyperlink" Target="mailto:creativeservices@treasury.gov.au" TargetMode="External"/><Relationship Id="rId23" Type="http://schemas.openxmlformats.org/officeDocument/2006/relationships/hyperlink" Target="https://aasb.gov.au/pronouncements/accounting-standards/" TargetMode="External"/><Relationship Id="rId119" Type="http://schemas.microsoft.com/office/2007/relationships/diagramDrawing" Target="diagrams/drawing9.xml"/><Relationship Id="rId44" Type="http://schemas.openxmlformats.org/officeDocument/2006/relationships/hyperlink" Target="mailto:rrat.sen@aph.gov.au" TargetMode="External"/><Relationship Id="rId65" Type="http://schemas.openxmlformats.org/officeDocument/2006/relationships/hyperlink" Target="mailto:budget_framework@finance.gov.au" TargetMode="External"/><Relationship Id="rId86" Type="http://schemas.openxmlformats.org/officeDocument/2006/relationships/diagramQuickStyle" Target="diagrams/quickStyle3.xml"/><Relationship Id="rId130" Type="http://schemas.openxmlformats.org/officeDocument/2006/relationships/diagramData" Target="diagrams/data11.xml"/><Relationship Id="rId151" Type="http://schemas.openxmlformats.org/officeDocument/2006/relationships/diagramQuickStyle" Target="diagrams/quickStyle13.xml"/><Relationship Id="rId172" Type="http://schemas.openxmlformats.org/officeDocument/2006/relationships/hyperlink" Target="https://www.aasb.gov.au/pronouncements/accounting-standards/" TargetMode="External"/><Relationship Id="rId193" Type="http://schemas.microsoft.com/office/2007/relationships/diagramDrawing" Target="diagrams/drawing19.xml"/><Relationship Id="rId207" Type="http://schemas.openxmlformats.org/officeDocument/2006/relationships/diagramQuickStyle" Target="diagrams/quickStyle22.xml"/><Relationship Id="rId228" Type="http://schemas.openxmlformats.org/officeDocument/2006/relationships/image" Target="media/image9.png"/><Relationship Id="rId249" Type="http://schemas.openxmlformats.org/officeDocument/2006/relationships/hyperlink" Target="https://www.aasb.gov.au/pronouncements/accounting-standards/" TargetMode="External"/><Relationship Id="rId13" Type="http://schemas.openxmlformats.org/officeDocument/2006/relationships/header" Target="header1.xml"/><Relationship Id="rId109" Type="http://schemas.microsoft.com/office/2007/relationships/diagramDrawing" Target="diagrams/drawing7.xml"/><Relationship Id="rId34" Type="http://schemas.openxmlformats.org/officeDocument/2006/relationships/header" Target="header7.xml"/><Relationship Id="rId55" Type="http://schemas.openxmlformats.org/officeDocument/2006/relationships/hyperlink" Target="mailto:data@digital.gov.au" TargetMode="External"/><Relationship Id="rId76" Type="http://schemas.openxmlformats.org/officeDocument/2006/relationships/diagramLayout" Target="diagrams/layout2.xml"/><Relationship Id="rId97" Type="http://schemas.openxmlformats.org/officeDocument/2006/relationships/diagramQuickStyle" Target="diagrams/quickStyle5.xml"/><Relationship Id="rId120" Type="http://schemas.openxmlformats.org/officeDocument/2006/relationships/hyperlink" Target="https://www.finance.gov.au/government/resource-management/list-az" TargetMode="External"/><Relationship Id="rId141" Type="http://schemas.openxmlformats.org/officeDocument/2006/relationships/hyperlink" Target="https://www.finance.gov.au/government/managing-commonwealth-resources/reporting-performance-information-portfolio-budget-statements-rmg-129/direction-5-linked-programs" TargetMode="External"/><Relationship Id="rId7" Type="http://schemas.openxmlformats.org/officeDocument/2006/relationships/numbering" Target="numbering.xml"/><Relationship Id="rId162" Type="http://schemas.openxmlformats.org/officeDocument/2006/relationships/hyperlink" Target="https://www.finance.gov.au/government/resource-management/list-az" TargetMode="External"/><Relationship Id="rId183" Type="http://schemas.microsoft.com/office/2007/relationships/diagramDrawing" Target="diagrams/drawing17.xml"/><Relationship Id="rId218" Type="http://schemas.openxmlformats.org/officeDocument/2006/relationships/header" Target="header10.xml"/><Relationship Id="rId239" Type="http://schemas.openxmlformats.org/officeDocument/2006/relationships/hyperlink" Target="mailto:budget-website@treasury.gov.au" TargetMode="External"/><Relationship Id="rId250" Type="http://schemas.openxmlformats.org/officeDocument/2006/relationships/hyperlink" Target="https://www.finance.gov.au/government/managing-commonwealth-resources/accounting-leases-rmg-110" TargetMode="External"/><Relationship Id="rId24" Type="http://schemas.openxmlformats.org/officeDocument/2006/relationships/hyperlink" Target="https://www.pmc.gov.au/resource-centre/government/ministry-list" TargetMode="External"/><Relationship Id="rId45" Type="http://schemas.openxmlformats.org/officeDocument/2006/relationships/hyperlink" Target="http://www.budget.gov.au" TargetMode="External"/><Relationship Id="rId66" Type="http://schemas.openxmlformats.org/officeDocument/2006/relationships/diagramData" Target="diagrams/data1.xml"/><Relationship Id="rId87" Type="http://schemas.openxmlformats.org/officeDocument/2006/relationships/diagramColors" Target="diagrams/colors3.xml"/><Relationship Id="rId110" Type="http://schemas.openxmlformats.org/officeDocument/2006/relationships/diagramData" Target="diagrams/data8.xml"/><Relationship Id="rId131" Type="http://schemas.openxmlformats.org/officeDocument/2006/relationships/diagramLayout" Target="diagrams/layout11.xml"/><Relationship Id="rId152" Type="http://schemas.openxmlformats.org/officeDocument/2006/relationships/diagramColors" Target="diagrams/colors13.xml"/><Relationship Id="rId173" Type="http://schemas.openxmlformats.org/officeDocument/2006/relationships/diagramData" Target="diagrams/data16.xml"/><Relationship Id="rId194" Type="http://schemas.openxmlformats.org/officeDocument/2006/relationships/diagramData" Target="diagrams/data20.xml"/><Relationship Id="rId208" Type="http://schemas.openxmlformats.org/officeDocument/2006/relationships/diagramColors" Target="diagrams/colors22.xml"/><Relationship Id="rId229" Type="http://schemas.openxmlformats.org/officeDocument/2006/relationships/hyperlink" Target="https://www.stylemanual.gov.au/accessible-and-inclusive-content/make-content-accessible" TargetMode="External"/><Relationship Id="rId240" Type="http://schemas.openxmlformats.org/officeDocument/2006/relationships/hyperlink" Target="mailto:table.docs@aph.gov.au%09" TargetMode="External"/><Relationship Id="rId14" Type="http://schemas.openxmlformats.org/officeDocument/2006/relationships/footer" Target="footer1.xml"/><Relationship Id="rId35" Type="http://schemas.openxmlformats.org/officeDocument/2006/relationships/footer" Target="footer4.xml"/><Relationship Id="rId56" Type="http://schemas.openxmlformats.org/officeDocument/2006/relationships/hyperlink" Target="https://www.library.gov.au/services/publishers-and-self-publishers/international-standard-serial-number-issn" TargetMode="External"/><Relationship Id="rId77" Type="http://schemas.openxmlformats.org/officeDocument/2006/relationships/diagramQuickStyle" Target="diagrams/quickStyle2.xml"/><Relationship Id="rId100" Type="http://schemas.openxmlformats.org/officeDocument/2006/relationships/diagramData" Target="diagrams/data6.xml"/><Relationship Id="rId8" Type="http://schemas.openxmlformats.org/officeDocument/2006/relationships/styles" Target="styles.xml"/><Relationship Id="rId98" Type="http://schemas.openxmlformats.org/officeDocument/2006/relationships/diagramColors" Target="diagrams/colors5.xml"/><Relationship Id="rId121" Type="http://schemas.openxmlformats.org/officeDocument/2006/relationships/hyperlink" Target="https://www.finance.gov.au/government/managing-commonwealth-resources/commonwealth-entities-financial-statements-guide-rmg-125" TargetMode="External"/><Relationship Id="rId142" Type="http://schemas.openxmlformats.org/officeDocument/2006/relationships/image" Target="media/image3.png"/><Relationship Id="rId163" Type="http://schemas.openxmlformats.org/officeDocument/2006/relationships/hyperlink" Target="https://www.finance.gov.au/government/resource-management/list-az" TargetMode="External"/><Relationship Id="rId184" Type="http://schemas.openxmlformats.org/officeDocument/2006/relationships/diagramData" Target="diagrams/data18.xml"/><Relationship Id="rId219" Type="http://schemas.openxmlformats.org/officeDocument/2006/relationships/footer" Target="footer5.xml"/><Relationship Id="rId230" Type="http://schemas.openxmlformats.org/officeDocument/2006/relationships/image" Target="media/image10.png"/><Relationship Id="rId251" Type="http://schemas.openxmlformats.org/officeDocument/2006/relationships/hyperlink" Target="https://www.aph.gov.au/Parliamentary_Business/Senate_estimates" TargetMode="External"/><Relationship Id="rId25" Type="http://schemas.openxmlformats.org/officeDocument/2006/relationships/hyperlink" Target="https://www.protectivesecurity.gov.au/" TargetMode="External"/><Relationship Id="rId46" Type="http://schemas.openxmlformats.org/officeDocument/2006/relationships/hyperlink" Target="http://www.stylemanual.gov.au" TargetMode="External"/><Relationship Id="rId67" Type="http://schemas.openxmlformats.org/officeDocument/2006/relationships/diagramLayout" Target="diagrams/layout1.xml"/><Relationship Id="rId88" Type="http://schemas.microsoft.com/office/2007/relationships/diagramDrawing" Target="diagrams/drawing3.xml"/><Relationship Id="rId111" Type="http://schemas.openxmlformats.org/officeDocument/2006/relationships/diagramLayout" Target="diagrams/layout8.xml"/><Relationship Id="rId132" Type="http://schemas.openxmlformats.org/officeDocument/2006/relationships/diagramQuickStyle" Target="diagrams/quickStyle11.xml"/><Relationship Id="rId153" Type="http://schemas.microsoft.com/office/2007/relationships/diagramDrawing" Target="diagrams/drawing13.xml"/><Relationship Id="rId174" Type="http://schemas.openxmlformats.org/officeDocument/2006/relationships/diagramLayout" Target="diagrams/layout16.xml"/><Relationship Id="rId195" Type="http://schemas.openxmlformats.org/officeDocument/2006/relationships/diagramLayout" Target="diagrams/layout20.xml"/><Relationship Id="rId209" Type="http://schemas.microsoft.com/office/2007/relationships/diagramDrawing" Target="diagrams/drawing22.xml"/><Relationship Id="rId220" Type="http://schemas.openxmlformats.org/officeDocument/2006/relationships/header" Target="header11.xml"/><Relationship Id="rId241" Type="http://schemas.openxmlformats.org/officeDocument/2006/relationships/hyperlink" Target="mailto:table.inquiries.sen@aph.gov.au" TargetMode="External"/><Relationship Id="rId15" Type="http://schemas.openxmlformats.org/officeDocument/2006/relationships/header" Target="header2.xml"/><Relationship Id="rId36" Type="http://schemas.openxmlformats.org/officeDocument/2006/relationships/header" Target="header8.xml"/><Relationship Id="rId57" Type="http://schemas.openxmlformats.org/officeDocument/2006/relationships/hyperlink" Target="https://www.library.gov.au/services/publishers-and-self-publishers/international-standard-book-number-isbn" TargetMode="External"/><Relationship Id="rId78" Type="http://schemas.openxmlformats.org/officeDocument/2006/relationships/diagramColors" Target="diagrams/colors2.xml"/><Relationship Id="rId99" Type="http://schemas.microsoft.com/office/2007/relationships/diagramDrawing" Target="diagrams/drawing5.xml"/><Relationship Id="rId101" Type="http://schemas.openxmlformats.org/officeDocument/2006/relationships/diagramLayout" Target="diagrams/layout6.xml"/><Relationship Id="rId122" Type="http://schemas.openxmlformats.org/officeDocument/2006/relationships/hyperlink" Target="https://www.finance.gov.au/government/resource-management/list-az" TargetMode="External"/><Relationship Id="rId143" Type="http://schemas.openxmlformats.org/officeDocument/2006/relationships/diagramData" Target="diagrams/data12.xml"/><Relationship Id="rId164" Type="http://schemas.openxmlformats.org/officeDocument/2006/relationships/diagramData" Target="diagrams/data15.xml"/><Relationship Id="rId185" Type="http://schemas.openxmlformats.org/officeDocument/2006/relationships/diagramLayout" Target="diagrams/layout18.xml"/><Relationship Id="rId9" Type="http://schemas.openxmlformats.org/officeDocument/2006/relationships/settings" Target="settings.xml"/><Relationship Id="rId210" Type="http://schemas.openxmlformats.org/officeDocument/2006/relationships/hyperlink" Target="https://www.finance.gov.au/government/resource-management/list-az" TargetMode="External"/><Relationship Id="rId26" Type="http://schemas.openxmlformats.org/officeDocument/2006/relationships/hyperlink" Target="https://www.pmc.gov.au/resources/tabling-circular-no1-2024" TargetMode="External"/><Relationship Id="rId231" Type="http://schemas.openxmlformats.org/officeDocument/2006/relationships/hyperlink" Target="http://www.data.gov.au" TargetMode="External"/><Relationship Id="rId252" Type="http://schemas.openxmlformats.org/officeDocument/2006/relationships/fontTable" Target="fontTable.xml"/><Relationship Id="rId47" Type="http://schemas.openxmlformats.org/officeDocument/2006/relationships/hyperlink" Target="https://parlwork.aph.gov.au/Senate/DynamicRed" TargetMode="External"/><Relationship Id="rId68" Type="http://schemas.openxmlformats.org/officeDocument/2006/relationships/diagramQuickStyle" Target="diagrams/quickStyle1.xml"/><Relationship Id="rId89" Type="http://schemas.openxmlformats.org/officeDocument/2006/relationships/hyperlink" Target="https://www.finance.gov.au/government/resource-management/list-az" TargetMode="External"/><Relationship Id="rId112" Type="http://schemas.openxmlformats.org/officeDocument/2006/relationships/diagramQuickStyle" Target="diagrams/quickStyle8.xml"/><Relationship Id="rId133" Type="http://schemas.openxmlformats.org/officeDocument/2006/relationships/diagramColors" Target="diagrams/colors11.xml"/><Relationship Id="rId154" Type="http://schemas.openxmlformats.org/officeDocument/2006/relationships/diagramData" Target="diagrams/data14.xml"/><Relationship Id="rId175" Type="http://schemas.openxmlformats.org/officeDocument/2006/relationships/diagramQuickStyle" Target="diagrams/quickStyle16.xml"/><Relationship Id="rId196" Type="http://schemas.openxmlformats.org/officeDocument/2006/relationships/diagramQuickStyle" Target="diagrams/quickStyle20.xml"/><Relationship Id="rId200" Type="http://schemas.openxmlformats.org/officeDocument/2006/relationships/diagramLayout" Target="diagrams/layout21.xml"/><Relationship Id="rId16" Type="http://schemas.openxmlformats.org/officeDocument/2006/relationships/footer" Target="footer2.xml"/><Relationship Id="rId221" Type="http://schemas.openxmlformats.org/officeDocument/2006/relationships/hyperlink" Target="http://www.finance.gov.au/government/managing-commonwealth-resources/structure-australian-government-public-sector/pgpa-act-flipchart-list" TargetMode="External"/><Relationship Id="rId242" Type="http://schemas.openxmlformats.org/officeDocument/2006/relationships/hyperlink" Target="mailto:https://www.directory.gov.au/" TargetMode="External"/><Relationship Id="rId37" Type="http://schemas.openxmlformats.org/officeDocument/2006/relationships/hyperlink" Target="mailto:community.affairs.sen@aph.gov.au" TargetMode="External"/><Relationship Id="rId58" Type="http://schemas.openxmlformats.org/officeDocument/2006/relationships/hyperlink" Target="https://www.myidentifiers.com.au/" TargetMode="External"/><Relationship Id="rId79" Type="http://schemas.microsoft.com/office/2007/relationships/diagramDrawing" Target="diagrams/drawing2.xml"/><Relationship Id="rId102" Type="http://schemas.openxmlformats.org/officeDocument/2006/relationships/diagramQuickStyle" Target="diagrams/quickStyle6.xml"/><Relationship Id="rId123" Type="http://schemas.openxmlformats.org/officeDocument/2006/relationships/diagramData" Target="diagrams/data10.xml"/><Relationship Id="rId144" Type="http://schemas.openxmlformats.org/officeDocument/2006/relationships/diagramLayout" Target="diagrams/layout12.xml"/><Relationship Id="rId90" Type="http://schemas.openxmlformats.org/officeDocument/2006/relationships/diagramData" Target="diagrams/data4.xml"/><Relationship Id="rId165" Type="http://schemas.openxmlformats.org/officeDocument/2006/relationships/diagramLayout" Target="diagrams/layout15.xml"/><Relationship Id="rId186" Type="http://schemas.openxmlformats.org/officeDocument/2006/relationships/diagramQuickStyle" Target="diagrams/quickStyle18.xml"/><Relationship Id="rId211" Type="http://schemas.openxmlformats.org/officeDocument/2006/relationships/hyperlink" Target="https://www.finance.gov.au/government/machinery-government-changes-guide" TargetMode="External"/><Relationship Id="rId232" Type="http://schemas.openxmlformats.org/officeDocument/2006/relationships/hyperlink" Target="https://data.gov.au/" TargetMode="External"/><Relationship Id="rId253" Type="http://schemas.openxmlformats.org/officeDocument/2006/relationships/theme" Target="theme/theme1.xml"/><Relationship Id="rId27" Type="http://schemas.openxmlformats.org/officeDocument/2006/relationships/hyperlink" Target="https://www.pmc.gov.au/resources/tabling-guidelines" TargetMode="External"/><Relationship Id="rId48" Type="http://schemas.openxmlformats.org/officeDocument/2006/relationships/hyperlink" Target="mailto:budget-website@treasury.gov.au" TargetMode="External"/><Relationship Id="rId69" Type="http://schemas.openxmlformats.org/officeDocument/2006/relationships/diagramColors" Target="diagrams/colors1.xml"/><Relationship Id="rId113" Type="http://schemas.openxmlformats.org/officeDocument/2006/relationships/diagramColors" Target="diagrams/colors8.xml"/><Relationship Id="rId134" Type="http://schemas.microsoft.com/office/2007/relationships/diagramDrawing" Target="diagrams/drawing11.xml"/><Relationship Id="rId80" Type="http://schemas.openxmlformats.org/officeDocument/2006/relationships/hyperlink" Target="https://www.finance.gov.au/government/managing-commonwealth-resources/structure-australian-government-public-sector/pgpa-act-flipchart-and-list" TargetMode="External"/><Relationship Id="rId155" Type="http://schemas.openxmlformats.org/officeDocument/2006/relationships/diagramLayout" Target="diagrams/layout14.xml"/><Relationship Id="rId176" Type="http://schemas.openxmlformats.org/officeDocument/2006/relationships/diagramColors" Target="diagrams/colors16.xml"/><Relationship Id="rId197" Type="http://schemas.openxmlformats.org/officeDocument/2006/relationships/diagramColors" Target="diagrams/colors20.xml"/><Relationship Id="rId201" Type="http://schemas.openxmlformats.org/officeDocument/2006/relationships/diagramQuickStyle" Target="diagrams/quickStyle21.xml"/><Relationship Id="rId222" Type="http://schemas.openxmlformats.org/officeDocument/2006/relationships/hyperlink" Target="http://www.finance.gov.au/government/governance/australian-government-organisations-register/australian-government-organisations-register-types-bodies" TargetMode="External"/><Relationship Id="rId243" Type="http://schemas.openxmlformats.org/officeDocument/2006/relationships/hyperlink" Target="https://www.directory.gov.au/reports/australian-government-organisations-register" TargetMode="External"/><Relationship Id="rId17" Type="http://schemas.openxmlformats.org/officeDocument/2006/relationships/header" Target="header3.xml"/><Relationship Id="rId38" Type="http://schemas.openxmlformats.org/officeDocument/2006/relationships/hyperlink" Target="mailto:economics.sen@aph.gov.au" TargetMode="External"/><Relationship Id="rId59" Type="http://schemas.openxmlformats.org/officeDocument/2006/relationships/hyperlink" Target="https://www.naa.gov.au/help-your-research/fact-sheets/parliamentary-papers" TargetMode="External"/><Relationship Id="rId103" Type="http://schemas.openxmlformats.org/officeDocument/2006/relationships/diagramColors" Target="diagrams/colors6.xml"/><Relationship Id="rId124" Type="http://schemas.openxmlformats.org/officeDocument/2006/relationships/diagramLayout" Target="diagrams/layout10.xml"/><Relationship Id="rId70" Type="http://schemas.microsoft.com/office/2007/relationships/diagramDrawing" Target="diagrams/drawing1.xml"/><Relationship Id="rId91" Type="http://schemas.openxmlformats.org/officeDocument/2006/relationships/diagramLayout" Target="diagrams/layout4.xml"/><Relationship Id="rId145" Type="http://schemas.openxmlformats.org/officeDocument/2006/relationships/diagramQuickStyle" Target="diagrams/quickStyle12.xml"/><Relationship Id="rId166" Type="http://schemas.openxmlformats.org/officeDocument/2006/relationships/diagramQuickStyle" Target="diagrams/quickStyle15.xml"/><Relationship Id="rId187" Type="http://schemas.openxmlformats.org/officeDocument/2006/relationships/diagramColors" Target="diagrams/colors18.xml"/><Relationship Id="rId1" Type="http://schemas.openxmlformats.org/officeDocument/2006/relationships/customXml" Target="../customXml/item1.xml"/><Relationship Id="rId212" Type="http://schemas.openxmlformats.org/officeDocument/2006/relationships/hyperlink" Target="https://www.finance.gov.au/government/resource-management/list-az" TargetMode="External"/><Relationship Id="rId233" Type="http://schemas.openxmlformats.org/officeDocument/2006/relationships/hyperlink" Target="mailto:budget_framework@finance.gov.au" TargetMode="External"/><Relationship Id="rId28" Type="http://schemas.openxmlformats.org/officeDocument/2006/relationships/hyperlink" Target="mailto:budget_framework@finance.gov.au" TargetMode="External"/><Relationship Id="rId49" Type="http://schemas.openxmlformats.org/officeDocument/2006/relationships/hyperlink" Target="http://www.budget.gov.au/" TargetMode="External"/><Relationship Id="rId114" Type="http://schemas.microsoft.com/office/2007/relationships/diagramDrawing" Target="diagrams/drawing8.xml"/><Relationship Id="rId60" Type="http://schemas.openxmlformats.org/officeDocument/2006/relationships/hyperlink" Target="https://www.pmc.gov.au/resource-centre/government/tabling-guidelines" TargetMode="External"/><Relationship Id="rId81" Type="http://schemas.openxmlformats.org/officeDocument/2006/relationships/hyperlink" Target="http://www.federalfinancialrelations.gov.au/sites/federalfinancialrelations.gov.au/files/2020-04/nt_remote_aboriginal_investment_np.pdf" TargetMode="External"/><Relationship Id="rId135" Type="http://schemas.openxmlformats.org/officeDocument/2006/relationships/hyperlink" Target="https://www.finance.gov.au/government/resource-management/list-az" TargetMode="External"/><Relationship Id="rId156" Type="http://schemas.openxmlformats.org/officeDocument/2006/relationships/diagramQuickStyle" Target="diagrams/quickStyle14.xml"/><Relationship Id="rId177" Type="http://schemas.microsoft.com/office/2007/relationships/diagramDrawing" Target="diagrams/drawing16.xml"/><Relationship Id="rId198" Type="http://schemas.microsoft.com/office/2007/relationships/diagramDrawing" Target="diagrams/drawing20.xml"/><Relationship Id="rId202" Type="http://schemas.openxmlformats.org/officeDocument/2006/relationships/diagramColors" Target="diagrams/colors21.xml"/><Relationship Id="rId223" Type="http://schemas.openxmlformats.org/officeDocument/2006/relationships/image" Target="media/image4.png"/><Relationship Id="rId244" Type="http://schemas.openxmlformats.org/officeDocument/2006/relationships/hyperlink" Target="https://www.finance.gov.au/government/managing-commonwealth-resources/structure-australian-government-public-sector" TargetMode="External"/><Relationship Id="rId18" Type="http://schemas.openxmlformats.org/officeDocument/2006/relationships/header" Target="header4.xml"/><Relationship Id="rId39" Type="http://schemas.openxmlformats.org/officeDocument/2006/relationships/hyperlink" Target="mailto:eec.sen@aph.gov.au" TargetMode="External"/><Relationship Id="rId50" Type="http://schemas.openxmlformats.org/officeDocument/2006/relationships/hyperlink" Target="http://www.data.gov.au/" TargetMode="External"/><Relationship Id="rId104" Type="http://schemas.microsoft.com/office/2007/relationships/diagramDrawing" Target="diagrams/drawing6.xml"/><Relationship Id="rId125" Type="http://schemas.openxmlformats.org/officeDocument/2006/relationships/diagramQuickStyle" Target="diagrams/quickStyle10.xml"/><Relationship Id="rId146" Type="http://schemas.openxmlformats.org/officeDocument/2006/relationships/diagramColors" Target="diagrams/colors12.xml"/><Relationship Id="rId167" Type="http://schemas.openxmlformats.org/officeDocument/2006/relationships/diagramColors" Target="diagrams/colors15.xml"/><Relationship Id="rId188" Type="http://schemas.microsoft.com/office/2007/relationships/diagramDrawing" Target="diagrams/drawing18.xml"/><Relationship Id="rId71" Type="http://schemas.openxmlformats.org/officeDocument/2006/relationships/hyperlink" Target="https://aasb.gov.au/pronouncements/accounting-standards/" TargetMode="External"/><Relationship Id="rId92" Type="http://schemas.openxmlformats.org/officeDocument/2006/relationships/diagramQuickStyle" Target="diagrams/quickStyle4.xml"/><Relationship Id="rId213" Type="http://schemas.openxmlformats.org/officeDocument/2006/relationships/hyperlink" Target="https://www.finance.gov.au/government/resource-management/list-az" TargetMode="External"/><Relationship Id="rId234" Type="http://schemas.openxmlformats.org/officeDocument/2006/relationships/hyperlink" Target="mailto:PGPA@finance.gov.au" TargetMode="External"/><Relationship Id="rId2" Type="http://schemas.openxmlformats.org/officeDocument/2006/relationships/customXml" Target="../customXml/item2.xml"/><Relationship Id="rId29" Type="http://schemas.openxmlformats.org/officeDocument/2006/relationships/hyperlink" Target="http://govlink.sge.net/home.aspx" TargetMode="External"/><Relationship Id="rId40" Type="http://schemas.openxmlformats.org/officeDocument/2006/relationships/hyperlink" Target="mailto:ec.sen@aph.gov.au" TargetMode="External"/><Relationship Id="rId115" Type="http://schemas.openxmlformats.org/officeDocument/2006/relationships/diagramData" Target="diagrams/data9.xml"/><Relationship Id="rId136" Type="http://schemas.openxmlformats.org/officeDocument/2006/relationships/hyperlink" Target="mailto:PGPA@finance.gov.au" TargetMode="External"/><Relationship Id="rId157" Type="http://schemas.openxmlformats.org/officeDocument/2006/relationships/diagramColors" Target="diagrams/colors14.xml"/><Relationship Id="rId178" Type="http://schemas.openxmlformats.org/officeDocument/2006/relationships/hyperlink" Target="https://www.finance.gov.au/government/managing-commonwealth-resources/commonwealth-entities-financial-statements-guide-rmg-125" TargetMode="External"/><Relationship Id="rId61" Type="http://schemas.openxmlformats.org/officeDocument/2006/relationships/hyperlink" Target="mailto:table.docs@aph.gov.au" TargetMode="External"/><Relationship Id="rId82" Type="http://schemas.openxmlformats.org/officeDocument/2006/relationships/hyperlink" Target="https://www.legislation.gov.au/F2015L00131/latest/text" TargetMode="External"/><Relationship Id="rId199" Type="http://schemas.openxmlformats.org/officeDocument/2006/relationships/diagramData" Target="diagrams/data21.xml"/><Relationship Id="rId203" Type="http://schemas.microsoft.com/office/2007/relationships/diagramDrawing" Target="diagrams/drawing21.xml"/><Relationship Id="rId19" Type="http://schemas.openxmlformats.org/officeDocument/2006/relationships/footer" Target="footer3.xml"/><Relationship Id="rId224" Type="http://schemas.openxmlformats.org/officeDocument/2006/relationships/image" Target="media/image5.png"/><Relationship Id="rId245" Type="http://schemas.openxmlformats.org/officeDocument/2006/relationships/hyperlink" Target="https://www.legislation.gov.au/C2004A05333/latest/text" TargetMode="External"/><Relationship Id="rId30" Type="http://schemas.openxmlformats.org/officeDocument/2006/relationships/hyperlink" Target="mailto:budget_framework@finance.gov.au" TargetMode="External"/><Relationship Id="rId105" Type="http://schemas.openxmlformats.org/officeDocument/2006/relationships/diagramData" Target="diagrams/data7.xml"/><Relationship Id="rId126" Type="http://schemas.openxmlformats.org/officeDocument/2006/relationships/diagramColors" Target="diagrams/colors10.xml"/><Relationship Id="rId147" Type="http://schemas.microsoft.com/office/2007/relationships/diagramDrawing" Target="diagrams/drawing12.xml"/><Relationship Id="rId168" Type="http://schemas.microsoft.com/office/2007/relationships/diagramDrawing" Target="diagrams/drawing15.xml"/><Relationship Id="rId51" Type="http://schemas.openxmlformats.org/officeDocument/2006/relationships/hyperlink" Target="https://data.gov.au/" TargetMode="External"/><Relationship Id="rId72" Type="http://schemas.openxmlformats.org/officeDocument/2006/relationships/hyperlink" Target="https://www.finance.gov.au/government/managing-commonwealth-resources/commonwealth-entities-financial-statements-guide-rmg-125" TargetMode="External"/><Relationship Id="rId93" Type="http://schemas.openxmlformats.org/officeDocument/2006/relationships/diagramColors" Target="diagrams/colors4.xml"/><Relationship Id="rId189" Type="http://schemas.openxmlformats.org/officeDocument/2006/relationships/diagramData" Target="diagrams/data19.xml"/><Relationship Id="rId3" Type="http://schemas.openxmlformats.org/officeDocument/2006/relationships/customXml" Target="../customXml/item3.xml"/><Relationship Id="rId214" Type="http://schemas.openxmlformats.org/officeDocument/2006/relationships/hyperlink" Target="https://www.finance.gov.au/government/resource-management/list-az" TargetMode="External"/><Relationship Id="rId235" Type="http://schemas.openxmlformats.org/officeDocument/2006/relationships/hyperlink" Target="https://financegovau.sharepoint.com/sites/M365_DoF_50033506/BRF1/Reporting/BdgPap/1.%20PBS/1.22%20PBS%202025-26%20Mar%20Budget/annual.appropriations@finance.gov.au" TargetMode="External"/><Relationship Id="rId116" Type="http://schemas.openxmlformats.org/officeDocument/2006/relationships/diagramLayout" Target="diagrams/layout9.xml"/><Relationship Id="rId137" Type="http://schemas.openxmlformats.org/officeDocument/2006/relationships/hyperlink" Target="https://www.finance.gov.au/government/managing-commonwealth-resources/reporting-performance-information-portfolio-budget-statements-rmg-129/finance-secretary-direction-21-august-2022" TargetMode="External"/><Relationship Id="rId158" Type="http://schemas.microsoft.com/office/2007/relationships/diagramDrawing" Target="diagrams/drawing14.xml"/><Relationship Id="rId20" Type="http://schemas.openxmlformats.org/officeDocument/2006/relationships/header" Target="header5.xml"/><Relationship Id="rId41" Type="http://schemas.openxmlformats.org/officeDocument/2006/relationships/hyperlink" Target="mailto:fpa.sen@aph.gov.au" TargetMode="External"/><Relationship Id="rId62" Type="http://schemas.openxmlformats.org/officeDocument/2006/relationships/hyperlink" Target="mailto:budget_framework@finance.gov.au" TargetMode="External"/><Relationship Id="rId83" Type="http://schemas.openxmlformats.org/officeDocument/2006/relationships/hyperlink" Target="https://www.finance.gov.au/government/managing-commonwealth-resources/accounting-annual-appropriations-rmg-116" TargetMode="External"/><Relationship Id="rId179" Type="http://schemas.openxmlformats.org/officeDocument/2006/relationships/diagramData" Target="diagrams/data17.xml"/><Relationship Id="rId190" Type="http://schemas.openxmlformats.org/officeDocument/2006/relationships/diagramLayout" Target="diagrams/layout19.xml"/><Relationship Id="rId204" Type="http://schemas.openxmlformats.org/officeDocument/2006/relationships/hyperlink" Target="https://www.aasb.gov.au/pronouncements/accounting-standards/" TargetMode="External"/><Relationship Id="rId225" Type="http://schemas.openxmlformats.org/officeDocument/2006/relationships/image" Target="media/image6.png"/><Relationship Id="rId246" Type="http://schemas.openxmlformats.org/officeDocument/2006/relationships/hyperlink" Target="https://www.legislation.gov.au/F2015L00131/latest/text" TargetMode="External"/><Relationship Id="rId106" Type="http://schemas.openxmlformats.org/officeDocument/2006/relationships/diagramLayout" Target="diagrams/layout7.xml"/><Relationship Id="rId127" Type="http://schemas.microsoft.com/office/2007/relationships/diagramDrawing" Target="diagrams/drawing10.xml"/><Relationship Id="rId10" Type="http://schemas.openxmlformats.org/officeDocument/2006/relationships/webSettings" Target="webSettings.xml"/><Relationship Id="rId31" Type="http://schemas.openxmlformats.org/officeDocument/2006/relationships/hyperlink" Target="mailto:budgetcommunications@treasury.gov.au" TargetMode="External"/><Relationship Id="rId52" Type="http://schemas.openxmlformats.org/officeDocument/2006/relationships/hyperlink" Target="https://data.gov.au/" TargetMode="External"/><Relationship Id="rId73" Type="http://schemas.openxmlformats.org/officeDocument/2006/relationships/hyperlink" Target="https://www.finance.gov.au/government/financial-reporting-and-accounting-policy/financial-reporting-commonwealth-entities" TargetMode="External"/><Relationship Id="rId94" Type="http://schemas.microsoft.com/office/2007/relationships/diagramDrawing" Target="diagrams/drawing4.xml"/><Relationship Id="rId148" Type="http://schemas.openxmlformats.org/officeDocument/2006/relationships/hyperlink" Target="https://www.aasb.gov.au/pronouncements/accounting-standards/" TargetMode="External"/><Relationship Id="rId169" Type="http://schemas.openxmlformats.org/officeDocument/2006/relationships/hyperlink" Target="https://www.legislation.gov.au/F2015L00131/latest/text" TargetMode="External"/><Relationship Id="rId4" Type="http://schemas.openxmlformats.org/officeDocument/2006/relationships/customXml" Target="../customXml/item4.xml"/><Relationship Id="rId180" Type="http://schemas.openxmlformats.org/officeDocument/2006/relationships/diagramLayout" Target="diagrams/layout17.xml"/><Relationship Id="rId215" Type="http://schemas.openxmlformats.org/officeDocument/2006/relationships/hyperlink" Target="https://www.finance.gov.au/government/resource-management/list-az" TargetMode="External"/><Relationship Id="rId236" Type="http://schemas.openxmlformats.org/officeDocument/2006/relationships/hyperlink" Target="https://www.finance.gov.au/publications/resource-management-guides/reporting-requirements-following-machinery-government-changes-rmg-1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_rels/data10.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11.xml.rels><?xml version="1.0" encoding="UTF-8" standalone="yes"?>
<Relationships xmlns="http://schemas.openxmlformats.org/package/2006/relationships"><Relationship Id="rId1" Type="http://schemas.openxmlformats.org/officeDocument/2006/relationships/hyperlink" Target="#_Portfolio_structure_and"/></Relationships>
</file>

<file path=word/diagrams/_rels/data15.xml.rels><?xml version="1.0" encoding="UTF-8" standalone="yes"?>
<Relationships xmlns="http://schemas.openxmlformats.org/package/2006/relationships"><Relationship Id="rId1" Type="http://schemas.openxmlformats.org/officeDocument/2006/relationships/hyperlink" Target="#App1_Budgetedfinsts"/></Relationships>
</file>

<file path=word/diagrams/_rels/data16.xml.rels><?xml version="1.0" encoding="UTF-8" standalone="yes"?>
<Relationships xmlns="http://schemas.openxmlformats.org/package/2006/relationships"><Relationship Id="rId1" Type="http://schemas.openxmlformats.org/officeDocument/2006/relationships/hyperlink" Target="#App1_DeptPL"/></Relationships>
</file>

<file path=word/diagrams/_rels/data17.xml.rels><?xml version="1.0" encoding="UTF-8" standalone="yes"?>
<Relationships xmlns="http://schemas.openxmlformats.org/package/2006/relationships"><Relationship Id="rId1" Type="http://schemas.openxmlformats.org/officeDocument/2006/relationships/hyperlink" Target="#App1_DeptBalSheet"/></Relationships>
</file>

<file path=word/diagrams/_rels/data18.xml.rels><?xml version="1.0" encoding="UTF-8" standalone="yes"?>
<Relationships xmlns="http://schemas.openxmlformats.org/package/2006/relationships"><Relationship Id="rId1" Type="http://schemas.openxmlformats.org/officeDocument/2006/relationships/hyperlink" Target="#App1_DeptStChangesinEquity"/></Relationships>
</file>

<file path=word/diagrams/_rels/data19.xml.rels><?xml version="1.0" encoding="UTF-8" standalone="yes"?>
<Relationships xmlns="http://schemas.openxmlformats.org/package/2006/relationships"><Relationship Id="rId1" Type="http://schemas.openxmlformats.org/officeDocument/2006/relationships/hyperlink" Target="#App1_DeptCFS"/></Relationships>
</file>

<file path=word/diagrams/_rels/data2.xml.rels><?xml version="1.0" encoding="UTF-8" standalone="yes"?>
<Relationships xmlns="http://schemas.openxmlformats.org/package/2006/relationships"><Relationship Id="rId1" Type="http://schemas.openxmlformats.org/officeDocument/2006/relationships/hyperlink" Target="#_Portfolio_structure_and"/></Relationships>
</file>

<file path=word/diagrams/_rels/data20.xml.rels><?xml version="1.0" encoding="UTF-8" standalone="yes"?>
<Relationships xmlns="http://schemas.openxmlformats.org/package/2006/relationships"><Relationship Id="rId1" Type="http://schemas.openxmlformats.org/officeDocument/2006/relationships/hyperlink" Target="#App1_DeptCapBudgetSt"/></Relationships>
</file>

<file path=word/diagrams/_rels/data21.xml.rels><?xml version="1.0" encoding="UTF-8" standalone="yes"?>
<Relationships xmlns="http://schemas.openxmlformats.org/package/2006/relationships"><Relationship Id="rId1" Type="http://schemas.openxmlformats.org/officeDocument/2006/relationships/hyperlink" Target="#App1_DeptStatementAssetMvt"/></Relationships>
</file>

<file path=word/diagrams/_rels/data22.xml.rels><?xml version="1.0" encoding="UTF-8" standalone="yes"?>
<Relationships xmlns="http://schemas.openxmlformats.org/package/2006/relationships"><Relationship Id="rId1" Type="http://schemas.openxmlformats.org/officeDocument/2006/relationships/hyperlink" Target="#App1_AdminFinSts"/></Relationships>
</file>

<file path=word/diagrams/_rels/data4.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5.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6.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7.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8.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9.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5FC5A7-D4C0-4916-84CD-0776D87C2832}"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AU"/>
        </a:p>
      </dgm:t>
    </dgm:pt>
    <dgm:pt modelId="{7651D0B3-D0B4-4201-9E5F-6D1E1E7FADA6}">
      <dgm:prSet phldrT="[Text]" custT="1"/>
      <dgm:spPr/>
      <dgm:t>
        <a:bodyPr/>
        <a:lstStyle/>
        <a:p>
          <a:r>
            <a:rPr lang="en-AU" sz="1000" b="1">
              <a:solidFill>
                <a:sysClr val="windowText" lastClr="000000"/>
              </a:solidFill>
            </a:rPr>
            <a:t>Budget Statements</a:t>
          </a:r>
        </a:p>
        <a:p>
          <a:r>
            <a:rPr lang="en-AU" sz="1000">
              <a:solidFill>
                <a:sysClr val="windowText" lastClr="000000"/>
              </a:solidFill>
            </a:rPr>
            <a:t>[PB Statements, Portfolio Additional Estimates Statements (PAES) and Portfolio Supplementary Additional Estimates Statements (PSAES)]</a:t>
          </a:r>
        </a:p>
        <a:p>
          <a:pPr>
            <a:buFont typeface="Symbol" panose="05050102010706020507" pitchFamily="18" charset="2"/>
            <a:buChar char=""/>
          </a:pPr>
          <a:r>
            <a:rPr lang="en-AU" sz="1000">
              <a:solidFill>
                <a:sysClr val="windowText" lastClr="000000"/>
              </a:solidFill>
            </a:rPr>
            <a:t>Appropriations available/</a:t>
          </a:r>
          <a:r>
            <a:rPr lang="en-AU" sz="1000" baseline="0">
              <a:solidFill>
                <a:sysClr val="windowText" lastClr="000000"/>
              </a:solidFill>
            </a:rPr>
            <a:t>received</a:t>
          </a:r>
          <a:r>
            <a:rPr lang="en-AU" sz="1000">
              <a:solidFill>
                <a:sysClr val="windowText" lastClr="000000"/>
              </a:solidFill>
            </a:rPr>
            <a:t>, budgeted financial information and performance measures</a:t>
          </a:r>
          <a:endParaRPr lang="en-AU" sz="1000" b="1">
            <a:solidFill>
              <a:sysClr val="windowText" lastClr="000000"/>
            </a:solidFill>
          </a:endParaRPr>
        </a:p>
      </dgm:t>
    </dgm:pt>
    <dgm:pt modelId="{4B5B314A-D215-4B62-B4E3-060B5FE79C99}" type="parTrans" cxnId="{8D0FBCAC-65E9-4006-A8E0-6FD26C1EE965}">
      <dgm:prSet/>
      <dgm:spPr/>
      <dgm:t>
        <a:bodyPr/>
        <a:lstStyle/>
        <a:p>
          <a:endParaRPr lang="en-AU"/>
        </a:p>
      </dgm:t>
    </dgm:pt>
    <dgm:pt modelId="{C0C42823-1CA0-434A-AF50-9F4C475D41BD}" type="sibTrans" cxnId="{8D0FBCAC-65E9-4006-A8E0-6FD26C1EE965}">
      <dgm:prSet custT="1"/>
      <dgm:spPr/>
      <dgm:t>
        <a:bodyPr/>
        <a:lstStyle/>
        <a:p>
          <a:endParaRPr lang="en-AU" sz="900" b="1">
            <a:solidFill>
              <a:sysClr val="windowText" lastClr="000000"/>
            </a:solidFill>
          </a:endParaRPr>
        </a:p>
      </dgm:t>
    </dgm:pt>
    <dgm:pt modelId="{395A9799-1A13-48AD-8E88-DF8A43698553}">
      <dgm:prSet custT="1"/>
      <dgm:spPr/>
      <dgm:t>
        <a:bodyPr/>
        <a:lstStyle/>
        <a:p>
          <a:r>
            <a:rPr lang="en-AU" sz="1000" b="1">
              <a:solidFill>
                <a:sysClr val="windowText" lastClr="000000"/>
              </a:solidFill>
            </a:rPr>
            <a:t>Corporate Plan</a:t>
          </a:r>
          <a:endParaRPr lang="en-AU" sz="1000">
            <a:solidFill>
              <a:sysClr val="windowText" lastClr="000000"/>
            </a:solidFill>
          </a:endParaRPr>
        </a:p>
      </dgm:t>
    </dgm:pt>
    <dgm:pt modelId="{36EB89D8-978E-49FE-AC33-0BB98C5AA1FE}" type="parTrans" cxnId="{9EA55072-0C25-46B8-B5BB-46A90104B75E}">
      <dgm:prSet/>
      <dgm:spPr/>
      <dgm:t>
        <a:bodyPr/>
        <a:lstStyle/>
        <a:p>
          <a:endParaRPr lang="en-AU"/>
        </a:p>
      </dgm:t>
    </dgm:pt>
    <dgm:pt modelId="{52642976-16EB-49D4-95FC-C9830E699577}" type="sibTrans" cxnId="{9EA55072-0C25-46B8-B5BB-46A90104B75E}">
      <dgm:prSet/>
      <dgm:spPr/>
      <dgm:t>
        <a:bodyPr/>
        <a:lstStyle/>
        <a:p>
          <a:endParaRPr lang="en-AU"/>
        </a:p>
      </dgm:t>
    </dgm:pt>
    <dgm:pt modelId="{1F2DE806-24ED-47F6-BA03-020CC9575F1E}">
      <dgm:prSet custT="1"/>
      <dgm:spPr/>
      <dgm:t>
        <a:bodyPr/>
        <a:lstStyle/>
        <a:p>
          <a:pPr>
            <a:buFont typeface="Symbol" panose="05050102010706020507" pitchFamily="18" charset="2"/>
            <a:buChar char=""/>
          </a:pPr>
          <a:r>
            <a:rPr lang="en-AU" sz="1000">
              <a:solidFill>
                <a:sysClr val="windowText" lastClr="000000"/>
              </a:solidFill>
            </a:rPr>
            <a:t>Purpose</a:t>
          </a:r>
        </a:p>
      </dgm:t>
    </dgm:pt>
    <dgm:pt modelId="{6E35661F-AF4C-43F3-83FF-E5489E34F2DD}" type="parTrans" cxnId="{F4DD4837-BEB9-47EF-9EBF-F1FAC591B63E}">
      <dgm:prSet/>
      <dgm:spPr/>
      <dgm:t>
        <a:bodyPr/>
        <a:lstStyle/>
        <a:p>
          <a:endParaRPr lang="en-AU"/>
        </a:p>
      </dgm:t>
    </dgm:pt>
    <dgm:pt modelId="{B18C25F4-5C6B-4BCB-BD4E-6AC3D777D26E}" type="sibTrans" cxnId="{F4DD4837-BEB9-47EF-9EBF-F1FAC591B63E}">
      <dgm:prSet/>
      <dgm:spPr/>
      <dgm:t>
        <a:bodyPr/>
        <a:lstStyle/>
        <a:p>
          <a:endParaRPr lang="en-AU"/>
        </a:p>
      </dgm:t>
    </dgm:pt>
    <dgm:pt modelId="{7A144A96-341C-4C4A-B00D-53ECD19371C6}">
      <dgm:prSet custT="1"/>
      <dgm:spPr/>
      <dgm:t>
        <a:bodyPr/>
        <a:lstStyle/>
        <a:p>
          <a:pPr>
            <a:buFont typeface="Symbol" panose="05050102010706020507" pitchFamily="18" charset="2"/>
            <a:buChar char=""/>
          </a:pPr>
          <a:r>
            <a:rPr lang="en-AU" sz="1000">
              <a:solidFill>
                <a:sysClr val="windowText" lastClr="000000"/>
              </a:solidFill>
            </a:rPr>
            <a:t>Performance measures</a:t>
          </a:r>
        </a:p>
      </dgm:t>
    </dgm:pt>
    <dgm:pt modelId="{7E70F6BE-F0EB-4559-82A2-5B73BAF78286}" type="parTrans" cxnId="{3538ABBE-F9C5-4FA0-83AE-EBFC46EB3265}">
      <dgm:prSet/>
      <dgm:spPr/>
      <dgm:t>
        <a:bodyPr/>
        <a:lstStyle/>
        <a:p>
          <a:endParaRPr lang="en-AU"/>
        </a:p>
      </dgm:t>
    </dgm:pt>
    <dgm:pt modelId="{8D034E19-B07E-4EA0-B295-40535CE200E0}" type="sibTrans" cxnId="{3538ABBE-F9C5-4FA0-83AE-EBFC46EB3265}">
      <dgm:prSet/>
      <dgm:spPr/>
      <dgm:t>
        <a:bodyPr/>
        <a:lstStyle/>
        <a:p>
          <a:endParaRPr lang="en-AU"/>
        </a:p>
      </dgm:t>
    </dgm:pt>
    <dgm:pt modelId="{5212CC44-B7B4-4AEC-87D8-C2E5E502E7F2}">
      <dgm:prSet custT="1"/>
      <dgm:spPr/>
      <dgm:t>
        <a:bodyPr/>
        <a:lstStyle/>
        <a:p>
          <a:r>
            <a:rPr lang="en-AU" sz="1000" b="1" baseline="0">
              <a:solidFill>
                <a:sysClr val="windowText" lastClr="000000"/>
              </a:solidFill>
            </a:rPr>
            <a:t>Annual Report</a:t>
          </a:r>
        </a:p>
        <a:p>
          <a:r>
            <a:rPr lang="en-AU" sz="1000" baseline="0">
              <a:solidFill>
                <a:sysClr val="windowText" lastClr="000000"/>
              </a:solidFill>
            </a:rPr>
            <a:t>[Includes annual performance statements]</a:t>
          </a:r>
        </a:p>
        <a:p>
          <a:pPr>
            <a:buFont typeface="Symbol" panose="05050102010706020507" pitchFamily="18" charset="2"/>
            <a:buChar char=""/>
          </a:pPr>
          <a:r>
            <a:rPr lang="en-AU" sz="1000" baseline="0">
              <a:solidFill>
                <a:sysClr val="windowText" lastClr="000000"/>
              </a:solidFill>
            </a:rPr>
            <a:t>Use of appropriations, actual financial information and actual performance against measures</a:t>
          </a:r>
        </a:p>
      </dgm:t>
    </dgm:pt>
    <dgm:pt modelId="{9AA3B31C-4ED9-44DB-9821-CF28B773A0F7}" type="parTrans" cxnId="{D4B08C4B-D246-4AA6-AD9F-F2F2443B09BD}">
      <dgm:prSet/>
      <dgm:spPr/>
      <dgm:t>
        <a:bodyPr/>
        <a:lstStyle/>
        <a:p>
          <a:endParaRPr lang="en-AU"/>
        </a:p>
      </dgm:t>
    </dgm:pt>
    <dgm:pt modelId="{240F613D-4C57-4BBE-8886-ACACB9A2221C}" type="sibTrans" cxnId="{D4B08C4B-D246-4AA6-AD9F-F2F2443B09BD}">
      <dgm:prSet/>
      <dgm:spPr/>
      <dgm:t>
        <a:bodyPr/>
        <a:lstStyle/>
        <a:p>
          <a:endParaRPr lang="en-AU"/>
        </a:p>
      </dgm:t>
    </dgm:pt>
    <dgm:pt modelId="{A554E93C-61E2-4DA0-8EE2-CCB02C83F1DB}">
      <dgm:prSet/>
      <dgm:spPr/>
      <dgm:t>
        <a:bodyPr/>
        <a:lstStyle/>
        <a:p>
          <a:r>
            <a:rPr lang="en-AU" b="1">
              <a:solidFill>
                <a:sysClr val="windowText" lastClr="000000"/>
              </a:solidFill>
            </a:rPr>
            <a:t>Annual Appropriation Acts</a:t>
          </a:r>
          <a:endParaRPr lang="en-AU">
            <a:solidFill>
              <a:sysClr val="windowText" lastClr="000000"/>
            </a:solidFill>
          </a:endParaRPr>
        </a:p>
      </dgm:t>
    </dgm:pt>
    <dgm:pt modelId="{4628B25C-CF95-4E25-9F5D-FB701E3E3DFA}" type="parTrans" cxnId="{FFDE3FFD-71E8-49B5-B232-1ECA0370C101}">
      <dgm:prSet/>
      <dgm:spPr/>
      <dgm:t>
        <a:bodyPr/>
        <a:lstStyle/>
        <a:p>
          <a:endParaRPr lang="en-AU"/>
        </a:p>
      </dgm:t>
    </dgm:pt>
    <dgm:pt modelId="{3FBD4D3F-3B17-4144-92EB-33E660C2890E}" type="sibTrans" cxnId="{FFDE3FFD-71E8-49B5-B232-1ECA0370C101}">
      <dgm:prSet/>
      <dgm:spPr/>
      <dgm:t>
        <a:bodyPr/>
        <a:lstStyle/>
        <a:p>
          <a:endParaRPr lang="en-AU"/>
        </a:p>
      </dgm:t>
    </dgm:pt>
    <dgm:pt modelId="{996A414E-DFF9-4AF4-8DFD-37FC273A8459}">
      <dgm:prSet custT="1"/>
      <dgm:spPr/>
      <dgm:t>
        <a:bodyPr/>
        <a:lstStyle/>
        <a:p>
          <a:pPr>
            <a:buFont typeface="Symbol" panose="05050102010706020507" pitchFamily="18" charset="2"/>
            <a:buChar char=""/>
          </a:pPr>
          <a:r>
            <a:rPr lang="en-AU" sz="1000">
              <a:solidFill>
                <a:sysClr val="windowText" lastClr="000000"/>
              </a:solidFill>
            </a:rPr>
            <a:t>Key activities</a:t>
          </a:r>
        </a:p>
      </dgm:t>
    </dgm:pt>
    <dgm:pt modelId="{E842FA83-B2AF-4BEF-962C-660FCD78C8CF}" type="parTrans" cxnId="{0C27B700-4C4A-40AB-B198-7154D3806A39}">
      <dgm:prSet/>
      <dgm:spPr/>
      <dgm:t>
        <a:bodyPr/>
        <a:lstStyle/>
        <a:p>
          <a:endParaRPr lang="en-AU"/>
        </a:p>
      </dgm:t>
    </dgm:pt>
    <dgm:pt modelId="{C669EC26-E1C1-47E0-A604-4572CBB5A3C1}" type="sibTrans" cxnId="{0C27B700-4C4A-40AB-B198-7154D3806A39}">
      <dgm:prSet/>
      <dgm:spPr/>
      <dgm:t>
        <a:bodyPr/>
        <a:lstStyle/>
        <a:p>
          <a:endParaRPr lang="en-AU"/>
        </a:p>
      </dgm:t>
    </dgm:pt>
    <dgm:pt modelId="{5B1158AB-4995-47A3-AEEE-EE37CFCD8CF8}" type="pres">
      <dgm:prSet presAssocID="{7B5FC5A7-D4C0-4916-84CD-0776D87C2832}" presName="Name0" presStyleCnt="0">
        <dgm:presLayoutVars>
          <dgm:dir/>
          <dgm:resizeHandles val="exact"/>
        </dgm:presLayoutVars>
      </dgm:prSet>
      <dgm:spPr/>
    </dgm:pt>
    <dgm:pt modelId="{DC12FAF4-42F6-4D22-A0A4-55E8D2C9C856}" type="pres">
      <dgm:prSet presAssocID="{7651D0B3-D0B4-4201-9E5F-6D1E1E7FADA6}" presName="node" presStyleLbl="node1" presStyleIdx="0" presStyleCnt="4" custScaleX="166897" custScaleY="195258" custRadScaleRad="117727" custRadScaleInc="-161769">
        <dgm:presLayoutVars>
          <dgm:bulletEnabled val="1"/>
        </dgm:presLayoutVars>
      </dgm:prSet>
      <dgm:spPr/>
    </dgm:pt>
    <dgm:pt modelId="{32B296CF-3F30-4F35-93DF-26BD302FD3D8}" type="pres">
      <dgm:prSet presAssocID="{C0C42823-1CA0-434A-AF50-9F4C475D41BD}" presName="sibTrans" presStyleLbl="sibTrans2D1" presStyleIdx="0" presStyleCnt="4" custAng="28339" custScaleX="442926" custScaleY="119280"/>
      <dgm:spPr/>
    </dgm:pt>
    <dgm:pt modelId="{F63199DE-888D-4F8F-8C77-D6C1521968DC}" type="pres">
      <dgm:prSet presAssocID="{C0C42823-1CA0-434A-AF50-9F4C475D41BD}" presName="connectorText" presStyleLbl="sibTrans2D1" presStyleIdx="0" presStyleCnt="4"/>
      <dgm:spPr/>
    </dgm:pt>
    <dgm:pt modelId="{EC7DF04C-5427-4FE1-9D65-05F5F6929795}" type="pres">
      <dgm:prSet presAssocID="{395A9799-1A13-48AD-8E88-DF8A43698553}" presName="node" presStyleLbl="node1" presStyleIdx="1" presStyleCnt="4" custScaleX="124761" custScaleY="117512" custRadScaleRad="136408" custRadScaleInc="-34549">
        <dgm:presLayoutVars>
          <dgm:bulletEnabled val="1"/>
        </dgm:presLayoutVars>
      </dgm:prSet>
      <dgm:spPr/>
    </dgm:pt>
    <dgm:pt modelId="{655E335E-5305-47E8-AE6B-F67AB58EFE40}" type="pres">
      <dgm:prSet presAssocID="{52642976-16EB-49D4-95FC-C9830E699577}" presName="sibTrans" presStyleLbl="sibTrans2D1" presStyleIdx="1" presStyleCnt="4" custAng="15806483" custScaleX="134568" custScaleY="254040" custLinFactNeighborX="43279" custLinFactNeighborY="9128"/>
      <dgm:spPr>
        <a:prstGeom prst="downArrow">
          <a:avLst/>
        </a:prstGeom>
      </dgm:spPr>
    </dgm:pt>
    <dgm:pt modelId="{9B4E9590-0636-47DD-B36B-E19489E56DA5}" type="pres">
      <dgm:prSet presAssocID="{52642976-16EB-49D4-95FC-C9830E699577}" presName="connectorText" presStyleLbl="sibTrans2D1" presStyleIdx="1" presStyleCnt="4"/>
      <dgm:spPr/>
    </dgm:pt>
    <dgm:pt modelId="{D7488B2F-B706-4F2A-A069-F0D1BB0A53F8}" type="pres">
      <dgm:prSet presAssocID="{5212CC44-B7B4-4AEC-87D8-C2E5E502E7F2}" presName="node" presStyleLbl="node1" presStyleIdx="2" presStyleCnt="4" custScaleX="199247" custScaleY="137220" custRadScaleRad="80170" custRadScaleInc="5768">
        <dgm:presLayoutVars>
          <dgm:bulletEnabled val="1"/>
        </dgm:presLayoutVars>
      </dgm:prSet>
      <dgm:spPr/>
    </dgm:pt>
    <dgm:pt modelId="{8FFE737B-DB3F-4D72-BAE8-2748D20E0F48}" type="pres">
      <dgm:prSet presAssocID="{240F613D-4C57-4BBE-8886-ACACB9A2221C}" presName="sibTrans" presStyleLbl="sibTrans2D1" presStyleIdx="2" presStyleCnt="4" custAng="4009600" custScaleX="117149" custScaleY="188819" custLinFactY="147755" custLinFactNeighborX="27738" custLinFactNeighborY="200000"/>
      <dgm:spPr>
        <a:prstGeom prst="downArrow">
          <a:avLst/>
        </a:prstGeom>
      </dgm:spPr>
    </dgm:pt>
    <dgm:pt modelId="{02363D6F-95A6-4BCF-9B82-389B028C2CFC}" type="pres">
      <dgm:prSet presAssocID="{240F613D-4C57-4BBE-8886-ACACB9A2221C}" presName="connectorText" presStyleLbl="sibTrans2D1" presStyleIdx="2" presStyleCnt="4"/>
      <dgm:spPr/>
    </dgm:pt>
    <dgm:pt modelId="{2E36242C-4968-4EA8-BA07-D5641ED6FB38}" type="pres">
      <dgm:prSet presAssocID="{A554E93C-61E2-4DA0-8EE2-CCB02C83F1DB}" presName="node" presStyleLbl="node1" presStyleIdx="3" presStyleCnt="4" custScaleX="134147" custScaleY="42686" custRadScaleRad="163425" custRadScaleInc="105878">
        <dgm:presLayoutVars>
          <dgm:bulletEnabled val="1"/>
        </dgm:presLayoutVars>
      </dgm:prSet>
      <dgm:spPr/>
    </dgm:pt>
    <dgm:pt modelId="{2104AFA2-0D9F-49F6-A2FC-1583FB52D798}" type="pres">
      <dgm:prSet presAssocID="{3FBD4D3F-3B17-4144-92EB-33E660C2890E}" presName="sibTrans" presStyleLbl="sibTrans2D1" presStyleIdx="3" presStyleCnt="4" custAng="5305756" custFlipVert="1" custScaleX="97251" custScaleY="88001" custLinFactNeighborX="-19120" custLinFactNeighborY="1"/>
      <dgm:spPr>
        <a:prstGeom prst="downArrow">
          <a:avLst/>
        </a:prstGeom>
      </dgm:spPr>
    </dgm:pt>
    <dgm:pt modelId="{BE1CEA2B-835F-4C99-B173-49609E068DE8}" type="pres">
      <dgm:prSet presAssocID="{3FBD4D3F-3B17-4144-92EB-33E660C2890E}" presName="connectorText" presStyleLbl="sibTrans2D1" presStyleIdx="3" presStyleCnt="4"/>
      <dgm:spPr/>
    </dgm:pt>
  </dgm:ptLst>
  <dgm:cxnLst>
    <dgm:cxn modelId="{0C27B700-4C4A-40AB-B198-7154D3806A39}" srcId="{395A9799-1A13-48AD-8E88-DF8A43698553}" destId="{996A414E-DFF9-4AF4-8DFD-37FC273A8459}" srcOrd="1" destOrd="0" parTransId="{E842FA83-B2AF-4BEF-962C-660FCD78C8CF}" sibTransId="{C669EC26-E1C1-47E0-A604-4572CBB5A3C1}"/>
    <dgm:cxn modelId="{32F84907-AF54-435E-B21B-D3C04E729768}" type="presOf" srcId="{C0C42823-1CA0-434A-AF50-9F4C475D41BD}" destId="{32B296CF-3F30-4F35-93DF-26BD302FD3D8}" srcOrd="0" destOrd="0" presId="urn:microsoft.com/office/officeart/2005/8/layout/cycle7"/>
    <dgm:cxn modelId="{15D78522-9D7C-45E1-84D4-B5DA201D7F99}" type="presOf" srcId="{395A9799-1A13-48AD-8E88-DF8A43698553}" destId="{EC7DF04C-5427-4FE1-9D65-05F5F6929795}" srcOrd="0" destOrd="0" presId="urn:microsoft.com/office/officeart/2005/8/layout/cycle7"/>
    <dgm:cxn modelId="{70CFDF2A-06EC-4E04-9C7C-E0642D43A618}" type="presOf" srcId="{52642976-16EB-49D4-95FC-C9830E699577}" destId="{655E335E-5305-47E8-AE6B-F67AB58EFE40}" srcOrd="0" destOrd="0" presId="urn:microsoft.com/office/officeart/2005/8/layout/cycle7"/>
    <dgm:cxn modelId="{F4DD4837-BEB9-47EF-9EBF-F1FAC591B63E}" srcId="{395A9799-1A13-48AD-8E88-DF8A43698553}" destId="{1F2DE806-24ED-47F6-BA03-020CC9575F1E}" srcOrd="0" destOrd="0" parTransId="{6E35661F-AF4C-43F3-83FF-E5489E34F2DD}" sibTransId="{B18C25F4-5C6B-4BCB-BD4E-6AC3D777D26E}"/>
    <dgm:cxn modelId="{9D4D805B-7959-46E1-B0A0-6963F0D2C9E4}" type="presOf" srcId="{7B5FC5A7-D4C0-4916-84CD-0776D87C2832}" destId="{5B1158AB-4995-47A3-AEEE-EE37CFCD8CF8}" srcOrd="0" destOrd="0" presId="urn:microsoft.com/office/officeart/2005/8/layout/cycle7"/>
    <dgm:cxn modelId="{718CA55D-8E7E-45AF-A39F-D75B057F65B4}" type="presOf" srcId="{3FBD4D3F-3B17-4144-92EB-33E660C2890E}" destId="{BE1CEA2B-835F-4C99-B173-49609E068DE8}" srcOrd="1" destOrd="0" presId="urn:microsoft.com/office/officeart/2005/8/layout/cycle7"/>
    <dgm:cxn modelId="{88EBF343-04C4-484A-9DD6-759AA3B713F0}" type="presOf" srcId="{7651D0B3-D0B4-4201-9E5F-6D1E1E7FADA6}" destId="{DC12FAF4-42F6-4D22-A0A4-55E8D2C9C856}" srcOrd="0" destOrd="0" presId="urn:microsoft.com/office/officeart/2005/8/layout/cycle7"/>
    <dgm:cxn modelId="{D4B08C4B-D246-4AA6-AD9F-F2F2443B09BD}" srcId="{7B5FC5A7-D4C0-4916-84CD-0776D87C2832}" destId="{5212CC44-B7B4-4AEC-87D8-C2E5E502E7F2}" srcOrd="2" destOrd="0" parTransId="{9AA3B31C-4ED9-44DB-9821-CF28B773A0F7}" sibTransId="{240F613D-4C57-4BBE-8886-ACACB9A2221C}"/>
    <dgm:cxn modelId="{9EA55072-0C25-46B8-B5BB-46A90104B75E}" srcId="{7B5FC5A7-D4C0-4916-84CD-0776D87C2832}" destId="{395A9799-1A13-48AD-8E88-DF8A43698553}" srcOrd="1" destOrd="0" parTransId="{36EB89D8-978E-49FE-AC33-0BB98C5AA1FE}" sibTransId="{52642976-16EB-49D4-95FC-C9830E699577}"/>
    <dgm:cxn modelId="{6E9BAE53-0AFD-4C0B-A6D7-46C41A36786B}" type="presOf" srcId="{240F613D-4C57-4BBE-8886-ACACB9A2221C}" destId="{02363D6F-95A6-4BCF-9B82-389B028C2CFC}" srcOrd="1" destOrd="0" presId="urn:microsoft.com/office/officeart/2005/8/layout/cycle7"/>
    <dgm:cxn modelId="{C88EBF7B-484E-44C8-B104-97E95EA058C6}" type="presOf" srcId="{996A414E-DFF9-4AF4-8DFD-37FC273A8459}" destId="{EC7DF04C-5427-4FE1-9D65-05F5F6929795}" srcOrd="0" destOrd="2" presId="urn:microsoft.com/office/officeart/2005/8/layout/cycle7"/>
    <dgm:cxn modelId="{C63CD57B-2F1E-43A6-BAF6-21CF761D42E0}" type="presOf" srcId="{7A144A96-341C-4C4A-B00D-53ECD19371C6}" destId="{EC7DF04C-5427-4FE1-9D65-05F5F6929795}" srcOrd="0" destOrd="3" presId="urn:microsoft.com/office/officeart/2005/8/layout/cycle7"/>
    <dgm:cxn modelId="{F2E1F981-0CE6-4785-9F87-B550BC73D258}" type="presOf" srcId="{52642976-16EB-49D4-95FC-C9830E699577}" destId="{9B4E9590-0636-47DD-B36B-E19489E56DA5}" srcOrd="1" destOrd="0" presId="urn:microsoft.com/office/officeart/2005/8/layout/cycle7"/>
    <dgm:cxn modelId="{923CC08B-A88E-4A43-92C8-9D92337D500A}" type="presOf" srcId="{A554E93C-61E2-4DA0-8EE2-CCB02C83F1DB}" destId="{2E36242C-4968-4EA8-BA07-D5641ED6FB38}" srcOrd="0" destOrd="0" presId="urn:microsoft.com/office/officeart/2005/8/layout/cycle7"/>
    <dgm:cxn modelId="{6E0D0AAB-CB47-4FC2-B575-7553876A4E2E}" type="presOf" srcId="{C0C42823-1CA0-434A-AF50-9F4C475D41BD}" destId="{F63199DE-888D-4F8F-8C77-D6C1521968DC}" srcOrd="1" destOrd="0" presId="urn:microsoft.com/office/officeart/2005/8/layout/cycle7"/>
    <dgm:cxn modelId="{8D0FBCAC-65E9-4006-A8E0-6FD26C1EE965}" srcId="{7B5FC5A7-D4C0-4916-84CD-0776D87C2832}" destId="{7651D0B3-D0B4-4201-9E5F-6D1E1E7FADA6}" srcOrd="0" destOrd="0" parTransId="{4B5B314A-D215-4B62-B4E3-060B5FE79C99}" sibTransId="{C0C42823-1CA0-434A-AF50-9F4C475D41BD}"/>
    <dgm:cxn modelId="{3538ABBE-F9C5-4FA0-83AE-EBFC46EB3265}" srcId="{395A9799-1A13-48AD-8E88-DF8A43698553}" destId="{7A144A96-341C-4C4A-B00D-53ECD19371C6}" srcOrd="2" destOrd="0" parTransId="{7E70F6BE-F0EB-4559-82A2-5B73BAF78286}" sibTransId="{8D034E19-B07E-4EA0-B295-40535CE200E0}"/>
    <dgm:cxn modelId="{40A8D3C1-4E83-4B02-A08A-EA1CDC02CD15}" type="presOf" srcId="{240F613D-4C57-4BBE-8886-ACACB9A2221C}" destId="{8FFE737B-DB3F-4D72-BAE8-2748D20E0F48}" srcOrd="0" destOrd="0" presId="urn:microsoft.com/office/officeart/2005/8/layout/cycle7"/>
    <dgm:cxn modelId="{9F6D02DD-A6A5-4ED2-A86C-A82189973AD0}" type="presOf" srcId="{1F2DE806-24ED-47F6-BA03-020CC9575F1E}" destId="{EC7DF04C-5427-4FE1-9D65-05F5F6929795}" srcOrd="0" destOrd="1" presId="urn:microsoft.com/office/officeart/2005/8/layout/cycle7"/>
    <dgm:cxn modelId="{23AB97E9-88A7-44D5-867C-B47E68954706}" type="presOf" srcId="{5212CC44-B7B4-4AEC-87D8-C2E5E502E7F2}" destId="{D7488B2F-B706-4F2A-A069-F0D1BB0A53F8}" srcOrd="0" destOrd="0" presId="urn:microsoft.com/office/officeart/2005/8/layout/cycle7"/>
    <dgm:cxn modelId="{31793BF0-4585-4AB8-A755-4210410A9AC5}" type="presOf" srcId="{3FBD4D3F-3B17-4144-92EB-33E660C2890E}" destId="{2104AFA2-0D9F-49F6-A2FC-1583FB52D798}" srcOrd="0" destOrd="0" presId="urn:microsoft.com/office/officeart/2005/8/layout/cycle7"/>
    <dgm:cxn modelId="{FFDE3FFD-71E8-49B5-B232-1ECA0370C101}" srcId="{7B5FC5A7-D4C0-4916-84CD-0776D87C2832}" destId="{A554E93C-61E2-4DA0-8EE2-CCB02C83F1DB}" srcOrd="3" destOrd="0" parTransId="{4628B25C-CF95-4E25-9F5D-FB701E3E3DFA}" sibTransId="{3FBD4D3F-3B17-4144-92EB-33E660C2890E}"/>
    <dgm:cxn modelId="{770D545D-8159-4022-B7C0-D10BDCE642FB}" type="presParOf" srcId="{5B1158AB-4995-47A3-AEEE-EE37CFCD8CF8}" destId="{DC12FAF4-42F6-4D22-A0A4-55E8D2C9C856}" srcOrd="0" destOrd="0" presId="urn:microsoft.com/office/officeart/2005/8/layout/cycle7"/>
    <dgm:cxn modelId="{C723D0EB-7B6B-492C-861A-8E1CF9C1941C}" type="presParOf" srcId="{5B1158AB-4995-47A3-AEEE-EE37CFCD8CF8}" destId="{32B296CF-3F30-4F35-93DF-26BD302FD3D8}" srcOrd="1" destOrd="0" presId="urn:microsoft.com/office/officeart/2005/8/layout/cycle7"/>
    <dgm:cxn modelId="{F00B5276-E660-4193-B690-F5678D289A23}" type="presParOf" srcId="{32B296CF-3F30-4F35-93DF-26BD302FD3D8}" destId="{F63199DE-888D-4F8F-8C77-D6C1521968DC}" srcOrd="0" destOrd="0" presId="urn:microsoft.com/office/officeart/2005/8/layout/cycle7"/>
    <dgm:cxn modelId="{D00C81B9-2EF1-4CDC-A509-A55919AC488F}" type="presParOf" srcId="{5B1158AB-4995-47A3-AEEE-EE37CFCD8CF8}" destId="{EC7DF04C-5427-4FE1-9D65-05F5F6929795}" srcOrd="2" destOrd="0" presId="urn:microsoft.com/office/officeart/2005/8/layout/cycle7"/>
    <dgm:cxn modelId="{0E072C21-4C93-44EB-963B-7947A8E4ECBB}" type="presParOf" srcId="{5B1158AB-4995-47A3-AEEE-EE37CFCD8CF8}" destId="{655E335E-5305-47E8-AE6B-F67AB58EFE40}" srcOrd="3" destOrd="0" presId="urn:microsoft.com/office/officeart/2005/8/layout/cycle7"/>
    <dgm:cxn modelId="{DF430522-C62D-4510-BE5C-525342F83289}" type="presParOf" srcId="{655E335E-5305-47E8-AE6B-F67AB58EFE40}" destId="{9B4E9590-0636-47DD-B36B-E19489E56DA5}" srcOrd="0" destOrd="0" presId="urn:microsoft.com/office/officeart/2005/8/layout/cycle7"/>
    <dgm:cxn modelId="{C54EE631-5DE0-4BA6-BBD9-8F8F319801A7}" type="presParOf" srcId="{5B1158AB-4995-47A3-AEEE-EE37CFCD8CF8}" destId="{D7488B2F-B706-4F2A-A069-F0D1BB0A53F8}" srcOrd="4" destOrd="0" presId="urn:microsoft.com/office/officeart/2005/8/layout/cycle7"/>
    <dgm:cxn modelId="{FE768F23-275E-40D4-BF72-EAFF052144AA}" type="presParOf" srcId="{5B1158AB-4995-47A3-AEEE-EE37CFCD8CF8}" destId="{8FFE737B-DB3F-4D72-BAE8-2748D20E0F48}" srcOrd="5" destOrd="0" presId="urn:microsoft.com/office/officeart/2005/8/layout/cycle7"/>
    <dgm:cxn modelId="{B3CA6950-D5C8-4236-9BD5-B25D2FBC0B81}" type="presParOf" srcId="{8FFE737B-DB3F-4D72-BAE8-2748D20E0F48}" destId="{02363D6F-95A6-4BCF-9B82-389B028C2CFC}" srcOrd="0" destOrd="0" presId="urn:microsoft.com/office/officeart/2005/8/layout/cycle7"/>
    <dgm:cxn modelId="{28EAEA71-F614-416D-8BCC-F325BE031E89}" type="presParOf" srcId="{5B1158AB-4995-47A3-AEEE-EE37CFCD8CF8}" destId="{2E36242C-4968-4EA8-BA07-D5641ED6FB38}" srcOrd="6" destOrd="0" presId="urn:microsoft.com/office/officeart/2005/8/layout/cycle7"/>
    <dgm:cxn modelId="{D73BA348-B5D1-44C3-BFA0-3DEA0D4C8849}" type="presParOf" srcId="{5B1158AB-4995-47A3-AEEE-EE37CFCD8CF8}" destId="{2104AFA2-0D9F-49F6-A2FC-1583FB52D798}" srcOrd="7" destOrd="0" presId="urn:microsoft.com/office/officeart/2005/8/layout/cycle7"/>
    <dgm:cxn modelId="{4A0C951C-61D7-4DB4-9413-5ADE13BE2304}" type="presParOf" srcId="{2104AFA2-0D9F-49F6-A2FC-1583FB52D798}" destId="{BE1CEA2B-835F-4C99-B173-49609E068DE8}" srcOrd="0" destOrd="0" presId="urn:microsoft.com/office/officeart/2005/8/layout/cycle7"/>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27"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00749"/>
          <a:ext cx="1281907" cy="4164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72690" y="-1851635"/>
          <a:ext cx="360552"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1.2’ tab of the Excel Tables workbook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68926"/>
          <a:ext cx="1257118" cy="36664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a:off x="3370240" y="-1426549"/>
          <a:ext cx="352286"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To confirm the correct amounts for a budget measure, refer to the costing agreement provided by your AAU. Titles of measures are to be confirmed against the final agreed measures list distributed by the relevant AAU to the lead portfolio departments.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B83317B4-7045-4DCD-8F50-B5622AB2D037}">
      <dgm:prSet phldrT="[Text]" custT="1"/>
      <dgm:spPr>
        <a:xfrm rot="5400000">
          <a:off x="3370240" y="-1426549"/>
          <a:ext cx="352286" cy="4357596"/>
        </a:xfr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Information to be included in this table may also be taken from estimates adjustments for measures (i.e., those entered against the reason code ‘Government decision or measure’) in CBMS.</a:t>
          </a:r>
        </a:p>
      </dgm:t>
    </dgm:pt>
    <dgm:pt modelId="{1C63CA5A-348D-4F32-9B2E-D62394B2069A}" type="parTrans" cxnId="{26323E77-612F-4F7F-BBC9-DFF5DFAB3AE2}">
      <dgm:prSet/>
      <dgm:spPr/>
      <dgm:t>
        <a:bodyPr/>
        <a:lstStyle/>
        <a:p>
          <a:endParaRPr lang="en-AU"/>
        </a:p>
      </dgm:t>
    </dgm:pt>
    <dgm:pt modelId="{CFEB8D02-B29C-4864-A0CA-D6069D5E6899}" type="sibTrans" cxnId="{26323E77-612F-4F7F-BBC9-DFF5DFAB3AE2}">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17995">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21638">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50698">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ScaleX="116675" custScaleY="63373">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26323E77-612F-4F7F-BBC9-DFF5DFAB3AE2}" srcId="{2270194F-3A05-46DD-A0CD-048B97FC2BCB}" destId="{B83317B4-7045-4DCD-8F50-B5622AB2D037}" srcOrd="1" destOrd="0" parTransId="{1C63CA5A-348D-4F32-9B2E-D62394B2069A}" sibTransId="{CFEB8D02-B29C-4864-A0CA-D6069D5E6899}"/>
    <dgm:cxn modelId="{D4C818B5-AC1C-46B5-B22E-265A2347E016}" type="presOf" srcId="{2270194F-3A05-46DD-A0CD-048B97FC2BCB}" destId="{C64DF1C7-D61A-406A-AB60-FF06B2A44245}" srcOrd="0" destOrd="0" presId="urn:microsoft.com/office/officeart/2005/8/layout/vList5"/>
    <dgm:cxn modelId="{5A8B90C2-7E00-4075-8FA1-EF05C9B0ED7D}" type="presOf" srcId="{B83317B4-7045-4DCD-8F50-B5622AB2D037}" destId="{478632EF-AE70-4485-A945-610756A53A74}" srcOrd="0" destOrd="1"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3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224287"/>
          <a:ext cx="1281907" cy="3057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405926" y="-1783447"/>
          <a:ext cx="294081"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2.X.1’ tab of the Excel Tables workbook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FDF916DF-6E7B-4F0C-81E3-E76F05443004}">
      <dgm:prSet phldrT="[Text]" custT="1"/>
      <dgm:spPr>
        <a:xfrm rot="5400000">
          <a:off x="3405926" y="-1783447"/>
          <a:ext cx="294081" cy="4321182"/>
        </a:xfr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r>
            <a:rPr lang="en-AU" sz="900"/>
            <a:t>There is a template for non-corporate Commonwealth entities (coloured green) and a template for corporate Commonwealth entities and Commonwealth companies (coloured red).</a:t>
          </a:r>
          <a:endParaRPr lang="en-AU" sz="900">
            <a:solidFill>
              <a:sysClr val="windowText" lastClr="000000">
                <a:hueOff val="0"/>
                <a:satOff val="0"/>
                <a:lumOff val="0"/>
                <a:alphaOff val="0"/>
              </a:sysClr>
            </a:solidFill>
            <a:latin typeface="Arial" panose="020B0604020202020204"/>
            <a:ea typeface="+mn-ea"/>
            <a:cs typeface="+mn-cs"/>
          </a:endParaRPr>
        </a:p>
      </dgm:t>
    </dgm:pt>
    <dgm:pt modelId="{03B1E1A0-2404-4874-BC51-FFAFE27278B3}" type="parTrans" cxnId="{CB8AFA5F-A2AE-4F20-820F-A6E13E2E52B6}">
      <dgm:prSet/>
      <dgm:spPr/>
      <dgm:t>
        <a:bodyPr/>
        <a:lstStyle/>
        <a:p>
          <a:endParaRPr lang="en-AU"/>
        </a:p>
      </dgm:t>
    </dgm:pt>
    <dgm:pt modelId="{0B05EEF9-0BB3-47B2-BAAF-3BF74DA74C58}" type="sibTrans" cxnId="{CB8AFA5F-A2AE-4F20-820F-A6E13E2E52B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74699">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91507">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CB8AFA5F-A2AE-4F20-820F-A6E13E2E52B6}" srcId="{1A099D44-29DB-4F8B-8425-AD28E172EAD6}" destId="{FDF916DF-6E7B-4F0C-81E3-E76F05443004}" srcOrd="1" destOrd="0" parTransId="{03B1E1A0-2404-4874-BC51-FFAFE27278B3}" sibTransId="{0B05EEF9-0BB3-47B2-BAAF-3BF74DA74C58}"/>
    <dgm:cxn modelId="{AA2CD170-957C-40D7-A75F-65655B24E133}" type="presOf" srcId="{F117F5C2-3138-4759-9BD1-D409123FAC52}" destId="{375D3B99-DEF6-492D-BEEF-42D3B560A4BB}" srcOrd="0" destOrd="0" presId="urn:microsoft.com/office/officeart/2005/8/layout/vList5"/>
    <dgm:cxn modelId="{82D40F9C-3752-4CE9-B5BF-AE76EC7B1480}" type="presOf" srcId="{FDF916DF-6E7B-4F0C-81E3-E76F05443004}" destId="{54E4E918-C8B7-4E9E-9556-171B672104DF}" srcOrd="0" destOrd="1"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14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6279" y="99011"/>
          <a:ext cx="1281907" cy="58239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273404" y="-1770383"/>
          <a:ext cx="570749"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2.X.2’ tab of the Excel Tables workbook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 Optional worksheet.</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47814">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61279">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AA2CD170-957C-40D7-A75F-65655B24E133}" type="presOf" srcId="{F117F5C2-3138-4759-9BD1-D409123FAC52}" destId="{375D3B99-DEF6-492D-BEEF-42D3B560A4BB}" srcOrd="0" destOrd="0"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15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6279" y="136817"/>
          <a:ext cx="1281907" cy="25024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430494" y="-1898653"/>
          <a:ext cx="256569"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2.X.3’ tab of the Word templates (</a:t>
          </a:r>
          <a:r>
            <a:rPr lang="en-AU" sz="900" u="sng">
              <a:solidFill>
                <a:sysClr val="windowText" lastClr="000000">
                  <a:hueOff val="0"/>
                  <a:satOff val="0"/>
                  <a:lumOff val="0"/>
                  <a:alphaOff val="0"/>
                </a:sysClr>
              </a:solidFill>
              <a:latin typeface="Arial" panose="020B0604020202020204"/>
              <a:ea typeface="+mn-ea"/>
              <a:cs typeface="+mn-cs"/>
            </a:rPr>
            <a:t>Attachment C</a:t>
          </a:r>
          <a:r>
            <a:rPr lang="en-AU" sz="900">
              <a:solidFill>
                <a:sysClr val="windowText" lastClr="000000">
                  <a:hueOff val="0"/>
                  <a:satOff val="0"/>
                  <a:lumOff val="0"/>
                  <a:alphaOff val="0"/>
                </a:sysClr>
              </a:solidFill>
              <a:latin typeface="Arial" panose="020B0604020202020204"/>
              <a:ea typeface="+mn-ea"/>
              <a:cs typeface="+mn-cs"/>
            </a:rPr>
            <a:t>). </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47814">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61279">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AA2CD170-957C-40D7-A75F-65655B24E133}" type="presOf" srcId="{F117F5C2-3138-4759-9BD1-D409123FAC52}" destId="{375D3B99-DEF6-492D-BEEF-42D3B560A4BB}" srcOrd="0" destOrd="0"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158"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224287"/>
          <a:ext cx="1281907" cy="3057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405926" y="-1783447"/>
          <a:ext cx="294081"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templates in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614946"/>
          <a:ext cx="1257118" cy="86129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a:off x="3115734" y="-1133205"/>
          <a:ext cx="861299"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6573">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2462">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25025">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68"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5712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75224" y="-1814079"/>
          <a:ext cx="355485"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3.1 tab template in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83607"/>
          <a:ext cx="1257118" cy="2143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50877" y="-1488035"/>
          <a:ext cx="191012"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Comprehensive income statement (showing net cost of services)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44556">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52642">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77"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75224" y="-1843198"/>
          <a:ext cx="355485"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3.2 tab template in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Budgeted departmental balance sheet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83"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69476" y="-1843198"/>
          <a:ext cx="36698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3.3 tab template in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Departmental statement of changes in equity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88"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69476" y="-1843198"/>
          <a:ext cx="36698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3.4 tab template in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b="1" u="sng">
              <a:solidFill>
                <a:sysClr val="windowText" lastClr="000000">
                  <a:hueOff val="0"/>
                  <a:satOff val="0"/>
                  <a:lumOff val="0"/>
                  <a:alphaOff val="0"/>
                </a:sysClr>
              </a:solidFill>
              <a:latin typeface="Arial" panose="020B0604020202020204"/>
              <a:ea typeface="+mn-ea"/>
              <a:cs typeface="+mn-cs"/>
            </a:rPr>
            <a:t>Appendix 1</a:t>
          </a:r>
          <a:r>
            <a:rPr lang="en-AU" sz="900" u="sng">
              <a:solidFill>
                <a:sysClr val="windowText" lastClr="000000">
                  <a:hueOff val="0"/>
                  <a:satOff val="0"/>
                  <a:lumOff val="0"/>
                  <a:alphaOff val="0"/>
                </a:sysClr>
              </a:solidFill>
              <a:latin typeface="Arial" panose="020B0604020202020204"/>
              <a:ea typeface="+mn-ea"/>
              <a:cs typeface="+mn-cs"/>
            </a:rPr>
            <a:t> Budgeted departmental statement of cash flows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9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dgm:t>
        <a:bodyPr/>
        <a:lstStyle/>
        <a:p>
          <a:r>
            <a:rPr lang="en-AU">
              <a:solidFill>
                <a:sysClr val="windowText" lastClr="000000"/>
              </a:solidFill>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dgm:t>
        <a:bodyPr/>
        <a:lstStyle/>
        <a:p>
          <a:r>
            <a:rPr lang="en-AU" sz="900"/>
            <a:t>‘Figure 1’ tab of the Excel Tables workbook (</a:t>
          </a:r>
          <a:r>
            <a:rPr lang="en-AU" sz="900" u="sng"/>
            <a:t>Attachment B</a:t>
          </a:r>
          <a:r>
            <a:rPr lang="en-AU" sz="900"/>
            <a:t>).</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dgm:t>
        <a:bodyPr/>
        <a:lstStyle/>
        <a:p>
          <a:r>
            <a:rPr lang="en-AU">
              <a:solidFill>
                <a:sysClr val="windowText" lastClr="000000"/>
              </a:solidFill>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dgm:t>
        <a:bodyPr/>
        <a:lstStyle/>
        <a:p>
          <a:r>
            <a:rPr lang="en-AU" sz="900"/>
            <a:t>See Appendix 1 in this Guide</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40221">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3532">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35414">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ScaleX="116675" custScaleY="42534">
        <dgm:presLayoutVars>
          <dgm:bulletEnabled val="1"/>
        </dgm:presLayoutVars>
      </dgm:prSet>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69476" y="-1843198"/>
          <a:ext cx="36698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3.5 tab template in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b="1" u="sng">
              <a:solidFill>
                <a:sysClr val="windowText" lastClr="000000">
                  <a:hueOff val="0"/>
                  <a:satOff val="0"/>
                  <a:lumOff val="0"/>
                  <a:alphaOff val="0"/>
                </a:sysClr>
              </a:solidFill>
              <a:latin typeface="Arial" panose="020B0604020202020204"/>
              <a:ea typeface="+mn-ea"/>
              <a:cs typeface="+mn-cs"/>
            </a:rPr>
            <a:t>Appendix 1</a:t>
          </a:r>
          <a:r>
            <a:rPr lang="en-AU" sz="900" u="sng">
              <a:solidFill>
                <a:sysClr val="windowText" lastClr="000000">
                  <a:hueOff val="0"/>
                  <a:satOff val="0"/>
                  <a:lumOff val="0"/>
                  <a:alphaOff val="0"/>
                </a:sysClr>
              </a:solidFill>
              <a:latin typeface="Arial" panose="020B0604020202020204"/>
              <a:ea typeface="+mn-ea"/>
              <a:cs typeface="+mn-cs"/>
            </a:rPr>
            <a:t> Departmental capital budget statement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98"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69476" y="-1843198"/>
          <a:ext cx="36698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3.6 tab template in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b="1" u="sng">
              <a:solidFill>
                <a:sysClr val="windowText" lastClr="000000">
                  <a:hueOff val="0"/>
                  <a:satOff val="0"/>
                  <a:lumOff val="0"/>
                  <a:alphaOff val="0"/>
                </a:sysClr>
              </a:solidFill>
              <a:latin typeface="Arial" panose="020B0604020202020204"/>
              <a:ea typeface="+mn-ea"/>
              <a:cs typeface="+mn-cs"/>
            </a:rPr>
            <a:t>Appendix 1</a:t>
          </a:r>
          <a:r>
            <a:rPr lang="en-AU" sz="900" u="sng">
              <a:solidFill>
                <a:sysClr val="windowText" lastClr="000000">
                  <a:hueOff val="0"/>
                  <a:satOff val="0"/>
                  <a:lumOff val="0"/>
                  <a:alphaOff val="0"/>
                </a:sysClr>
              </a:solidFill>
              <a:latin typeface="Arial" panose="020B0604020202020204"/>
              <a:ea typeface="+mn-ea"/>
              <a:cs typeface="+mn-cs"/>
            </a:rPr>
            <a:t> Departmental statement of asset movements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203"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69476" y="-1843198"/>
          <a:ext cx="36698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templates in </a:t>
          </a:r>
          <a:r>
            <a:rPr lang="en-AU" sz="900" u="sng">
              <a:solidFill>
                <a:sysClr val="windowText" lastClr="000000">
                  <a:hueOff val="0"/>
                  <a:satOff val="0"/>
                  <a:lumOff val="0"/>
                  <a:alphaOff val="0"/>
                </a:sysClr>
              </a:solidFill>
              <a:latin typeface="Arial" panose="020B0604020202020204"/>
              <a:ea typeface="+mn-ea"/>
              <a:cs typeface="+mn-cs"/>
            </a:rPr>
            <a:t>Attachment B</a:t>
          </a:r>
          <a:r>
            <a:rPr lang="en-AU" sz="900">
              <a:solidFill>
                <a:sysClr val="windowText" lastClr="000000">
                  <a:hueOff val="0"/>
                  <a:satOff val="0"/>
                  <a:lumOff val="0"/>
                  <a:alphaOff val="0"/>
                </a:sysClr>
              </a:solidFill>
              <a:latin typeface="Arial" panose="020B0604020202020204"/>
              <a:ea typeface="+mn-ea"/>
              <a:cs typeface="+mn-cs"/>
            </a:rPr>
            <a:t>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b="1" u="sng">
              <a:solidFill>
                <a:sysClr val="windowText" lastClr="000000">
                  <a:hueOff val="0"/>
                  <a:satOff val="0"/>
                  <a:lumOff val="0"/>
                  <a:alphaOff val="0"/>
                </a:sysClr>
              </a:solidFill>
              <a:latin typeface="Arial" panose="020B0604020202020204"/>
              <a:ea typeface="+mn-ea"/>
              <a:cs typeface="+mn-cs"/>
            </a:rPr>
            <a:t>Appendix 1</a:t>
          </a:r>
          <a:r>
            <a:rPr lang="en-AU" sz="900" u="sng">
              <a:solidFill>
                <a:sysClr val="windowText" lastClr="000000">
                  <a:hueOff val="0"/>
                  <a:satOff val="0"/>
                  <a:lumOff val="0"/>
                  <a:alphaOff val="0"/>
                </a:sysClr>
              </a:solidFill>
              <a:latin typeface="Arial" panose="020B0604020202020204"/>
              <a:ea typeface="+mn-ea"/>
              <a:cs typeface="+mn-cs"/>
            </a:rPr>
            <a:t> Administered financial statements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20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custT="1"/>
      <dgm:spPr>
        <a:xfrm>
          <a:off x="116279" y="301625"/>
          <a:ext cx="1281907" cy="433069"/>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52085" y="-1642431"/>
          <a:ext cx="413386"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None/>
          </a:pPr>
          <a:r>
            <a:rPr lang="en-AU" sz="1000">
              <a:solidFill>
                <a:sysClr val="windowText" lastClr="000000">
                  <a:hueOff val="0"/>
                  <a:satOff val="0"/>
                  <a:lumOff val="0"/>
                  <a:alphaOff val="0"/>
                </a:sysClr>
              </a:solidFill>
              <a:latin typeface="Arial" panose="020B0604020202020204"/>
              <a:ea typeface="+mn-ea"/>
              <a:cs typeface="+mn-cs"/>
            </a:rPr>
            <a:t>‘Table 1.1’ tab of the Excel Tables workbook (</a:t>
          </a:r>
          <a:r>
            <a:rPr lang="en-AU" sz="1000" u="sng">
              <a:solidFill>
                <a:sysClr val="windowText" lastClr="000000">
                  <a:hueOff val="0"/>
                  <a:satOff val="0"/>
                  <a:lumOff val="0"/>
                  <a:alphaOff val="0"/>
                </a:sysClr>
              </a:solidFill>
              <a:latin typeface="Arial" panose="020B0604020202020204"/>
              <a:ea typeface="+mn-ea"/>
              <a:cs typeface="+mn-cs"/>
            </a:rPr>
            <a:t>Attachment B</a:t>
          </a:r>
          <a:r>
            <a:rPr lang="en-AU" sz="1000">
              <a:solidFill>
                <a:sysClr val="windowText" lastClr="000000">
                  <a:hueOff val="0"/>
                  <a:satOff val="0"/>
                  <a:lumOff val="0"/>
                  <a:alphaOff val="0"/>
                </a:sysClr>
              </a:solidFill>
              <a:latin typeface="Arial" panose="020B0604020202020204"/>
              <a:ea typeface="+mn-ea"/>
              <a:cs typeface="+mn-cs"/>
            </a:rPr>
            <a:t>). </a:t>
          </a:r>
          <a:endParaRPr lang="en-AU" sz="900">
            <a:solidFill>
              <a:sysClr val="windowText" lastClr="000000">
                <a:hueOff val="0"/>
                <a:satOff val="0"/>
                <a:lumOff val="0"/>
                <a:alphaOff val="0"/>
              </a:sysClr>
            </a:solidFill>
            <a:latin typeface="Arial" panose="020B0604020202020204"/>
            <a:ea typeface="+mn-ea"/>
            <a:cs typeface="+mn-cs"/>
          </a:endParaRP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313DBB09-96F1-4822-B004-F445C74322C0}">
      <dgm:prSet custT="1"/>
      <dgm:spPr>
        <a:xfrm rot="5400000">
          <a:off x="3352085" y="-1642431"/>
          <a:ext cx="413386"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1000">
              <a:solidFill>
                <a:sysClr val="windowText" lastClr="000000">
                  <a:hueOff val="0"/>
                  <a:satOff val="0"/>
                  <a:lumOff val="0"/>
                  <a:alphaOff val="0"/>
                </a:sysClr>
              </a:solidFill>
              <a:latin typeface="Arial" panose="020B0604020202020204"/>
              <a:ea typeface="+mn-ea"/>
              <a:cs typeface="+mn-cs"/>
            </a:rPr>
            <a:t>There is a template for non-corporate Commonwealth entities (coloured green) and a template for corporate Commonwealth entities and Commonwealth companies (coloured red).</a:t>
          </a:r>
        </a:p>
      </dgm:t>
    </dgm:pt>
    <dgm:pt modelId="{6E4889B1-4F16-4263-B184-BC523615391C}" type="parTrans" cxnId="{C9278168-8A3D-49A9-ACB8-930832A41755}">
      <dgm:prSet/>
      <dgm:spPr/>
      <dgm:t>
        <a:bodyPr/>
        <a:lstStyle/>
        <a:p>
          <a:endParaRPr lang="en-AU"/>
        </a:p>
      </dgm:t>
    </dgm:pt>
    <dgm:pt modelId="{91F5C21C-D372-4A39-8FCB-300EE83F7F5E}" type="sibTrans" cxnId="{C9278168-8A3D-49A9-ACB8-930832A41755}">
      <dgm:prSet/>
      <dgm:spPr/>
      <dgm:t>
        <a:bodyPr/>
        <a:lstStyle/>
        <a:p>
          <a:endParaRPr lang="en-AU"/>
        </a:p>
      </dgm:t>
    </dgm:pt>
    <dgm:pt modelId="{1F2B64E9-BC0B-4E6D-B634-32D02C2A0B3B}">
      <dgm:prSet phldrT="[Text]" custT="1"/>
      <dgm:spPr>
        <a:xfrm rot="5400000">
          <a:off x="3352085" y="-1642431"/>
          <a:ext cx="413386" cy="4321182"/>
        </a:xfr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None/>
          </a:pPr>
          <a:endParaRPr lang="en-AU" sz="900">
            <a:solidFill>
              <a:sysClr val="windowText" lastClr="000000">
                <a:hueOff val="0"/>
                <a:satOff val="0"/>
                <a:lumOff val="0"/>
                <a:alphaOff val="0"/>
              </a:sysClr>
            </a:solidFill>
            <a:latin typeface="Arial" panose="020B0604020202020204"/>
            <a:ea typeface="+mn-ea"/>
            <a:cs typeface="+mn-cs"/>
          </a:endParaRPr>
        </a:p>
      </dgm:t>
    </dgm:pt>
    <dgm:pt modelId="{DB1E0C00-1602-47D6-9443-769886CD8EB4}" type="parTrans" cxnId="{0656A895-B1B0-478C-8258-01261BB3A9A4}">
      <dgm:prSet/>
      <dgm:spPr/>
      <dgm:t>
        <a:bodyPr/>
        <a:lstStyle/>
        <a:p>
          <a:endParaRPr lang="en-AU"/>
        </a:p>
      </dgm:t>
    </dgm:pt>
    <dgm:pt modelId="{42BA0094-F626-4C13-90F7-2A2B4F191FB6}" type="sibTrans" cxnId="{0656A895-B1B0-478C-8258-01261BB3A9A4}">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63877">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8968" custScaleY="77331">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26965E22-CE19-4548-A081-CC8E6443EDF9}" type="presOf" srcId="{1F2B64E9-BC0B-4E6D-B634-32D02C2A0B3B}" destId="{54E4E918-C8B7-4E9E-9556-171B672104DF}" srcOrd="0" destOrd="1" presId="urn:microsoft.com/office/officeart/2005/8/layout/vList5"/>
    <dgm:cxn modelId="{C9278168-8A3D-49A9-ACB8-930832A41755}" srcId="{1A099D44-29DB-4F8B-8425-AD28E172EAD6}" destId="{313DBB09-96F1-4822-B004-F445C74322C0}" srcOrd="2" destOrd="0" parTransId="{6E4889B1-4F16-4263-B184-BC523615391C}" sibTransId="{91F5C21C-D372-4A39-8FCB-300EE83F7F5E}"/>
    <dgm:cxn modelId="{AA2CD170-957C-40D7-A75F-65655B24E133}" type="presOf" srcId="{F117F5C2-3138-4759-9BD1-D409123FAC52}" destId="{375D3B99-DEF6-492D-BEEF-42D3B560A4BB}" srcOrd="0" destOrd="0" presId="urn:microsoft.com/office/officeart/2005/8/layout/vList5"/>
    <dgm:cxn modelId="{0656A895-B1B0-478C-8258-01261BB3A9A4}" srcId="{1A099D44-29DB-4F8B-8425-AD28E172EAD6}" destId="{1F2B64E9-BC0B-4E6D-B634-32D02C2A0B3B}" srcOrd="1" destOrd="0" parTransId="{DB1E0C00-1602-47D6-9443-769886CD8EB4}" sibTransId="{42BA0094-F626-4C13-90F7-2A2B4F191FB6}"/>
    <dgm:cxn modelId="{2BC5949F-B710-431E-A9D3-C9809BBFDE7D}" type="presOf" srcId="{313DBB09-96F1-4822-B004-F445C74322C0}" destId="{54E4E918-C8B7-4E9E-9556-171B672104DF}" srcOrd="0" destOrd="2"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10467" y="795592"/>
          <a:ext cx="1257118" cy="286554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a:off x="2168356" y="49564"/>
          <a:ext cx="275605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b="1" i="0" u="sng">
              <a:solidFill>
                <a:sysClr val="windowText" lastClr="000000">
                  <a:hueOff val="0"/>
                  <a:satOff val="0"/>
                  <a:lumOff val="0"/>
                  <a:alphaOff val="0"/>
                </a:sysClr>
              </a:solidFill>
              <a:latin typeface="Arial" panose="020B0604020202020204"/>
              <a:ea typeface="+mn-ea"/>
              <a:cs typeface="+mn-cs"/>
            </a:rPr>
            <a:t>Appendix 1</a:t>
          </a:r>
          <a:r>
            <a:rPr lang="en-AU" sz="1000" i="0" u="sng">
              <a:solidFill>
                <a:sysClr val="windowText" lastClr="000000">
                  <a:hueOff val="0"/>
                  <a:satOff val="0"/>
                  <a:lumOff val="0"/>
                  <a:alphaOff val="0"/>
                </a:sysClr>
              </a:solidFill>
              <a:latin typeface="Arial" panose="020B0604020202020204"/>
              <a:ea typeface="+mn-ea"/>
              <a:cs typeface="+mn-cs"/>
            </a:rPr>
            <a:t> CBMS Reports link</a:t>
          </a:r>
          <a:r>
            <a:rPr lang="en-AU" sz="1000" i="0">
              <a:solidFill>
                <a:sysClr val="windowText" lastClr="000000">
                  <a:hueOff val="0"/>
                  <a:satOff val="0"/>
                  <a:lumOff val="0"/>
                  <a:alphaOff val="0"/>
                </a:sysClr>
              </a:solidFill>
              <a:latin typeface="Arial" panose="020B0604020202020204"/>
              <a:ea typeface="+mn-ea"/>
              <a:cs typeface="+mn-cs"/>
            </a:rPr>
            <a:t> </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9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0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0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1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2FAF4-42F6-4D22-A0A4-55E8D2C9C856}">
      <dsp:nvSpPr>
        <dsp:cNvPr id="0" name=""/>
        <dsp:cNvSpPr/>
      </dsp:nvSpPr>
      <dsp:spPr>
        <a:xfrm>
          <a:off x="364712" y="609455"/>
          <a:ext cx="2204639" cy="12896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Text" lastClr="000000"/>
              </a:solidFill>
            </a:rPr>
            <a:t>Budget Statements</a:t>
          </a:r>
        </a:p>
        <a:p>
          <a:pPr marL="0" lvl="0" indent="0" algn="ctr" defTabSz="444500">
            <a:lnSpc>
              <a:spcPct val="90000"/>
            </a:lnSpc>
            <a:spcBef>
              <a:spcPct val="0"/>
            </a:spcBef>
            <a:spcAft>
              <a:spcPct val="35000"/>
            </a:spcAft>
            <a:buNone/>
          </a:pPr>
          <a:r>
            <a:rPr lang="en-AU" sz="1000" kern="1200">
              <a:solidFill>
                <a:sysClr val="windowText" lastClr="000000"/>
              </a:solidFill>
            </a:rPr>
            <a:t>[PB Statements, Portfolio Additional Estimates Statements (PAES) and Portfolio Supplementary Additional Estimates Statements (PSAES)]</a:t>
          </a:r>
        </a:p>
        <a:p>
          <a:pPr marL="0" lvl="0" indent="0" algn="ctr" defTabSz="444500">
            <a:lnSpc>
              <a:spcPct val="90000"/>
            </a:lnSpc>
            <a:spcBef>
              <a:spcPct val="0"/>
            </a:spcBef>
            <a:spcAft>
              <a:spcPct val="35000"/>
            </a:spcAft>
            <a:buFont typeface="Symbol" panose="05050102010706020507" pitchFamily="18" charset="2"/>
            <a:buNone/>
          </a:pPr>
          <a:r>
            <a:rPr lang="en-AU" sz="1000" kern="1200">
              <a:solidFill>
                <a:sysClr val="windowText" lastClr="000000"/>
              </a:solidFill>
            </a:rPr>
            <a:t>Appropriations available/</a:t>
          </a:r>
          <a:r>
            <a:rPr lang="en-AU" sz="1000" kern="1200" baseline="0">
              <a:solidFill>
                <a:sysClr val="windowText" lastClr="000000"/>
              </a:solidFill>
            </a:rPr>
            <a:t>received</a:t>
          </a:r>
          <a:r>
            <a:rPr lang="en-AU" sz="1000" kern="1200">
              <a:solidFill>
                <a:sysClr val="windowText" lastClr="000000"/>
              </a:solidFill>
            </a:rPr>
            <a:t>, budgeted financial information and performance measures</a:t>
          </a:r>
          <a:endParaRPr lang="en-AU" sz="1000" b="1" kern="1200">
            <a:solidFill>
              <a:sysClr val="windowText" lastClr="000000"/>
            </a:solidFill>
          </a:endParaRPr>
        </a:p>
      </dsp:txBody>
      <dsp:txXfrm>
        <a:off x="402484" y="647227"/>
        <a:ext cx="2129095" cy="1214094"/>
      </dsp:txXfrm>
    </dsp:sp>
    <dsp:sp modelId="{32B296CF-3F30-4F35-93DF-26BD302FD3D8}">
      <dsp:nvSpPr>
        <dsp:cNvPr id="0" name=""/>
        <dsp:cNvSpPr/>
      </dsp:nvSpPr>
      <dsp:spPr>
        <a:xfrm rot="3801">
          <a:off x="2613289" y="1104370"/>
          <a:ext cx="1079768" cy="275736"/>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b="1" kern="1200">
            <a:solidFill>
              <a:sysClr val="windowText" lastClr="000000"/>
            </a:solidFill>
          </a:endParaRPr>
        </a:p>
      </dsp:txBody>
      <dsp:txXfrm>
        <a:off x="2696010" y="1159517"/>
        <a:ext cx="914326" cy="165442"/>
      </dsp:txXfrm>
    </dsp:sp>
    <dsp:sp modelId="{EC7DF04C-5427-4FE1-9D65-05F5F6929795}">
      <dsp:nvSpPr>
        <dsp:cNvPr id="0" name=""/>
        <dsp:cNvSpPr/>
      </dsp:nvSpPr>
      <dsp:spPr>
        <a:xfrm>
          <a:off x="3736994" y="844118"/>
          <a:ext cx="1648040" cy="776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AU" sz="1000" b="1" kern="1200">
              <a:solidFill>
                <a:sysClr val="windowText" lastClr="000000"/>
              </a:solidFill>
            </a:rPr>
            <a:t>Corporate Plan</a:t>
          </a:r>
          <a:endParaRPr lang="en-AU" sz="1000" kern="1200">
            <a:solidFill>
              <a:sysClr val="windowText" lastClr="000000"/>
            </a:solidFill>
          </a:endParaRPr>
        </a:p>
        <a:p>
          <a:pPr marL="57150" lvl="1" indent="-57150" algn="l" defTabSz="444500">
            <a:lnSpc>
              <a:spcPct val="90000"/>
            </a:lnSpc>
            <a:spcBef>
              <a:spcPct val="0"/>
            </a:spcBef>
            <a:spcAft>
              <a:spcPct val="15000"/>
            </a:spcAft>
            <a:buFont typeface="Symbol" panose="05050102010706020507" pitchFamily="18" charset="2"/>
            <a:buChar char=""/>
          </a:pPr>
          <a:r>
            <a:rPr lang="en-AU" sz="1000" kern="1200">
              <a:solidFill>
                <a:sysClr val="windowText" lastClr="000000"/>
              </a:solidFill>
            </a:rPr>
            <a:t>Purpose</a:t>
          </a:r>
        </a:p>
        <a:p>
          <a:pPr marL="57150" lvl="1" indent="-57150" algn="l" defTabSz="444500">
            <a:lnSpc>
              <a:spcPct val="90000"/>
            </a:lnSpc>
            <a:spcBef>
              <a:spcPct val="0"/>
            </a:spcBef>
            <a:spcAft>
              <a:spcPct val="15000"/>
            </a:spcAft>
            <a:buFont typeface="Symbol" panose="05050102010706020507" pitchFamily="18" charset="2"/>
            <a:buChar char=""/>
          </a:pPr>
          <a:r>
            <a:rPr lang="en-AU" sz="1000" kern="1200">
              <a:solidFill>
                <a:sysClr val="windowText" lastClr="000000"/>
              </a:solidFill>
            </a:rPr>
            <a:t>Key activities</a:t>
          </a:r>
        </a:p>
        <a:p>
          <a:pPr marL="57150" lvl="1" indent="-57150" algn="l" defTabSz="444500">
            <a:lnSpc>
              <a:spcPct val="90000"/>
            </a:lnSpc>
            <a:spcBef>
              <a:spcPct val="0"/>
            </a:spcBef>
            <a:spcAft>
              <a:spcPct val="15000"/>
            </a:spcAft>
            <a:buFont typeface="Symbol" panose="05050102010706020507" pitchFamily="18" charset="2"/>
            <a:buChar char=""/>
          </a:pPr>
          <a:r>
            <a:rPr lang="en-AU" sz="1000" kern="1200">
              <a:solidFill>
                <a:sysClr val="windowText" lastClr="000000"/>
              </a:solidFill>
            </a:rPr>
            <a:t>Performance measures</a:t>
          </a:r>
        </a:p>
      </dsp:txBody>
      <dsp:txXfrm>
        <a:off x="3759726" y="866850"/>
        <a:ext cx="1602576" cy="730678"/>
      </dsp:txXfrm>
    </dsp:sp>
    <dsp:sp modelId="{655E335E-5305-47E8-AE6B-F67AB58EFE40}">
      <dsp:nvSpPr>
        <dsp:cNvPr id="0" name=""/>
        <dsp:cNvSpPr/>
      </dsp:nvSpPr>
      <dsp:spPr>
        <a:xfrm rot="2557328">
          <a:off x="3683518" y="1667064"/>
          <a:ext cx="328050" cy="587258"/>
        </a:xfrm>
        <a:prstGeom prst="down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rot="10800000">
        <a:off x="3781933" y="1784516"/>
        <a:ext cx="131220" cy="352354"/>
      </dsp:txXfrm>
    </dsp:sp>
    <dsp:sp modelId="{D7488B2F-B706-4F2A-A069-F0D1BB0A53F8}">
      <dsp:nvSpPr>
        <dsp:cNvPr id="0" name=""/>
        <dsp:cNvSpPr/>
      </dsp:nvSpPr>
      <dsp:spPr>
        <a:xfrm>
          <a:off x="1531726" y="2258924"/>
          <a:ext cx="2631970" cy="9063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baseline="0">
              <a:solidFill>
                <a:sysClr val="windowText" lastClr="000000"/>
              </a:solidFill>
            </a:rPr>
            <a:t>Annual Report</a:t>
          </a:r>
        </a:p>
        <a:p>
          <a:pPr marL="0" lvl="0" indent="0" algn="ctr" defTabSz="444500">
            <a:lnSpc>
              <a:spcPct val="90000"/>
            </a:lnSpc>
            <a:spcBef>
              <a:spcPct val="0"/>
            </a:spcBef>
            <a:spcAft>
              <a:spcPct val="35000"/>
            </a:spcAft>
            <a:buNone/>
          </a:pPr>
          <a:r>
            <a:rPr lang="en-AU" sz="1000" kern="1200" baseline="0">
              <a:solidFill>
                <a:sysClr val="windowText" lastClr="000000"/>
              </a:solidFill>
            </a:rPr>
            <a:t>[Includes annual performance statements]</a:t>
          </a:r>
        </a:p>
        <a:p>
          <a:pPr marL="0" lvl="0" indent="0" algn="ctr" defTabSz="444500">
            <a:lnSpc>
              <a:spcPct val="90000"/>
            </a:lnSpc>
            <a:spcBef>
              <a:spcPct val="0"/>
            </a:spcBef>
            <a:spcAft>
              <a:spcPct val="35000"/>
            </a:spcAft>
            <a:buFont typeface="Symbol" panose="05050102010706020507" pitchFamily="18" charset="2"/>
            <a:buNone/>
          </a:pPr>
          <a:r>
            <a:rPr lang="en-AU" sz="1000" kern="1200" baseline="0">
              <a:solidFill>
                <a:sysClr val="windowText" lastClr="000000"/>
              </a:solidFill>
            </a:rPr>
            <a:t>Use of appropriations, actual financial information and actual performance against measures</a:t>
          </a:r>
        </a:p>
      </dsp:txBody>
      <dsp:txXfrm>
        <a:off x="1558271" y="2285469"/>
        <a:ext cx="2578880" cy="853219"/>
      </dsp:txXfrm>
    </dsp:sp>
    <dsp:sp modelId="{8FFE737B-DB3F-4D72-BAE8-2748D20E0F48}">
      <dsp:nvSpPr>
        <dsp:cNvPr id="0" name=""/>
        <dsp:cNvSpPr/>
      </dsp:nvSpPr>
      <dsp:spPr>
        <a:xfrm rot="18533940">
          <a:off x="2014404" y="1867537"/>
          <a:ext cx="285586" cy="436488"/>
        </a:xfrm>
        <a:prstGeom prst="down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rot="10800000">
        <a:off x="2100080" y="1954835"/>
        <a:ext cx="114234" cy="261892"/>
      </dsp:txXfrm>
    </dsp:sp>
    <dsp:sp modelId="{2E36242C-4968-4EA8-BA07-D5641ED6FB38}">
      <dsp:nvSpPr>
        <dsp:cNvPr id="0" name=""/>
        <dsp:cNvSpPr/>
      </dsp:nvSpPr>
      <dsp:spPr>
        <a:xfrm>
          <a:off x="610919" y="22912"/>
          <a:ext cx="1772026" cy="2819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Text" lastClr="000000"/>
              </a:solidFill>
            </a:rPr>
            <a:t>Annual Appropriation Acts</a:t>
          </a:r>
          <a:endParaRPr lang="en-AU" sz="1000" kern="1200">
            <a:solidFill>
              <a:sysClr val="windowText" lastClr="000000"/>
            </a:solidFill>
          </a:endParaRPr>
        </a:p>
      </dsp:txBody>
      <dsp:txXfrm>
        <a:off x="619177" y="31170"/>
        <a:ext cx="1755510" cy="265416"/>
      </dsp:txXfrm>
    </dsp:sp>
    <dsp:sp modelId="{2104AFA2-0D9F-49F6-A2FC-1583FB52D798}">
      <dsp:nvSpPr>
        <dsp:cNvPr id="0" name=""/>
        <dsp:cNvSpPr/>
      </dsp:nvSpPr>
      <dsp:spPr>
        <a:xfrm rot="10800000" flipV="1">
          <a:off x="1323740" y="355437"/>
          <a:ext cx="237079" cy="203429"/>
        </a:xfrm>
        <a:prstGeom prst="down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rot="10800000">
        <a:off x="1384769" y="396123"/>
        <a:ext cx="115021" cy="12205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405914" y="-1783417"/>
          <a:ext cx="294104"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1.2’ tab of the Excel Tables workbook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a:t>
          </a:r>
        </a:p>
      </dsp:txBody>
      <dsp:txXfrm rot="-5400000">
        <a:off x="1392376" y="244478"/>
        <a:ext cx="4306825" cy="265390"/>
      </dsp:txXfrm>
    </dsp:sp>
    <dsp:sp modelId="{15523528-9E14-462D-B95A-04233C9C0CD9}">
      <dsp:nvSpPr>
        <dsp:cNvPr id="0" name=""/>
        <dsp:cNvSpPr/>
      </dsp:nvSpPr>
      <dsp:spPr>
        <a:xfrm>
          <a:off x="110467" y="224305"/>
          <a:ext cx="1281907" cy="305736"/>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AU" sz="1600" kern="1200">
              <a:solidFill>
                <a:sysClr val="windowText" lastClr="000000"/>
              </a:solidFill>
              <a:latin typeface="Arial" panose="020B0604020202020204"/>
              <a:ea typeface="+mn-ea"/>
              <a:cs typeface="+mn-cs"/>
            </a:rPr>
            <a:t>Template</a:t>
          </a:r>
        </a:p>
      </dsp:txBody>
      <dsp:txXfrm>
        <a:off x="125392" y="239230"/>
        <a:ext cx="1252057" cy="275886"/>
      </dsp:txXfrm>
    </dsp:sp>
    <dsp:sp modelId="{478632EF-AE70-4485-A945-610756A53A74}">
      <dsp:nvSpPr>
        <dsp:cNvPr id="0" name=""/>
        <dsp:cNvSpPr/>
      </dsp:nvSpPr>
      <dsp:spPr>
        <a:xfrm rot="5400000">
          <a:off x="3115699" y="-1133121"/>
          <a:ext cx="861368"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To confirm the correct amounts for a budget measure, refer to the costing agreement provided by your AAU. Titles of measures are to be confirmed against the final agreed measures list distributed by the relevant AAU to the lead portfolio departments.</a:t>
          </a:r>
        </a:p>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Information to be included in this table may also be taken from estimates adjustments for measures (i.e., those entered against the reason code ‘Government decision or measure’) in CBMS.</a:t>
          </a:r>
        </a:p>
      </dsp:txBody>
      <dsp:txXfrm rot="-5400000">
        <a:off x="1367586" y="657041"/>
        <a:ext cx="4315547" cy="777270"/>
      </dsp:txXfrm>
    </dsp:sp>
    <dsp:sp modelId="{C64DF1C7-D61A-406A-AB60-FF06B2A44245}">
      <dsp:nvSpPr>
        <dsp:cNvPr id="0" name=""/>
        <dsp:cNvSpPr/>
      </dsp:nvSpPr>
      <dsp:spPr>
        <a:xfrm>
          <a:off x="110467" y="614995"/>
          <a:ext cx="1257118" cy="86136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AU" sz="1600" kern="1200">
              <a:solidFill>
                <a:sysClr val="windowText" lastClr="000000"/>
              </a:solidFill>
              <a:latin typeface="Arial" panose="020B0604020202020204"/>
              <a:ea typeface="+mn-ea"/>
              <a:cs typeface="+mn-cs"/>
            </a:rPr>
            <a:t>Source of Information</a:t>
          </a:r>
        </a:p>
      </dsp:txBody>
      <dsp:txXfrm>
        <a:off x="152515" y="657043"/>
        <a:ext cx="1173022" cy="77726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273393" y="-1770369"/>
          <a:ext cx="57077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2.X.1’ tab of the Excel Tables workbook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a:t>
          </a:r>
        </a:p>
        <a:p>
          <a:pPr marL="57150" lvl="1" indent="-57150" algn="l" defTabSz="400050">
            <a:lnSpc>
              <a:spcPct val="90000"/>
            </a:lnSpc>
            <a:spcBef>
              <a:spcPct val="0"/>
            </a:spcBef>
            <a:spcAft>
              <a:spcPct val="15000"/>
            </a:spcAft>
            <a:buChar char="•"/>
          </a:pPr>
          <a:r>
            <a:rPr lang="en-AU" sz="900" kern="1200"/>
            <a:t>There is a template for non-corporate Commonwealth entities (coloured green) and a template for corporate Commonwealth entities and Commonwealth companies (coloured red).</a:t>
          </a:r>
          <a:endParaRPr lang="en-AU" sz="900" kern="1200">
            <a:solidFill>
              <a:sysClr val="windowText" lastClr="000000">
                <a:hueOff val="0"/>
                <a:satOff val="0"/>
                <a:lumOff val="0"/>
                <a:alphaOff val="0"/>
              </a:sysClr>
            </a:solidFill>
            <a:latin typeface="Arial" panose="020B0604020202020204"/>
            <a:ea typeface="+mn-ea"/>
            <a:cs typeface="+mn-cs"/>
          </a:endParaRPr>
        </a:p>
      </dsp:txBody>
      <dsp:txXfrm rot="-5400000">
        <a:off x="1398188" y="132699"/>
        <a:ext cx="4293319" cy="515044"/>
      </dsp:txXfrm>
    </dsp:sp>
    <dsp:sp modelId="{15523528-9E14-462D-B95A-04233C9C0CD9}">
      <dsp:nvSpPr>
        <dsp:cNvPr id="0" name=""/>
        <dsp:cNvSpPr/>
      </dsp:nvSpPr>
      <dsp:spPr>
        <a:xfrm>
          <a:off x="116279" y="99014"/>
          <a:ext cx="1281907" cy="58241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AU" sz="2000" kern="1200">
              <a:solidFill>
                <a:sysClr val="windowText" lastClr="000000"/>
              </a:solidFill>
              <a:latin typeface="Arial" panose="020B0604020202020204"/>
              <a:ea typeface="+mn-ea"/>
              <a:cs typeface="+mn-cs"/>
            </a:rPr>
            <a:t>Template</a:t>
          </a:r>
        </a:p>
      </dsp:txBody>
      <dsp:txXfrm>
        <a:off x="144710" y="127445"/>
        <a:ext cx="1225045" cy="525551"/>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430419" y="-1898501"/>
          <a:ext cx="256718"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2.X.2’ tab of the Excel Tables workbook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 Optional worksheet.</a:t>
          </a:r>
        </a:p>
      </dsp:txBody>
      <dsp:txXfrm rot="-5400000">
        <a:off x="1398187" y="146263"/>
        <a:ext cx="4308650" cy="231654"/>
      </dsp:txXfrm>
    </dsp:sp>
    <dsp:sp modelId="{15523528-9E14-462D-B95A-04233C9C0CD9}">
      <dsp:nvSpPr>
        <dsp:cNvPr id="0" name=""/>
        <dsp:cNvSpPr/>
      </dsp:nvSpPr>
      <dsp:spPr>
        <a:xfrm>
          <a:off x="116279" y="136896"/>
          <a:ext cx="1281907" cy="250386"/>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Text" lastClr="000000"/>
              </a:solidFill>
              <a:latin typeface="Arial" panose="020B0604020202020204"/>
              <a:ea typeface="+mn-ea"/>
              <a:cs typeface="+mn-cs"/>
            </a:rPr>
            <a:t>Template</a:t>
          </a:r>
        </a:p>
      </dsp:txBody>
      <dsp:txXfrm>
        <a:off x="128502" y="149119"/>
        <a:ext cx="1257461" cy="22594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430419" y="-1898501"/>
          <a:ext cx="256718"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2.X.3’ tab of the Word templates (</a:t>
          </a:r>
          <a:r>
            <a:rPr lang="en-AU" sz="900" u="sng" kern="1200">
              <a:solidFill>
                <a:sysClr val="windowText" lastClr="000000">
                  <a:hueOff val="0"/>
                  <a:satOff val="0"/>
                  <a:lumOff val="0"/>
                  <a:alphaOff val="0"/>
                </a:sysClr>
              </a:solidFill>
              <a:latin typeface="Arial" panose="020B0604020202020204"/>
              <a:ea typeface="+mn-ea"/>
              <a:cs typeface="+mn-cs"/>
            </a:rPr>
            <a:t>Attachment C</a:t>
          </a:r>
          <a:r>
            <a:rPr lang="en-AU" sz="900" kern="1200">
              <a:solidFill>
                <a:sysClr val="windowText" lastClr="000000">
                  <a:hueOff val="0"/>
                  <a:satOff val="0"/>
                  <a:lumOff val="0"/>
                  <a:alphaOff val="0"/>
                </a:sysClr>
              </a:solidFill>
              <a:latin typeface="Arial" panose="020B0604020202020204"/>
              <a:ea typeface="+mn-ea"/>
              <a:cs typeface="+mn-cs"/>
            </a:rPr>
            <a:t>). </a:t>
          </a:r>
        </a:p>
      </dsp:txBody>
      <dsp:txXfrm rot="-5400000">
        <a:off x="1398187" y="146263"/>
        <a:ext cx="4308650" cy="231654"/>
      </dsp:txXfrm>
    </dsp:sp>
    <dsp:sp modelId="{15523528-9E14-462D-B95A-04233C9C0CD9}">
      <dsp:nvSpPr>
        <dsp:cNvPr id="0" name=""/>
        <dsp:cNvSpPr/>
      </dsp:nvSpPr>
      <dsp:spPr>
        <a:xfrm>
          <a:off x="116279" y="136896"/>
          <a:ext cx="1281907" cy="250386"/>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Text" lastClr="000000"/>
              </a:solidFill>
              <a:latin typeface="Arial" panose="020B0604020202020204"/>
              <a:ea typeface="+mn-ea"/>
              <a:cs typeface="+mn-cs"/>
            </a:rPr>
            <a:t>Template</a:t>
          </a:r>
        </a:p>
      </dsp:txBody>
      <dsp:txXfrm>
        <a:off x="128502" y="149119"/>
        <a:ext cx="1257461" cy="225940"/>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75199" y="-1814032"/>
          <a:ext cx="355533"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templates in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 to prepare their PB Statements document for publication.</a:t>
          </a:r>
        </a:p>
      </dsp:txBody>
      <dsp:txXfrm rot="-5400000">
        <a:off x="1392375" y="186148"/>
        <a:ext cx="4303826" cy="320821"/>
      </dsp:txXfrm>
    </dsp:sp>
    <dsp:sp modelId="{15523528-9E14-462D-B95A-04233C9C0CD9}">
      <dsp:nvSpPr>
        <dsp:cNvPr id="0" name=""/>
        <dsp:cNvSpPr/>
      </dsp:nvSpPr>
      <dsp:spPr>
        <a:xfrm>
          <a:off x="110467" y="157142"/>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75635"/>
        <a:ext cx="1244921" cy="341846"/>
      </dsp:txXfrm>
    </dsp:sp>
    <dsp:sp modelId="{478632EF-AE70-4485-A945-610756A53A74}">
      <dsp:nvSpPr>
        <dsp:cNvPr id="0" name=""/>
        <dsp:cNvSpPr/>
      </dsp:nvSpPr>
      <dsp:spPr>
        <a:xfrm rot="5400000" flipH="1">
          <a:off x="3450864" y="-1487941"/>
          <a:ext cx="191038"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367585" y="604664"/>
        <a:ext cx="4348270" cy="172386"/>
      </dsp:txXfrm>
    </dsp:sp>
    <dsp:sp modelId="{C64DF1C7-D61A-406A-AB60-FF06B2A44245}">
      <dsp:nvSpPr>
        <dsp:cNvPr id="0" name=""/>
        <dsp:cNvSpPr/>
      </dsp:nvSpPr>
      <dsp:spPr>
        <a:xfrm>
          <a:off x="110467" y="583686"/>
          <a:ext cx="1257118" cy="21434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0930" y="594149"/>
        <a:ext cx="1236192" cy="193414"/>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52034" y="-1843155"/>
          <a:ext cx="401863"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3.1 tab template in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 to prepare their PB Statements document for publication.</a:t>
          </a:r>
        </a:p>
      </dsp:txBody>
      <dsp:txXfrm rot="-5400000">
        <a:off x="1392375" y="136121"/>
        <a:ext cx="4301565" cy="362629"/>
      </dsp:txXfrm>
    </dsp:sp>
    <dsp:sp modelId="{15523528-9E14-462D-B95A-04233C9C0CD9}">
      <dsp:nvSpPr>
        <dsp:cNvPr id="0" name=""/>
        <dsp:cNvSpPr/>
      </dsp:nvSpPr>
      <dsp:spPr>
        <a:xfrm>
          <a:off x="110467" y="104850"/>
          <a:ext cx="1281907" cy="425169"/>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31222" y="125605"/>
        <a:ext cx="1240397" cy="383659"/>
      </dsp:txXfrm>
    </dsp:sp>
    <dsp:sp modelId="{478632EF-AE70-4485-A945-610756A53A74}">
      <dsp:nvSpPr>
        <dsp:cNvPr id="0" name=""/>
        <dsp:cNvSpPr/>
      </dsp:nvSpPr>
      <dsp:spPr>
        <a:xfrm rot="5400000" flipH="1">
          <a:off x="3427566" y="-1464772"/>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Comprehensive income statement (showing net cost of services) reports links</a:t>
          </a:r>
        </a:p>
      </dsp:txBody>
      <dsp:txXfrm rot="-5400000">
        <a:off x="1367586" y="606808"/>
        <a:ext cx="4345996" cy="214435"/>
      </dsp:txXfrm>
    </dsp:sp>
    <dsp:sp modelId="{C64DF1C7-D61A-406A-AB60-FF06B2A44245}">
      <dsp:nvSpPr>
        <dsp:cNvPr id="0" name=""/>
        <dsp:cNvSpPr/>
      </dsp:nvSpPr>
      <dsp:spPr>
        <a:xfrm>
          <a:off x="110467" y="577732"/>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91039"/>
        <a:ext cx="1230504" cy="245973"/>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3.2 tab template in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Budgeted departmental balance sheet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3.3 tab template in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Departmental statement of changes in equity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3.4 tab template in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b="1" u="sng" kern="1200">
              <a:solidFill>
                <a:sysClr val="windowText" lastClr="000000">
                  <a:hueOff val="0"/>
                  <a:satOff val="0"/>
                  <a:lumOff val="0"/>
                  <a:alphaOff val="0"/>
                </a:sysClr>
              </a:solidFill>
              <a:latin typeface="Arial" panose="020B0604020202020204"/>
              <a:ea typeface="+mn-ea"/>
              <a:cs typeface="+mn-cs"/>
            </a:rPr>
            <a:t>Appendix 1</a:t>
          </a:r>
          <a:r>
            <a:rPr lang="en-AU" sz="900" u="sng" kern="1200">
              <a:solidFill>
                <a:sysClr val="windowText" lastClr="000000">
                  <a:hueOff val="0"/>
                  <a:satOff val="0"/>
                  <a:lumOff val="0"/>
                  <a:alphaOff val="0"/>
                </a:sysClr>
              </a:solidFill>
              <a:latin typeface="Arial" panose="020B0604020202020204"/>
              <a:ea typeface="+mn-ea"/>
              <a:cs typeface="+mn-cs"/>
            </a:rPr>
            <a:t> Budgeted departmental statement of cash flows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72623" y="-1851520"/>
          <a:ext cx="360687" cy="432118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t>‘Figure 1’ tab of the Excel Tables workbook (</a:t>
          </a:r>
          <a:r>
            <a:rPr lang="en-AU" sz="900" u="sng" kern="1200"/>
            <a:t>Attachment B</a:t>
          </a:r>
          <a:r>
            <a:rPr lang="en-AU" sz="900" kern="1200"/>
            <a:t>).</a:t>
          </a:r>
        </a:p>
      </dsp:txBody>
      <dsp:txXfrm rot="-5400000">
        <a:off x="1392376" y="146334"/>
        <a:ext cx="4303575" cy="325473"/>
      </dsp:txXfrm>
    </dsp:sp>
    <dsp:sp modelId="{15523528-9E14-462D-B95A-04233C9C0CD9}">
      <dsp:nvSpPr>
        <dsp:cNvPr id="0" name=""/>
        <dsp:cNvSpPr/>
      </dsp:nvSpPr>
      <dsp:spPr>
        <a:xfrm>
          <a:off x="110467" y="100787"/>
          <a:ext cx="1281907" cy="41656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Template</a:t>
          </a:r>
        </a:p>
      </dsp:txBody>
      <dsp:txXfrm>
        <a:off x="130802" y="121122"/>
        <a:ext cx="1241237" cy="375897"/>
      </dsp:txXfrm>
    </dsp:sp>
    <dsp:sp modelId="{478632EF-AE70-4485-A945-610756A53A74}">
      <dsp:nvSpPr>
        <dsp:cNvPr id="0" name=""/>
        <dsp:cNvSpPr/>
      </dsp:nvSpPr>
      <dsp:spPr>
        <a:xfrm rot="5400000">
          <a:off x="3370174" y="-1426268"/>
          <a:ext cx="352418" cy="43575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t>See Appendix 1 in this Guide</a:t>
          </a:r>
        </a:p>
      </dsp:txBody>
      <dsp:txXfrm rot="-5400000">
        <a:off x="1367585" y="593525"/>
        <a:ext cx="4340392" cy="318010"/>
      </dsp:txXfrm>
    </dsp:sp>
    <dsp:sp modelId="{C64DF1C7-D61A-406A-AB60-FF06B2A44245}">
      <dsp:nvSpPr>
        <dsp:cNvPr id="0" name=""/>
        <dsp:cNvSpPr/>
      </dsp:nvSpPr>
      <dsp:spPr>
        <a:xfrm>
          <a:off x="110467" y="569139"/>
          <a:ext cx="1257118" cy="36678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Source of Information</a:t>
          </a:r>
        </a:p>
      </dsp:txBody>
      <dsp:txXfrm>
        <a:off x="128372" y="587044"/>
        <a:ext cx="1221308" cy="330971"/>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3.5 tab template in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b="1" u="sng" kern="1200">
              <a:solidFill>
                <a:sysClr val="windowText" lastClr="000000">
                  <a:hueOff val="0"/>
                  <a:satOff val="0"/>
                  <a:lumOff val="0"/>
                  <a:alphaOff val="0"/>
                </a:sysClr>
              </a:solidFill>
              <a:latin typeface="Arial" panose="020B0604020202020204"/>
              <a:ea typeface="+mn-ea"/>
              <a:cs typeface="+mn-cs"/>
            </a:rPr>
            <a:t>Appendix 1</a:t>
          </a:r>
          <a:r>
            <a:rPr lang="en-AU" sz="900" u="sng" kern="1200">
              <a:solidFill>
                <a:sysClr val="windowText" lastClr="000000">
                  <a:hueOff val="0"/>
                  <a:satOff val="0"/>
                  <a:lumOff val="0"/>
                  <a:alphaOff val="0"/>
                </a:sysClr>
              </a:solidFill>
              <a:latin typeface="Arial" panose="020B0604020202020204"/>
              <a:ea typeface="+mn-ea"/>
              <a:cs typeface="+mn-cs"/>
            </a:rPr>
            <a:t> Departmental capital budget statement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3.6 tab template in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b="1" u="sng" kern="1200">
              <a:solidFill>
                <a:sysClr val="windowText" lastClr="000000">
                  <a:hueOff val="0"/>
                  <a:satOff val="0"/>
                  <a:lumOff val="0"/>
                  <a:alphaOff val="0"/>
                </a:sysClr>
              </a:solidFill>
              <a:latin typeface="Arial" panose="020B0604020202020204"/>
              <a:ea typeface="+mn-ea"/>
              <a:cs typeface="+mn-cs"/>
            </a:rPr>
            <a:t>Appendix 1</a:t>
          </a:r>
          <a:r>
            <a:rPr lang="en-AU" sz="900" u="sng" kern="1200">
              <a:solidFill>
                <a:sysClr val="windowText" lastClr="000000">
                  <a:hueOff val="0"/>
                  <a:satOff val="0"/>
                  <a:lumOff val="0"/>
                  <a:alphaOff val="0"/>
                </a:sysClr>
              </a:solidFill>
              <a:latin typeface="Arial" panose="020B0604020202020204"/>
              <a:ea typeface="+mn-ea"/>
              <a:cs typeface="+mn-cs"/>
            </a:rPr>
            <a:t> Departmental statement of asset movements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templates in </a:t>
          </a:r>
          <a:r>
            <a:rPr lang="en-AU" sz="900" u="sng" kern="1200">
              <a:solidFill>
                <a:sysClr val="windowText" lastClr="000000">
                  <a:hueOff val="0"/>
                  <a:satOff val="0"/>
                  <a:lumOff val="0"/>
                  <a:alphaOff val="0"/>
                </a:sysClr>
              </a:solidFill>
              <a:latin typeface="Arial" panose="020B0604020202020204"/>
              <a:ea typeface="+mn-ea"/>
              <a:cs typeface="+mn-cs"/>
            </a:rPr>
            <a:t>Attachment B</a:t>
          </a:r>
          <a:r>
            <a:rPr lang="en-AU" sz="900" kern="1200">
              <a:solidFill>
                <a:sysClr val="windowText" lastClr="000000">
                  <a:hueOff val="0"/>
                  <a:satOff val="0"/>
                  <a:lumOff val="0"/>
                  <a:alphaOff val="0"/>
                </a:sysClr>
              </a:solidFill>
              <a:latin typeface="Arial" panose="020B0604020202020204"/>
              <a:ea typeface="+mn-ea"/>
              <a:cs typeface="+mn-cs"/>
            </a:rPr>
            <a:t>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b="1" u="sng" kern="1200">
              <a:solidFill>
                <a:sysClr val="windowText" lastClr="000000">
                  <a:hueOff val="0"/>
                  <a:satOff val="0"/>
                  <a:lumOff val="0"/>
                  <a:alphaOff val="0"/>
                </a:sysClr>
              </a:solidFill>
              <a:latin typeface="Arial" panose="020B0604020202020204"/>
              <a:ea typeface="+mn-ea"/>
              <a:cs typeface="+mn-cs"/>
            </a:rPr>
            <a:t>Appendix 1</a:t>
          </a:r>
          <a:r>
            <a:rPr lang="en-AU" sz="900" u="sng" kern="1200">
              <a:solidFill>
                <a:sysClr val="windowText" lastClr="000000">
                  <a:hueOff val="0"/>
                  <a:satOff val="0"/>
                  <a:lumOff val="0"/>
                  <a:alphaOff val="0"/>
                </a:sysClr>
              </a:solidFill>
              <a:latin typeface="Arial" panose="020B0604020202020204"/>
              <a:ea typeface="+mn-ea"/>
              <a:cs typeface="+mn-cs"/>
            </a:rPr>
            <a:t> Administered financial statements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56289" y="-1739290"/>
          <a:ext cx="716323" cy="4637597"/>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kern="1200">
              <a:solidFill>
                <a:sysClr val="windowText" lastClr="000000">
                  <a:hueOff val="0"/>
                  <a:satOff val="0"/>
                  <a:lumOff val="0"/>
                  <a:alphaOff val="0"/>
                </a:sysClr>
              </a:solidFill>
              <a:latin typeface="Arial" panose="020B0604020202020204"/>
              <a:ea typeface="+mn-ea"/>
              <a:cs typeface="+mn-cs"/>
            </a:rPr>
            <a:t>‘Table 1.1’ tab of the Excel Tables workbook (</a:t>
          </a:r>
          <a:r>
            <a:rPr lang="en-AU" sz="1000" u="sng" kern="1200">
              <a:solidFill>
                <a:sysClr val="windowText" lastClr="000000">
                  <a:hueOff val="0"/>
                  <a:satOff val="0"/>
                  <a:lumOff val="0"/>
                  <a:alphaOff val="0"/>
                </a:sysClr>
              </a:solidFill>
              <a:latin typeface="Arial" panose="020B0604020202020204"/>
              <a:ea typeface="+mn-ea"/>
              <a:cs typeface="+mn-cs"/>
            </a:rPr>
            <a:t>Attachment B</a:t>
          </a:r>
          <a:r>
            <a:rPr lang="en-AU" sz="1000" kern="1200">
              <a:solidFill>
                <a:sysClr val="windowText" lastClr="000000">
                  <a:hueOff val="0"/>
                  <a:satOff val="0"/>
                  <a:lumOff val="0"/>
                  <a:alphaOff val="0"/>
                </a:sysClr>
              </a:solidFill>
              <a:latin typeface="Arial" panose="020B0604020202020204"/>
              <a:ea typeface="+mn-ea"/>
              <a:cs typeface="+mn-cs"/>
            </a:rPr>
            <a:t>). </a:t>
          </a:r>
          <a:endParaRPr lang="en-AU" sz="900" kern="1200">
            <a:solidFill>
              <a:sysClr val="windowText" lastClr="000000">
                <a:hueOff val="0"/>
                <a:satOff val="0"/>
                <a:lumOff val="0"/>
                <a:alphaOff val="0"/>
              </a:sysClr>
            </a:solidFill>
            <a:latin typeface="Arial" panose="020B0604020202020204"/>
            <a:ea typeface="+mn-ea"/>
            <a:cs typeface="+mn-cs"/>
          </a:endParaRPr>
        </a:p>
        <a:p>
          <a:pPr marL="57150" lvl="1" indent="-57150" algn="l" defTabSz="400050">
            <a:lnSpc>
              <a:spcPct val="90000"/>
            </a:lnSpc>
            <a:spcBef>
              <a:spcPct val="0"/>
            </a:spcBef>
            <a:spcAft>
              <a:spcPct val="15000"/>
            </a:spcAft>
            <a:buNone/>
          </a:pPr>
          <a:endParaRPr lang="en-AU" sz="900" kern="1200">
            <a:solidFill>
              <a:sysClr val="windowText" lastClr="000000">
                <a:hueOff val="0"/>
                <a:satOff val="0"/>
                <a:lumOff val="0"/>
                <a:alphaOff val="0"/>
              </a:sysClr>
            </a:solidFill>
            <a:latin typeface="Arial" panose="020B0604020202020204"/>
            <a:ea typeface="+mn-ea"/>
            <a:cs typeface="+mn-cs"/>
          </a:endParaRPr>
        </a:p>
        <a:p>
          <a:pPr marL="57150" lvl="1" indent="-57150" algn="l" defTabSz="444500">
            <a:lnSpc>
              <a:spcPct val="90000"/>
            </a:lnSpc>
            <a:spcBef>
              <a:spcPct val="0"/>
            </a:spcBef>
            <a:spcAft>
              <a:spcPct val="15000"/>
            </a:spcAft>
            <a:buChar char="•"/>
          </a:pPr>
          <a:r>
            <a:rPr lang="en-AU" sz="1000" kern="1200">
              <a:solidFill>
                <a:sysClr val="windowText" lastClr="000000">
                  <a:hueOff val="0"/>
                  <a:satOff val="0"/>
                  <a:lumOff val="0"/>
                  <a:alphaOff val="0"/>
                </a:sysClr>
              </a:solidFill>
              <a:latin typeface="Arial" panose="020B0604020202020204"/>
              <a:ea typeface="+mn-ea"/>
              <a:cs typeface="+mn-cs"/>
            </a:rPr>
            <a:t>There is a template for non-corporate Commonwealth entities (coloured green) and a template for corporate Commonwealth entities and Commonwealth companies (coloured red).</a:t>
          </a:r>
        </a:p>
      </dsp:txBody>
      <dsp:txXfrm rot="-5400000">
        <a:off x="1395652" y="256315"/>
        <a:ext cx="4602629" cy="646387"/>
      </dsp:txXfrm>
    </dsp:sp>
    <dsp:sp modelId="{15523528-9E14-462D-B95A-04233C9C0CD9}">
      <dsp:nvSpPr>
        <dsp:cNvPr id="0" name=""/>
        <dsp:cNvSpPr/>
      </dsp:nvSpPr>
      <dsp:spPr>
        <a:xfrm>
          <a:off x="57670" y="209697"/>
          <a:ext cx="1337982" cy="73962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Text" lastClr="000000"/>
              </a:solidFill>
              <a:latin typeface="Arial" panose="020B0604020202020204"/>
              <a:ea typeface="+mn-ea"/>
              <a:cs typeface="+mn-cs"/>
            </a:rPr>
            <a:t>Template</a:t>
          </a:r>
        </a:p>
      </dsp:txBody>
      <dsp:txXfrm>
        <a:off x="93775" y="245802"/>
        <a:ext cx="1265772" cy="6674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b="1" i="0" u="sng" kern="1200">
              <a:solidFill>
                <a:sysClr val="windowText" lastClr="000000">
                  <a:hueOff val="0"/>
                  <a:satOff val="0"/>
                  <a:lumOff val="0"/>
                  <a:alphaOff val="0"/>
                </a:sysClr>
              </a:solidFill>
              <a:latin typeface="Arial" panose="020B0604020202020204"/>
              <a:ea typeface="+mn-ea"/>
              <a:cs typeface="+mn-cs"/>
            </a:rPr>
            <a:t>Appendix 1</a:t>
          </a:r>
          <a:r>
            <a:rPr lang="en-AU" sz="1000" i="0" u="sng" kern="1200">
              <a:solidFill>
                <a:sysClr val="windowText" lastClr="000000">
                  <a:hueOff val="0"/>
                  <a:satOff val="0"/>
                  <a:lumOff val="0"/>
                  <a:alphaOff val="0"/>
                </a:sysClr>
              </a:solidFill>
              <a:latin typeface="Arial" panose="020B0604020202020204"/>
              <a:ea typeface="+mn-ea"/>
              <a:cs typeface="+mn-cs"/>
            </a:rPr>
            <a:t> CBMS Reports link</a:t>
          </a:r>
          <a:r>
            <a:rPr lang="en-AU" sz="1000" i="0" kern="1200">
              <a:solidFill>
                <a:sysClr val="windowText" lastClr="000000">
                  <a:hueOff val="0"/>
                  <a:satOff val="0"/>
                  <a:lumOff val="0"/>
                  <a:alphaOff val="0"/>
                </a:sysClr>
              </a:solidFill>
              <a:latin typeface="Arial" panose="020B0604020202020204"/>
              <a:ea typeface="+mn-ea"/>
              <a:cs typeface="+mn-cs"/>
            </a:rPr>
            <a:t> </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34</Value>
      <Value>1</Value>
    </TaxCatchAll>
    <_dlc_DocId xmlns="6a7e9632-768a-49bf-85ac-c69233ab2a52">FIN33506-1566835604-290135</_dlc_DocId>
    <_dlc_DocIdUrl xmlns="6a7e9632-768a-49bf-85ac-c69233ab2a52">
      <Url>https://financegovau.sharepoint.com/sites/M365_DoF_50033506/_layouts/15/DocIdRedir.aspx?ID=FIN33506-1566835604-290135</Url>
      <Description>FIN33506-1566835604-290135</Description>
    </_dlc_DocIdUrl>
    <_dlc_DocIdPersistId xmlns="6a7e9632-768a-49bf-85ac-c69233ab2a52"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e0fcb3f570964638902a63147cd98219 xmlns="a334ba3b-e131-42d3-95f3-2728f5a41884">
      <Terms xmlns="http://schemas.microsoft.com/office/infopath/2007/PartnerControls"/>
    </e0fcb3f570964638902a63147cd98219>
    <lcf76f155ced4ddcb4097134ff3c332f xmlns="e39afc8f-a215-4bb1-9caf-c1c5d2f63d8a">
      <Terms xmlns="http://schemas.microsoft.com/office/infopath/2007/PartnerControls"/>
    </lcf76f155ced4ddcb4097134ff3c332f>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8F7CFF9272C47D4280006CCC81AF3990" ma:contentTypeVersion="37" ma:contentTypeDescription="Create a new document." ma:contentTypeScope="" ma:versionID="da8f9ad2c02c3556a9041c69aa27a8ef">
  <xsd:schema xmlns:xsd="http://www.w3.org/2001/XMLSchema" xmlns:xs="http://www.w3.org/2001/XMLSchema" xmlns:p="http://schemas.microsoft.com/office/2006/metadata/properties" xmlns:ns1="http://schemas.microsoft.com/sharepoint/v3" xmlns:ns2="a334ba3b-e131-42d3-95f3-2728f5a41884" xmlns:ns3="e39afc8f-a215-4bb1-9caf-c1c5d2f63d8a" xmlns:ns4="6a7e9632-768a-49bf-85ac-c69233ab2a52" targetNamespace="http://schemas.microsoft.com/office/2006/metadata/properties" ma:root="true" ma:fieldsID="6de6c09cb711aef49b9cf5afd4527068" ns1:_="" ns2:_="" ns3:_="" ns4:_="">
    <xsd:import namespace="http://schemas.microsoft.com/sharepoint/v3"/>
    <xsd:import namespace="a334ba3b-e131-42d3-95f3-2728f5a41884"/>
    <xsd:import namespace="e39afc8f-a215-4bb1-9caf-c1c5d2f63d8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2:TaxCatchAllLabel" minOccurs="0"/>
                <xsd:element ref="ns3:lcf76f155ced4ddcb4097134ff3c332f" minOccurs="0"/>
                <xsd:element ref="ns3:MediaServiceGenerationTime" minOccurs="0"/>
                <xsd:element ref="ns3:MediaServiceEventHashCode" minOccurs="0"/>
                <xsd:element ref="ns3:MediaServiceOCR" minOccurs="0"/>
                <xsd:element ref="ns3:MediaServiceMetadata" minOccurs="0"/>
                <xsd:element ref="ns3:MediaServiceDateTaken" minOccurs="0"/>
                <xsd:element ref="ns3:MediaLengthInSeconds" minOccurs="0"/>
                <xsd:element ref="ns3:MediaServiceObjectDetectorVersions" minOccurs="0"/>
                <xsd:element ref="ns4:_dlc_DocId" minOccurs="0"/>
                <xsd:element ref="ns4:_dlc_DocIdUrl" minOccurs="0"/>
                <xsd:element ref="ns4:_dlc_DocIdPersistId"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0"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2"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4"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19"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4c189e6-c560-40fe-97d1-6662c6a9f502}"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f4c189e6-c560-40fe-97d1-6662c6a9f50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9afc8f-a215-4bb1-9caf-c1c5d2f63d8a" elementFormDefault="qualified">
    <xsd:import namespace="http://schemas.microsoft.com/office/2006/documentManagement/types"/>
    <xsd:import namespace="http://schemas.microsoft.com/office/infopath/2007/PartnerControls"/>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DateTaken" ma:index="31" nillable="true" ma:displayName="MediaServiceDateTaken" ma:descriptio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08C142-43C9-4199-8BFD-870E06446540}">
  <ds:schemaRefs>
    <ds:schemaRef ds:uri="http://schemas.microsoft.com/office/2006/metadata/properties"/>
    <ds:schemaRef ds:uri="http://schemas.microsoft.com/office/infopath/2007/PartnerControls"/>
    <ds:schemaRef ds:uri="a334ba3b-e131-42d3-95f3-2728f5a41884"/>
    <ds:schemaRef ds:uri="6a7e9632-768a-49bf-85ac-c69233ab2a52"/>
    <ds:schemaRef ds:uri="e39afc8f-a215-4bb1-9caf-c1c5d2f63d8a"/>
    <ds:schemaRef ds:uri="http://schemas.microsoft.com/sharepoint/v3"/>
  </ds:schemaRefs>
</ds:datastoreItem>
</file>

<file path=customXml/itemProps2.xml><?xml version="1.0" encoding="utf-8"?>
<ds:datastoreItem xmlns:ds="http://schemas.openxmlformats.org/officeDocument/2006/customXml" ds:itemID="{C957B687-C610-48F5-973B-EC046A390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e39afc8f-a215-4bb1-9caf-c1c5d2f63d8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DB009-4226-4C46-88FD-34771B886685}">
  <ds:schemaRefs>
    <ds:schemaRef ds:uri="http://schemas.openxmlformats.org/officeDocument/2006/bibliography"/>
  </ds:schemaRefs>
</ds:datastoreItem>
</file>

<file path=customXml/itemProps4.xml><?xml version="1.0" encoding="utf-8"?>
<ds:datastoreItem xmlns:ds="http://schemas.openxmlformats.org/officeDocument/2006/customXml" ds:itemID="{B6BCE725-6E41-432E-AE60-B905C4FA59E9}">
  <ds:schemaRefs>
    <ds:schemaRef ds:uri="http://schemas.microsoft.com/sharepoint/v3/contenttype/forms"/>
  </ds:schemaRefs>
</ds:datastoreItem>
</file>

<file path=customXml/itemProps5.xml><?xml version="1.0" encoding="utf-8"?>
<ds:datastoreItem xmlns:ds="http://schemas.openxmlformats.org/officeDocument/2006/customXml" ds:itemID="{89E2C7A4-DFE3-4FCE-8AE5-F5E2E7878952}">
  <ds:schemaRefs>
    <ds:schemaRef ds:uri="Microsoft.SharePoint.Taxonomy.ContentTypeSync"/>
  </ds:schemaRefs>
</ds:datastoreItem>
</file>

<file path=customXml/itemProps6.xml><?xml version="1.0" encoding="utf-8"?>
<ds:datastoreItem xmlns:ds="http://schemas.openxmlformats.org/officeDocument/2006/customXml" ds:itemID="{63F527CA-634F-452F-9F10-3A337672C8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22465</Words>
  <Characters>125952</Characters>
  <Application>Microsoft Office Word</Application>
  <DocSecurity>0</DocSecurity>
  <Lines>2462</Lines>
  <Paragraphs>1465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preparing the 2026-27 Portfolio Budget Statements</dc:title>
  <dc:subject/>
  <dc:creator>Department of Finance</dc:creator>
  <cp:keywords>[SEC=OFFICIAL]</cp:keywords>
  <dc:description/>
  <cp:lastModifiedBy>Truong, Minh</cp:lastModifiedBy>
  <cp:revision>71</cp:revision>
  <cp:lastPrinted>2026-02-27T21:05:00Z</cp:lastPrinted>
  <dcterms:created xsi:type="dcterms:W3CDTF">2026-02-27T21:07:00Z</dcterms:created>
  <dcterms:modified xsi:type="dcterms:W3CDTF">2026-06-17T23:31:00Z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0x010100B7B479F47583304BA8B631462CC772D7008F7CFF9272C47D4280006CCC81AF3990</vt:lpwstr>
  </property>
  <property fmtid="{D5CDD505-2E9C-101B-9397-08002B2CF9AE}" pid="3" name="TaxKeyword">
    <vt:lpwstr>34;#[SEC=OFFICIAL]|07351cc0-de73-4913-be2f-56f124cbf8bb</vt:lpwstr>
  </property>
  <property fmtid="{D5CDD505-2E9C-101B-9397-08002B2CF9AE}" pid="4" name="AbtEntity">
    <vt:lpwstr>2;#Department of Finance|fd660e8f-8f31-49bd-92a3-d31d4da31afe</vt:lpwstr>
  </property>
  <property fmtid="{D5CDD505-2E9C-101B-9397-08002B2CF9AE}" pid="5" name="InitiatingEntity">
    <vt:lpwstr>2;#Department of Finance|fd660e8f-8f31-49bd-92a3-d31d4da31afe</vt:lpwstr>
  </property>
  <property fmtid="{D5CDD505-2E9C-101B-9397-08002B2CF9AE}" pid="6" name="Function and Activity">
    <vt:lpwstr/>
  </property>
  <property fmtid="{D5CDD505-2E9C-101B-9397-08002B2CF9AE}" pid="7" name="OrgUnit">
    <vt:lpwstr>133;#Performance|0f4dd21a-6494-4313-960a-2dff10e24755</vt:lpwstr>
  </property>
  <property fmtid="{D5CDD505-2E9C-101B-9397-08002B2CF9AE}" pid="8" name="KnowledgeTopics">
    <vt:lpwstr/>
  </property>
  <property fmtid="{D5CDD505-2E9C-101B-9397-08002B2CF9AE}" pid="9" name="DocumentType">
    <vt:lpwstr/>
  </property>
  <property fmtid="{D5CDD505-2E9C-101B-9397-08002B2CF9AE}" pid="10" name="ResponsibleArea">
    <vt:lpwstr/>
  </property>
  <property fmtid="{D5CDD505-2E9C-101B-9397-08002B2CF9AE}" pid="11" name="EmReceivedByName">
    <vt:lpwstr/>
  </property>
  <property fmtid="{D5CDD505-2E9C-101B-9397-08002B2CF9AE}" pid="12" name="EmSubject">
    <vt:lpwstr/>
  </property>
  <property fmtid="{D5CDD505-2E9C-101B-9397-08002B2CF9AE}" pid="13" name="EmToAddress">
    <vt:lpwstr/>
  </property>
  <property fmtid="{D5CDD505-2E9C-101B-9397-08002B2CF9AE}" pid="14" name="EmCategory">
    <vt:lpwstr/>
  </property>
  <property fmtid="{D5CDD505-2E9C-101B-9397-08002B2CF9AE}" pid="15" name="EmConversationIndex">
    <vt:lpwstr/>
  </property>
  <property fmtid="{D5CDD505-2E9C-101B-9397-08002B2CF9AE}" pid="16" name="EmBody">
    <vt:lpwstr/>
  </property>
  <property fmtid="{D5CDD505-2E9C-101B-9397-08002B2CF9AE}" pid="17" name="EmHasAttachments">
    <vt:bool>false</vt:bool>
  </property>
  <property fmtid="{D5CDD505-2E9C-101B-9397-08002B2CF9AE}" pid="18" name="EmCC">
    <vt:lpwstr/>
  </property>
  <property fmtid="{D5CDD505-2E9C-101B-9397-08002B2CF9AE}" pid="19" name="EmBCCSMTPAddress">
    <vt:lpwstr/>
  </property>
  <property fmtid="{D5CDD505-2E9C-101B-9397-08002B2CF9AE}" pid="20" name="EmFromName">
    <vt:lpwstr/>
  </property>
  <property fmtid="{D5CDD505-2E9C-101B-9397-08002B2CF9AE}" pid="21" name="About Entity">
    <vt:lpwstr>1;#Department of Finance|fd660e8f-8f31-49bd-92a3-d31d4da31afe</vt:lpwstr>
  </property>
  <property fmtid="{D5CDD505-2E9C-101B-9397-08002B2CF9AE}" pid="22" name="EmFrom">
    <vt:lpwstr/>
  </property>
  <property fmtid="{D5CDD505-2E9C-101B-9397-08002B2CF9AE}" pid="23" name="EmAttachmentNames">
    <vt:lpwstr/>
  </property>
  <property fmtid="{D5CDD505-2E9C-101B-9397-08002B2CF9AE}" pid="24" name="EmSentOnBehalfOfName">
    <vt:lpwstr/>
  </property>
  <property fmtid="{D5CDD505-2E9C-101B-9397-08002B2CF9AE}" pid="25" name="EmTo">
    <vt:lpwstr/>
  </property>
  <property fmtid="{D5CDD505-2E9C-101B-9397-08002B2CF9AE}" pid="26" name="EmToSMTPAddress">
    <vt:lpwstr/>
  </property>
  <property fmtid="{D5CDD505-2E9C-101B-9397-08002B2CF9AE}" pid="27" name="Initiating Entity">
    <vt:lpwstr>1;#Department of Finance|fd660e8f-8f31-49bd-92a3-d31d4da31afe</vt:lpwstr>
  </property>
  <property fmtid="{D5CDD505-2E9C-101B-9397-08002B2CF9AE}" pid="28" name="Organisation Unit">
    <vt:lpwstr/>
  </property>
  <property fmtid="{D5CDD505-2E9C-101B-9397-08002B2CF9AE}" pid="29" name="EmCCSMTPAddress">
    <vt:lpwstr/>
  </property>
  <property fmtid="{D5CDD505-2E9C-101B-9397-08002B2CF9AE}" pid="30" name="EmConversationID">
    <vt:lpwstr/>
  </property>
  <property fmtid="{D5CDD505-2E9C-101B-9397-08002B2CF9AE}" pid="31" name="EmBCC">
    <vt:lpwstr/>
  </property>
  <property fmtid="{D5CDD505-2E9C-101B-9397-08002B2CF9AE}" pid="32" name="EmID">
    <vt:lpwstr/>
  </property>
  <property fmtid="{D5CDD505-2E9C-101B-9397-08002B2CF9AE}" pid="33" name="EmCon">
    <vt:lpwstr/>
  </property>
  <property fmtid="{D5CDD505-2E9C-101B-9397-08002B2CF9AE}" pid="34" name="EmCompanies">
    <vt:lpwstr/>
  </property>
  <property fmtid="{D5CDD505-2E9C-101B-9397-08002B2CF9AE}" pid="35" name="EmFromSMTPAddress">
    <vt:lpwstr/>
  </property>
  <property fmtid="{D5CDD505-2E9C-101B-9397-08002B2CF9AE}" pid="36" name="EmAttachCount">
    <vt:lpwstr/>
  </property>
  <property fmtid="{D5CDD505-2E9C-101B-9397-08002B2CF9AE}" pid="37" name="EmReceivedOnBehalfOfName">
    <vt:lpwstr/>
  </property>
  <property fmtid="{D5CDD505-2E9C-101B-9397-08002B2CF9AE}" pid="38" name="EmReplyRecipients">
    <vt:lpwstr/>
  </property>
  <property fmtid="{D5CDD505-2E9C-101B-9397-08002B2CF9AE}" pid="39" name="EmRetentionPolicyName">
    <vt:lpwstr/>
  </property>
  <property fmtid="{D5CDD505-2E9C-101B-9397-08002B2CF9AE}" pid="40" name="EmReplyRecipientNames">
    <vt:lpwstr/>
  </property>
  <property fmtid="{D5CDD505-2E9C-101B-9397-08002B2CF9AE}" pid="41" name="MediaServiceImageTags">
    <vt:lpwstr/>
  </property>
  <property fmtid="{D5CDD505-2E9C-101B-9397-08002B2CF9AE}" pid="42" name="ClassificationContentMarkingHeaderShapeIds">
    <vt:lpwstr>9,a,c,d,11,12,13,14,15</vt:lpwstr>
  </property>
  <property fmtid="{D5CDD505-2E9C-101B-9397-08002B2CF9AE}" pid="43" name="ClassificationContentMarkingHeaderFontProps">
    <vt:lpwstr>#ff0000,12,Calibri</vt:lpwstr>
  </property>
  <property fmtid="{D5CDD505-2E9C-101B-9397-08002B2CF9AE}" pid="44" name="ClassificationContentMarkingHeaderText">
    <vt:lpwstr>OFFICIAL</vt:lpwstr>
  </property>
  <property fmtid="{D5CDD505-2E9C-101B-9397-08002B2CF9AE}" pid="45" name="MSIP_Label_87d6481e-ccdd-4ab6-8b26-05a0df5699e7_Enabled">
    <vt:lpwstr>true</vt:lpwstr>
  </property>
  <property fmtid="{D5CDD505-2E9C-101B-9397-08002B2CF9AE}" pid="46" name="MSIP_Label_87d6481e-ccdd-4ab6-8b26-05a0df5699e7_Name">
    <vt:lpwstr>OFFICIAL</vt:lpwstr>
  </property>
  <property fmtid="{D5CDD505-2E9C-101B-9397-08002B2CF9AE}" pid="47" name="MSIP_Label_87d6481e-ccdd-4ab6-8b26-05a0df5699e7_SiteId">
    <vt:lpwstr>08954cee-4782-4ff6-9ad5-1997dccef4b0</vt:lpwstr>
  </property>
  <property fmtid="{D5CDD505-2E9C-101B-9397-08002B2CF9AE}" pid="48" name="PM_ProtectiveMarkingValue_Header">
    <vt:lpwstr>OFFICIAL</vt:lpwstr>
  </property>
  <property fmtid="{D5CDD505-2E9C-101B-9397-08002B2CF9AE}" pid="49" name="PM_DisplayValueSecClassificationWithQualifier">
    <vt:lpwstr>OFFICIAL</vt:lpwstr>
  </property>
  <property fmtid="{D5CDD505-2E9C-101B-9397-08002B2CF9AE}" pid="50" name="PM_ProtectiveMarkingValue_Footer">
    <vt:lpwstr>OFFICIAL</vt:lpwstr>
  </property>
  <property fmtid="{D5CDD505-2E9C-101B-9397-08002B2CF9AE}" pid="51" name="PM_InsertionValue">
    <vt:lpwstr>OFFICIAL</vt:lpwstr>
  </property>
  <property fmtid="{D5CDD505-2E9C-101B-9397-08002B2CF9AE}" pid="52" name="PM_Display">
    <vt:lpwstr>OFFICIAL</vt:lpwstr>
  </property>
  <property fmtid="{D5CDD505-2E9C-101B-9397-08002B2CF9AE}" pid="53" name="PM_SecurityClassification_Prev">
    <vt:lpwstr>OFFICIAL</vt:lpwstr>
  </property>
  <property fmtid="{D5CDD505-2E9C-101B-9397-08002B2CF9AE}" pid="54" name="PM_Originating_FileId">
    <vt:lpwstr>BE1A01DACB6E432AAB221F78B7A5298B</vt:lpwstr>
  </property>
  <property fmtid="{D5CDD505-2E9C-101B-9397-08002B2CF9AE}" pid="55" name="PM_Caveats_Count">
    <vt:lpwstr>0</vt:lpwstr>
  </property>
  <property fmtid="{D5CDD505-2E9C-101B-9397-08002B2CF9AE}" pid="56" name="PM_Qualifier_Prev">
    <vt:lpwstr/>
  </property>
  <property fmtid="{D5CDD505-2E9C-101B-9397-08002B2CF9AE}" pid="57" name="PM_SecurityClassification">
    <vt:lpwstr>OFFICIAL</vt:lpwstr>
  </property>
  <property fmtid="{D5CDD505-2E9C-101B-9397-08002B2CF9AE}" pid="58" name="PM_Qualifier">
    <vt:lpwstr/>
  </property>
  <property fmtid="{D5CDD505-2E9C-101B-9397-08002B2CF9AE}" pid="59" name="PM_ProtectiveMarkingImage_Header">
    <vt:lpwstr>C:\Program Files\Common Files\janusNET Shared\janusSEAL\Images\DocumentSlashBlue.png</vt:lpwstr>
  </property>
  <property fmtid="{D5CDD505-2E9C-101B-9397-08002B2CF9AE}" pid="60" name="PM_ProtectiveMarkingImage_Footer">
    <vt:lpwstr>C:\Program Files\Common Files\janusNET Shared\janusSEAL\Images\DocumentSlashBlue.png</vt:lpwstr>
  </property>
  <property fmtid="{D5CDD505-2E9C-101B-9397-08002B2CF9AE}" pid="61" name="PM_Namespace">
    <vt:lpwstr>gov.au</vt:lpwstr>
  </property>
  <property fmtid="{D5CDD505-2E9C-101B-9397-08002B2CF9AE}" pid="62" name="PM_Version">
    <vt:lpwstr>2018.4</vt:lpwstr>
  </property>
  <property fmtid="{D5CDD505-2E9C-101B-9397-08002B2CF9AE}" pid="63" name="PM_Note">
    <vt:lpwstr/>
  </property>
  <property fmtid="{D5CDD505-2E9C-101B-9397-08002B2CF9AE}" pid="64" name="PM_Markers">
    <vt:lpwstr/>
  </property>
  <property fmtid="{D5CDD505-2E9C-101B-9397-08002B2CF9AE}" pid="65" name="PMUuid">
    <vt:lpwstr>v=2022.2;d=gov.au;g=46DD6D7C-8107-577B-BC6E-F348953B2E44</vt:lpwstr>
  </property>
  <property fmtid="{D5CDD505-2E9C-101B-9397-08002B2CF9AE}" pid="66" name="PM_Hash_Version">
    <vt:lpwstr>2022.1</vt:lpwstr>
  </property>
  <property fmtid="{D5CDD505-2E9C-101B-9397-08002B2CF9AE}" pid="67" name="PM_OriginatorDomainName_SHA256">
    <vt:lpwstr>325440F6CA31C4C3BCE4433552DC42928CAAD3E2731ABE35FDE729ECEB763AF0</vt:lpwstr>
  </property>
  <property fmtid="{D5CDD505-2E9C-101B-9397-08002B2CF9AE}" pid="68" name="MSIP_Label_87d6481e-ccdd-4ab6-8b26-05a0df5699e7_SetDate">
    <vt:lpwstr>2023-03-07T06:47:02Z</vt:lpwstr>
  </property>
  <property fmtid="{D5CDD505-2E9C-101B-9397-08002B2CF9AE}" pid="69" name="PM_OriginationTimeStamp">
    <vt:lpwstr>2023-03-07T06:47:02Z</vt:lpwstr>
  </property>
  <property fmtid="{D5CDD505-2E9C-101B-9397-08002B2CF9AE}" pid="70" name="MSIP_Label_87d6481e-ccdd-4ab6-8b26-05a0df5699e7_Method">
    <vt:lpwstr>Privileged</vt:lpwstr>
  </property>
  <property fmtid="{D5CDD505-2E9C-101B-9397-08002B2CF9AE}" pid="71" name="MSIP_Label_87d6481e-ccdd-4ab6-8b26-05a0df5699e7_ContentBits">
    <vt:lpwstr>3</vt:lpwstr>
  </property>
  <property fmtid="{D5CDD505-2E9C-101B-9397-08002B2CF9AE}" pid="72" name="About_x0020_Entity">
    <vt:lpwstr>1;#Department of Finance|fd660e8f-8f31-49bd-92a3-d31d4da31afe</vt:lpwstr>
  </property>
  <property fmtid="{D5CDD505-2E9C-101B-9397-08002B2CF9AE}" pid="73" name="Function_x0020_and_x0020_Activity">
    <vt:lpwstr/>
  </property>
  <property fmtid="{D5CDD505-2E9C-101B-9397-08002B2CF9AE}" pid="74" name="Initiating_x0020_Entity">
    <vt:lpwstr>1;#Department of Finance|fd660e8f-8f31-49bd-92a3-d31d4da31afe</vt:lpwstr>
  </property>
  <property fmtid="{D5CDD505-2E9C-101B-9397-08002B2CF9AE}" pid="75" name="Organisation_x0020_Unit">
    <vt:lpwstr/>
  </property>
  <property fmtid="{D5CDD505-2E9C-101B-9397-08002B2CF9AE}" pid="76" name="_dlc_DocIdItemGuid">
    <vt:lpwstr>a0aaa8fb-3cf3-43e9-b666-cc59ecfb7903</vt:lpwstr>
  </property>
  <property fmtid="{D5CDD505-2E9C-101B-9397-08002B2CF9AE}" pid="77" name="docLang">
    <vt:lpwstr>en</vt:lpwstr>
  </property>
  <property fmtid="{D5CDD505-2E9C-101B-9397-08002B2CF9AE}" pid="78" name="PM_OriginatorUserAccountName_SHA256">
    <vt:lpwstr>3F9C3930C95A80FE14E5E569A96906FECB80D374DD6F0E6814A1821B290CD60B</vt:lpwstr>
  </property>
  <property fmtid="{D5CDD505-2E9C-101B-9397-08002B2CF9AE}" pid="79" name="PM_Originator_Hash_SHA1">
    <vt:lpwstr>C4E8576B6510B1FB5DEF9BBC04AB3A64E004CBD8</vt:lpwstr>
  </property>
  <property fmtid="{D5CDD505-2E9C-101B-9397-08002B2CF9AE}" pid="80" name="PM_Hash_Salt_Prev">
    <vt:lpwstr>238F70761C4A9FD3F15D83C4203EC9A1</vt:lpwstr>
  </property>
  <property fmtid="{D5CDD505-2E9C-101B-9397-08002B2CF9AE}" pid="81" name="PM_Hash_Salt">
    <vt:lpwstr>5EAD4E5C0D08AD6CF7BD8D005B8EC4C4</vt:lpwstr>
  </property>
  <property fmtid="{D5CDD505-2E9C-101B-9397-08002B2CF9AE}" pid="82" name="PM_Hash_SHA1">
    <vt:lpwstr>25FDA82E199D54598201A443E43DD8C7A72231F5</vt:lpwstr>
  </property>
  <property fmtid="{D5CDD505-2E9C-101B-9397-08002B2CF9AE}" pid="83" name="PMHMAC">
    <vt:lpwstr>v=2022.1;a=SHA256;h=415F926FD91489FC0C512FE2442C04348533901629FE709332EBB633C52A8710</vt:lpwstr>
  </property>
  <property fmtid="{D5CDD505-2E9C-101B-9397-08002B2CF9AE}" pid="84" name="MSIP_Label_87d6481e-ccdd-4ab6-8b26-05a0df5699e7_ActionId">
    <vt:lpwstr>f20a5c8bb1e848da96351295bad35016</vt:lpwstr>
  </property>
  <property fmtid="{D5CDD505-2E9C-101B-9397-08002B2CF9AE}" pid="85" name="PM_Expires">
    <vt:lpwstr/>
  </property>
  <property fmtid="{D5CDD505-2E9C-101B-9397-08002B2CF9AE}" pid="86" name="PM_DownTo">
    <vt:lpwstr/>
  </property>
</Properties>
</file>