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DD5D7" w14:textId="77777777" w:rsidR="008F2996" w:rsidRDefault="008F2996" w:rsidP="008F2996"/>
    <w:p w14:paraId="6E67261C" w14:textId="77777777" w:rsidR="00F14ED9" w:rsidRPr="00F14ED9" w:rsidRDefault="00F14ED9" w:rsidP="00F14ED9">
      <w:pPr>
        <w:pStyle w:val="Title"/>
        <w:numPr>
          <w:ilvl w:val="0"/>
          <w:numId w:val="0"/>
        </w:numPr>
        <w:ind w:left="1134" w:hanging="1134"/>
        <w:jc w:val="left"/>
        <w:rPr>
          <w:color w:val="4A3F6E" w:themeColor="accent5" w:themeShade="BF"/>
        </w:rPr>
      </w:pPr>
      <w:bookmarkStart w:id="0" w:name="_Toc160715507"/>
      <w:bookmarkStart w:id="1" w:name="_Hlk160176604"/>
      <w:r w:rsidRPr="00F14ED9">
        <w:rPr>
          <w:color w:val="4A3F6E" w:themeColor="accent5" w:themeShade="BF"/>
        </w:rPr>
        <w:t>AGENCY GUIDANCE</w:t>
      </w:r>
      <w:bookmarkEnd w:id="0"/>
    </w:p>
    <w:p w14:paraId="14A913D2" w14:textId="3D024512" w:rsidR="008F2996" w:rsidRPr="00F14ED9" w:rsidRDefault="00F14ED9" w:rsidP="00F14ED9">
      <w:pPr>
        <w:rPr>
          <w:rFonts w:asciiTheme="majorHAnsi" w:eastAsiaTheme="majorEastAsia" w:hAnsiTheme="majorHAnsi" w:cstheme="majorBidi"/>
          <w:bCs/>
          <w:color w:val="1C1C1C" w:themeColor="text2"/>
          <w:kern w:val="28"/>
          <w:sz w:val="40"/>
          <w:szCs w:val="52"/>
        </w:rPr>
      </w:pPr>
      <w:r w:rsidRPr="00F14ED9">
        <w:rPr>
          <w:rFonts w:asciiTheme="majorHAnsi" w:eastAsiaTheme="majorEastAsia" w:hAnsiTheme="majorHAnsi" w:cstheme="majorBidi"/>
          <w:bCs/>
          <w:color w:val="1C1C1C" w:themeColor="text2"/>
          <w:kern w:val="28"/>
          <w:sz w:val="40"/>
          <w:szCs w:val="52"/>
        </w:rPr>
        <w:t xml:space="preserve">Guide to preparing the </w:t>
      </w:r>
      <w:r>
        <w:rPr>
          <w:rFonts w:asciiTheme="majorHAnsi" w:eastAsiaTheme="majorEastAsia" w:hAnsiTheme="majorHAnsi" w:cstheme="majorBidi"/>
          <w:bCs/>
          <w:color w:val="1C1C1C" w:themeColor="text2"/>
          <w:kern w:val="28"/>
          <w:sz w:val="40"/>
          <w:szCs w:val="52"/>
        </w:rPr>
        <w:br/>
      </w:r>
      <w:r w:rsidRPr="00F14ED9">
        <w:rPr>
          <w:rFonts w:asciiTheme="majorHAnsi" w:eastAsiaTheme="majorEastAsia" w:hAnsiTheme="majorHAnsi" w:cstheme="majorBidi"/>
          <w:bCs/>
          <w:color w:val="1C1C1C" w:themeColor="text2"/>
          <w:kern w:val="28"/>
          <w:sz w:val="40"/>
          <w:szCs w:val="52"/>
        </w:rPr>
        <w:t>2024-25 Portfolio Budget Statements</w:t>
      </w:r>
    </w:p>
    <w:bookmarkEnd w:id="1"/>
    <w:p w14:paraId="5C39A83D" w14:textId="6F61BAFA" w:rsidR="008F2996" w:rsidRDefault="008F2996" w:rsidP="008F2996"/>
    <w:p w14:paraId="037B3F93" w14:textId="77777777" w:rsidR="00E57AEC" w:rsidRPr="00DD477A" w:rsidRDefault="00E57AEC" w:rsidP="00E57AEC">
      <w:pPr>
        <w:rPr>
          <w:rFonts w:cs="Calibri"/>
        </w:rPr>
      </w:pPr>
      <w:r w:rsidRPr="00DD477A">
        <w:rPr>
          <w:rFonts w:cs="Calibri"/>
        </w:rPr>
        <w:t>March 2024</w:t>
      </w:r>
    </w:p>
    <w:p w14:paraId="5A254199" w14:textId="77777777" w:rsidR="00F14ED9" w:rsidRDefault="00F14ED9" w:rsidP="008F2996"/>
    <w:p w14:paraId="356A1AEF" w14:textId="573D8D47" w:rsidR="00E57AEC" w:rsidRDefault="00E57AEC" w:rsidP="008F2996">
      <w:pPr>
        <w:sectPr w:rsidR="00E57AEC" w:rsidSect="00E73E0E">
          <w:headerReference w:type="default" r:id="rId13"/>
          <w:footerReference w:type="default" r:id="rId14"/>
          <w:headerReference w:type="first" r:id="rId15"/>
          <w:footerReference w:type="first" r:id="rId16"/>
          <w:type w:val="continuous"/>
          <w:pgSz w:w="11906" w:h="16838" w:code="9"/>
          <w:pgMar w:top="2268" w:right="1418" w:bottom="1418" w:left="1418" w:header="567" w:footer="624" w:gutter="0"/>
          <w:cols w:space="708"/>
          <w:docGrid w:linePitch="360"/>
        </w:sectPr>
      </w:pPr>
    </w:p>
    <w:p w14:paraId="6B94F5A6" w14:textId="77777777" w:rsidR="00D157AC" w:rsidRPr="00DD477A" w:rsidRDefault="00D157AC">
      <w:pPr>
        <w:rPr>
          <w:rFonts w:cs="Calibri"/>
        </w:rPr>
      </w:pPr>
    </w:p>
    <w:p w14:paraId="5F792AEE" w14:textId="704DBEE4" w:rsidR="00FC3B35" w:rsidRPr="00DD477A" w:rsidRDefault="00FC3B35" w:rsidP="00F611EB">
      <w:pPr>
        <w:spacing w:before="360" w:after="120"/>
        <w:rPr>
          <w:sz w:val="40"/>
          <w:szCs w:val="40"/>
        </w:rPr>
      </w:pPr>
      <w:r w:rsidRPr="00DD477A">
        <w:rPr>
          <w:sz w:val="40"/>
          <w:szCs w:val="40"/>
        </w:rPr>
        <w:t>Contents</w:t>
      </w:r>
    </w:p>
    <w:p w14:paraId="479A79A4" w14:textId="57C64B88" w:rsidR="00424E3B" w:rsidRDefault="006F618C">
      <w:pPr>
        <w:pStyle w:val="TOC1"/>
        <w:rPr>
          <w:rFonts w:asciiTheme="minorHAnsi" w:eastAsiaTheme="minorEastAsia" w:hAnsiTheme="minorHAnsi"/>
          <w:kern w:val="2"/>
          <w:sz w:val="22"/>
          <w:szCs w:val="22"/>
          <w:lang w:eastAsia="en-AU"/>
          <w14:ligatures w14:val="standardContextual"/>
        </w:rPr>
      </w:pPr>
      <w:r w:rsidRPr="00DD477A">
        <w:rPr>
          <w:rFonts w:cs="Calibri"/>
        </w:rPr>
        <w:fldChar w:fldCharType="begin"/>
      </w:r>
      <w:r w:rsidRPr="00DD477A">
        <w:rPr>
          <w:rFonts w:cs="Calibri"/>
        </w:rPr>
        <w:instrText xml:space="preserve"> TOC \o "1-3" \h \z \u </w:instrText>
      </w:r>
      <w:r w:rsidRPr="00DD477A">
        <w:rPr>
          <w:rFonts w:cs="Calibri"/>
        </w:rPr>
        <w:fldChar w:fldCharType="separate"/>
      </w:r>
      <w:hyperlink w:anchor="_Toc160715507" w:history="1">
        <w:r w:rsidR="00424E3B" w:rsidRPr="00A46CF5">
          <w:rPr>
            <w:rStyle w:val="Hyperlink"/>
          </w:rPr>
          <w:t>AGENCY GUIDANCE</w:t>
        </w:r>
        <w:r w:rsidR="00424E3B">
          <w:rPr>
            <w:webHidden/>
          </w:rPr>
          <w:tab/>
        </w:r>
        <w:r w:rsidR="00424E3B">
          <w:rPr>
            <w:webHidden/>
          </w:rPr>
          <w:fldChar w:fldCharType="begin"/>
        </w:r>
        <w:r w:rsidR="00424E3B">
          <w:rPr>
            <w:webHidden/>
          </w:rPr>
          <w:instrText xml:space="preserve"> PAGEREF _Toc160715507 \h </w:instrText>
        </w:r>
        <w:r w:rsidR="00424E3B">
          <w:rPr>
            <w:webHidden/>
          </w:rPr>
        </w:r>
        <w:r w:rsidR="00424E3B">
          <w:rPr>
            <w:webHidden/>
          </w:rPr>
          <w:fldChar w:fldCharType="separate"/>
        </w:r>
        <w:r w:rsidR="00424E3B">
          <w:rPr>
            <w:webHidden/>
          </w:rPr>
          <w:t>1</w:t>
        </w:r>
        <w:r w:rsidR="00424E3B">
          <w:rPr>
            <w:webHidden/>
          </w:rPr>
          <w:fldChar w:fldCharType="end"/>
        </w:r>
      </w:hyperlink>
    </w:p>
    <w:p w14:paraId="0C39638B" w14:textId="51A50B6F" w:rsidR="00424E3B" w:rsidRDefault="00000000">
      <w:pPr>
        <w:pStyle w:val="TOC1"/>
        <w:rPr>
          <w:rFonts w:asciiTheme="minorHAnsi" w:eastAsiaTheme="minorEastAsia" w:hAnsiTheme="minorHAnsi"/>
          <w:kern w:val="2"/>
          <w:sz w:val="22"/>
          <w:szCs w:val="22"/>
          <w:lang w:eastAsia="en-AU"/>
          <w14:ligatures w14:val="standardContextual"/>
        </w:rPr>
      </w:pPr>
      <w:hyperlink w:anchor="_Toc160715508" w:history="1">
        <w:r w:rsidR="00424E3B" w:rsidRPr="00A46CF5">
          <w:rPr>
            <w:rStyle w:val="Hyperlink"/>
          </w:rPr>
          <w:t>Introduction</w:t>
        </w:r>
        <w:r w:rsidR="00424E3B">
          <w:rPr>
            <w:webHidden/>
          </w:rPr>
          <w:tab/>
        </w:r>
        <w:r w:rsidR="00424E3B">
          <w:rPr>
            <w:webHidden/>
          </w:rPr>
          <w:fldChar w:fldCharType="begin"/>
        </w:r>
        <w:r w:rsidR="00424E3B">
          <w:rPr>
            <w:webHidden/>
          </w:rPr>
          <w:instrText xml:space="preserve"> PAGEREF _Toc160715508 \h </w:instrText>
        </w:r>
        <w:r w:rsidR="00424E3B">
          <w:rPr>
            <w:webHidden/>
          </w:rPr>
        </w:r>
        <w:r w:rsidR="00424E3B">
          <w:rPr>
            <w:webHidden/>
          </w:rPr>
          <w:fldChar w:fldCharType="separate"/>
        </w:r>
        <w:r w:rsidR="00424E3B">
          <w:rPr>
            <w:webHidden/>
          </w:rPr>
          <w:t>8</w:t>
        </w:r>
        <w:r w:rsidR="00424E3B">
          <w:rPr>
            <w:webHidden/>
          </w:rPr>
          <w:fldChar w:fldCharType="end"/>
        </w:r>
      </w:hyperlink>
    </w:p>
    <w:p w14:paraId="10AC929B" w14:textId="0B3B8528" w:rsidR="00424E3B" w:rsidRDefault="00000000">
      <w:pPr>
        <w:pStyle w:val="TOC1"/>
        <w:rPr>
          <w:rFonts w:asciiTheme="minorHAnsi" w:eastAsiaTheme="minorEastAsia" w:hAnsiTheme="minorHAnsi"/>
          <w:kern w:val="2"/>
          <w:sz w:val="22"/>
          <w:szCs w:val="22"/>
          <w:lang w:eastAsia="en-AU"/>
          <w14:ligatures w14:val="standardContextual"/>
        </w:rPr>
      </w:pPr>
      <w:hyperlink w:anchor="_Toc160715509" w:history="1">
        <w:r w:rsidR="00424E3B" w:rsidRPr="00A46CF5">
          <w:rPr>
            <w:rStyle w:val="Hyperlink"/>
          </w:rPr>
          <w:t>1</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Purpose</w:t>
        </w:r>
        <w:r w:rsidR="00424E3B">
          <w:rPr>
            <w:webHidden/>
          </w:rPr>
          <w:tab/>
        </w:r>
        <w:r w:rsidR="00424E3B">
          <w:rPr>
            <w:webHidden/>
          </w:rPr>
          <w:fldChar w:fldCharType="begin"/>
        </w:r>
        <w:r w:rsidR="00424E3B">
          <w:rPr>
            <w:webHidden/>
          </w:rPr>
          <w:instrText xml:space="preserve"> PAGEREF _Toc160715509 \h </w:instrText>
        </w:r>
        <w:r w:rsidR="00424E3B">
          <w:rPr>
            <w:webHidden/>
          </w:rPr>
        </w:r>
        <w:r w:rsidR="00424E3B">
          <w:rPr>
            <w:webHidden/>
          </w:rPr>
          <w:fldChar w:fldCharType="separate"/>
        </w:r>
        <w:r w:rsidR="00424E3B">
          <w:rPr>
            <w:webHidden/>
          </w:rPr>
          <w:t>8</w:t>
        </w:r>
        <w:r w:rsidR="00424E3B">
          <w:rPr>
            <w:webHidden/>
          </w:rPr>
          <w:fldChar w:fldCharType="end"/>
        </w:r>
      </w:hyperlink>
    </w:p>
    <w:p w14:paraId="4781063F" w14:textId="392EC9E1" w:rsidR="00424E3B" w:rsidRDefault="00000000">
      <w:pPr>
        <w:pStyle w:val="TOC2"/>
        <w:rPr>
          <w:rFonts w:asciiTheme="minorHAnsi" w:eastAsiaTheme="minorEastAsia" w:hAnsiTheme="minorHAnsi"/>
          <w:kern w:val="2"/>
          <w:szCs w:val="22"/>
          <w:lang w:eastAsia="en-AU"/>
          <w14:ligatures w14:val="standardContextual"/>
        </w:rPr>
      </w:pPr>
      <w:hyperlink w:anchor="_Toc160715510" w:history="1">
        <w:r w:rsidR="00424E3B" w:rsidRPr="00A46CF5">
          <w:rPr>
            <w:rStyle w:val="Hyperlink"/>
          </w:rPr>
          <w:t>1.1</w:t>
        </w:r>
        <w:r w:rsidR="00424E3B">
          <w:rPr>
            <w:rFonts w:asciiTheme="minorHAnsi" w:eastAsiaTheme="minorEastAsia" w:hAnsiTheme="minorHAnsi"/>
            <w:kern w:val="2"/>
            <w:szCs w:val="22"/>
            <w:lang w:eastAsia="en-AU"/>
            <w14:ligatures w14:val="standardContextual"/>
          </w:rPr>
          <w:tab/>
        </w:r>
        <w:r w:rsidR="00424E3B" w:rsidRPr="00A46CF5">
          <w:rPr>
            <w:rStyle w:val="Hyperlink"/>
          </w:rPr>
          <w:t>Portfolio Budget Statements (PB Statements)</w:t>
        </w:r>
        <w:r w:rsidR="00424E3B">
          <w:rPr>
            <w:webHidden/>
          </w:rPr>
          <w:tab/>
        </w:r>
        <w:r w:rsidR="00424E3B">
          <w:rPr>
            <w:webHidden/>
          </w:rPr>
          <w:fldChar w:fldCharType="begin"/>
        </w:r>
        <w:r w:rsidR="00424E3B">
          <w:rPr>
            <w:webHidden/>
          </w:rPr>
          <w:instrText xml:space="preserve"> PAGEREF _Toc160715510 \h </w:instrText>
        </w:r>
        <w:r w:rsidR="00424E3B">
          <w:rPr>
            <w:webHidden/>
          </w:rPr>
        </w:r>
        <w:r w:rsidR="00424E3B">
          <w:rPr>
            <w:webHidden/>
          </w:rPr>
          <w:fldChar w:fldCharType="separate"/>
        </w:r>
        <w:r w:rsidR="00424E3B">
          <w:rPr>
            <w:webHidden/>
          </w:rPr>
          <w:t>8</w:t>
        </w:r>
        <w:r w:rsidR="00424E3B">
          <w:rPr>
            <w:webHidden/>
          </w:rPr>
          <w:fldChar w:fldCharType="end"/>
        </w:r>
      </w:hyperlink>
    </w:p>
    <w:p w14:paraId="3BD972BB" w14:textId="60E5B634" w:rsidR="00424E3B" w:rsidRDefault="00000000">
      <w:pPr>
        <w:pStyle w:val="TOC2"/>
        <w:rPr>
          <w:rFonts w:asciiTheme="minorHAnsi" w:eastAsiaTheme="minorEastAsia" w:hAnsiTheme="minorHAnsi"/>
          <w:kern w:val="2"/>
          <w:szCs w:val="22"/>
          <w:lang w:eastAsia="en-AU"/>
          <w14:ligatures w14:val="standardContextual"/>
        </w:rPr>
      </w:pPr>
      <w:hyperlink w:anchor="_Toc160715511" w:history="1">
        <w:r w:rsidR="00424E3B" w:rsidRPr="00A46CF5">
          <w:rPr>
            <w:rStyle w:val="Hyperlink"/>
          </w:rPr>
          <w:t>1.2</w:t>
        </w:r>
        <w:r w:rsidR="00424E3B">
          <w:rPr>
            <w:rFonts w:asciiTheme="minorHAnsi" w:eastAsiaTheme="minorEastAsia" w:hAnsiTheme="minorHAnsi"/>
            <w:kern w:val="2"/>
            <w:szCs w:val="22"/>
            <w:lang w:eastAsia="en-AU"/>
            <w14:ligatures w14:val="standardContextual"/>
          </w:rPr>
          <w:tab/>
        </w:r>
        <w:r w:rsidR="00424E3B" w:rsidRPr="00A46CF5">
          <w:rPr>
            <w:rStyle w:val="Hyperlink"/>
          </w:rPr>
          <w:t>PB Statements Guide</w:t>
        </w:r>
        <w:r w:rsidR="00424E3B">
          <w:rPr>
            <w:webHidden/>
          </w:rPr>
          <w:tab/>
        </w:r>
        <w:r w:rsidR="00424E3B">
          <w:rPr>
            <w:webHidden/>
          </w:rPr>
          <w:fldChar w:fldCharType="begin"/>
        </w:r>
        <w:r w:rsidR="00424E3B">
          <w:rPr>
            <w:webHidden/>
          </w:rPr>
          <w:instrText xml:space="preserve"> PAGEREF _Toc160715511 \h </w:instrText>
        </w:r>
        <w:r w:rsidR="00424E3B">
          <w:rPr>
            <w:webHidden/>
          </w:rPr>
        </w:r>
        <w:r w:rsidR="00424E3B">
          <w:rPr>
            <w:webHidden/>
          </w:rPr>
          <w:fldChar w:fldCharType="separate"/>
        </w:r>
        <w:r w:rsidR="00424E3B">
          <w:rPr>
            <w:webHidden/>
          </w:rPr>
          <w:t>8</w:t>
        </w:r>
        <w:r w:rsidR="00424E3B">
          <w:rPr>
            <w:webHidden/>
          </w:rPr>
          <w:fldChar w:fldCharType="end"/>
        </w:r>
      </w:hyperlink>
    </w:p>
    <w:p w14:paraId="20135397" w14:textId="15D1DB5F" w:rsidR="00424E3B" w:rsidRDefault="00000000">
      <w:pPr>
        <w:pStyle w:val="TOC1"/>
        <w:rPr>
          <w:rFonts w:asciiTheme="minorHAnsi" w:eastAsiaTheme="minorEastAsia" w:hAnsiTheme="minorHAnsi"/>
          <w:kern w:val="2"/>
          <w:sz w:val="22"/>
          <w:szCs w:val="22"/>
          <w:lang w:eastAsia="en-AU"/>
          <w14:ligatures w14:val="standardContextual"/>
        </w:rPr>
      </w:pPr>
      <w:hyperlink w:anchor="_Toc160715512" w:history="1">
        <w:r w:rsidR="00424E3B" w:rsidRPr="00A46CF5">
          <w:rPr>
            <w:rStyle w:val="Hyperlink"/>
          </w:rPr>
          <w:t>2</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General guidance</w:t>
        </w:r>
        <w:r w:rsidR="00424E3B">
          <w:rPr>
            <w:webHidden/>
          </w:rPr>
          <w:tab/>
        </w:r>
        <w:r w:rsidR="00424E3B">
          <w:rPr>
            <w:webHidden/>
          </w:rPr>
          <w:fldChar w:fldCharType="begin"/>
        </w:r>
        <w:r w:rsidR="00424E3B">
          <w:rPr>
            <w:webHidden/>
          </w:rPr>
          <w:instrText xml:space="preserve"> PAGEREF _Toc160715512 \h </w:instrText>
        </w:r>
        <w:r w:rsidR="00424E3B">
          <w:rPr>
            <w:webHidden/>
          </w:rPr>
        </w:r>
        <w:r w:rsidR="00424E3B">
          <w:rPr>
            <w:webHidden/>
          </w:rPr>
          <w:fldChar w:fldCharType="separate"/>
        </w:r>
        <w:r w:rsidR="00424E3B">
          <w:rPr>
            <w:webHidden/>
          </w:rPr>
          <w:t>9</w:t>
        </w:r>
        <w:r w:rsidR="00424E3B">
          <w:rPr>
            <w:webHidden/>
          </w:rPr>
          <w:fldChar w:fldCharType="end"/>
        </w:r>
      </w:hyperlink>
    </w:p>
    <w:p w14:paraId="207A91A9" w14:textId="081FC4A8" w:rsidR="00424E3B" w:rsidRDefault="00000000">
      <w:pPr>
        <w:pStyle w:val="TOC2"/>
        <w:rPr>
          <w:rFonts w:asciiTheme="minorHAnsi" w:eastAsiaTheme="minorEastAsia" w:hAnsiTheme="minorHAnsi"/>
          <w:kern w:val="2"/>
          <w:szCs w:val="22"/>
          <w:lang w:eastAsia="en-AU"/>
          <w14:ligatures w14:val="standardContextual"/>
        </w:rPr>
      </w:pPr>
      <w:hyperlink w:anchor="_Toc160715513" w:history="1">
        <w:r w:rsidR="00424E3B" w:rsidRPr="00A46CF5">
          <w:rPr>
            <w:rStyle w:val="Hyperlink"/>
          </w:rPr>
          <w:t>2.1</w:t>
        </w:r>
        <w:r w:rsidR="00424E3B">
          <w:rPr>
            <w:rFonts w:asciiTheme="minorHAnsi" w:eastAsiaTheme="minorEastAsia" w:hAnsiTheme="minorHAnsi"/>
            <w:kern w:val="2"/>
            <w:szCs w:val="22"/>
            <w:lang w:eastAsia="en-AU"/>
            <w14:ligatures w14:val="standardContextual"/>
          </w:rPr>
          <w:tab/>
        </w:r>
        <w:r w:rsidR="00424E3B" w:rsidRPr="00A46CF5">
          <w:rPr>
            <w:rStyle w:val="Hyperlink"/>
          </w:rPr>
          <w:t>The PB Statements Preparation Process</w:t>
        </w:r>
        <w:r w:rsidR="00424E3B">
          <w:rPr>
            <w:webHidden/>
          </w:rPr>
          <w:tab/>
        </w:r>
        <w:r w:rsidR="00424E3B">
          <w:rPr>
            <w:webHidden/>
          </w:rPr>
          <w:fldChar w:fldCharType="begin"/>
        </w:r>
        <w:r w:rsidR="00424E3B">
          <w:rPr>
            <w:webHidden/>
          </w:rPr>
          <w:instrText xml:space="preserve"> PAGEREF _Toc160715513 \h </w:instrText>
        </w:r>
        <w:r w:rsidR="00424E3B">
          <w:rPr>
            <w:webHidden/>
          </w:rPr>
        </w:r>
        <w:r w:rsidR="00424E3B">
          <w:rPr>
            <w:webHidden/>
          </w:rPr>
          <w:fldChar w:fldCharType="separate"/>
        </w:r>
        <w:r w:rsidR="00424E3B">
          <w:rPr>
            <w:webHidden/>
          </w:rPr>
          <w:t>9</w:t>
        </w:r>
        <w:r w:rsidR="00424E3B">
          <w:rPr>
            <w:webHidden/>
          </w:rPr>
          <w:fldChar w:fldCharType="end"/>
        </w:r>
      </w:hyperlink>
    </w:p>
    <w:p w14:paraId="1932D704" w14:textId="01190069" w:rsidR="00424E3B" w:rsidRDefault="00000000">
      <w:pPr>
        <w:pStyle w:val="TOC2"/>
        <w:rPr>
          <w:rFonts w:asciiTheme="minorHAnsi" w:eastAsiaTheme="minorEastAsia" w:hAnsiTheme="minorHAnsi"/>
          <w:kern w:val="2"/>
          <w:szCs w:val="22"/>
          <w:lang w:eastAsia="en-AU"/>
          <w14:ligatures w14:val="standardContextual"/>
        </w:rPr>
      </w:pPr>
      <w:hyperlink w:anchor="_Toc160715514" w:history="1">
        <w:r w:rsidR="00424E3B" w:rsidRPr="00A46CF5">
          <w:rPr>
            <w:rStyle w:val="Hyperlink"/>
          </w:rPr>
          <w:t>2.2</w:t>
        </w:r>
        <w:r w:rsidR="00424E3B">
          <w:rPr>
            <w:rFonts w:asciiTheme="minorHAnsi" w:eastAsiaTheme="minorEastAsia" w:hAnsiTheme="minorHAnsi"/>
            <w:kern w:val="2"/>
            <w:szCs w:val="22"/>
            <w:lang w:eastAsia="en-AU"/>
            <w14:ligatures w14:val="standardContextual"/>
          </w:rPr>
          <w:tab/>
        </w:r>
        <w:r w:rsidR="00424E3B" w:rsidRPr="00A46CF5">
          <w:rPr>
            <w:rStyle w:val="Hyperlink"/>
          </w:rPr>
          <w:t>PB Statements – Templates and Data Sources</w:t>
        </w:r>
        <w:r w:rsidR="00424E3B">
          <w:rPr>
            <w:webHidden/>
          </w:rPr>
          <w:tab/>
        </w:r>
        <w:r w:rsidR="00424E3B">
          <w:rPr>
            <w:webHidden/>
          </w:rPr>
          <w:fldChar w:fldCharType="begin"/>
        </w:r>
        <w:r w:rsidR="00424E3B">
          <w:rPr>
            <w:webHidden/>
          </w:rPr>
          <w:instrText xml:space="preserve"> PAGEREF _Toc160715514 \h </w:instrText>
        </w:r>
        <w:r w:rsidR="00424E3B">
          <w:rPr>
            <w:webHidden/>
          </w:rPr>
        </w:r>
        <w:r w:rsidR="00424E3B">
          <w:rPr>
            <w:webHidden/>
          </w:rPr>
          <w:fldChar w:fldCharType="separate"/>
        </w:r>
        <w:r w:rsidR="00424E3B">
          <w:rPr>
            <w:webHidden/>
          </w:rPr>
          <w:t>10</w:t>
        </w:r>
        <w:r w:rsidR="00424E3B">
          <w:rPr>
            <w:webHidden/>
          </w:rPr>
          <w:fldChar w:fldCharType="end"/>
        </w:r>
      </w:hyperlink>
    </w:p>
    <w:p w14:paraId="4E6F6707" w14:textId="01E7EF7A" w:rsidR="00424E3B" w:rsidRDefault="00000000">
      <w:pPr>
        <w:pStyle w:val="TOC2"/>
        <w:rPr>
          <w:rFonts w:asciiTheme="minorHAnsi" w:eastAsiaTheme="minorEastAsia" w:hAnsiTheme="minorHAnsi"/>
          <w:kern w:val="2"/>
          <w:szCs w:val="22"/>
          <w:lang w:eastAsia="en-AU"/>
          <w14:ligatures w14:val="standardContextual"/>
        </w:rPr>
      </w:pPr>
      <w:hyperlink w:anchor="_Toc160715515" w:history="1">
        <w:r w:rsidR="00424E3B" w:rsidRPr="00A46CF5">
          <w:rPr>
            <w:rStyle w:val="Hyperlink"/>
          </w:rPr>
          <w:t>2.3</w:t>
        </w:r>
        <w:r w:rsidR="00424E3B">
          <w:rPr>
            <w:rFonts w:asciiTheme="minorHAnsi" w:eastAsiaTheme="minorEastAsia" w:hAnsiTheme="minorHAnsi"/>
            <w:kern w:val="2"/>
            <w:szCs w:val="22"/>
            <w:lang w:eastAsia="en-AU"/>
            <w14:ligatures w14:val="standardContextual"/>
          </w:rPr>
          <w:tab/>
        </w:r>
        <w:r w:rsidR="00424E3B" w:rsidRPr="00A46CF5">
          <w:rPr>
            <w:rStyle w:val="Hyperlink"/>
          </w:rPr>
          <w:t>Which entities should prepare PB Statements?</w:t>
        </w:r>
        <w:r w:rsidR="00424E3B">
          <w:rPr>
            <w:webHidden/>
          </w:rPr>
          <w:tab/>
        </w:r>
        <w:r w:rsidR="00424E3B">
          <w:rPr>
            <w:webHidden/>
          </w:rPr>
          <w:fldChar w:fldCharType="begin"/>
        </w:r>
        <w:r w:rsidR="00424E3B">
          <w:rPr>
            <w:webHidden/>
          </w:rPr>
          <w:instrText xml:space="preserve"> PAGEREF _Toc160715515 \h </w:instrText>
        </w:r>
        <w:r w:rsidR="00424E3B">
          <w:rPr>
            <w:webHidden/>
          </w:rPr>
        </w:r>
        <w:r w:rsidR="00424E3B">
          <w:rPr>
            <w:webHidden/>
          </w:rPr>
          <w:fldChar w:fldCharType="separate"/>
        </w:r>
        <w:r w:rsidR="00424E3B">
          <w:rPr>
            <w:webHidden/>
          </w:rPr>
          <w:t>11</w:t>
        </w:r>
        <w:r w:rsidR="00424E3B">
          <w:rPr>
            <w:webHidden/>
          </w:rPr>
          <w:fldChar w:fldCharType="end"/>
        </w:r>
      </w:hyperlink>
    </w:p>
    <w:p w14:paraId="22D068B0" w14:textId="77AA0215" w:rsidR="00424E3B" w:rsidRDefault="00000000">
      <w:pPr>
        <w:pStyle w:val="TOC2"/>
        <w:rPr>
          <w:rFonts w:asciiTheme="minorHAnsi" w:eastAsiaTheme="minorEastAsia" w:hAnsiTheme="minorHAnsi"/>
          <w:kern w:val="2"/>
          <w:szCs w:val="22"/>
          <w:lang w:eastAsia="en-AU"/>
          <w14:ligatures w14:val="standardContextual"/>
        </w:rPr>
      </w:pPr>
      <w:hyperlink w:anchor="_Toc160715516" w:history="1">
        <w:r w:rsidR="00424E3B" w:rsidRPr="00A46CF5">
          <w:rPr>
            <w:rStyle w:val="Hyperlink"/>
          </w:rPr>
          <w:t>2.4</w:t>
        </w:r>
        <w:r w:rsidR="00424E3B">
          <w:rPr>
            <w:rFonts w:asciiTheme="minorHAnsi" w:eastAsiaTheme="minorEastAsia" w:hAnsiTheme="minorHAnsi"/>
            <w:kern w:val="2"/>
            <w:szCs w:val="22"/>
            <w:lang w:eastAsia="en-AU"/>
            <w14:ligatures w14:val="standardContextual"/>
          </w:rPr>
          <w:tab/>
        </w:r>
        <w:r w:rsidR="00424E3B" w:rsidRPr="00A46CF5">
          <w:rPr>
            <w:rStyle w:val="Hyperlink"/>
          </w:rPr>
          <w:t>Structure of a PB Statement</w:t>
        </w:r>
        <w:r w:rsidR="00424E3B">
          <w:rPr>
            <w:webHidden/>
          </w:rPr>
          <w:tab/>
        </w:r>
        <w:r w:rsidR="00424E3B">
          <w:rPr>
            <w:webHidden/>
          </w:rPr>
          <w:fldChar w:fldCharType="begin"/>
        </w:r>
        <w:r w:rsidR="00424E3B">
          <w:rPr>
            <w:webHidden/>
          </w:rPr>
          <w:instrText xml:space="preserve"> PAGEREF _Toc160715516 \h </w:instrText>
        </w:r>
        <w:r w:rsidR="00424E3B">
          <w:rPr>
            <w:webHidden/>
          </w:rPr>
        </w:r>
        <w:r w:rsidR="00424E3B">
          <w:rPr>
            <w:webHidden/>
          </w:rPr>
          <w:fldChar w:fldCharType="separate"/>
        </w:r>
        <w:r w:rsidR="00424E3B">
          <w:rPr>
            <w:webHidden/>
          </w:rPr>
          <w:t>12</w:t>
        </w:r>
        <w:r w:rsidR="00424E3B">
          <w:rPr>
            <w:webHidden/>
          </w:rPr>
          <w:fldChar w:fldCharType="end"/>
        </w:r>
      </w:hyperlink>
    </w:p>
    <w:p w14:paraId="304CE60E" w14:textId="364C6E53" w:rsidR="00424E3B" w:rsidRDefault="00000000">
      <w:pPr>
        <w:pStyle w:val="TOC1"/>
        <w:rPr>
          <w:rFonts w:asciiTheme="minorHAnsi" w:eastAsiaTheme="minorEastAsia" w:hAnsiTheme="minorHAnsi"/>
          <w:kern w:val="2"/>
          <w:sz w:val="22"/>
          <w:szCs w:val="22"/>
          <w:lang w:eastAsia="en-AU"/>
          <w14:ligatures w14:val="standardContextual"/>
        </w:rPr>
      </w:pPr>
      <w:hyperlink w:anchor="_Toc160715517" w:history="1">
        <w:r w:rsidR="00424E3B" w:rsidRPr="00A46CF5">
          <w:rPr>
            <w:rStyle w:val="Hyperlink"/>
          </w:rPr>
          <w:t>Publication of Hard and Soft Copy Deliverables</w:t>
        </w:r>
        <w:r w:rsidR="00424E3B">
          <w:rPr>
            <w:webHidden/>
          </w:rPr>
          <w:tab/>
        </w:r>
        <w:r w:rsidR="00424E3B">
          <w:rPr>
            <w:webHidden/>
          </w:rPr>
          <w:fldChar w:fldCharType="begin"/>
        </w:r>
        <w:r w:rsidR="00424E3B">
          <w:rPr>
            <w:webHidden/>
          </w:rPr>
          <w:instrText xml:space="preserve"> PAGEREF _Toc160715517 \h </w:instrText>
        </w:r>
        <w:r w:rsidR="00424E3B">
          <w:rPr>
            <w:webHidden/>
          </w:rPr>
        </w:r>
        <w:r w:rsidR="00424E3B">
          <w:rPr>
            <w:webHidden/>
          </w:rPr>
          <w:fldChar w:fldCharType="separate"/>
        </w:r>
        <w:r w:rsidR="00424E3B">
          <w:rPr>
            <w:webHidden/>
          </w:rPr>
          <w:t>13</w:t>
        </w:r>
        <w:r w:rsidR="00424E3B">
          <w:rPr>
            <w:webHidden/>
          </w:rPr>
          <w:fldChar w:fldCharType="end"/>
        </w:r>
      </w:hyperlink>
    </w:p>
    <w:p w14:paraId="112270D2" w14:textId="0D8D47FF" w:rsidR="00424E3B" w:rsidRDefault="00000000">
      <w:pPr>
        <w:pStyle w:val="TOC1"/>
        <w:rPr>
          <w:rFonts w:asciiTheme="minorHAnsi" w:eastAsiaTheme="minorEastAsia" w:hAnsiTheme="minorHAnsi"/>
          <w:kern w:val="2"/>
          <w:sz w:val="22"/>
          <w:szCs w:val="22"/>
          <w:lang w:eastAsia="en-AU"/>
          <w14:ligatures w14:val="standardContextual"/>
        </w:rPr>
      </w:pPr>
      <w:hyperlink w:anchor="_Toc160715518" w:history="1">
        <w:r w:rsidR="00424E3B" w:rsidRPr="00A46CF5">
          <w:rPr>
            <w:rStyle w:val="Hyperlink"/>
          </w:rPr>
          <w:t>3</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Publication Requirements</w:t>
        </w:r>
        <w:r w:rsidR="00424E3B">
          <w:rPr>
            <w:webHidden/>
          </w:rPr>
          <w:tab/>
        </w:r>
        <w:r w:rsidR="00424E3B">
          <w:rPr>
            <w:webHidden/>
          </w:rPr>
          <w:fldChar w:fldCharType="begin"/>
        </w:r>
        <w:r w:rsidR="00424E3B">
          <w:rPr>
            <w:webHidden/>
          </w:rPr>
          <w:instrText xml:space="preserve"> PAGEREF _Toc160715518 \h </w:instrText>
        </w:r>
        <w:r w:rsidR="00424E3B">
          <w:rPr>
            <w:webHidden/>
          </w:rPr>
        </w:r>
        <w:r w:rsidR="00424E3B">
          <w:rPr>
            <w:webHidden/>
          </w:rPr>
          <w:fldChar w:fldCharType="separate"/>
        </w:r>
        <w:r w:rsidR="00424E3B">
          <w:rPr>
            <w:webHidden/>
          </w:rPr>
          <w:t>13</w:t>
        </w:r>
        <w:r w:rsidR="00424E3B">
          <w:rPr>
            <w:webHidden/>
          </w:rPr>
          <w:fldChar w:fldCharType="end"/>
        </w:r>
      </w:hyperlink>
    </w:p>
    <w:p w14:paraId="714ED192" w14:textId="4061DE08" w:rsidR="00424E3B" w:rsidRDefault="00000000">
      <w:pPr>
        <w:pStyle w:val="TOC2"/>
        <w:rPr>
          <w:rFonts w:asciiTheme="minorHAnsi" w:eastAsiaTheme="minorEastAsia" w:hAnsiTheme="minorHAnsi"/>
          <w:kern w:val="2"/>
          <w:szCs w:val="22"/>
          <w:lang w:eastAsia="en-AU"/>
          <w14:ligatures w14:val="standardContextual"/>
        </w:rPr>
      </w:pPr>
      <w:hyperlink w:anchor="_Toc160715519" w:history="1">
        <w:r w:rsidR="00424E3B" w:rsidRPr="00A46CF5">
          <w:rPr>
            <w:rStyle w:val="Hyperlink"/>
          </w:rPr>
          <w:t>3.1</w:t>
        </w:r>
        <w:r w:rsidR="00424E3B">
          <w:rPr>
            <w:rFonts w:asciiTheme="minorHAnsi" w:eastAsiaTheme="minorEastAsia" w:hAnsiTheme="minorHAnsi"/>
            <w:kern w:val="2"/>
            <w:szCs w:val="22"/>
            <w:lang w:eastAsia="en-AU"/>
            <w14:ligatures w14:val="standardContextual"/>
          </w:rPr>
          <w:tab/>
        </w:r>
        <w:r w:rsidR="00424E3B" w:rsidRPr="00A46CF5">
          <w:rPr>
            <w:rStyle w:val="Hyperlink"/>
          </w:rPr>
          <w:t>Security requirements</w:t>
        </w:r>
        <w:r w:rsidR="00424E3B">
          <w:rPr>
            <w:webHidden/>
          </w:rPr>
          <w:tab/>
        </w:r>
        <w:r w:rsidR="00424E3B">
          <w:rPr>
            <w:webHidden/>
          </w:rPr>
          <w:fldChar w:fldCharType="begin"/>
        </w:r>
        <w:r w:rsidR="00424E3B">
          <w:rPr>
            <w:webHidden/>
          </w:rPr>
          <w:instrText xml:space="preserve"> PAGEREF _Toc160715519 \h </w:instrText>
        </w:r>
        <w:r w:rsidR="00424E3B">
          <w:rPr>
            <w:webHidden/>
          </w:rPr>
        </w:r>
        <w:r w:rsidR="00424E3B">
          <w:rPr>
            <w:webHidden/>
          </w:rPr>
          <w:fldChar w:fldCharType="separate"/>
        </w:r>
        <w:r w:rsidR="00424E3B">
          <w:rPr>
            <w:webHidden/>
          </w:rPr>
          <w:t>13</w:t>
        </w:r>
        <w:r w:rsidR="00424E3B">
          <w:rPr>
            <w:webHidden/>
          </w:rPr>
          <w:fldChar w:fldCharType="end"/>
        </w:r>
      </w:hyperlink>
    </w:p>
    <w:p w14:paraId="77CAD176" w14:textId="5047349F" w:rsidR="00424E3B" w:rsidRDefault="00000000">
      <w:pPr>
        <w:pStyle w:val="TOC2"/>
        <w:rPr>
          <w:rFonts w:asciiTheme="minorHAnsi" w:eastAsiaTheme="minorEastAsia" w:hAnsiTheme="minorHAnsi"/>
          <w:kern w:val="2"/>
          <w:szCs w:val="22"/>
          <w:lang w:eastAsia="en-AU"/>
          <w14:ligatures w14:val="standardContextual"/>
        </w:rPr>
      </w:pPr>
      <w:hyperlink w:anchor="_Toc160715520" w:history="1">
        <w:r w:rsidR="00424E3B" w:rsidRPr="00A46CF5">
          <w:rPr>
            <w:rStyle w:val="Hyperlink"/>
          </w:rPr>
          <w:t>3.2</w:t>
        </w:r>
        <w:r w:rsidR="00424E3B">
          <w:rPr>
            <w:rFonts w:asciiTheme="minorHAnsi" w:eastAsiaTheme="minorEastAsia" w:hAnsiTheme="minorHAnsi"/>
            <w:kern w:val="2"/>
            <w:szCs w:val="22"/>
            <w:lang w:eastAsia="en-AU"/>
            <w14:ligatures w14:val="standardContextual"/>
          </w:rPr>
          <w:tab/>
        </w:r>
        <w:r w:rsidR="00424E3B" w:rsidRPr="00A46CF5">
          <w:rPr>
            <w:rStyle w:val="Hyperlink"/>
          </w:rPr>
          <w:t>Printing specifications</w:t>
        </w:r>
        <w:r w:rsidR="00424E3B">
          <w:rPr>
            <w:webHidden/>
          </w:rPr>
          <w:tab/>
        </w:r>
        <w:r w:rsidR="00424E3B">
          <w:rPr>
            <w:webHidden/>
          </w:rPr>
          <w:fldChar w:fldCharType="begin"/>
        </w:r>
        <w:r w:rsidR="00424E3B">
          <w:rPr>
            <w:webHidden/>
          </w:rPr>
          <w:instrText xml:space="preserve"> PAGEREF _Toc160715520 \h </w:instrText>
        </w:r>
        <w:r w:rsidR="00424E3B">
          <w:rPr>
            <w:webHidden/>
          </w:rPr>
        </w:r>
        <w:r w:rsidR="00424E3B">
          <w:rPr>
            <w:webHidden/>
          </w:rPr>
          <w:fldChar w:fldCharType="separate"/>
        </w:r>
        <w:r w:rsidR="00424E3B">
          <w:rPr>
            <w:webHidden/>
          </w:rPr>
          <w:t>13</w:t>
        </w:r>
        <w:r w:rsidR="00424E3B">
          <w:rPr>
            <w:webHidden/>
          </w:rPr>
          <w:fldChar w:fldCharType="end"/>
        </w:r>
      </w:hyperlink>
    </w:p>
    <w:p w14:paraId="3AD28CC9" w14:textId="201E5D8C" w:rsidR="00424E3B" w:rsidRDefault="00000000">
      <w:pPr>
        <w:pStyle w:val="TOC3"/>
        <w:rPr>
          <w:rFonts w:asciiTheme="minorHAnsi" w:eastAsiaTheme="minorEastAsia" w:hAnsiTheme="minorHAnsi"/>
          <w:kern w:val="2"/>
          <w:szCs w:val="22"/>
          <w:lang w:eastAsia="en-AU"/>
          <w14:ligatures w14:val="standardContextual"/>
        </w:rPr>
      </w:pPr>
      <w:hyperlink w:anchor="_Toc160715521" w:history="1">
        <w:r w:rsidR="00424E3B" w:rsidRPr="00A46CF5">
          <w:rPr>
            <w:rStyle w:val="Hyperlink"/>
          </w:rPr>
          <w:t>3.2.1</w:t>
        </w:r>
        <w:r w:rsidR="00424E3B">
          <w:rPr>
            <w:rFonts w:asciiTheme="minorHAnsi" w:eastAsiaTheme="minorEastAsia" w:hAnsiTheme="minorHAnsi"/>
            <w:kern w:val="2"/>
            <w:szCs w:val="22"/>
            <w:lang w:eastAsia="en-AU"/>
            <w14:ligatures w14:val="standardContextual"/>
          </w:rPr>
          <w:tab/>
        </w:r>
        <w:r w:rsidR="00424E3B" w:rsidRPr="00A46CF5">
          <w:rPr>
            <w:rStyle w:val="Hyperlink"/>
          </w:rPr>
          <w:t>Paper and format specifications</w:t>
        </w:r>
        <w:r w:rsidR="00424E3B">
          <w:rPr>
            <w:webHidden/>
          </w:rPr>
          <w:tab/>
        </w:r>
        <w:r w:rsidR="00424E3B">
          <w:rPr>
            <w:webHidden/>
          </w:rPr>
          <w:fldChar w:fldCharType="begin"/>
        </w:r>
        <w:r w:rsidR="00424E3B">
          <w:rPr>
            <w:webHidden/>
          </w:rPr>
          <w:instrText xml:space="preserve"> PAGEREF _Toc160715521 \h </w:instrText>
        </w:r>
        <w:r w:rsidR="00424E3B">
          <w:rPr>
            <w:webHidden/>
          </w:rPr>
        </w:r>
        <w:r w:rsidR="00424E3B">
          <w:rPr>
            <w:webHidden/>
          </w:rPr>
          <w:fldChar w:fldCharType="separate"/>
        </w:r>
        <w:r w:rsidR="00424E3B">
          <w:rPr>
            <w:webHidden/>
          </w:rPr>
          <w:t>13</w:t>
        </w:r>
        <w:r w:rsidR="00424E3B">
          <w:rPr>
            <w:webHidden/>
          </w:rPr>
          <w:fldChar w:fldCharType="end"/>
        </w:r>
      </w:hyperlink>
    </w:p>
    <w:p w14:paraId="3A6FCAAB" w14:textId="01FBD81D" w:rsidR="00424E3B" w:rsidRDefault="00000000">
      <w:pPr>
        <w:pStyle w:val="TOC3"/>
        <w:rPr>
          <w:rFonts w:asciiTheme="minorHAnsi" w:eastAsiaTheme="minorEastAsia" w:hAnsiTheme="minorHAnsi"/>
          <w:kern w:val="2"/>
          <w:szCs w:val="22"/>
          <w:lang w:eastAsia="en-AU"/>
          <w14:ligatures w14:val="standardContextual"/>
        </w:rPr>
      </w:pPr>
      <w:hyperlink w:anchor="_Toc160715522" w:history="1">
        <w:r w:rsidR="00424E3B" w:rsidRPr="00A46CF5">
          <w:rPr>
            <w:rStyle w:val="Hyperlink"/>
          </w:rPr>
          <w:t>3.2.2</w:t>
        </w:r>
        <w:r w:rsidR="00424E3B">
          <w:rPr>
            <w:rFonts w:asciiTheme="minorHAnsi" w:eastAsiaTheme="minorEastAsia" w:hAnsiTheme="minorHAnsi"/>
            <w:kern w:val="2"/>
            <w:szCs w:val="22"/>
            <w:lang w:eastAsia="en-AU"/>
            <w14:ligatures w14:val="standardContextual"/>
          </w:rPr>
          <w:tab/>
        </w:r>
        <w:r w:rsidR="00424E3B" w:rsidRPr="00A46CF5">
          <w:rPr>
            <w:rStyle w:val="Hyperlink"/>
          </w:rPr>
          <w:t>Printing Services</w:t>
        </w:r>
        <w:r w:rsidR="00424E3B">
          <w:rPr>
            <w:webHidden/>
          </w:rPr>
          <w:tab/>
        </w:r>
        <w:r w:rsidR="00424E3B">
          <w:rPr>
            <w:webHidden/>
          </w:rPr>
          <w:fldChar w:fldCharType="begin"/>
        </w:r>
        <w:r w:rsidR="00424E3B">
          <w:rPr>
            <w:webHidden/>
          </w:rPr>
          <w:instrText xml:space="preserve"> PAGEREF _Toc160715522 \h </w:instrText>
        </w:r>
        <w:r w:rsidR="00424E3B">
          <w:rPr>
            <w:webHidden/>
          </w:rPr>
        </w:r>
        <w:r w:rsidR="00424E3B">
          <w:rPr>
            <w:webHidden/>
          </w:rPr>
          <w:fldChar w:fldCharType="separate"/>
        </w:r>
        <w:r w:rsidR="00424E3B">
          <w:rPr>
            <w:webHidden/>
          </w:rPr>
          <w:t>13</w:t>
        </w:r>
        <w:r w:rsidR="00424E3B">
          <w:rPr>
            <w:webHidden/>
          </w:rPr>
          <w:fldChar w:fldCharType="end"/>
        </w:r>
      </w:hyperlink>
    </w:p>
    <w:p w14:paraId="6DBEDF2E" w14:textId="452F2D7A" w:rsidR="00424E3B" w:rsidRDefault="00000000">
      <w:pPr>
        <w:pStyle w:val="TOC2"/>
        <w:rPr>
          <w:rFonts w:asciiTheme="minorHAnsi" w:eastAsiaTheme="minorEastAsia" w:hAnsiTheme="minorHAnsi"/>
          <w:kern w:val="2"/>
          <w:szCs w:val="22"/>
          <w:lang w:eastAsia="en-AU"/>
          <w14:ligatures w14:val="standardContextual"/>
        </w:rPr>
      </w:pPr>
      <w:hyperlink w:anchor="_Toc160715523" w:history="1">
        <w:r w:rsidR="00424E3B" w:rsidRPr="00A46CF5">
          <w:rPr>
            <w:rStyle w:val="Hyperlink"/>
          </w:rPr>
          <w:t>3.3</w:t>
        </w:r>
        <w:r w:rsidR="00424E3B">
          <w:rPr>
            <w:rFonts w:asciiTheme="minorHAnsi" w:eastAsiaTheme="minorEastAsia" w:hAnsiTheme="minorHAnsi"/>
            <w:kern w:val="2"/>
            <w:szCs w:val="22"/>
            <w:lang w:eastAsia="en-AU"/>
            <w14:ligatures w14:val="standardContextual"/>
          </w:rPr>
          <w:tab/>
        </w:r>
        <w:r w:rsidR="00424E3B" w:rsidRPr="00A46CF5">
          <w:rPr>
            <w:rStyle w:val="Hyperlink"/>
          </w:rPr>
          <w:t>Classification</w:t>
        </w:r>
        <w:r w:rsidR="00424E3B">
          <w:rPr>
            <w:webHidden/>
          </w:rPr>
          <w:tab/>
        </w:r>
        <w:r w:rsidR="00424E3B">
          <w:rPr>
            <w:webHidden/>
          </w:rPr>
          <w:fldChar w:fldCharType="begin"/>
        </w:r>
        <w:r w:rsidR="00424E3B">
          <w:rPr>
            <w:webHidden/>
          </w:rPr>
          <w:instrText xml:space="preserve"> PAGEREF _Toc160715523 \h </w:instrText>
        </w:r>
        <w:r w:rsidR="00424E3B">
          <w:rPr>
            <w:webHidden/>
          </w:rPr>
        </w:r>
        <w:r w:rsidR="00424E3B">
          <w:rPr>
            <w:webHidden/>
          </w:rPr>
          <w:fldChar w:fldCharType="separate"/>
        </w:r>
        <w:r w:rsidR="00424E3B">
          <w:rPr>
            <w:webHidden/>
          </w:rPr>
          <w:t>14</w:t>
        </w:r>
        <w:r w:rsidR="00424E3B">
          <w:rPr>
            <w:webHidden/>
          </w:rPr>
          <w:fldChar w:fldCharType="end"/>
        </w:r>
      </w:hyperlink>
    </w:p>
    <w:p w14:paraId="4E84D87A" w14:textId="2EDF4883" w:rsidR="00424E3B" w:rsidRDefault="00000000">
      <w:pPr>
        <w:pStyle w:val="TOC2"/>
        <w:rPr>
          <w:rFonts w:asciiTheme="minorHAnsi" w:eastAsiaTheme="minorEastAsia" w:hAnsiTheme="minorHAnsi"/>
          <w:kern w:val="2"/>
          <w:szCs w:val="22"/>
          <w:lang w:eastAsia="en-AU"/>
          <w14:ligatures w14:val="standardContextual"/>
        </w:rPr>
      </w:pPr>
      <w:hyperlink w:anchor="_Toc160715524" w:history="1">
        <w:r w:rsidR="00424E3B" w:rsidRPr="00A46CF5">
          <w:rPr>
            <w:rStyle w:val="Hyperlink"/>
          </w:rPr>
          <w:t>3.4</w:t>
        </w:r>
        <w:r w:rsidR="00424E3B">
          <w:rPr>
            <w:rFonts w:asciiTheme="minorHAnsi" w:eastAsiaTheme="minorEastAsia" w:hAnsiTheme="minorHAnsi"/>
            <w:kern w:val="2"/>
            <w:szCs w:val="22"/>
            <w:lang w:eastAsia="en-AU"/>
            <w14:ligatures w14:val="standardContextual"/>
          </w:rPr>
          <w:tab/>
        </w:r>
        <w:r w:rsidR="00424E3B" w:rsidRPr="00A46CF5">
          <w:rPr>
            <w:rStyle w:val="Hyperlink"/>
          </w:rPr>
          <w:t>Delivery to Parliament House and Finance</w:t>
        </w:r>
        <w:r w:rsidR="00424E3B">
          <w:rPr>
            <w:webHidden/>
          </w:rPr>
          <w:tab/>
        </w:r>
        <w:r w:rsidR="00424E3B">
          <w:rPr>
            <w:webHidden/>
          </w:rPr>
          <w:fldChar w:fldCharType="begin"/>
        </w:r>
        <w:r w:rsidR="00424E3B">
          <w:rPr>
            <w:webHidden/>
          </w:rPr>
          <w:instrText xml:space="preserve"> PAGEREF _Toc160715524 \h </w:instrText>
        </w:r>
        <w:r w:rsidR="00424E3B">
          <w:rPr>
            <w:webHidden/>
          </w:rPr>
        </w:r>
        <w:r w:rsidR="00424E3B">
          <w:rPr>
            <w:webHidden/>
          </w:rPr>
          <w:fldChar w:fldCharType="separate"/>
        </w:r>
        <w:r w:rsidR="00424E3B">
          <w:rPr>
            <w:webHidden/>
          </w:rPr>
          <w:t>14</w:t>
        </w:r>
        <w:r w:rsidR="00424E3B">
          <w:rPr>
            <w:webHidden/>
          </w:rPr>
          <w:fldChar w:fldCharType="end"/>
        </w:r>
      </w:hyperlink>
    </w:p>
    <w:p w14:paraId="5971A865" w14:textId="19673860" w:rsidR="00424E3B" w:rsidRDefault="00000000">
      <w:pPr>
        <w:pStyle w:val="TOC2"/>
        <w:rPr>
          <w:rFonts w:asciiTheme="minorHAnsi" w:eastAsiaTheme="minorEastAsia" w:hAnsiTheme="minorHAnsi"/>
          <w:kern w:val="2"/>
          <w:szCs w:val="22"/>
          <w:lang w:eastAsia="en-AU"/>
          <w14:ligatures w14:val="standardContextual"/>
        </w:rPr>
      </w:pPr>
      <w:hyperlink w:anchor="_Toc160715525" w:history="1">
        <w:r w:rsidR="00424E3B" w:rsidRPr="00A46CF5">
          <w:rPr>
            <w:rStyle w:val="Hyperlink"/>
          </w:rPr>
          <w:t>3.5</w:t>
        </w:r>
        <w:r w:rsidR="00424E3B">
          <w:rPr>
            <w:rFonts w:asciiTheme="minorHAnsi" w:eastAsiaTheme="minorEastAsia" w:hAnsiTheme="minorHAnsi"/>
            <w:kern w:val="2"/>
            <w:szCs w:val="22"/>
            <w:lang w:eastAsia="en-AU"/>
            <w14:ligatures w14:val="standardContextual"/>
          </w:rPr>
          <w:tab/>
        </w:r>
        <w:r w:rsidR="00424E3B" w:rsidRPr="00A46CF5">
          <w:rPr>
            <w:rStyle w:val="Hyperlink"/>
          </w:rPr>
          <w:t>Protected-rated email/electronic transmission requirements</w:t>
        </w:r>
        <w:r w:rsidR="00424E3B">
          <w:rPr>
            <w:webHidden/>
          </w:rPr>
          <w:tab/>
        </w:r>
        <w:r w:rsidR="00424E3B">
          <w:rPr>
            <w:webHidden/>
          </w:rPr>
          <w:fldChar w:fldCharType="begin"/>
        </w:r>
        <w:r w:rsidR="00424E3B">
          <w:rPr>
            <w:webHidden/>
          </w:rPr>
          <w:instrText xml:space="preserve"> PAGEREF _Toc160715525 \h </w:instrText>
        </w:r>
        <w:r w:rsidR="00424E3B">
          <w:rPr>
            <w:webHidden/>
          </w:rPr>
        </w:r>
        <w:r w:rsidR="00424E3B">
          <w:rPr>
            <w:webHidden/>
          </w:rPr>
          <w:fldChar w:fldCharType="separate"/>
        </w:r>
        <w:r w:rsidR="00424E3B">
          <w:rPr>
            <w:webHidden/>
          </w:rPr>
          <w:t>14</w:t>
        </w:r>
        <w:r w:rsidR="00424E3B">
          <w:rPr>
            <w:webHidden/>
          </w:rPr>
          <w:fldChar w:fldCharType="end"/>
        </w:r>
      </w:hyperlink>
    </w:p>
    <w:p w14:paraId="78560FFE" w14:textId="76AC9333" w:rsidR="00424E3B" w:rsidRDefault="00000000">
      <w:pPr>
        <w:pStyle w:val="TOC2"/>
        <w:rPr>
          <w:rFonts w:asciiTheme="minorHAnsi" w:eastAsiaTheme="minorEastAsia" w:hAnsiTheme="minorHAnsi"/>
          <w:kern w:val="2"/>
          <w:szCs w:val="22"/>
          <w:lang w:eastAsia="en-AU"/>
          <w14:ligatures w14:val="standardContextual"/>
        </w:rPr>
      </w:pPr>
      <w:hyperlink w:anchor="_Toc160715526" w:history="1">
        <w:r w:rsidR="00424E3B" w:rsidRPr="00A46CF5">
          <w:rPr>
            <w:rStyle w:val="Hyperlink"/>
          </w:rPr>
          <w:t>3.6</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 media lockup hard copy and PDF requirements</w:t>
        </w:r>
        <w:r w:rsidR="00424E3B">
          <w:rPr>
            <w:webHidden/>
          </w:rPr>
          <w:tab/>
        </w:r>
        <w:r w:rsidR="00424E3B">
          <w:rPr>
            <w:webHidden/>
          </w:rPr>
          <w:fldChar w:fldCharType="begin"/>
        </w:r>
        <w:r w:rsidR="00424E3B">
          <w:rPr>
            <w:webHidden/>
          </w:rPr>
          <w:instrText xml:space="preserve"> PAGEREF _Toc160715526 \h </w:instrText>
        </w:r>
        <w:r w:rsidR="00424E3B">
          <w:rPr>
            <w:webHidden/>
          </w:rPr>
        </w:r>
        <w:r w:rsidR="00424E3B">
          <w:rPr>
            <w:webHidden/>
          </w:rPr>
          <w:fldChar w:fldCharType="separate"/>
        </w:r>
        <w:r w:rsidR="00424E3B">
          <w:rPr>
            <w:webHidden/>
          </w:rPr>
          <w:t>15</w:t>
        </w:r>
        <w:r w:rsidR="00424E3B">
          <w:rPr>
            <w:webHidden/>
          </w:rPr>
          <w:fldChar w:fldCharType="end"/>
        </w:r>
      </w:hyperlink>
    </w:p>
    <w:p w14:paraId="18B0734B" w14:textId="6FEC92A9" w:rsidR="00424E3B" w:rsidRDefault="00000000">
      <w:pPr>
        <w:pStyle w:val="TOC2"/>
        <w:rPr>
          <w:rFonts w:asciiTheme="minorHAnsi" w:eastAsiaTheme="minorEastAsia" w:hAnsiTheme="minorHAnsi"/>
          <w:kern w:val="2"/>
          <w:szCs w:val="22"/>
          <w:lang w:eastAsia="en-AU"/>
          <w14:ligatures w14:val="standardContextual"/>
        </w:rPr>
      </w:pPr>
      <w:hyperlink w:anchor="_Toc160715527" w:history="1">
        <w:r w:rsidR="00424E3B" w:rsidRPr="00A46CF5">
          <w:rPr>
            <w:rStyle w:val="Hyperlink"/>
          </w:rPr>
          <w:t>3.7</w:t>
        </w:r>
        <w:r w:rsidR="00424E3B">
          <w:rPr>
            <w:rFonts w:asciiTheme="minorHAnsi" w:eastAsiaTheme="minorEastAsia" w:hAnsiTheme="minorHAnsi"/>
            <w:kern w:val="2"/>
            <w:szCs w:val="22"/>
            <w:lang w:eastAsia="en-AU"/>
            <w14:ligatures w14:val="standardContextual"/>
          </w:rPr>
          <w:tab/>
        </w:r>
        <w:r w:rsidR="00424E3B" w:rsidRPr="00A46CF5">
          <w:rPr>
            <w:rStyle w:val="Hyperlink"/>
          </w:rPr>
          <w:t>Number of books</w:t>
        </w:r>
        <w:r w:rsidR="00424E3B">
          <w:rPr>
            <w:webHidden/>
          </w:rPr>
          <w:tab/>
        </w:r>
        <w:r w:rsidR="00424E3B">
          <w:rPr>
            <w:webHidden/>
          </w:rPr>
          <w:fldChar w:fldCharType="begin"/>
        </w:r>
        <w:r w:rsidR="00424E3B">
          <w:rPr>
            <w:webHidden/>
          </w:rPr>
          <w:instrText xml:space="preserve"> PAGEREF _Toc160715527 \h </w:instrText>
        </w:r>
        <w:r w:rsidR="00424E3B">
          <w:rPr>
            <w:webHidden/>
          </w:rPr>
        </w:r>
        <w:r w:rsidR="00424E3B">
          <w:rPr>
            <w:webHidden/>
          </w:rPr>
          <w:fldChar w:fldCharType="separate"/>
        </w:r>
        <w:r w:rsidR="00424E3B">
          <w:rPr>
            <w:webHidden/>
          </w:rPr>
          <w:t>16</w:t>
        </w:r>
        <w:r w:rsidR="00424E3B">
          <w:rPr>
            <w:webHidden/>
          </w:rPr>
          <w:fldChar w:fldCharType="end"/>
        </w:r>
      </w:hyperlink>
    </w:p>
    <w:p w14:paraId="4443CD00" w14:textId="59A3A008" w:rsidR="00424E3B" w:rsidRDefault="00000000">
      <w:pPr>
        <w:pStyle w:val="TOC1"/>
        <w:rPr>
          <w:rFonts w:asciiTheme="minorHAnsi" w:eastAsiaTheme="minorEastAsia" w:hAnsiTheme="minorHAnsi"/>
          <w:kern w:val="2"/>
          <w:sz w:val="22"/>
          <w:szCs w:val="22"/>
          <w:lang w:eastAsia="en-AU"/>
          <w14:ligatures w14:val="standardContextual"/>
        </w:rPr>
      </w:pPr>
      <w:hyperlink w:anchor="_Toc160715528" w:history="1">
        <w:r w:rsidR="00424E3B" w:rsidRPr="00A46CF5">
          <w:rPr>
            <w:rStyle w:val="Hyperlink"/>
          </w:rPr>
          <w:t>4</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Online publication</w:t>
        </w:r>
        <w:r w:rsidR="00424E3B">
          <w:rPr>
            <w:webHidden/>
          </w:rPr>
          <w:tab/>
        </w:r>
        <w:r w:rsidR="00424E3B">
          <w:rPr>
            <w:webHidden/>
          </w:rPr>
          <w:fldChar w:fldCharType="begin"/>
        </w:r>
        <w:r w:rsidR="00424E3B">
          <w:rPr>
            <w:webHidden/>
          </w:rPr>
          <w:instrText xml:space="preserve"> PAGEREF _Toc160715528 \h </w:instrText>
        </w:r>
        <w:r w:rsidR="00424E3B">
          <w:rPr>
            <w:webHidden/>
          </w:rPr>
        </w:r>
        <w:r w:rsidR="00424E3B">
          <w:rPr>
            <w:webHidden/>
          </w:rPr>
          <w:fldChar w:fldCharType="separate"/>
        </w:r>
        <w:r w:rsidR="00424E3B">
          <w:rPr>
            <w:webHidden/>
          </w:rPr>
          <w:t>18</w:t>
        </w:r>
        <w:r w:rsidR="00424E3B">
          <w:rPr>
            <w:webHidden/>
          </w:rPr>
          <w:fldChar w:fldCharType="end"/>
        </w:r>
      </w:hyperlink>
    </w:p>
    <w:p w14:paraId="781C6126" w14:textId="2FF79ABD" w:rsidR="00424E3B" w:rsidRDefault="00000000">
      <w:pPr>
        <w:pStyle w:val="TOC2"/>
        <w:rPr>
          <w:rFonts w:asciiTheme="minorHAnsi" w:eastAsiaTheme="minorEastAsia" w:hAnsiTheme="minorHAnsi"/>
          <w:kern w:val="2"/>
          <w:szCs w:val="22"/>
          <w:lang w:eastAsia="en-AU"/>
          <w14:ligatures w14:val="standardContextual"/>
        </w:rPr>
      </w:pPr>
      <w:hyperlink w:anchor="_Toc160715529" w:history="1">
        <w:r w:rsidR="00424E3B" w:rsidRPr="00A46CF5">
          <w:rPr>
            <w:rStyle w:val="Hyperlink"/>
          </w:rPr>
          <w:t>4.1</w:t>
        </w:r>
        <w:r w:rsidR="00424E3B">
          <w:rPr>
            <w:rFonts w:asciiTheme="minorHAnsi" w:eastAsiaTheme="minorEastAsia" w:hAnsiTheme="minorHAnsi"/>
            <w:kern w:val="2"/>
            <w:szCs w:val="22"/>
            <w:lang w:eastAsia="en-AU"/>
            <w14:ligatures w14:val="standardContextual"/>
          </w:rPr>
          <w:tab/>
        </w:r>
        <w:r w:rsidR="00424E3B" w:rsidRPr="00A46CF5">
          <w:rPr>
            <w:rStyle w:val="Hyperlink"/>
          </w:rPr>
          <w:t>Online publishing of the PB Statements</w:t>
        </w:r>
        <w:r w:rsidR="00424E3B">
          <w:rPr>
            <w:webHidden/>
          </w:rPr>
          <w:tab/>
        </w:r>
        <w:r w:rsidR="00424E3B">
          <w:rPr>
            <w:webHidden/>
          </w:rPr>
          <w:fldChar w:fldCharType="begin"/>
        </w:r>
        <w:r w:rsidR="00424E3B">
          <w:rPr>
            <w:webHidden/>
          </w:rPr>
          <w:instrText xml:space="preserve"> PAGEREF _Toc160715529 \h </w:instrText>
        </w:r>
        <w:r w:rsidR="00424E3B">
          <w:rPr>
            <w:webHidden/>
          </w:rPr>
        </w:r>
        <w:r w:rsidR="00424E3B">
          <w:rPr>
            <w:webHidden/>
          </w:rPr>
          <w:fldChar w:fldCharType="separate"/>
        </w:r>
        <w:r w:rsidR="00424E3B">
          <w:rPr>
            <w:webHidden/>
          </w:rPr>
          <w:t>18</w:t>
        </w:r>
        <w:r w:rsidR="00424E3B">
          <w:rPr>
            <w:webHidden/>
          </w:rPr>
          <w:fldChar w:fldCharType="end"/>
        </w:r>
      </w:hyperlink>
    </w:p>
    <w:p w14:paraId="73C7DB13" w14:textId="1D2A5DB9" w:rsidR="00424E3B" w:rsidRDefault="00000000">
      <w:pPr>
        <w:pStyle w:val="TOC2"/>
        <w:rPr>
          <w:rFonts w:asciiTheme="minorHAnsi" w:eastAsiaTheme="minorEastAsia" w:hAnsiTheme="minorHAnsi"/>
          <w:kern w:val="2"/>
          <w:szCs w:val="22"/>
          <w:lang w:eastAsia="en-AU"/>
          <w14:ligatures w14:val="standardContextual"/>
        </w:rPr>
      </w:pPr>
      <w:hyperlink w:anchor="_Toc160715530" w:history="1">
        <w:r w:rsidR="00424E3B" w:rsidRPr="00A46CF5">
          <w:rPr>
            <w:rStyle w:val="Hyperlink"/>
          </w:rPr>
          <w:t>4.2</w:t>
        </w:r>
        <w:r w:rsidR="00424E3B">
          <w:rPr>
            <w:rFonts w:asciiTheme="minorHAnsi" w:eastAsiaTheme="minorEastAsia" w:hAnsiTheme="minorHAnsi"/>
            <w:kern w:val="2"/>
            <w:szCs w:val="22"/>
            <w:lang w:eastAsia="en-AU"/>
            <w14:ligatures w14:val="standardContextual"/>
          </w:rPr>
          <w:tab/>
        </w:r>
        <w:r w:rsidR="00424E3B" w:rsidRPr="00A46CF5">
          <w:rPr>
            <w:rStyle w:val="Hyperlink"/>
          </w:rPr>
          <w:t>Standard file-naming convention</w:t>
        </w:r>
        <w:r w:rsidR="00424E3B">
          <w:rPr>
            <w:webHidden/>
          </w:rPr>
          <w:tab/>
        </w:r>
        <w:r w:rsidR="00424E3B">
          <w:rPr>
            <w:webHidden/>
          </w:rPr>
          <w:fldChar w:fldCharType="begin"/>
        </w:r>
        <w:r w:rsidR="00424E3B">
          <w:rPr>
            <w:webHidden/>
          </w:rPr>
          <w:instrText xml:space="preserve"> PAGEREF _Toc160715530 \h </w:instrText>
        </w:r>
        <w:r w:rsidR="00424E3B">
          <w:rPr>
            <w:webHidden/>
          </w:rPr>
        </w:r>
        <w:r w:rsidR="00424E3B">
          <w:rPr>
            <w:webHidden/>
          </w:rPr>
          <w:fldChar w:fldCharType="separate"/>
        </w:r>
        <w:r w:rsidR="00424E3B">
          <w:rPr>
            <w:webHidden/>
          </w:rPr>
          <w:t>18</w:t>
        </w:r>
        <w:r w:rsidR="00424E3B">
          <w:rPr>
            <w:webHidden/>
          </w:rPr>
          <w:fldChar w:fldCharType="end"/>
        </w:r>
      </w:hyperlink>
    </w:p>
    <w:p w14:paraId="552C53E0" w14:textId="010FC12F" w:rsidR="00424E3B" w:rsidRDefault="00000000">
      <w:pPr>
        <w:pStyle w:val="TOC3"/>
        <w:rPr>
          <w:rFonts w:asciiTheme="minorHAnsi" w:eastAsiaTheme="minorEastAsia" w:hAnsiTheme="minorHAnsi"/>
          <w:kern w:val="2"/>
          <w:szCs w:val="22"/>
          <w:lang w:eastAsia="en-AU"/>
          <w14:ligatures w14:val="standardContextual"/>
        </w:rPr>
      </w:pPr>
      <w:hyperlink w:anchor="_Toc160715531" w:history="1">
        <w:r w:rsidR="00424E3B" w:rsidRPr="00A46CF5">
          <w:rPr>
            <w:rStyle w:val="Hyperlink"/>
          </w:rPr>
          <w:t>4.2.1</w:t>
        </w:r>
        <w:r w:rsidR="00424E3B">
          <w:rPr>
            <w:rFonts w:asciiTheme="minorHAnsi" w:eastAsiaTheme="minorEastAsia" w:hAnsiTheme="minorHAnsi"/>
            <w:kern w:val="2"/>
            <w:szCs w:val="22"/>
            <w:lang w:eastAsia="en-AU"/>
            <w14:ligatures w14:val="standardContextual"/>
          </w:rPr>
          <w:tab/>
        </w:r>
        <w:r w:rsidR="00424E3B" w:rsidRPr="00A46CF5">
          <w:rPr>
            <w:rStyle w:val="Hyperlink"/>
          </w:rPr>
          <w:t>Open government initiative publication on data.gov.au</w:t>
        </w:r>
        <w:r w:rsidR="00424E3B">
          <w:rPr>
            <w:webHidden/>
          </w:rPr>
          <w:tab/>
        </w:r>
        <w:r w:rsidR="00424E3B">
          <w:rPr>
            <w:webHidden/>
          </w:rPr>
          <w:fldChar w:fldCharType="begin"/>
        </w:r>
        <w:r w:rsidR="00424E3B">
          <w:rPr>
            <w:webHidden/>
          </w:rPr>
          <w:instrText xml:space="preserve"> PAGEREF _Toc160715531 \h </w:instrText>
        </w:r>
        <w:r w:rsidR="00424E3B">
          <w:rPr>
            <w:webHidden/>
          </w:rPr>
        </w:r>
        <w:r w:rsidR="00424E3B">
          <w:rPr>
            <w:webHidden/>
          </w:rPr>
          <w:fldChar w:fldCharType="separate"/>
        </w:r>
        <w:r w:rsidR="00424E3B">
          <w:rPr>
            <w:webHidden/>
          </w:rPr>
          <w:t>19</w:t>
        </w:r>
        <w:r w:rsidR="00424E3B">
          <w:rPr>
            <w:webHidden/>
          </w:rPr>
          <w:fldChar w:fldCharType="end"/>
        </w:r>
      </w:hyperlink>
    </w:p>
    <w:p w14:paraId="209A887A" w14:textId="2F036365" w:rsidR="00424E3B" w:rsidRDefault="00000000">
      <w:pPr>
        <w:pStyle w:val="TOC3"/>
        <w:rPr>
          <w:rFonts w:asciiTheme="minorHAnsi" w:eastAsiaTheme="minorEastAsia" w:hAnsiTheme="minorHAnsi"/>
          <w:kern w:val="2"/>
          <w:szCs w:val="22"/>
          <w:lang w:eastAsia="en-AU"/>
          <w14:ligatures w14:val="standardContextual"/>
        </w:rPr>
      </w:pPr>
      <w:hyperlink w:anchor="_Toc160715532" w:history="1">
        <w:r w:rsidR="00424E3B" w:rsidRPr="00A46CF5">
          <w:rPr>
            <w:rStyle w:val="Hyperlink"/>
          </w:rPr>
          <w:t>4.2.2</w:t>
        </w:r>
        <w:r w:rsidR="00424E3B">
          <w:rPr>
            <w:rFonts w:asciiTheme="minorHAnsi" w:eastAsiaTheme="minorEastAsia" w:hAnsiTheme="minorHAnsi"/>
            <w:kern w:val="2"/>
            <w:szCs w:val="22"/>
            <w:lang w:eastAsia="en-AU"/>
            <w14:ligatures w14:val="standardContextual"/>
          </w:rPr>
          <w:tab/>
        </w:r>
        <w:r w:rsidR="00424E3B" w:rsidRPr="00A46CF5">
          <w:rPr>
            <w:rStyle w:val="Hyperlink"/>
          </w:rPr>
          <w:t>Checklist for preparing files for online publication on data.gov.au</w:t>
        </w:r>
        <w:r w:rsidR="00424E3B">
          <w:rPr>
            <w:webHidden/>
          </w:rPr>
          <w:tab/>
        </w:r>
        <w:r w:rsidR="00424E3B">
          <w:rPr>
            <w:webHidden/>
          </w:rPr>
          <w:fldChar w:fldCharType="begin"/>
        </w:r>
        <w:r w:rsidR="00424E3B">
          <w:rPr>
            <w:webHidden/>
          </w:rPr>
          <w:instrText xml:space="preserve"> PAGEREF _Toc160715532 \h </w:instrText>
        </w:r>
        <w:r w:rsidR="00424E3B">
          <w:rPr>
            <w:webHidden/>
          </w:rPr>
        </w:r>
        <w:r w:rsidR="00424E3B">
          <w:rPr>
            <w:webHidden/>
          </w:rPr>
          <w:fldChar w:fldCharType="separate"/>
        </w:r>
        <w:r w:rsidR="00424E3B">
          <w:rPr>
            <w:webHidden/>
          </w:rPr>
          <w:t>20</w:t>
        </w:r>
        <w:r w:rsidR="00424E3B">
          <w:rPr>
            <w:webHidden/>
          </w:rPr>
          <w:fldChar w:fldCharType="end"/>
        </w:r>
      </w:hyperlink>
    </w:p>
    <w:p w14:paraId="63726A76" w14:textId="3C19B51D" w:rsidR="00424E3B" w:rsidRDefault="00000000">
      <w:pPr>
        <w:pStyle w:val="TOC1"/>
        <w:rPr>
          <w:rFonts w:asciiTheme="minorHAnsi" w:eastAsiaTheme="minorEastAsia" w:hAnsiTheme="minorHAnsi"/>
          <w:kern w:val="2"/>
          <w:sz w:val="22"/>
          <w:szCs w:val="22"/>
          <w:lang w:eastAsia="en-AU"/>
          <w14:ligatures w14:val="standardContextual"/>
        </w:rPr>
      </w:pPr>
      <w:hyperlink w:anchor="_Toc160715533" w:history="1">
        <w:r w:rsidR="00424E3B" w:rsidRPr="00A46CF5">
          <w:rPr>
            <w:rStyle w:val="Hyperlink"/>
          </w:rPr>
          <w:t>5</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Use of ISBN/ISSN number</w:t>
        </w:r>
        <w:r w:rsidR="00424E3B">
          <w:rPr>
            <w:webHidden/>
          </w:rPr>
          <w:tab/>
        </w:r>
        <w:r w:rsidR="00424E3B">
          <w:rPr>
            <w:webHidden/>
          </w:rPr>
          <w:fldChar w:fldCharType="begin"/>
        </w:r>
        <w:r w:rsidR="00424E3B">
          <w:rPr>
            <w:webHidden/>
          </w:rPr>
          <w:instrText xml:space="preserve"> PAGEREF _Toc160715533 \h </w:instrText>
        </w:r>
        <w:r w:rsidR="00424E3B">
          <w:rPr>
            <w:webHidden/>
          </w:rPr>
        </w:r>
        <w:r w:rsidR="00424E3B">
          <w:rPr>
            <w:webHidden/>
          </w:rPr>
          <w:fldChar w:fldCharType="separate"/>
        </w:r>
        <w:r w:rsidR="00424E3B">
          <w:rPr>
            <w:webHidden/>
          </w:rPr>
          <w:t>20</w:t>
        </w:r>
        <w:r w:rsidR="00424E3B">
          <w:rPr>
            <w:webHidden/>
          </w:rPr>
          <w:fldChar w:fldCharType="end"/>
        </w:r>
      </w:hyperlink>
    </w:p>
    <w:p w14:paraId="376B2F46" w14:textId="7A7D5274" w:rsidR="00424E3B" w:rsidRDefault="00000000">
      <w:pPr>
        <w:pStyle w:val="TOC1"/>
        <w:rPr>
          <w:rFonts w:asciiTheme="minorHAnsi" w:eastAsiaTheme="minorEastAsia" w:hAnsiTheme="minorHAnsi"/>
          <w:kern w:val="2"/>
          <w:sz w:val="22"/>
          <w:szCs w:val="22"/>
          <w:lang w:eastAsia="en-AU"/>
          <w14:ligatures w14:val="standardContextual"/>
        </w:rPr>
      </w:pPr>
      <w:hyperlink w:anchor="_Toc160715534" w:history="1">
        <w:r w:rsidR="00424E3B" w:rsidRPr="00A46CF5">
          <w:rPr>
            <w:rStyle w:val="Hyperlink"/>
          </w:rPr>
          <w:t>6</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Issuing a corrigendum (correction)/addendum</w:t>
        </w:r>
        <w:r w:rsidR="00424E3B">
          <w:rPr>
            <w:webHidden/>
          </w:rPr>
          <w:tab/>
        </w:r>
        <w:r w:rsidR="00424E3B">
          <w:rPr>
            <w:webHidden/>
          </w:rPr>
          <w:fldChar w:fldCharType="begin"/>
        </w:r>
        <w:r w:rsidR="00424E3B">
          <w:rPr>
            <w:webHidden/>
          </w:rPr>
          <w:instrText xml:space="preserve"> PAGEREF _Toc160715534 \h </w:instrText>
        </w:r>
        <w:r w:rsidR="00424E3B">
          <w:rPr>
            <w:webHidden/>
          </w:rPr>
        </w:r>
        <w:r w:rsidR="00424E3B">
          <w:rPr>
            <w:webHidden/>
          </w:rPr>
          <w:fldChar w:fldCharType="separate"/>
        </w:r>
        <w:r w:rsidR="00424E3B">
          <w:rPr>
            <w:webHidden/>
          </w:rPr>
          <w:t>20</w:t>
        </w:r>
        <w:r w:rsidR="00424E3B">
          <w:rPr>
            <w:webHidden/>
          </w:rPr>
          <w:fldChar w:fldCharType="end"/>
        </w:r>
      </w:hyperlink>
    </w:p>
    <w:p w14:paraId="26015451" w14:textId="647E5CBF" w:rsidR="00424E3B" w:rsidRDefault="00000000">
      <w:pPr>
        <w:pStyle w:val="TOC1"/>
        <w:rPr>
          <w:rFonts w:asciiTheme="minorHAnsi" w:eastAsiaTheme="minorEastAsia" w:hAnsiTheme="minorHAnsi"/>
          <w:kern w:val="2"/>
          <w:sz w:val="22"/>
          <w:szCs w:val="22"/>
          <w:lang w:eastAsia="en-AU"/>
          <w14:ligatures w14:val="standardContextual"/>
        </w:rPr>
      </w:pPr>
      <w:hyperlink w:anchor="_Toc160715535" w:history="1">
        <w:r w:rsidR="00424E3B" w:rsidRPr="00A46CF5">
          <w:rPr>
            <w:rStyle w:val="Hyperlink"/>
          </w:rPr>
          <w:t>Detailed Guidance of PB Statement Sections</w:t>
        </w:r>
        <w:r w:rsidR="00424E3B">
          <w:rPr>
            <w:webHidden/>
          </w:rPr>
          <w:tab/>
        </w:r>
        <w:r w:rsidR="00424E3B">
          <w:rPr>
            <w:webHidden/>
          </w:rPr>
          <w:fldChar w:fldCharType="begin"/>
        </w:r>
        <w:r w:rsidR="00424E3B">
          <w:rPr>
            <w:webHidden/>
          </w:rPr>
          <w:instrText xml:space="preserve"> PAGEREF _Toc160715535 \h </w:instrText>
        </w:r>
        <w:r w:rsidR="00424E3B">
          <w:rPr>
            <w:webHidden/>
          </w:rPr>
        </w:r>
        <w:r w:rsidR="00424E3B">
          <w:rPr>
            <w:webHidden/>
          </w:rPr>
          <w:fldChar w:fldCharType="separate"/>
        </w:r>
        <w:r w:rsidR="00424E3B">
          <w:rPr>
            <w:webHidden/>
          </w:rPr>
          <w:t>22</w:t>
        </w:r>
        <w:r w:rsidR="00424E3B">
          <w:rPr>
            <w:webHidden/>
          </w:rPr>
          <w:fldChar w:fldCharType="end"/>
        </w:r>
      </w:hyperlink>
    </w:p>
    <w:p w14:paraId="1C0C70A2" w14:textId="252A77A3" w:rsidR="00424E3B" w:rsidRDefault="00000000">
      <w:pPr>
        <w:pStyle w:val="TOC1"/>
        <w:rPr>
          <w:rFonts w:asciiTheme="minorHAnsi" w:eastAsiaTheme="minorEastAsia" w:hAnsiTheme="minorHAnsi"/>
          <w:kern w:val="2"/>
          <w:sz w:val="22"/>
          <w:szCs w:val="22"/>
          <w:lang w:eastAsia="en-AU"/>
          <w14:ligatures w14:val="standardContextual"/>
        </w:rPr>
      </w:pPr>
      <w:hyperlink w:anchor="_Toc160715536" w:history="1">
        <w:r w:rsidR="00424E3B" w:rsidRPr="00A46CF5">
          <w:rPr>
            <w:rStyle w:val="Hyperlink"/>
          </w:rPr>
          <w:t>7</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Performance Framework Diagram, Clear Read Principle and AASB 1055 Link to the Financial Statements</w:t>
        </w:r>
        <w:r w:rsidR="00424E3B">
          <w:rPr>
            <w:webHidden/>
          </w:rPr>
          <w:tab/>
        </w:r>
        <w:r w:rsidR="00424E3B">
          <w:rPr>
            <w:webHidden/>
          </w:rPr>
          <w:fldChar w:fldCharType="begin"/>
        </w:r>
        <w:r w:rsidR="00424E3B">
          <w:rPr>
            <w:webHidden/>
          </w:rPr>
          <w:instrText xml:space="preserve"> PAGEREF _Toc160715536 \h </w:instrText>
        </w:r>
        <w:r w:rsidR="00424E3B">
          <w:rPr>
            <w:webHidden/>
          </w:rPr>
        </w:r>
        <w:r w:rsidR="00424E3B">
          <w:rPr>
            <w:webHidden/>
          </w:rPr>
          <w:fldChar w:fldCharType="separate"/>
        </w:r>
        <w:r w:rsidR="00424E3B">
          <w:rPr>
            <w:webHidden/>
          </w:rPr>
          <w:t>22</w:t>
        </w:r>
        <w:r w:rsidR="00424E3B">
          <w:rPr>
            <w:webHidden/>
          </w:rPr>
          <w:fldChar w:fldCharType="end"/>
        </w:r>
      </w:hyperlink>
    </w:p>
    <w:p w14:paraId="2449BC16" w14:textId="6EE61BCD" w:rsidR="00424E3B" w:rsidRDefault="00000000">
      <w:pPr>
        <w:pStyle w:val="TOC2"/>
        <w:rPr>
          <w:rFonts w:asciiTheme="minorHAnsi" w:eastAsiaTheme="minorEastAsia" w:hAnsiTheme="minorHAnsi"/>
          <w:kern w:val="2"/>
          <w:szCs w:val="22"/>
          <w:lang w:eastAsia="en-AU"/>
          <w14:ligatures w14:val="standardContextual"/>
        </w:rPr>
      </w:pPr>
      <w:hyperlink w:anchor="_Toc160715537" w:history="1">
        <w:r w:rsidR="00424E3B" w:rsidRPr="00A46CF5">
          <w:rPr>
            <w:rStyle w:val="Hyperlink"/>
          </w:rPr>
          <w:t>7.1</w:t>
        </w:r>
        <w:r w:rsidR="00424E3B">
          <w:rPr>
            <w:rFonts w:asciiTheme="minorHAnsi" w:eastAsiaTheme="minorEastAsia" w:hAnsiTheme="minorHAnsi"/>
            <w:kern w:val="2"/>
            <w:szCs w:val="22"/>
            <w:lang w:eastAsia="en-AU"/>
            <w14:ligatures w14:val="standardContextual"/>
          </w:rPr>
          <w:tab/>
        </w:r>
        <w:r w:rsidR="00424E3B" w:rsidRPr="00A46CF5">
          <w:rPr>
            <w:rStyle w:val="Hyperlink"/>
          </w:rPr>
          <w:t>Commonwealth performance framework diagram</w:t>
        </w:r>
        <w:r w:rsidR="00424E3B">
          <w:rPr>
            <w:webHidden/>
          </w:rPr>
          <w:tab/>
        </w:r>
        <w:r w:rsidR="00424E3B">
          <w:rPr>
            <w:webHidden/>
          </w:rPr>
          <w:fldChar w:fldCharType="begin"/>
        </w:r>
        <w:r w:rsidR="00424E3B">
          <w:rPr>
            <w:webHidden/>
          </w:rPr>
          <w:instrText xml:space="preserve"> PAGEREF _Toc160715537 \h </w:instrText>
        </w:r>
        <w:r w:rsidR="00424E3B">
          <w:rPr>
            <w:webHidden/>
          </w:rPr>
        </w:r>
        <w:r w:rsidR="00424E3B">
          <w:rPr>
            <w:webHidden/>
          </w:rPr>
          <w:fldChar w:fldCharType="separate"/>
        </w:r>
        <w:r w:rsidR="00424E3B">
          <w:rPr>
            <w:webHidden/>
          </w:rPr>
          <w:t>22</w:t>
        </w:r>
        <w:r w:rsidR="00424E3B">
          <w:rPr>
            <w:webHidden/>
          </w:rPr>
          <w:fldChar w:fldCharType="end"/>
        </w:r>
      </w:hyperlink>
    </w:p>
    <w:p w14:paraId="3BC16B8A" w14:textId="7F053B55" w:rsidR="00424E3B" w:rsidRDefault="00000000">
      <w:pPr>
        <w:pStyle w:val="TOC2"/>
        <w:rPr>
          <w:rFonts w:asciiTheme="minorHAnsi" w:eastAsiaTheme="minorEastAsia" w:hAnsiTheme="minorHAnsi"/>
          <w:kern w:val="2"/>
          <w:szCs w:val="22"/>
          <w:lang w:eastAsia="en-AU"/>
          <w14:ligatures w14:val="standardContextual"/>
        </w:rPr>
      </w:pPr>
      <w:hyperlink w:anchor="_Toc160715538" w:history="1">
        <w:r w:rsidR="00424E3B" w:rsidRPr="00A46CF5">
          <w:rPr>
            <w:rStyle w:val="Hyperlink"/>
          </w:rPr>
          <w:t>7.2</w:t>
        </w:r>
        <w:r w:rsidR="00424E3B">
          <w:rPr>
            <w:rFonts w:asciiTheme="minorHAnsi" w:eastAsiaTheme="minorEastAsia" w:hAnsiTheme="minorHAnsi"/>
            <w:kern w:val="2"/>
            <w:szCs w:val="22"/>
            <w:lang w:eastAsia="en-AU"/>
            <w14:ligatures w14:val="standardContextual"/>
          </w:rPr>
          <w:tab/>
        </w:r>
        <w:r w:rsidR="00424E3B" w:rsidRPr="00A46CF5">
          <w:rPr>
            <w:rStyle w:val="Hyperlink"/>
          </w:rPr>
          <w:t>Consistency of reporting – the ‘clear read’ principle</w:t>
        </w:r>
        <w:r w:rsidR="00424E3B">
          <w:rPr>
            <w:webHidden/>
          </w:rPr>
          <w:tab/>
        </w:r>
        <w:r w:rsidR="00424E3B">
          <w:rPr>
            <w:webHidden/>
          </w:rPr>
          <w:fldChar w:fldCharType="begin"/>
        </w:r>
        <w:r w:rsidR="00424E3B">
          <w:rPr>
            <w:webHidden/>
          </w:rPr>
          <w:instrText xml:space="preserve"> PAGEREF _Toc160715538 \h </w:instrText>
        </w:r>
        <w:r w:rsidR="00424E3B">
          <w:rPr>
            <w:webHidden/>
          </w:rPr>
        </w:r>
        <w:r w:rsidR="00424E3B">
          <w:rPr>
            <w:webHidden/>
          </w:rPr>
          <w:fldChar w:fldCharType="separate"/>
        </w:r>
        <w:r w:rsidR="00424E3B">
          <w:rPr>
            <w:webHidden/>
          </w:rPr>
          <w:t>22</w:t>
        </w:r>
        <w:r w:rsidR="00424E3B">
          <w:rPr>
            <w:webHidden/>
          </w:rPr>
          <w:fldChar w:fldCharType="end"/>
        </w:r>
      </w:hyperlink>
    </w:p>
    <w:p w14:paraId="064754EB" w14:textId="26A4EE61" w:rsidR="00424E3B" w:rsidRDefault="00000000">
      <w:pPr>
        <w:pStyle w:val="TOC2"/>
        <w:rPr>
          <w:rFonts w:asciiTheme="minorHAnsi" w:eastAsiaTheme="minorEastAsia" w:hAnsiTheme="minorHAnsi"/>
          <w:kern w:val="2"/>
          <w:szCs w:val="22"/>
          <w:lang w:eastAsia="en-AU"/>
          <w14:ligatures w14:val="standardContextual"/>
        </w:rPr>
      </w:pPr>
      <w:hyperlink w:anchor="_Toc160715539" w:history="1">
        <w:r w:rsidR="00424E3B" w:rsidRPr="00A46CF5">
          <w:rPr>
            <w:rStyle w:val="Hyperlink"/>
          </w:rPr>
          <w:t>7.3</w:t>
        </w:r>
        <w:r w:rsidR="00424E3B">
          <w:rPr>
            <w:rFonts w:asciiTheme="minorHAnsi" w:eastAsiaTheme="minorEastAsia" w:hAnsiTheme="minorHAnsi"/>
            <w:kern w:val="2"/>
            <w:szCs w:val="22"/>
            <w:lang w:eastAsia="en-AU"/>
            <w14:ligatures w14:val="standardContextual"/>
          </w:rPr>
          <w:tab/>
        </w:r>
        <w:r w:rsidR="00424E3B" w:rsidRPr="00A46CF5">
          <w:rPr>
            <w:rStyle w:val="Hyperlink"/>
          </w:rPr>
          <w:t>‘Clear read’ linkages</w:t>
        </w:r>
        <w:r w:rsidR="00424E3B">
          <w:rPr>
            <w:webHidden/>
          </w:rPr>
          <w:tab/>
        </w:r>
        <w:r w:rsidR="00424E3B">
          <w:rPr>
            <w:webHidden/>
          </w:rPr>
          <w:fldChar w:fldCharType="begin"/>
        </w:r>
        <w:r w:rsidR="00424E3B">
          <w:rPr>
            <w:webHidden/>
          </w:rPr>
          <w:instrText xml:space="preserve"> PAGEREF _Toc160715539 \h </w:instrText>
        </w:r>
        <w:r w:rsidR="00424E3B">
          <w:rPr>
            <w:webHidden/>
          </w:rPr>
        </w:r>
        <w:r w:rsidR="00424E3B">
          <w:rPr>
            <w:webHidden/>
          </w:rPr>
          <w:fldChar w:fldCharType="separate"/>
        </w:r>
        <w:r w:rsidR="00424E3B">
          <w:rPr>
            <w:webHidden/>
          </w:rPr>
          <w:t>23</w:t>
        </w:r>
        <w:r w:rsidR="00424E3B">
          <w:rPr>
            <w:webHidden/>
          </w:rPr>
          <w:fldChar w:fldCharType="end"/>
        </w:r>
      </w:hyperlink>
    </w:p>
    <w:p w14:paraId="79916F4B" w14:textId="63F43152" w:rsidR="00424E3B" w:rsidRDefault="00000000">
      <w:pPr>
        <w:pStyle w:val="TOC2"/>
        <w:rPr>
          <w:rFonts w:asciiTheme="minorHAnsi" w:eastAsiaTheme="minorEastAsia" w:hAnsiTheme="minorHAnsi"/>
          <w:kern w:val="2"/>
          <w:szCs w:val="22"/>
          <w:lang w:eastAsia="en-AU"/>
          <w14:ligatures w14:val="standardContextual"/>
        </w:rPr>
      </w:pPr>
      <w:hyperlink w:anchor="_Toc160715540" w:history="1">
        <w:r w:rsidR="00424E3B" w:rsidRPr="00A46CF5">
          <w:rPr>
            <w:rStyle w:val="Hyperlink"/>
          </w:rPr>
          <w:t>7.4</w:t>
        </w:r>
        <w:r w:rsidR="00424E3B">
          <w:rPr>
            <w:rFonts w:asciiTheme="minorHAnsi" w:eastAsiaTheme="minorEastAsia" w:hAnsiTheme="minorHAnsi"/>
            <w:kern w:val="2"/>
            <w:szCs w:val="22"/>
            <w:lang w:eastAsia="en-AU"/>
            <w14:ligatures w14:val="standardContextual"/>
          </w:rPr>
          <w:tab/>
        </w:r>
        <w:r w:rsidR="00424E3B" w:rsidRPr="00A46CF5">
          <w:rPr>
            <w:rStyle w:val="Hyperlink"/>
          </w:rPr>
          <w:t>AASB 1055 - Link between budgeted and financial statements reporting</w:t>
        </w:r>
        <w:r w:rsidR="00424E3B">
          <w:rPr>
            <w:webHidden/>
          </w:rPr>
          <w:tab/>
        </w:r>
        <w:r w:rsidR="00424E3B">
          <w:rPr>
            <w:webHidden/>
          </w:rPr>
          <w:fldChar w:fldCharType="begin"/>
        </w:r>
        <w:r w:rsidR="00424E3B">
          <w:rPr>
            <w:webHidden/>
          </w:rPr>
          <w:instrText xml:space="preserve"> PAGEREF _Toc160715540 \h </w:instrText>
        </w:r>
        <w:r w:rsidR="00424E3B">
          <w:rPr>
            <w:webHidden/>
          </w:rPr>
        </w:r>
        <w:r w:rsidR="00424E3B">
          <w:rPr>
            <w:webHidden/>
          </w:rPr>
          <w:fldChar w:fldCharType="separate"/>
        </w:r>
        <w:r w:rsidR="00424E3B">
          <w:rPr>
            <w:webHidden/>
          </w:rPr>
          <w:t>23</w:t>
        </w:r>
        <w:r w:rsidR="00424E3B">
          <w:rPr>
            <w:webHidden/>
          </w:rPr>
          <w:fldChar w:fldCharType="end"/>
        </w:r>
      </w:hyperlink>
    </w:p>
    <w:p w14:paraId="5B678BBA" w14:textId="3206F9FE" w:rsidR="00424E3B" w:rsidRDefault="00000000">
      <w:pPr>
        <w:pStyle w:val="TOC1"/>
        <w:rPr>
          <w:rFonts w:asciiTheme="minorHAnsi" w:eastAsiaTheme="minorEastAsia" w:hAnsiTheme="minorHAnsi"/>
          <w:kern w:val="2"/>
          <w:sz w:val="22"/>
          <w:szCs w:val="22"/>
          <w:lang w:eastAsia="en-AU"/>
          <w14:ligatures w14:val="standardContextual"/>
        </w:rPr>
      </w:pPr>
      <w:hyperlink w:anchor="_Toc160715541" w:history="1">
        <w:r w:rsidR="00424E3B" w:rsidRPr="00A46CF5">
          <w:rPr>
            <w:rStyle w:val="Hyperlink"/>
          </w:rPr>
          <w:t>8</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Clearance processes</w:t>
        </w:r>
        <w:r w:rsidR="00424E3B">
          <w:rPr>
            <w:webHidden/>
          </w:rPr>
          <w:tab/>
        </w:r>
        <w:r w:rsidR="00424E3B">
          <w:rPr>
            <w:webHidden/>
          </w:rPr>
          <w:fldChar w:fldCharType="begin"/>
        </w:r>
        <w:r w:rsidR="00424E3B">
          <w:rPr>
            <w:webHidden/>
          </w:rPr>
          <w:instrText xml:space="preserve"> PAGEREF _Toc160715541 \h </w:instrText>
        </w:r>
        <w:r w:rsidR="00424E3B">
          <w:rPr>
            <w:webHidden/>
          </w:rPr>
        </w:r>
        <w:r w:rsidR="00424E3B">
          <w:rPr>
            <w:webHidden/>
          </w:rPr>
          <w:fldChar w:fldCharType="separate"/>
        </w:r>
        <w:r w:rsidR="00424E3B">
          <w:rPr>
            <w:webHidden/>
          </w:rPr>
          <w:t>24</w:t>
        </w:r>
        <w:r w:rsidR="00424E3B">
          <w:rPr>
            <w:webHidden/>
          </w:rPr>
          <w:fldChar w:fldCharType="end"/>
        </w:r>
      </w:hyperlink>
    </w:p>
    <w:p w14:paraId="2E684599" w14:textId="48DA5F69" w:rsidR="00424E3B" w:rsidRDefault="00000000">
      <w:pPr>
        <w:pStyle w:val="TOC1"/>
        <w:rPr>
          <w:rFonts w:asciiTheme="minorHAnsi" w:eastAsiaTheme="minorEastAsia" w:hAnsiTheme="minorHAnsi"/>
          <w:kern w:val="2"/>
          <w:sz w:val="22"/>
          <w:szCs w:val="22"/>
          <w:lang w:eastAsia="en-AU"/>
          <w14:ligatures w14:val="standardContextual"/>
        </w:rPr>
      </w:pPr>
      <w:hyperlink w:anchor="_Toc160715542" w:history="1">
        <w:r w:rsidR="00424E3B" w:rsidRPr="00A46CF5">
          <w:rPr>
            <w:rStyle w:val="Hyperlink"/>
          </w:rPr>
          <w:t>9</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Portfolio Overview Section</w:t>
        </w:r>
        <w:r w:rsidR="00424E3B">
          <w:rPr>
            <w:webHidden/>
          </w:rPr>
          <w:tab/>
        </w:r>
        <w:r w:rsidR="00424E3B">
          <w:rPr>
            <w:webHidden/>
          </w:rPr>
          <w:fldChar w:fldCharType="begin"/>
        </w:r>
        <w:r w:rsidR="00424E3B">
          <w:rPr>
            <w:webHidden/>
          </w:rPr>
          <w:instrText xml:space="preserve"> PAGEREF _Toc160715542 \h </w:instrText>
        </w:r>
        <w:r w:rsidR="00424E3B">
          <w:rPr>
            <w:webHidden/>
          </w:rPr>
        </w:r>
        <w:r w:rsidR="00424E3B">
          <w:rPr>
            <w:webHidden/>
          </w:rPr>
          <w:fldChar w:fldCharType="separate"/>
        </w:r>
        <w:r w:rsidR="00424E3B">
          <w:rPr>
            <w:webHidden/>
          </w:rPr>
          <w:t>24</w:t>
        </w:r>
        <w:r w:rsidR="00424E3B">
          <w:rPr>
            <w:webHidden/>
          </w:rPr>
          <w:fldChar w:fldCharType="end"/>
        </w:r>
      </w:hyperlink>
    </w:p>
    <w:p w14:paraId="7142CF0D" w14:textId="582AF7D6" w:rsidR="00424E3B" w:rsidRDefault="00000000">
      <w:pPr>
        <w:pStyle w:val="TOC2"/>
        <w:rPr>
          <w:rFonts w:asciiTheme="minorHAnsi" w:eastAsiaTheme="minorEastAsia" w:hAnsiTheme="minorHAnsi"/>
          <w:kern w:val="2"/>
          <w:szCs w:val="22"/>
          <w:lang w:eastAsia="en-AU"/>
          <w14:ligatures w14:val="standardContextual"/>
        </w:rPr>
      </w:pPr>
      <w:hyperlink w:anchor="_Toc160715543" w:history="1">
        <w:r w:rsidR="00424E3B" w:rsidRPr="00A46CF5">
          <w:rPr>
            <w:rStyle w:val="Hyperlink"/>
            <w:spacing w:val="-6"/>
          </w:rPr>
          <w:t>9.1</w:t>
        </w:r>
        <w:r w:rsidR="00424E3B">
          <w:rPr>
            <w:rFonts w:asciiTheme="minorHAnsi" w:eastAsiaTheme="minorEastAsia" w:hAnsiTheme="minorHAnsi"/>
            <w:kern w:val="2"/>
            <w:szCs w:val="22"/>
            <w:lang w:eastAsia="en-AU"/>
            <w14:ligatures w14:val="standardContextual"/>
          </w:rPr>
          <w:tab/>
        </w:r>
        <w:r w:rsidR="00424E3B" w:rsidRPr="00A46CF5">
          <w:rPr>
            <w:rStyle w:val="Hyperlink"/>
          </w:rPr>
          <w:t>Minister(s) and portfolio responsibilities</w:t>
        </w:r>
        <w:r w:rsidR="00424E3B">
          <w:rPr>
            <w:webHidden/>
          </w:rPr>
          <w:tab/>
        </w:r>
        <w:r w:rsidR="00424E3B">
          <w:rPr>
            <w:webHidden/>
          </w:rPr>
          <w:fldChar w:fldCharType="begin"/>
        </w:r>
        <w:r w:rsidR="00424E3B">
          <w:rPr>
            <w:webHidden/>
          </w:rPr>
          <w:instrText xml:space="preserve"> PAGEREF _Toc160715543 \h </w:instrText>
        </w:r>
        <w:r w:rsidR="00424E3B">
          <w:rPr>
            <w:webHidden/>
          </w:rPr>
        </w:r>
        <w:r w:rsidR="00424E3B">
          <w:rPr>
            <w:webHidden/>
          </w:rPr>
          <w:fldChar w:fldCharType="separate"/>
        </w:r>
        <w:r w:rsidR="00424E3B">
          <w:rPr>
            <w:webHidden/>
          </w:rPr>
          <w:t>25</w:t>
        </w:r>
        <w:r w:rsidR="00424E3B">
          <w:rPr>
            <w:webHidden/>
          </w:rPr>
          <w:fldChar w:fldCharType="end"/>
        </w:r>
      </w:hyperlink>
    </w:p>
    <w:p w14:paraId="2B0E2913" w14:textId="5D79E995" w:rsidR="00424E3B" w:rsidRDefault="00000000">
      <w:pPr>
        <w:pStyle w:val="TOC2"/>
        <w:rPr>
          <w:rFonts w:asciiTheme="minorHAnsi" w:eastAsiaTheme="minorEastAsia" w:hAnsiTheme="minorHAnsi"/>
          <w:kern w:val="2"/>
          <w:szCs w:val="22"/>
          <w:lang w:eastAsia="en-AU"/>
          <w14:ligatures w14:val="standardContextual"/>
        </w:rPr>
      </w:pPr>
      <w:hyperlink w:anchor="_Toc160715544" w:history="1">
        <w:r w:rsidR="00424E3B" w:rsidRPr="00A46CF5">
          <w:rPr>
            <w:rStyle w:val="Hyperlink"/>
            <w:spacing w:val="-6"/>
          </w:rPr>
          <w:t>9.2</w:t>
        </w:r>
        <w:r w:rsidR="00424E3B">
          <w:rPr>
            <w:rFonts w:asciiTheme="minorHAnsi" w:eastAsiaTheme="minorEastAsia" w:hAnsiTheme="minorHAnsi"/>
            <w:kern w:val="2"/>
            <w:szCs w:val="22"/>
            <w:lang w:eastAsia="en-AU"/>
            <w14:ligatures w14:val="standardContextual"/>
          </w:rPr>
          <w:tab/>
        </w:r>
        <w:r w:rsidR="00424E3B" w:rsidRPr="00A46CF5">
          <w:rPr>
            <w:rStyle w:val="Hyperlink"/>
          </w:rPr>
          <w:t>Portfolio structure and outcomes</w:t>
        </w:r>
        <w:r w:rsidR="00424E3B">
          <w:rPr>
            <w:webHidden/>
          </w:rPr>
          <w:tab/>
        </w:r>
        <w:r w:rsidR="00424E3B">
          <w:rPr>
            <w:webHidden/>
          </w:rPr>
          <w:fldChar w:fldCharType="begin"/>
        </w:r>
        <w:r w:rsidR="00424E3B">
          <w:rPr>
            <w:webHidden/>
          </w:rPr>
          <w:instrText xml:space="preserve"> PAGEREF _Toc160715544 \h </w:instrText>
        </w:r>
        <w:r w:rsidR="00424E3B">
          <w:rPr>
            <w:webHidden/>
          </w:rPr>
        </w:r>
        <w:r w:rsidR="00424E3B">
          <w:rPr>
            <w:webHidden/>
          </w:rPr>
          <w:fldChar w:fldCharType="separate"/>
        </w:r>
        <w:r w:rsidR="00424E3B">
          <w:rPr>
            <w:webHidden/>
          </w:rPr>
          <w:t>25</w:t>
        </w:r>
        <w:r w:rsidR="00424E3B">
          <w:rPr>
            <w:webHidden/>
          </w:rPr>
          <w:fldChar w:fldCharType="end"/>
        </w:r>
      </w:hyperlink>
    </w:p>
    <w:p w14:paraId="594A8169" w14:textId="2E5D3375" w:rsidR="00424E3B" w:rsidRDefault="00000000">
      <w:pPr>
        <w:pStyle w:val="TOC1"/>
        <w:rPr>
          <w:rFonts w:asciiTheme="minorHAnsi" w:eastAsiaTheme="minorEastAsia" w:hAnsiTheme="minorHAnsi"/>
          <w:kern w:val="2"/>
          <w:sz w:val="22"/>
          <w:szCs w:val="22"/>
          <w:lang w:eastAsia="en-AU"/>
          <w14:ligatures w14:val="standardContextual"/>
        </w:rPr>
      </w:pPr>
      <w:hyperlink w:anchor="_Toc160715545" w:history="1">
        <w:r w:rsidR="00424E3B" w:rsidRPr="00A46CF5">
          <w:rPr>
            <w:rStyle w:val="Hyperlink"/>
          </w:rPr>
          <w:t>10</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Entity overview and resources - Section 1</w:t>
        </w:r>
        <w:r w:rsidR="00424E3B">
          <w:rPr>
            <w:webHidden/>
          </w:rPr>
          <w:tab/>
        </w:r>
        <w:r w:rsidR="00424E3B">
          <w:rPr>
            <w:webHidden/>
          </w:rPr>
          <w:fldChar w:fldCharType="begin"/>
        </w:r>
        <w:r w:rsidR="00424E3B">
          <w:rPr>
            <w:webHidden/>
          </w:rPr>
          <w:instrText xml:space="preserve"> PAGEREF _Toc160715545 \h </w:instrText>
        </w:r>
        <w:r w:rsidR="00424E3B">
          <w:rPr>
            <w:webHidden/>
          </w:rPr>
        </w:r>
        <w:r w:rsidR="00424E3B">
          <w:rPr>
            <w:webHidden/>
          </w:rPr>
          <w:fldChar w:fldCharType="separate"/>
        </w:r>
        <w:r w:rsidR="00424E3B">
          <w:rPr>
            <w:webHidden/>
          </w:rPr>
          <w:t>25</w:t>
        </w:r>
        <w:r w:rsidR="00424E3B">
          <w:rPr>
            <w:webHidden/>
          </w:rPr>
          <w:fldChar w:fldCharType="end"/>
        </w:r>
      </w:hyperlink>
    </w:p>
    <w:p w14:paraId="1A538C3D" w14:textId="28CE6737" w:rsidR="00424E3B" w:rsidRDefault="00000000">
      <w:pPr>
        <w:pStyle w:val="TOC2"/>
        <w:rPr>
          <w:rFonts w:asciiTheme="minorHAnsi" w:eastAsiaTheme="minorEastAsia" w:hAnsiTheme="minorHAnsi"/>
          <w:kern w:val="2"/>
          <w:szCs w:val="22"/>
          <w:lang w:eastAsia="en-AU"/>
          <w14:ligatures w14:val="standardContextual"/>
        </w:rPr>
      </w:pPr>
      <w:hyperlink w:anchor="_Toc160715546" w:history="1">
        <w:r w:rsidR="00424E3B" w:rsidRPr="00A46CF5">
          <w:rPr>
            <w:rStyle w:val="Hyperlink"/>
          </w:rPr>
          <w:t>10.1</w:t>
        </w:r>
        <w:r w:rsidR="00424E3B">
          <w:rPr>
            <w:rFonts w:asciiTheme="minorHAnsi" w:eastAsiaTheme="minorEastAsia" w:hAnsiTheme="minorHAnsi"/>
            <w:kern w:val="2"/>
            <w:szCs w:val="22"/>
            <w:lang w:eastAsia="en-AU"/>
            <w14:ligatures w14:val="standardContextual"/>
          </w:rPr>
          <w:tab/>
        </w:r>
        <w:r w:rsidR="00424E3B" w:rsidRPr="00A46CF5">
          <w:rPr>
            <w:rStyle w:val="Hyperlink"/>
          </w:rPr>
          <w:t>Strategic direction statement</w:t>
        </w:r>
        <w:r w:rsidR="00424E3B">
          <w:rPr>
            <w:webHidden/>
          </w:rPr>
          <w:tab/>
        </w:r>
        <w:r w:rsidR="00424E3B">
          <w:rPr>
            <w:webHidden/>
          </w:rPr>
          <w:fldChar w:fldCharType="begin"/>
        </w:r>
        <w:r w:rsidR="00424E3B">
          <w:rPr>
            <w:webHidden/>
          </w:rPr>
          <w:instrText xml:space="preserve"> PAGEREF _Toc160715546 \h </w:instrText>
        </w:r>
        <w:r w:rsidR="00424E3B">
          <w:rPr>
            <w:webHidden/>
          </w:rPr>
        </w:r>
        <w:r w:rsidR="00424E3B">
          <w:rPr>
            <w:webHidden/>
          </w:rPr>
          <w:fldChar w:fldCharType="separate"/>
        </w:r>
        <w:r w:rsidR="00424E3B">
          <w:rPr>
            <w:webHidden/>
          </w:rPr>
          <w:t>26</w:t>
        </w:r>
        <w:r w:rsidR="00424E3B">
          <w:rPr>
            <w:webHidden/>
          </w:rPr>
          <w:fldChar w:fldCharType="end"/>
        </w:r>
      </w:hyperlink>
    </w:p>
    <w:p w14:paraId="1237B3A4" w14:textId="0B5255F5" w:rsidR="00424E3B" w:rsidRDefault="00000000">
      <w:pPr>
        <w:pStyle w:val="TOC2"/>
        <w:rPr>
          <w:rFonts w:asciiTheme="minorHAnsi" w:eastAsiaTheme="minorEastAsia" w:hAnsiTheme="minorHAnsi"/>
          <w:kern w:val="2"/>
          <w:szCs w:val="22"/>
          <w:lang w:eastAsia="en-AU"/>
          <w14:ligatures w14:val="standardContextual"/>
        </w:rPr>
      </w:pPr>
      <w:hyperlink w:anchor="_Toc160715547" w:history="1">
        <w:r w:rsidR="00424E3B" w:rsidRPr="00A46CF5">
          <w:rPr>
            <w:rStyle w:val="Hyperlink"/>
          </w:rPr>
          <w:t>10.2</w:t>
        </w:r>
        <w:r w:rsidR="00424E3B">
          <w:rPr>
            <w:rFonts w:asciiTheme="minorHAnsi" w:eastAsiaTheme="minorEastAsia" w:hAnsiTheme="minorHAnsi"/>
            <w:kern w:val="2"/>
            <w:szCs w:val="22"/>
            <w:lang w:eastAsia="en-AU"/>
            <w14:ligatures w14:val="standardContextual"/>
          </w:rPr>
          <w:tab/>
        </w:r>
        <w:r w:rsidR="00424E3B" w:rsidRPr="00A46CF5">
          <w:rPr>
            <w:rStyle w:val="Hyperlink"/>
          </w:rPr>
          <w:t>Entity resource statement</w:t>
        </w:r>
        <w:r w:rsidR="00424E3B">
          <w:rPr>
            <w:webHidden/>
          </w:rPr>
          <w:tab/>
        </w:r>
        <w:r w:rsidR="00424E3B">
          <w:rPr>
            <w:webHidden/>
          </w:rPr>
          <w:fldChar w:fldCharType="begin"/>
        </w:r>
        <w:r w:rsidR="00424E3B">
          <w:rPr>
            <w:webHidden/>
          </w:rPr>
          <w:instrText xml:space="preserve"> PAGEREF _Toc160715547 \h </w:instrText>
        </w:r>
        <w:r w:rsidR="00424E3B">
          <w:rPr>
            <w:webHidden/>
          </w:rPr>
        </w:r>
        <w:r w:rsidR="00424E3B">
          <w:rPr>
            <w:webHidden/>
          </w:rPr>
          <w:fldChar w:fldCharType="separate"/>
        </w:r>
        <w:r w:rsidR="00424E3B">
          <w:rPr>
            <w:webHidden/>
          </w:rPr>
          <w:t>26</w:t>
        </w:r>
        <w:r w:rsidR="00424E3B">
          <w:rPr>
            <w:webHidden/>
          </w:rPr>
          <w:fldChar w:fldCharType="end"/>
        </w:r>
      </w:hyperlink>
    </w:p>
    <w:p w14:paraId="7DF345E2" w14:textId="39DE3B69" w:rsidR="00424E3B" w:rsidRDefault="00000000">
      <w:pPr>
        <w:pStyle w:val="TOC2"/>
        <w:rPr>
          <w:rFonts w:asciiTheme="minorHAnsi" w:eastAsiaTheme="minorEastAsia" w:hAnsiTheme="minorHAnsi"/>
          <w:kern w:val="2"/>
          <w:szCs w:val="22"/>
          <w:lang w:eastAsia="en-AU"/>
          <w14:ligatures w14:val="standardContextual"/>
        </w:rPr>
      </w:pPr>
      <w:hyperlink w:anchor="_Toc160715548" w:history="1">
        <w:r w:rsidR="00424E3B" w:rsidRPr="00A46CF5">
          <w:rPr>
            <w:rStyle w:val="Hyperlink"/>
          </w:rPr>
          <w:t>10.3</w:t>
        </w:r>
        <w:r w:rsidR="00424E3B">
          <w:rPr>
            <w:rFonts w:asciiTheme="minorHAnsi" w:eastAsiaTheme="minorEastAsia" w:hAnsiTheme="minorHAnsi"/>
            <w:kern w:val="2"/>
            <w:szCs w:val="22"/>
            <w:lang w:eastAsia="en-AU"/>
            <w14:ligatures w14:val="standardContextual"/>
          </w:rPr>
          <w:tab/>
        </w:r>
        <w:r w:rsidR="00424E3B" w:rsidRPr="00A46CF5">
          <w:rPr>
            <w:rStyle w:val="Hyperlink"/>
          </w:rPr>
          <w:t>Payments to the states</w:t>
        </w:r>
        <w:r w:rsidR="00424E3B">
          <w:rPr>
            <w:webHidden/>
          </w:rPr>
          <w:tab/>
        </w:r>
        <w:r w:rsidR="00424E3B">
          <w:rPr>
            <w:webHidden/>
          </w:rPr>
          <w:fldChar w:fldCharType="begin"/>
        </w:r>
        <w:r w:rsidR="00424E3B">
          <w:rPr>
            <w:webHidden/>
          </w:rPr>
          <w:instrText xml:space="preserve"> PAGEREF _Toc160715548 \h </w:instrText>
        </w:r>
        <w:r w:rsidR="00424E3B">
          <w:rPr>
            <w:webHidden/>
          </w:rPr>
        </w:r>
        <w:r w:rsidR="00424E3B">
          <w:rPr>
            <w:webHidden/>
          </w:rPr>
          <w:fldChar w:fldCharType="separate"/>
        </w:r>
        <w:r w:rsidR="00424E3B">
          <w:rPr>
            <w:webHidden/>
          </w:rPr>
          <w:t>26</w:t>
        </w:r>
        <w:r w:rsidR="00424E3B">
          <w:rPr>
            <w:webHidden/>
          </w:rPr>
          <w:fldChar w:fldCharType="end"/>
        </w:r>
      </w:hyperlink>
    </w:p>
    <w:p w14:paraId="78CCEEDA" w14:textId="4DB00189" w:rsidR="00424E3B" w:rsidRDefault="00000000">
      <w:pPr>
        <w:pStyle w:val="TOC2"/>
        <w:rPr>
          <w:rFonts w:asciiTheme="minorHAnsi" w:eastAsiaTheme="minorEastAsia" w:hAnsiTheme="minorHAnsi"/>
          <w:kern w:val="2"/>
          <w:szCs w:val="22"/>
          <w:lang w:eastAsia="en-AU"/>
          <w14:ligatures w14:val="standardContextual"/>
        </w:rPr>
      </w:pPr>
      <w:hyperlink w:anchor="_Toc160715549" w:history="1">
        <w:r w:rsidR="00424E3B" w:rsidRPr="00A46CF5">
          <w:rPr>
            <w:rStyle w:val="Hyperlink"/>
          </w:rPr>
          <w:t>10.4</w:t>
        </w:r>
        <w:r w:rsidR="00424E3B">
          <w:rPr>
            <w:rFonts w:asciiTheme="minorHAnsi" w:eastAsiaTheme="minorEastAsia" w:hAnsiTheme="minorHAnsi"/>
            <w:kern w:val="2"/>
            <w:szCs w:val="22"/>
            <w:lang w:eastAsia="en-AU"/>
            <w14:ligatures w14:val="standardContextual"/>
          </w:rPr>
          <w:tab/>
        </w:r>
        <w:r w:rsidR="00424E3B" w:rsidRPr="00A46CF5">
          <w:rPr>
            <w:rStyle w:val="Hyperlink"/>
          </w:rPr>
          <w:t>Additional guidance on cash management reports and Appropriation Bills</w:t>
        </w:r>
        <w:r w:rsidR="00424E3B">
          <w:rPr>
            <w:webHidden/>
          </w:rPr>
          <w:tab/>
        </w:r>
        <w:r w:rsidR="00424E3B">
          <w:rPr>
            <w:webHidden/>
          </w:rPr>
          <w:fldChar w:fldCharType="begin"/>
        </w:r>
        <w:r w:rsidR="00424E3B">
          <w:rPr>
            <w:webHidden/>
          </w:rPr>
          <w:instrText xml:space="preserve"> PAGEREF _Toc160715549 \h </w:instrText>
        </w:r>
        <w:r w:rsidR="00424E3B">
          <w:rPr>
            <w:webHidden/>
          </w:rPr>
        </w:r>
        <w:r w:rsidR="00424E3B">
          <w:rPr>
            <w:webHidden/>
          </w:rPr>
          <w:fldChar w:fldCharType="separate"/>
        </w:r>
        <w:r w:rsidR="00424E3B">
          <w:rPr>
            <w:webHidden/>
          </w:rPr>
          <w:t>27</w:t>
        </w:r>
        <w:r w:rsidR="00424E3B">
          <w:rPr>
            <w:webHidden/>
          </w:rPr>
          <w:fldChar w:fldCharType="end"/>
        </w:r>
      </w:hyperlink>
    </w:p>
    <w:p w14:paraId="68F415DB" w14:textId="0F69F673" w:rsidR="00424E3B" w:rsidRDefault="00000000">
      <w:pPr>
        <w:pStyle w:val="TOC2"/>
        <w:rPr>
          <w:rFonts w:asciiTheme="minorHAnsi" w:eastAsiaTheme="minorEastAsia" w:hAnsiTheme="minorHAnsi"/>
          <w:kern w:val="2"/>
          <w:szCs w:val="22"/>
          <w:lang w:eastAsia="en-AU"/>
          <w14:ligatures w14:val="standardContextual"/>
        </w:rPr>
      </w:pPr>
      <w:hyperlink w:anchor="_Toc160715550" w:history="1">
        <w:r w:rsidR="00424E3B" w:rsidRPr="00A46CF5">
          <w:rPr>
            <w:rStyle w:val="Hyperlink"/>
          </w:rPr>
          <w:t>10.5</w:t>
        </w:r>
        <w:r w:rsidR="00424E3B">
          <w:rPr>
            <w:rFonts w:asciiTheme="minorHAnsi" w:eastAsiaTheme="minorEastAsia" w:hAnsiTheme="minorHAnsi"/>
            <w:kern w:val="2"/>
            <w:szCs w:val="22"/>
            <w:lang w:eastAsia="en-AU"/>
            <w14:ligatures w14:val="standardContextual"/>
          </w:rPr>
          <w:tab/>
        </w:r>
        <w:r w:rsidR="00424E3B" w:rsidRPr="00A46CF5">
          <w:rPr>
            <w:rStyle w:val="Hyperlink"/>
          </w:rPr>
          <w:t>Resource statement - Table 1.1</w:t>
        </w:r>
        <w:r w:rsidR="00424E3B">
          <w:rPr>
            <w:webHidden/>
          </w:rPr>
          <w:tab/>
        </w:r>
        <w:r w:rsidR="00424E3B">
          <w:rPr>
            <w:webHidden/>
          </w:rPr>
          <w:fldChar w:fldCharType="begin"/>
        </w:r>
        <w:r w:rsidR="00424E3B">
          <w:rPr>
            <w:webHidden/>
          </w:rPr>
          <w:instrText xml:space="preserve"> PAGEREF _Toc160715550 \h </w:instrText>
        </w:r>
        <w:r w:rsidR="00424E3B">
          <w:rPr>
            <w:webHidden/>
          </w:rPr>
        </w:r>
        <w:r w:rsidR="00424E3B">
          <w:rPr>
            <w:webHidden/>
          </w:rPr>
          <w:fldChar w:fldCharType="separate"/>
        </w:r>
        <w:r w:rsidR="00424E3B">
          <w:rPr>
            <w:webHidden/>
          </w:rPr>
          <w:t>28</w:t>
        </w:r>
        <w:r w:rsidR="00424E3B">
          <w:rPr>
            <w:webHidden/>
          </w:rPr>
          <w:fldChar w:fldCharType="end"/>
        </w:r>
      </w:hyperlink>
    </w:p>
    <w:p w14:paraId="76F76BB7" w14:textId="00C1ED4B" w:rsidR="00424E3B" w:rsidRDefault="00000000">
      <w:pPr>
        <w:pStyle w:val="TOC2"/>
        <w:rPr>
          <w:rFonts w:asciiTheme="minorHAnsi" w:eastAsiaTheme="minorEastAsia" w:hAnsiTheme="minorHAnsi"/>
          <w:kern w:val="2"/>
          <w:szCs w:val="22"/>
          <w:lang w:eastAsia="en-AU"/>
          <w14:ligatures w14:val="standardContextual"/>
        </w:rPr>
      </w:pPr>
      <w:hyperlink w:anchor="_Toc160715551" w:history="1">
        <w:r w:rsidR="00424E3B" w:rsidRPr="00A46CF5">
          <w:rPr>
            <w:rStyle w:val="Hyperlink"/>
          </w:rPr>
          <w:t>10.6</w:t>
        </w:r>
        <w:r w:rsidR="00424E3B">
          <w:rPr>
            <w:rFonts w:asciiTheme="minorHAnsi" w:eastAsiaTheme="minorEastAsia" w:hAnsiTheme="minorHAnsi"/>
            <w:kern w:val="2"/>
            <w:szCs w:val="22"/>
            <w:lang w:eastAsia="en-AU"/>
            <w14:ligatures w14:val="standardContextual"/>
          </w:rPr>
          <w:tab/>
        </w:r>
        <w:r w:rsidR="00424E3B" w:rsidRPr="00A46CF5">
          <w:rPr>
            <w:rStyle w:val="Hyperlink"/>
          </w:rPr>
          <w:t>Annual Appropriations – ordinary annual services</w:t>
        </w:r>
        <w:r w:rsidR="00424E3B">
          <w:rPr>
            <w:webHidden/>
          </w:rPr>
          <w:tab/>
        </w:r>
        <w:r w:rsidR="00424E3B">
          <w:rPr>
            <w:webHidden/>
          </w:rPr>
          <w:fldChar w:fldCharType="begin"/>
        </w:r>
        <w:r w:rsidR="00424E3B">
          <w:rPr>
            <w:webHidden/>
          </w:rPr>
          <w:instrText xml:space="preserve"> PAGEREF _Toc160715551 \h </w:instrText>
        </w:r>
        <w:r w:rsidR="00424E3B">
          <w:rPr>
            <w:webHidden/>
          </w:rPr>
        </w:r>
        <w:r w:rsidR="00424E3B">
          <w:rPr>
            <w:webHidden/>
          </w:rPr>
          <w:fldChar w:fldCharType="separate"/>
        </w:r>
        <w:r w:rsidR="00424E3B">
          <w:rPr>
            <w:webHidden/>
          </w:rPr>
          <w:t>28</w:t>
        </w:r>
        <w:r w:rsidR="00424E3B">
          <w:rPr>
            <w:webHidden/>
          </w:rPr>
          <w:fldChar w:fldCharType="end"/>
        </w:r>
      </w:hyperlink>
    </w:p>
    <w:p w14:paraId="0CEC40AC" w14:textId="59C842E3" w:rsidR="00424E3B" w:rsidRDefault="00000000">
      <w:pPr>
        <w:pStyle w:val="TOC2"/>
        <w:rPr>
          <w:rFonts w:asciiTheme="minorHAnsi" w:eastAsiaTheme="minorEastAsia" w:hAnsiTheme="minorHAnsi"/>
          <w:kern w:val="2"/>
          <w:szCs w:val="22"/>
          <w:lang w:eastAsia="en-AU"/>
          <w14:ligatures w14:val="standardContextual"/>
        </w:rPr>
      </w:pPr>
      <w:hyperlink w:anchor="_Toc160715552" w:history="1">
        <w:r w:rsidR="00424E3B" w:rsidRPr="00A46CF5">
          <w:rPr>
            <w:rStyle w:val="Hyperlink"/>
          </w:rPr>
          <w:t>10.7</w:t>
        </w:r>
        <w:r w:rsidR="00424E3B">
          <w:rPr>
            <w:rFonts w:asciiTheme="minorHAnsi" w:eastAsiaTheme="minorEastAsia" w:hAnsiTheme="minorHAnsi"/>
            <w:kern w:val="2"/>
            <w:szCs w:val="22"/>
            <w:lang w:eastAsia="en-AU"/>
            <w14:ligatures w14:val="standardContextual"/>
          </w:rPr>
          <w:tab/>
        </w:r>
        <w:r w:rsidR="00424E3B" w:rsidRPr="00A46CF5">
          <w:rPr>
            <w:rStyle w:val="Hyperlink"/>
          </w:rPr>
          <w:t>Annual Appropriations Repeal / Sunsetting Provisions and s51 PGPA Act Withholdings</w:t>
        </w:r>
        <w:r w:rsidR="00424E3B">
          <w:rPr>
            <w:webHidden/>
          </w:rPr>
          <w:tab/>
        </w:r>
        <w:r w:rsidR="00424E3B">
          <w:rPr>
            <w:webHidden/>
          </w:rPr>
          <w:fldChar w:fldCharType="begin"/>
        </w:r>
        <w:r w:rsidR="00424E3B">
          <w:rPr>
            <w:webHidden/>
          </w:rPr>
          <w:instrText xml:space="preserve"> PAGEREF _Toc160715552 \h </w:instrText>
        </w:r>
        <w:r w:rsidR="00424E3B">
          <w:rPr>
            <w:webHidden/>
          </w:rPr>
        </w:r>
        <w:r w:rsidR="00424E3B">
          <w:rPr>
            <w:webHidden/>
          </w:rPr>
          <w:fldChar w:fldCharType="separate"/>
        </w:r>
        <w:r w:rsidR="00424E3B">
          <w:rPr>
            <w:webHidden/>
          </w:rPr>
          <w:t>28</w:t>
        </w:r>
        <w:r w:rsidR="00424E3B">
          <w:rPr>
            <w:webHidden/>
          </w:rPr>
          <w:fldChar w:fldCharType="end"/>
        </w:r>
      </w:hyperlink>
    </w:p>
    <w:p w14:paraId="5E79BD41" w14:textId="4888F919" w:rsidR="00424E3B" w:rsidRDefault="00000000">
      <w:pPr>
        <w:pStyle w:val="TOC2"/>
        <w:rPr>
          <w:rFonts w:asciiTheme="minorHAnsi" w:eastAsiaTheme="minorEastAsia" w:hAnsiTheme="minorHAnsi"/>
          <w:kern w:val="2"/>
          <w:szCs w:val="22"/>
          <w:lang w:eastAsia="en-AU"/>
          <w14:ligatures w14:val="standardContextual"/>
        </w:rPr>
      </w:pPr>
      <w:hyperlink w:anchor="_Toc160715553" w:history="1">
        <w:r w:rsidR="00424E3B" w:rsidRPr="00A46CF5">
          <w:rPr>
            <w:rStyle w:val="Hyperlink"/>
          </w:rPr>
          <w:t>10.8</w:t>
        </w:r>
        <w:r w:rsidR="00424E3B">
          <w:rPr>
            <w:rFonts w:asciiTheme="minorHAnsi" w:eastAsiaTheme="minorEastAsia" w:hAnsiTheme="minorHAnsi"/>
            <w:kern w:val="2"/>
            <w:szCs w:val="22"/>
            <w:lang w:eastAsia="en-AU"/>
            <w14:ligatures w14:val="standardContextual"/>
          </w:rPr>
          <w:tab/>
        </w:r>
        <w:r w:rsidR="00424E3B" w:rsidRPr="00A46CF5">
          <w:rPr>
            <w:rStyle w:val="Hyperlink"/>
          </w:rPr>
          <w:t>Prior year annual appropriation balances</w:t>
        </w:r>
        <w:r w:rsidR="00424E3B">
          <w:rPr>
            <w:webHidden/>
          </w:rPr>
          <w:tab/>
        </w:r>
        <w:r w:rsidR="00424E3B">
          <w:rPr>
            <w:webHidden/>
          </w:rPr>
          <w:fldChar w:fldCharType="begin"/>
        </w:r>
        <w:r w:rsidR="00424E3B">
          <w:rPr>
            <w:webHidden/>
          </w:rPr>
          <w:instrText xml:space="preserve"> PAGEREF _Toc160715553 \h </w:instrText>
        </w:r>
        <w:r w:rsidR="00424E3B">
          <w:rPr>
            <w:webHidden/>
          </w:rPr>
        </w:r>
        <w:r w:rsidR="00424E3B">
          <w:rPr>
            <w:webHidden/>
          </w:rPr>
          <w:fldChar w:fldCharType="separate"/>
        </w:r>
        <w:r w:rsidR="00424E3B">
          <w:rPr>
            <w:webHidden/>
          </w:rPr>
          <w:t>29</w:t>
        </w:r>
        <w:r w:rsidR="00424E3B">
          <w:rPr>
            <w:webHidden/>
          </w:rPr>
          <w:fldChar w:fldCharType="end"/>
        </w:r>
      </w:hyperlink>
    </w:p>
    <w:p w14:paraId="7F5E5E58" w14:textId="0FF5E247" w:rsidR="00424E3B" w:rsidRDefault="00000000">
      <w:pPr>
        <w:pStyle w:val="TOC2"/>
        <w:rPr>
          <w:rFonts w:asciiTheme="minorHAnsi" w:eastAsiaTheme="minorEastAsia" w:hAnsiTheme="minorHAnsi"/>
          <w:kern w:val="2"/>
          <w:szCs w:val="22"/>
          <w:lang w:eastAsia="en-AU"/>
          <w14:ligatures w14:val="standardContextual"/>
        </w:rPr>
      </w:pPr>
      <w:hyperlink w:anchor="_Toc160715554" w:history="1">
        <w:r w:rsidR="00424E3B" w:rsidRPr="00A46CF5">
          <w:rPr>
            <w:rStyle w:val="Hyperlink"/>
          </w:rPr>
          <w:t>10.9</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 administered capital budget</w:t>
        </w:r>
        <w:r w:rsidR="00424E3B">
          <w:rPr>
            <w:webHidden/>
          </w:rPr>
          <w:tab/>
        </w:r>
        <w:r w:rsidR="00424E3B">
          <w:rPr>
            <w:webHidden/>
          </w:rPr>
          <w:fldChar w:fldCharType="begin"/>
        </w:r>
        <w:r w:rsidR="00424E3B">
          <w:rPr>
            <w:webHidden/>
          </w:rPr>
          <w:instrText xml:space="preserve"> PAGEREF _Toc160715554 \h </w:instrText>
        </w:r>
        <w:r w:rsidR="00424E3B">
          <w:rPr>
            <w:webHidden/>
          </w:rPr>
        </w:r>
        <w:r w:rsidR="00424E3B">
          <w:rPr>
            <w:webHidden/>
          </w:rPr>
          <w:fldChar w:fldCharType="separate"/>
        </w:r>
        <w:r w:rsidR="00424E3B">
          <w:rPr>
            <w:webHidden/>
          </w:rPr>
          <w:t>29</w:t>
        </w:r>
        <w:r w:rsidR="00424E3B">
          <w:rPr>
            <w:webHidden/>
          </w:rPr>
          <w:fldChar w:fldCharType="end"/>
        </w:r>
      </w:hyperlink>
    </w:p>
    <w:p w14:paraId="62566036" w14:textId="2006B78C" w:rsidR="00424E3B" w:rsidRDefault="00000000">
      <w:pPr>
        <w:pStyle w:val="TOC2"/>
        <w:rPr>
          <w:rFonts w:asciiTheme="minorHAnsi" w:eastAsiaTheme="minorEastAsia" w:hAnsiTheme="minorHAnsi"/>
          <w:kern w:val="2"/>
          <w:szCs w:val="22"/>
          <w:lang w:eastAsia="en-AU"/>
          <w14:ligatures w14:val="standardContextual"/>
        </w:rPr>
      </w:pPr>
      <w:hyperlink w:anchor="_Toc160715555" w:history="1">
        <w:r w:rsidR="00424E3B" w:rsidRPr="00A46CF5">
          <w:rPr>
            <w:rStyle w:val="Hyperlink"/>
          </w:rPr>
          <w:t>10.10</w:t>
        </w:r>
        <w:r w:rsidR="00424E3B">
          <w:rPr>
            <w:rFonts w:asciiTheme="minorHAnsi" w:eastAsiaTheme="minorEastAsia" w:hAnsiTheme="minorHAnsi"/>
            <w:kern w:val="2"/>
            <w:szCs w:val="22"/>
            <w:lang w:eastAsia="en-AU"/>
            <w14:ligatures w14:val="standardContextual"/>
          </w:rPr>
          <w:tab/>
        </w:r>
        <w:r w:rsidR="00424E3B" w:rsidRPr="00A46CF5">
          <w:rPr>
            <w:rStyle w:val="Hyperlink"/>
          </w:rPr>
          <w:t>Annual Appropriations – other services</w:t>
        </w:r>
        <w:r w:rsidR="00424E3B">
          <w:rPr>
            <w:webHidden/>
          </w:rPr>
          <w:tab/>
        </w:r>
        <w:r w:rsidR="00424E3B">
          <w:rPr>
            <w:webHidden/>
          </w:rPr>
          <w:fldChar w:fldCharType="begin"/>
        </w:r>
        <w:r w:rsidR="00424E3B">
          <w:rPr>
            <w:webHidden/>
          </w:rPr>
          <w:instrText xml:space="preserve"> PAGEREF _Toc160715555 \h </w:instrText>
        </w:r>
        <w:r w:rsidR="00424E3B">
          <w:rPr>
            <w:webHidden/>
          </w:rPr>
        </w:r>
        <w:r w:rsidR="00424E3B">
          <w:rPr>
            <w:webHidden/>
          </w:rPr>
          <w:fldChar w:fldCharType="separate"/>
        </w:r>
        <w:r w:rsidR="00424E3B">
          <w:rPr>
            <w:webHidden/>
          </w:rPr>
          <w:t>29</w:t>
        </w:r>
        <w:r w:rsidR="00424E3B">
          <w:rPr>
            <w:webHidden/>
          </w:rPr>
          <w:fldChar w:fldCharType="end"/>
        </w:r>
      </w:hyperlink>
    </w:p>
    <w:p w14:paraId="26B5D667" w14:textId="063E66DE" w:rsidR="00424E3B" w:rsidRDefault="00000000">
      <w:pPr>
        <w:pStyle w:val="TOC2"/>
        <w:rPr>
          <w:rFonts w:asciiTheme="minorHAnsi" w:eastAsiaTheme="minorEastAsia" w:hAnsiTheme="minorHAnsi"/>
          <w:kern w:val="2"/>
          <w:szCs w:val="22"/>
          <w:lang w:eastAsia="en-AU"/>
          <w14:ligatures w14:val="standardContextual"/>
        </w:rPr>
      </w:pPr>
      <w:hyperlink w:anchor="_Toc160715556" w:history="1">
        <w:r w:rsidR="00424E3B" w:rsidRPr="00A46CF5">
          <w:rPr>
            <w:rStyle w:val="Hyperlink"/>
          </w:rPr>
          <w:t>10.11</w:t>
        </w:r>
        <w:r w:rsidR="00424E3B">
          <w:rPr>
            <w:rFonts w:asciiTheme="minorHAnsi" w:eastAsiaTheme="minorEastAsia" w:hAnsiTheme="minorHAnsi"/>
            <w:kern w:val="2"/>
            <w:szCs w:val="22"/>
            <w:lang w:eastAsia="en-AU"/>
            <w14:ligatures w14:val="standardContextual"/>
          </w:rPr>
          <w:tab/>
        </w:r>
        <w:r w:rsidR="00424E3B" w:rsidRPr="00A46CF5">
          <w:rPr>
            <w:rStyle w:val="Hyperlink"/>
          </w:rPr>
          <w:t>s74 External Revenue</w:t>
        </w:r>
        <w:r w:rsidR="00424E3B">
          <w:rPr>
            <w:webHidden/>
          </w:rPr>
          <w:tab/>
        </w:r>
        <w:r w:rsidR="00424E3B">
          <w:rPr>
            <w:webHidden/>
          </w:rPr>
          <w:fldChar w:fldCharType="begin"/>
        </w:r>
        <w:r w:rsidR="00424E3B">
          <w:rPr>
            <w:webHidden/>
          </w:rPr>
          <w:instrText xml:space="preserve"> PAGEREF _Toc160715556 \h </w:instrText>
        </w:r>
        <w:r w:rsidR="00424E3B">
          <w:rPr>
            <w:webHidden/>
          </w:rPr>
        </w:r>
        <w:r w:rsidR="00424E3B">
          <w:rPr>
            <w:webHidden/>
          </w:rPr>
          <w:fldChar w:fldCharType="separate"/>
        </w:r>
        <w:r w:rsidR="00424E3B">
          <w:rPr>
            <w:webHidden/>
          </w:rPr>
          <w:t>30</w:t>
        </w:r>
        <w:r w:rsidR="00424E3B">
          <w:rPr>
            <w:webHidden/>
          </w:rPr>
          <w:fldChar w:fldCharType="end"/>
        </w:r>
      </w:hyperlink>
    </w:p>
    <w:p w14:paraId="28EEFEA4" w14:textId="37C10C3A" w:rsidR="00424E3B" w:rsidRDefault="00000000">
      <w:pPr>
        <w:pStyle w:val="TOC2"/>
        <w:rPr>
          <w:rFonts w:asciiTheme="minorHAnsi" w:eastAsiaTheme="minorEastAsia" w:hAnsiTheme="minorHAnsi"/>
          <w:kern w:val="2"/>
          <w:szCs w:val="22"/>
          <w:lang w:eastAsia="en-AU"/>
          <w14:ligatures w14:val="standardContextual"/>
        </w:rPr>
      </w:pPr>
      <w:hyperlink w:anchor="_Toc160715557" w:history="1">
        <w:r w:rsidR="00424E3B" w:rsidRPr="00A46CF5">
          <w:rPr>
            <w:rStyle w:val="Hyperlink"/>
          </w:rPr>
          <w:t>10.12</w:t>
        </w:r>
        <w:r w:rsidR="00424E3B">
          <w:rPr>
            <w:rFonts w:asciiTheme="minorHAnsi" w:eastAsiaTheme="minorEastAsia" w:hAnsiTheme="minorHAnsi"/>
            <w:kern w:val="2"/>
            <w:szCs w:val="22"/>
            <w:lang w:eastAsia="en-AU"/>
            <w14:ligatures w14:val="standardContextual"/>
          </w:rPr>
          <w:tab/>
        </w:r>
        <w:r w:rsidR="00424E3B" w:rsidRPr="00A46CF5">
          <w:rPr>
            <w:rStyle w:val="Hyperlink"/>
          </w:rPr>
          <w:t>Special appropriations</w:t>
        </w:r>
        <w:r w:rsidR="00424E3B">
          <w:rPr>
            <w:webHidden/>
          </w:rPr>
          <w:tab/>
        </w:r>
        <w:r w:rsidR="00424E3B">
          <w:rPr>
            <w:webHidden/>
          </w:rPr>
          <w:fldChar w:fldCharType="begin"/>
        </w:r>
        <w:r w:rsidR="00424E3B">
          <w:rPr>
            <w:webHidden/>
          </w:rPr>
          <w:instrText xml:space="preserve"> PAGEREF _Toc160715557 \h </w:instrText>
        </w:r>
        <w:r w:rsidR="00424E3B">
          <w:rPr>
            <w:webHidden/>
          </w:rPr>
        </w:r>
        <w:r w:rsidR="00424E3B">
          <w:rPr>
            <w:webHidden/>
          </w:rPr>
          <w:fldChar w:fldCharType="separate"/>
        </w:r>
        <w:r w:rsidR="00424E3B">
          <w:rPr>
            <w:webHidden/>
          </w:rPr>
          <w:t>30</w:t>
        </w:r>
        <w:r w:rsidR="00424E3B">
          <w:rPr>
            <w:webHidden/>
          </w:rPr>
          <w:fldChar w:fldCharType="end"/>
        </w:r>
      </w:hyperlink>
    </w:p>
    <w:p w14:paraId="73ABAF85" w14:textId="315082DE" w:rsidR="00424E3B" w:rsidRDefault="00000000">
      <w:pPr>
        <w:pStyle w:val="TOC2"/>
        <w:rPr>
          <w:rFonts w:asciiTheme="minorHAnsi" w:eastAsiaTheme="minorEastAsia" w:hAnsiTheme="minorHAnsi"/>
          <w:kern w:val="2"/>
          <w:szCs w:val="22"/>
          <w:lang w:eastAsia="en-AU"/>
          <w14:ligatures w14:val="standardContextual"/>
        </w:rPr>
      </w:pPr>
      <w:hyperlink w:anchor="_Toc160715558" w:history="1">
        <w:r w:rsidR="00424E3B" w:rsidRPr="00A46CF5">
          <w:rPr>
            <w:rStyle w:val="Hyperlink"/>
          </w:rPr>
          <w:t>10.13</w:t>
        </w:r>
        <w:r w:rsidR="00424E3B">
          <w:rPr>
            <w:rFonts w:asciiTheme="minorHAnsi" w:eastAsiaTheme="minorEastAsia" w:hAnsiTheme="minorHAnsi"/>
            <w:kern w:val="2"/>
            <w:szCs w:val="22"/>
            <w:lang w:eastAsia="en-AU"/>
            <w14:ligatures w14:val="standardContextual"/>
          </w:rPr>
          <w:tab/>
        </w:r>
        <w:r w:rsidR="00424E3B" w:rsidRPr="00A46CF5">
          <w:rPr>
            <w:rStyle w:val="Hyperlink"/>
          </w:rPr>
          <w:t>Special accounts and Exclusion of Trust Moneys</w:t>
        </w:r>
        <w:r w:rsidR="00424E3B">
          <w:rPr>
            <w:webHidden/>
          </w:rPr>
          <w:tab/>
        </w:r>
        <w:r w:rsidR="00424E3B">
          <w:rPr>
            <w:webHidden/>
          </w:rPr>
          <w:fldChar w:fldCharType="begin"/>
        </w:r>
        <w:r w:rsidR="00424E3B">
          <w:rPr>
            <w:webHidden/>
          </w:rPr>
          <w:instrText xml:space="preserve"> PAGEREF _Toc160715558 \h </w:instrText>
        </w:r>
        <w:r w:rsidR="00424E3B">
          <w:rPr>
            <w:webHidden/>
          </w:rPr>
        </w:r>
        <w:r w:rsidR="00424E3B">
          <w:rPr>
            <w:webHidden/>
          </w:rPr>
          <w:fldChar w:fldCharType="separate"/>
        </w:r>
        <w:r w:rsidR="00424E3B">
          <w:rPr>
            <w:webHidden/>
          </w:rPr>
          <w:t>30</w:t>
        </w:r>
        <w:r w:rsidR="00424E3B">
          <w:rPr>
            <w:webHidden/>
          </w:rPr>
          <w:fldChar w:fldCharType="end"/>
        </w:r>
      </w:hyperlink>
    </w:p>
    <w:p w14:paraId="1C796845" w14:textId="19A29F5A" w:rsidR="00424E3B" w:rsidRDefault="00000000">
      <w:pPr>
        <w:pStyle w:val="TOC2"/>
        <w:rPr>
          <w:rFonts w:asciiTheme="minorHAnsi" w:eastAsiaTheme="minorEastAsia" w:hAnsiTheme="minorHAnsi"/>
          <w:kern w:val="2"/>
          <w:szCs w:val="22"/>
          <w:lang w:eastAsia="en-AU"/>
          <w14:ligatures w14:val="standardContextual"/>
        </w:rPr>
      </w:pPr>
      <w:hyperlink w:anchor="_Toc160715559" w:history="1">
        <w:r w:rsidR="00424E3B" w:rsidRPr="00A46CF5">
          <w:rPr>
            <w:rStyle w:val="Hyperlink"/>
          </w:rPr>
          <w:t>10.14</w:t>
        </w:r>
        <w:r w:rsidR="00424E3B">
          <w:rPr>
            <w:rFonts w:asciiTheme="minorHAnsi" w:eastAsiaTheme="minorEastAsia" w:hAnsiTheme="minorHAnsi"/>
            <w:kern w:val="2"/>
            <w:szCs w:val="22"/>
            <w:lang w:eastAsia="en-AU"/>
            <w14:ligatures w14:val="standardContextual"/>
          </w:rPr>
          <w:tab/>
        </w:r>
        <w:r w:rsidR="00424E3B" w:rsidRPr="00A46CF5">
          <w:rPr>
            <w:rStyle w:val="Hyperlink"/>
          </w:rPr>
          <w:t>Payments to corporate entities</w:t>
        </w:r>
        <w:r w:rsidR="00424E3B">
          <w:rPr>
            <w:webHidden/>
          </w:rPr>
          <w:tab/>
        </w:r>
        <w:r w:rsidR="00424E3B">
          <w:rPr>
            <w:webHidden/>
          </w:rPr>
          <w:fldChar w:fldCharType="begin"/>
        </w:r>
        <w:r w:rsidR="00424E3B">
          <w:rPr>
            <w:webHidden/>
          </w:rPr>
          <w:instrText xml:space="preserve"> PAGEREF _Toc160715559 \h </w:instrText>
        </w:r>
        <w:r w:rsidR="00424E3B">
          <w:rPr>
            <w:webHidden/>
          </w:rPr>
        </w:r>
        <w:r w:rsidR="00424E3B">
          <w:rPr>
            <w:webHidden/>
          </w:rPr>
          <w:fldChar w:fldCharType="separate"/>
        </w:r>
        <w:r w:rsidR="00424E3B">
          <w:rPr>
            <w:webHidden/>
          </w:rPr>
          <w:t>31</w:t>
        </w:r>
        <w:r w:rsidR="00424E3B">
          <w:rPr>
            <w:webHidden/>
          </w:rPr>
          <w:fldChar w:fldCharType="end"/>
        </w:r>
      </w:hyperlink>
    </w:p>
    <w:p w14:paraId="78A1E8B8" w14:textId="20144EDC" w:rsidR="00424E3B" w:rsidRDefault="00000000">
      <w:pPr>
        <w:pStyle w:val="TOC2"/>
        <w:rPr>
          <w:rFonts w:asciiTheme="minorHAnsi" w:eastAsiaTheme="minorEastAsia" w:hAnsiTheme="minorHAnsi"/>
          <w:kern w:val="2"/>
          <w:szCs w:val="22"/>
          <w:lang w:eastAsia="en-AU"/>
          <w14:ligatures w14:val="standardContextual"/>
        </w:rPr>
      </w:pPr>
      <w:hyperlink w:anchor="_Toc160715560" w:history="1">
        <w:r w:rsidR="00424E3B" w:rsidRPr="00A46CF5">
          <w:rPr>
            <w:rStyle w:val="Hyperlink"/>
          </w:rPr>
          <w:t>10.15</w:t>
        </w:r>
        <w:r w:rsidR="00424E3B">
          <w:rPr>
            <w:rFonts w:asciiTheme="minorHAnsi" w:eastAsiaTheme="minorEastAsia" w:hAnsiTheme="minorHAnsi"/>
            <w:kern w:val="2"/>
            <w:szCs w:val="22"/>
            <w:lang w:eastAsia="en-AU"/>
            <w14:ligatures w14:val="standardContextual"/>
          </w:rPr>
          <w:tab/>
        </w:r>
        <w:r w:rsidR="00424E3B" w:rsidRPr="00A46CF5">
          <w:rPr>
            <w:rStyle w:val="Hyperlink"/>
          </w:rPr>
          <w:t>Average staffing level</w:t>
        </w:r>
        <w:r w:rsidR="00424E3B" w:rsidRPr="00A46CF5">
          <w:rPr>
            <w:rStyle w:val="Hyperlink"/>
            <w:iCs/>
          </w:rPr>
          <w:t>s (ASL)</w:t>
        </w:r>
        <w:r w:rsidR="00424E3B">
          <w:rPr>
            <w:webHidden/>
          </w:rPr>
          <w:tab/>
        </w:r>
        <w:r w:rsidR="00424E3B">
          <w:rPr>
            <w:webHidden/>
          </w:rPr>
          <w:fldChar w:fldCharType="begin"/>
        </w:r>
        <w:r w:rsidR="00424E3B">
          <w:rPr>
            <w:webHidden/>
          </w:rPr>
          <w:instrText xml:space="preserve"> PAGEREF _Toc160715560 \h </w:instrText>
        </w:r>
        <w:r w:rsidR="00424E3B">
          <w:rPr>
            <w:webHidden/>
          </w:rPr>
        </w:r>
        <w:r w:rsidR="00424E3B">
          <w:rPr>
            <w:webHidden/>
          </w:rPr>
          <w:fldChar w:fldCharType="separate"/>
        </w:r>
        <w:r w:rsidR="00424E3B">
          <w:rPr>
            <w:webHidden/>
          </w:rPr>
          <w:t>31</w:t>
        </w:r>
        <w:r w:rsidR="00424E3B">
          <w:rPr>
            <w:webHidden/>
          </w:rPr>
          <w:fldChar w:fldCharType="end"/>
        </w:r>
      </w:hyperlink>
    </w:p>
    <w:p w14:paraId="7669C9E2" w14:textId="355B591D" w:rsidR="00424E3B" w:rsidRDefault="00000000">
      <w:pPr>
        <w:pStyle w:val="TOC2"/>
        <w:rPr>
          <w:rFonts w:asciiTheme="minorHAnsi" w:eastAsiaTheme="minorEastAsia" w:hAnsiTheme="minorHAnsi"/>
          <w:kern w:val="2"/>
          <w:szCs w:val="22"/>
          <w:lang w:eastAsia="en-AU"/>
          <w14:ligatures w14:val="standardContextual"/>
        </w:rPr>
      </w:pPr>
      <w:hyperlink w:anchor="_Toc160715561" w:history="1">
        <w:r w:rsidR="00424E3B" w:rsidRPr="00A46CF5">
          <w:rPr>
            <w:rStyle w:val="Hyperlink"/>
          </w:rPr>
          <w:t>10.16</w:t>
        </w:r>
        <w:r w:rsidR="00424E3B">
          <w:rPr>
            <w:rFonts w:asciiTheme="minorHAnsi" w:eastAsiaTheme="minorEastAsia" w:hAnsiTheme="minorHAnsi"/>
            <w:kern w:val="2"/>
            <w:szCs w:val="22"/>
            <w:lang w:eastAsia="en-AU"/>
            <w14:ligatures w14:val="standardContextual"/>
          </w:rPr>
          <w:tab/>
        </w:r>
        <w:r w:rsidR="00424E3B" w:rsidRPr="00A46CF5">
          <w:rPr>
            <w:rStyle w:val="Hyperlink"/>
          </w:rPr>
          <w:t>Third party payments</w:t>
        </w:r>
        <w:r w:rsidR="00424E3B">
          <w:rPr>
            <w:webHidden/>
          </w:rPr>
          <w:tab/>
        </w:r>
        <w:r w:rsidR="00424E3B">
          <w:rPr>
            <w:webHidden/>
          </w:rPr>
          <w:fldChar w:fldCharType="begin"/>
        </w:r>
        <w:r w:rsidR="00424E3B">
          <w:rPr>
            <w:webHidden/>
          </w:rPr>
          <w:instrText xml:space="preserve"> PAGEREF _Toc160715561 \h </w:instrText>
        </w:r>
        <w:r w:rsidR="00424E3B">
          <w:rPr>
            <w:webHidden/>
          </w:rPr>
        </w:r>
        <w:r w:rsidR="00424E3B">
          <w:rPr>
            <w:webHidden/>
          </w:rPr>
          <w:fldChar w:fldCharType="separate"/>
        </w:r>
        <w:r w:rsidR="00424E3B">
          <w:rPr>
            <w:webHidden/>
          </w:rPr>
          <w:t>31</w:t>
        </w:r>
        <w:r w:rsidR="00424E3B">
          <w:rPr>
            <w:webHidden/>
          </w:rPr>
          <w:fldChar w:fldCharType="end"/>
        </w:r>
      </w:hyperlink>
    </w:p>
    <w:p w14:paraId="5372EACC" w14:textId="6BD03BE7" w:rsidR="00424E3B" w:rsidRDefault="00000000">
      <w:pPr>
        <w:pStyle w:val="TOC2"/>
        <w:rPr>
          <w:rFonts w:asciiTheme="minorHAnsi" w:eastAsiaTheme="minorEastAsia" w:hAnsiTheme="minorHAnsi"/>
          <w:kern w:val="2"/>
          <w:szCs w:val="22"/>
          <w:lang w:eastAsia="en-AU"/>
          <w14:ligatures w14:val="standardContextual"/>
        </w:rPr>
      </w:pPr>
      <w:hyperlink w:anchor="_Toc160715562" w:history="1">
        <w:r w:rsidR="00424E3B" w:rsidRPr="00A46CF5">
          <w:rPr>
            <w:rStyle w:val="Hyperlink"/>
          </w:rPr>
          <w:t>10.17</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 measures - Table 1.2</w:t>
        </w:r>
        <w:r w:rsidR="00424E3B">
          <w:rPr>
            <w:webHidden/>
          </w:rPr>
          <w:tab/>
        </w:r>
        <w:r w:rsidR="00424E3B">
          <w:rPr>
            <w:webHidden/>
          </w:rPr>
          <w:fldChar w:fldCharType="begin"/>
        </w:r>
        <w:r w:rsidR="00424E3B">
          <w:rPr>
            <w:webHidden/>
          </w:rPr>
          <w:instrText xml:space="preserve"> PAGEREF _Toc160715562 \h </w:instrText>
        </w:r>
        <w:r w:rsidR="00424E3B">
          <w:rPr>
            <w:webHidden/>
          </w:rPr>
        </w:r>
        <w:r w:rsidR="00424E3B">
          <w:rPr>
            <w:webHidden/>
          </w:rPr>
          <w:fldChar w:fldCharType="separate"/>
        </w:r>
        <w:r w:rsidR="00424E3B">
          <w:rPr>
            <w:webHidden/>
          </w:rPr>
          <w:t>32</w:t>
        </w:r>
        <w:r w:rsidR="00424E3B">
          <w:rPr>
            <w:webHidden/>
          </w:rPr>
          <w:fldChar w:fldCharType="end"/>
        </w:r>
      </w:hyperlink>
    </w:p>
    <w:p w14:paraId="7AA66C26" w14:textId="2361F72F" w:rsidR="00424E3B" w:rsidRDefault="00000000">
      <w:pPr>
        <w:pStyle w:val="TOC3"/>
        <w:rPr>
          <w:rFonts w:asciiTheme="minorHAnsi" w:eastAsiaTheme="minorEastAsia" w:hAnsiTheme="minorHAnsi"/>
          <w:kern w:val="2"/>
          <w:szCs w:val="22"/>
          <w:lang w:eastAsia="en-AU"/>
          <w14:ligatures w14:val="standardContextual"/>
        </w:rPr>
      </w:pPr>
      <w:hyperlink w:anchor="_Toc160715563" w:history="1">
        <w:r w:rsidR="00424E3B" w:rsidRPr="00A46CF5">
          <w:rPr>
            <w:rStyle w:val="Hyperlink"/>
          </w:rPr>
          <w:t>10.17.1</w:t>
        </w:r>
        <w:r w:rsidR="00424E3B">
          <w:rPr>
            <w:rFonts w:asciiTheme="minorHAnsi" w:eastAsiaTheme="minorEastAsia" w:hAnsiTheme="minorHAnsi"/>
            <w:kern w:val="2"/>
            <w:szCs w:val="22"/>
            <w:lang w:eastAsia="en-AU"/>
            <w14:ligatures w14:val="standardContextual"/>
          </w:rPr>
          <w:tab/>
        </w:r>
        <w:r w:rsidR="00424E3B" w:rsidRPr="00A46CF5">
          <w:rPr>
            <w:rStyle w:val="Hyperlink"/>
          </w:rPr>
          <w:t>Footnote for a measure’s capital component</w:t>
        </w:r>
        <w:r w:rsidR="00424E3B">
          <w:rPr>
            <w:webHidden/>
          </w:rPr>
          <w:tab/>
        </w:r>
        <w:r w:rsidR="00424E3B">
          <w:rPr>
            <w:webHidden/>
          </w:rPr>
          <w:fldChar w:fldCharType="begin"/>
        </w:r>
        <w:r w:rsidR="00424E3B">
          <w:rPr>
            <w:webHidden/>
          </w:rPr>
          <w:instrText xml:space="preserve"> PAGEREF _Toc160715563 \h </w:instrText>
        </w:r>
        <w:r w:rsidR="00424E3B">
          <w:rPr>
            <w:webHidden/>
          </w:rPr>
        </w:r>
        <w:r w:rsidR="00424E3B">
          <w:rPr>
            <w:webHidden/>
          </w:rPr>
          <w:fldChar w:fldCharType="separate"/>
        </w:r>
        <w:r w:rsidR="00424E3B">
          <w:rPr>
            <w:webHidden/>
          </w:rPr>
          <w:t>33</w:t>
        </w:r>
        <w:r w:rsidR="00424E3B">
          <w:rPr>
            <w:webHidden/>
          </w:rPr>
          <w:fldChar w:fldCharType="end"/>
        </w:r>
      </w:hyperlink>
    </w:p>
    <w:p w14:paraId="5D8FD80D" w14:textId="4ED00788" w:rsidR="00424E3B" w:rsidRDefault="00000000">
      <w:pPr>
        <w:pStyle w:val="TOC3"/>
        <w:rPr>
          <w:rFonts w:asciiTheme="minorHAnsi" w:eastAsiaTheme="minorEastAsia" w:hAnsiTheme="minorHAnsi"/>
          <w:kern w:val="2"/>
          <w:szCs w:val="22"/>
          <w:lang w:eastAsia="en-AU"/>
          <w14:ligatures w14:val="standardContextual"/>
        </w:rPr>
      </w:pPr>
      <w:hyperlink w:anchor="_Toc160715564" w:history="1">
        <w:r w:rsidR="00424E3B" w:rsidRPr="00A46CF5">
          <w:rPr>
            <w:rStyle w:val="Hyperlink"/>
          </w:rPr>
          <w:t>10.17.2</w:t>
        </w:r>
        <w:r w:rsidR="00424E3B">
          <w:rPr>
            <w:rFonts w:asciiTheme="minorHAnsi" w:eastAsiaTheme="minorEastAsia" w:hAnsiTheme="minorHAnsi"/>
            <w:kern w:val="2"/>
            <w:szCs w:val="22"/>
            <w:lang w:eastAsia="en-AU"/>
            <w14:ligatures w14:val="standardContextual"/>
          </w:rPr>
          <w:tab/>
        </w:r>
        <w:r w:rsidR="00424E3B" w:rsidRPr="00A46CF5">
          <w:rPr>
            <w:rStyle w:val="Hyperlink"/>
          </w:rPr>
          <w:t>Measure reversals</w:t>
        </w:r>
        <w:r w:rsidR="00424E3B">
          <w:rPr>
            <w:webHidden/>
          </w:rPr>
          <w:tab/>
        </w:r>
        <w:r w:rsidR="00424E3B">
          <w:rPr>
            <w:webHidden/>
          </w:rPr>
          <w:fldChar w:fldCharType="begin"/>
        </w:r>
        <w:r w:rsidR="00424E3B">
          <w:rPr>
            <w:webHidden/>
          </w:rPr>
          <w:instrText xml:space="preserve"> PAGEREF _Toc160715564 \h </w:instrText>
        </w:r>
        <w:r w:rsidR="00424E3B">
          <w:rPr>
            <w:webHidden/>
          </w:rPr>
        </w:r>
        <w:r w:rsidR="00424E3B">
          <w:rPr>
            <w:webHidden/>
          </w:rPr>
          <w:fldChar w:fldCharType="separate"/>
        </w:r>
        <w:r w:rsidR="00424E3B">
          <w:rPr>
            <w:webHidden/>
          </w:rPr>
          <w:t>33</w:t>
        </w:r>
        <w:r w:rsidR="00424E3B">
          <w:rPr>
            <w:webHidden/>
          </w:rPr>
          <w:fldChar w:fldCharType="end"/>
        </w:r>
      </w:hyperlink>
    </w:p>
    <w:p w14:paraId="72605A70" w14:textId="3F7C66FD" w:rsidR="00424E3B" w:rsidRDefault="00000000">
      <w:pPr>
        <w:pStyle w:val="TOC3"/>
        <w:rPr>
          <w:rFonts w:asciiTheme="minorHAnsi" w:eastAsiaTheme="minorEastAsia" w:hAnsiTheme="minorHAnsi"/>
          <w:kern w:val="2"/>
          <w:szCs w:val="22"/>
          <w:lang w:eastAsia="en-AU"/>
          <w14:ligatures w14:val="standardContextual"/>
        </w:rPr>
      </w:pPr>
      <w:hyperlink w:anchor="_Toc160715565" w:history="1">
        <w:r w:rsidR="00424E3B" w:rsidRPr="00A46CF5">
          <w:rPr>
            <w:rStyle w:val="Hyperlink"/>
          </w:rPr>
          <w:t>10.17.3</w:t>
        </w:r>
        <w:r w:rsidR="00424E3B">
          <w:rPr>
            <w:rFonts w:asciiTheme="minorHAnsi" w:eastAsiaTheme="minorEastAsia" w:hAnsiTheme="minorHAnsi"/>
            <w:kern w:val="2"/>
            <w:szCs w:val="22"/>
            <w:lang w:eastAsia="en-AU"/>
            <w14:ligatures w14:val="standardContextual"/>
          </w:rPr>
          <w:tab/>
        </w:r>
        <w:r w:rsidR="00424E3B" w:rsidRPr="00A46CF5">
          <w:rPr>
            <w:rStyle w:val="Hyperlink"/>
          </w:rPr>
          <w:t>Amounts in the contingency reserve</w:t>
        </w:r>
        <w:r w:rsidR="00424E3B">
          <w:rPr>
            <w:webHidden/>
          </w:rPr>
          <w:tab/>
        </w:r>
        <w:r w:rsidR="00424E3B">
          <w:rPr>
            <w:webHidden/>
          </w:rPr>
          <w:fldChar w:fldCharType="begin"/>
        </w:r>
        <w:r w:rsidR="00424E3B">
          <w:rPr>
            <w:webHidden/>
          </w:rPr>
          <w:instrText xml:space="preserve"> PAGEREF _Toc160715565 \h </w:instrText>
        </w:r>
        <w:r w:rsidR="00424E3B">
          <w:rPr>
            <w:webHidden/>
          </w:rPr>
        </w:r>
        <w:r w:rsidR="00424E3B">
          <w:rPr>
            <w:webHidden/>
          </w:rPr>
          <w:fldChar w:fldCharType="separate"/>
        </w:r>
        <w:r w:rsidR="00424E3B">
          <w:rPr>
            <w:webHidden/>
          </w:rPr>
          <w:t>34</w:t>
        </w:r>
        <w:r w:rsidR="00424E3B">
          <w:rPr>
            <w:webHidden/>
          </w:rPr>
          <w:fldChar w:fldCharType="end"/>
        </w:r>
      </w:hyperlink>
    </w:p>
    <w:p w14:paraId="757A7438" w14:textId="29B9BDC8" w:rsidR="00424E3B" w:rsidRDefault="00000000">
      <w:pPr>
        <w:pStyle w:val="TOC3"/>
        <w:rPr>
          <w:rFonts w:asciiTheme="minorHAnsi" w:eastAsiaTheme="minorEastAsia" w:hAnsiTheme="minorHAnsi"/>
          <w:kern w:val="2"/>
          <w:szCs w:val="22"/>
          <w:lang w:eastAsia="en-AU"/>
          <w14:ligatures w14:val="standardContextual"/>
        </w:rPr>
      </w:pPr>
      <w:hyperlink w:anchor="_Toc160715566" w:history="1">
        <w:r w:rsidR="00424E3B" w:rsidRPr="00A46CF5">
          <w:rPr>
            <w:rStyle w:val="Hyperlink"/>
          </w:rPr>
          <w:t>10.17.4</w:t>
        </w:r>
        <w:r w:rsidR="00424E3B">
          <w:rPr>
            <w:rFonts w:asciiTheme="minorHAnsi" w:eastAsiaTheme="minorEastAsia" w:hAnsiTheme="minorHAnsi"/>
            <w:kern w:val="2"/>
            <w:szCs w:val="22"/>
            <w:lang w:eastAsia="en-AU"/>
            <w14:ligatures w14:val="standardContextual"/>
          </w:rPr>
          <w:tab/>
        </w:r>
        <w:r w:rsidR="00424E3B" w:rsidRPr="00A46CF5">
          <w:rPr>
            <w:rStyle w:val="Hyperlink"/>
          </w:rPr>
          <w:t>Decisions taken but not yet announced (DTBNYA)</w:t>
        </w:r>
        <w:r w:rsidR="00424E3B">
          <w:rPr>
            <w:webHidden/>
          </w:rPr>
          <w:tab/>
        </w:r>
        <w:r w:rsidR="00424E3B">
          <w:rPr>
            <w:webHidden/>
          </w:rPr>
          <w:fldChar w:fldCharType="begin"/>
        </w:r>
        <w:r w:rsidR="00424E3B">
          <w:rPr>
            <w:webHidden/>
          </w:rPr>
          <w:instrText xml:space="preserve"> PAGEREF _Toc160715566 \h </w:instrText>
        </w:r>
        <w:r w:rsidR="00424E3B">
          <w:rPr>
            <w:webHidden/>
          </w:rPr>
        </w:r>
        <w:r w:rsidR="00424E3B">
          <w:rPr>
            <w:webHidden/>
          </w:rPr>
          <w:fldChar w:fldCharType="separate"/>
        </w:r>
        <w:r w:rsidR="00424E3B">
          <w:rPr>
            <w:webHidden/>
          </w:rPr>
          <w:t>35</w:t>
        </w:r>
        <w:r w:rsidR="00424E3B">
          <w:rPr>
            <w:webHidden/>
          </w:rPr>
          <w:fldChar w:fldCharType="end"/>
        </w:r>
      </w:hyperlink>
    </w:p>
    <w:p w14:paraId="75C97A28" w14:textId="3E04EF53" w:rsidR="00424E3B" w:rsidRDefault="00000000">
      <w:pPr>
        <w:pStyle w:val="TOC3"/>
        <w:rPr>
          <w:rFonts w:asciiTheme="minorHAnsi" w:eastAsiaTheme="minorEastAsia" w:hAnsiTheme="minorHAnsi"/>
          <w:kern w:val="2"/>
          <w:szCs w:val="22"/>
          <w:lang w:eastAsia="en-AU"/>
          <w14:ligatures w14:val="standardContextual"/>
        </w:rPr>
      </w:pPr>
      <w:hyperlink w:anchor="_Toc160715567" w:history="1">
        <w:r w:rsidR="00424E3B" w:rsidRPr="00A46CF5">
          <w:rPr>
            <w:rStyle w:val="Hyperlink"/>
          </w:rPr>
          <w:t>10.17.5</w:t>
        </w:r>
        <w:r w:rsidR="00424E3B">
          <w:rPr>
            <w:rFonts w:asciiTheme="minorHAnsi" w:eastAsiaTheme="minorEastAsia" w:hAnsiTheme="minorHAnsi"/>
            <w:kern w:val="2"/>
            <w:szCs w:val="22"/>
            <w:lang w:eastAsia="en-AU"/>
            <w14:ligatures w14:val="standardContextual"/>
          </w:rPr>
          <w:tab/>
        </w:r>
        <w:r w:rsidR="00424E3B" w:rsidRPr="00A46CF5">
          <w:rPr>
            <w:rStyle w:val="Hyperlink"/>
          </w:rPr>
          <w:t>Measures with indicative costs</w:t>
        </w:r>
        <w:r w:rsidR="00424E3B">
          <w:rPr>
            <w:webHidden/>
          </w:rPr>
          <w:tab/>
        </w:r>
        <w:r w:rsidR="00424E3B">
          <w:rPr>
            <w:webHidden/>
          </w:rPr>
          <w:fldChar w:fldCharType="begin"/>
        </w:r>
        <w:r w:rsidR="00424E3B">
          <w:rPr>
            <w:webHidden/>
          </w:rPr>
          <w:instrText xml:space="preserve"> PAGEREF _Toc160715567 \h </w:instrText>
        </w:r>
        <w:r w:rsidR="00424E3B">
          <w:rPr>
            <w:webHidden/>
          </w:rPr>
        </w:r>
        <w:r w:rsidR="00424E3B">
          <w:rPr>
            <w:webHidden/>
          </w:rPr>
          <w:fldChar w:fldCharType="separate"/>
        </w:r>
        <w:r w:rsidR="00424E3B">
          <w:rPr>
            <w:webHidden/>
          </w:rPr>
          <w:t>35</w:t>
        </w:r>
        <w:r w:rsidR="00424E3B">
          <w:rPr>
            <w:webHidden/>
          </w:rPr>
          <w:fldChar w:fldCharType="end"/>
        </w:r>
      </w:hyperlink>
    </w:p>
    <w:p w14:paraId="4D604D70" w14:textId="639F04EA" w:rsidR="00424E3B" w:rsidRDefault="00000000">
      <w:pPr>
        <w:pStyle w:val="TOC3"/>
        <w:rPr>
          <w:rFonts w:asciiTheme="minorHAnsi" w:eastAsiaTheme="minorEastAsia" w:hAnsiTheme="minorHAnsi"/>
          <w:kern w:val="2"/>
          <w:szCs w:val="22"/>
          <w:lang w:eastAsia="en-AU"/>
          <w14:ligatures w14:val="standardContextual"/>
        </w:rPr>
      </w:pPr>
      <w:hyperlink w:anchor="_Toc160715568" w:history="1">
        <w:r w:rsidR="00424E3B" w:rsidRPr="00A46CF5">
          <w:rPr>
            <w:rStyle w:val="Hyperlink"/>
          </w:rPr>
          <w:t>10.17.6</w:t>
        </w:r>
        <w:r w:rsidR="00424E3B">
          <w:rPr>
            <w:rFonts w:asciiTheme="minorHAnsi" w:eastAsiaTheme="minorEastAsia" w:hAnsiTheme="minorHAnsi"/>
            <w:kern w:val="2"/>
            <w:szCs w:val="22"/>
            <w:lang w:eastAsia="en-AU"/>
            <w14:ligatures w14:val="standardContextual"/>
          </w:rPr>
          <w:tab/>
        </w:r>
        <w:r w:rsidR="00424E3B" w:rsidRPr="00A46CF5">
          <w:rPr>
            <w:rStyle w:val="Hyperlink"/>
          </w:rPr>
          <w:t xml:space="preserve">Measures earmarked as ‘not for </w:t>
        </w:r>
        <w:r w:rsidR="00424E3B" w:rsidRPr="00A46CF5">
          <w:rPr>
            <w:rStyle w:val="Hyperlink"/>
            <w:iCs/>
          </w:rPr>
          <w:t>publication’ (NFP)</w:t>
        </w:r>
        <w:r w:rsidR="00424E3B">
          <w:rPr>
            <w:webHidden/>
          </w:rPr>
          <w:tab/>
        </w:r>
        <w:r w:rsidR="00424E3B">
          <w:rPr>
            <w:webHidden/>
          </w:rPr>
          <w:fldChar w:fldCharType="begin"/>
        </w:r>
        <w:r w:rsidR="00424E3B">
          <w:rPr>
            <w:webHidden/>
          </w:rPr>
          <w:instrText xml:space="preserve"> PAGEREF _Toc160715568 \h </w:instrText>
        </w:r>
        <w:r w:rsidR="00424E3B">
          <w:rPr>
            <w:webHidden/>
          </w:rPr>
        </w:r>
        <w:r w:rsidR="00424E3B">
          <w:rPr>
            <w:webHidden/>
          </w:rPr>
          <w:fldChar w:fldCharType="separate"/>
        </w:r>
        <w:r w:rsidR="00424E3B">
          <w:rPr>
            <w:webHidden/>
          </w:rPr>
          <w:t>35</w:t>
        </w:r>
        <w:r w:rsidR="00424E3B">
          <w:rPr>
            <w:webHidden/>
          </w:rPr>
          <w:fldChar w:fldCharType="end"/>
        </w:r>
      </w:hyperlink>
    </w:p>
    <w:p w14:paraId="028793BD" w14:textId="5A922659" w:rsidR="00424E3B" w:rsidRDefault="00000000">
      <w:pPr>
        <w:pStyle w:val="TOC3"/>
        <w:rPr>
          <w:rFonts w:asciiTheme="minorHAnsi" w:eastAsiaTheme="minorEastAsia" w:hAnsiTheme="minorHAnsi"/>
          <w:kern w:val="2"/>
          <w:szCs w:val="22"/>
          <w:lang w:eastAsia="en-AU"/>
          <w14:ligatures w14:val="standardContextual"/>
        </w:rPr>
      </w:pPr>
      <w:hyperlink w:anchor="_Toc160715569" w:history="1">
        <w:r w:rsidR="00424E3B" w:rsidRPr="00A46CF5">
          <w:rPr>
            <w:rStyle w:val="Hyperlink"/>
          </w:rPr>
          <w:t>10.17.7</w:t>
        </w:r>
        <w:r w:rsidR="00424E3B">
          <w:rPr>
            <w:rFonts w:asciiTheme="minorHAnsi" w:eastAsiaTheme="minorEastAsia" w:hAnsiTheme="minorHAnsi"/>
            <w:kern w:val="2"/>
            <w:szCs w:val="22"/>
            <w:lang w:eastAsia="en-AU"/>
            <w14:ligatures w14:val="standardContextual"/>
          </w:rPr>
          <w:tab/>
        </w:r>
        <w:r w:rsidR="00424E3B" w:rsidRPr="00A46CF5">
          <w:rPr>
            <w:rStyle w:val="Hyperlink"/>
          </w:rPr>
          <w:t>Machinery of government changes</w:t>
        </w:r>
        <w:r w:rsidR="00424E3B" w:rsidRPr="00A46CF5">
          <w:rPr>
            <w:rStyle w:val="Hyperlink"/>
            <w:iCs/>
          </w:rPr>
          <w:t xml:space="preserve"> (MoG)</w:t>
        </w:r>
        <w:r w:rsidR="00424E3B">
          <w:rPr>
            <w:webHidden/>
          </w:rPr>
          <w:tab/>
        </w:r>
        <w:r w:rsidR="00424E3B">
          <w:rPr>
            <w:webHidden/>
          </w:rPr>
          <w:fldChar w:fldCharType="begin"/>
        </w:r>
        <w:r w:rsidR="00424E3B">
          <w:rPr>
            <w:webHidden/>
          </w:rPr>
          <w:instrText xml:space="preserve"> PAGEREF _Toc160715569 \h </w:instrText>
        </w:r>
        <w:r w:rsidR="00424E3B">
          <w:rPr>
            <w:webHidden/>
          </w:rPr>
        </w:r>
        <w:r w:rsidR="00424E3B">
          <w:rPr>
            <w:webHidden/>
          </w:rPr>
          <w:fldChar w:fldCharType="separate"/>
        </w:r>
        <w:r w:rsidR="00424E3B">
          <w:rPr>
            <w:webHidden/>
          </w:rPr>
          <w:t>36</w:t>
        </w:r>
        <w:r w:rsidR="00424E3B">
          <w:rPr>
            <w:webHidden/>
          </w:rPr>
          <w:fldChar w:fldCharType="end"/>
        </w:r>
      </w:hyperlink>
    </w:p>
    <w:p w14:paraId="263B692B" w14:textId="6063F8C6" w:rsidR="00424E3B" w:rsidRDefault="00000000">
      <w:pPr>
        <w:pStyle w:val="TOC1"/>
        <w:rPr>
          <w:rFonts w:asciiTheme="minorHAnsi" w:eastAsiaTheme="minorEastAsia" w:hAnsiTheme="minorHAnsi"/>
          <w:kern w:val="2"/>
          <w:sz w:val="22"/>
          <w:szCs w:val="22"/>
          <w:lang w:eastAsia="en-AU"/>
          <w14:ligatures w14:val="standardContextual"/>
        </w:rPr>
      </w:pPr>
      <w:hyperlink w:anchor="_Toc160715570" w:history="1">
        <w:r w:rsidR="00424E3B" w:rsidRPr="00A46CF5">
          <w:rPr>
            <w:rStyle w:val="Hyperlink"/>
          </w:rPr>
          <w:t>11</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Outcomes and planned performance - Section 2</w:t>
        </w:r>
        <w:r w:rsidR="00424E3B">
          <w:rPr>
            <w:webHidden/>
          </w:rPr>
          <w:tab/>
        </w:r>
        <w:r w:rsidR="00424E3B">
          <w:rPr>
            <w:webHidden/>
          </w:rPr>
          <w:fldChar w:fldCharType="begin"/>
        </w:r>
        <w:r w:rsidR="00424E3B">
          <w:rPr>
            <w:webHidden/>
          </w:rPr>
          <w:instrText xml:space="preserve"> PAGEREF _Toc160715570 \h </w:instrText>
        </w:r>
        <w:r w:rsidR="00424E3B">
          <w:rPr>
            <w:webHidden/>
          </w:rPr>
        </w:r>
        <w:r w:rsidR="00424E3B">
          <w:rPr>
            <w:webHidden/>
          </w:rPr>
          <w:fldChar w:fldCharType="separate"/>
        </w:r>
        <w:r w:rsidR="00424E3B">
          <w:rPr>
            <w:webHidden/>
          </w:rPr>
          <w:t>37</w:t>
        </w:r>
        <w:r w:rsidR="00424E3B">
          <w:rPr>
            <w:webHidden/>
          </w:rPr>
          <w:fldChar w:fldCharType="end"/>
        </w:r>
      </w:hyperlink>
    </w:p>
    <w:p w14:paraId="503E503E" w14:textId="07B10D4E" w:rsidR="00424E3B" w:rsidRDefault="00000000">
      <w:pPr>
        <w:pStyle w:val="TOC1"/>
        <w:rPr>
          <w:rFonts w:asciiTheme="minorHAnsi" w:eastAsiaTheme="minorEastAsia" w:hAnsiTheme="minorHAnsi"/>
          <w:kern w:val="2"/>
          <w:sz w:val="22"/>
          <w:szCs w:val="22"/>
          <w:lang w:eastAsia="en-AU"/>
          <w14:ligatures w14:val="standardContextual"/>
        </w:rPr>
      </w:pPr>
      <w:hyperlink w:anchor="_Toc160715571" w:history="1">
        <w:r w:rsidR="00424E3B" w:rsidRPr="00A46CF5">
          <w:rPr>
            <w:rStyle w:val="Hyperlink"/>
          </w:rPr>
          <w:t>12</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Minimum Program Performance Reporting</w:t>
        </w:r>
        <w:r w:rsidR="00424E3B">
          <w:rPr>
            <w:webHidden/>
          </w:rPr>
          <w:tab/>
        </w:r>
        <w:r w:rsidR="00424E3B">
          <w:rPr>
            <w:webHidden/>
          </w:rPr>
          <w:fldChar w:fldCharType="begin"/>
        </w:r>
        <w:r w:rsidR="00424E3B">
          <w:rPr>
            <w:webHidden/>
          </w:rPr>
          <w:instrText xml:space="preserve"> PAGEREF _Toc160715571 \h </w:instrText>
        </w:r>
        <w:r w:rsidR="00424E3B">
          <w:rPr>
            <w:webHidden/>
          </w:rPr>
        </w:r>
        <w:r w:rsidR="00424E3B">
          <w:rPr>
            <w:webHidden/>
          </w:rPr>
          <w:fldChar w:fldCharType="separate"/>
        </w:r>
        <w:r w:rsidR="00424E3B">
          <w:rPr>
            <w:webHidden/>
          </w:rPr>
          <w:t>37</w:t>
        </w:r>
        <w:r w:rsidR="00424E3B">
          <w:rPr>
            <w:webHidden/>
          </w:rPr>
          <w:fldChar w:fldCharType="end"/>
        </w:r>
      </w:hyperlink>
    </w:p>
    <w:p w14:paraId="01993F28" w14:textId="39C03D55" w:rsidR="00424E3B" w:rsidRDefault="00000000">
      <w:pPr>
        <w:pStyle w:val="TOC2"/>
        <w:rPr>
          <w:rFonts w:asciiTheme="minorHAnsi" w:eastAsiaTheme="minorEastAsia" w:hAnsiTheme="minorHAnsi"/>
          <w:kern w:val="2"/>
          <w:szCs w:val="22"/>
          <w:lang w:eastAsia="en-AU"/>
          <w14:ligatures w14:val="standardContextual"/>
        </w:rPr>
      </w:pPr>
      <w:hyperlink w:anchor="_Toc160715572" w:history="1">
        <w:r w:rsidR="00424E3B" w:rsidRPr="00A46CF5">
          <w:rPr>
            <w:rStyle w:val="Hyperlink"/>
          </w:rPr>
          <w:t>12.1</w:t>
        </w:r>
        <w:r w:rsidR="00424E3B">
          <w:rPr>
            <w:rFonts w:asciiTheme="minorHAnsi" w:eastAsiaTheme="minorEastAsia" w:hAnsiTheme="minorHAnsi"/>
            <w:kern w:val="2"/>
            <w:szCs w:val="22"/>
            <w:lang w:eastAsia="en-AU"/>
            <w14:ligatures w14:val="standardContextual"/>
          </w:rPr>
          <w:tab/>
        </w:r>
        <w:r w:rsidR="00424E3B" w:rsidRPr="00A46CF5">
          <w:rPr>
            <w:rStyle w:val="Hyperlink"/>
          </w:rPr>
          <w:t>Outcome statements</w:t>
        </w:r>
        <w:r w:rsidR="00424E3B">
          <w:rPr>
            <w:webHidden/>
          </w:rPr>
          <w:tab/>
        </w:r>
        <w:r w:rsidR="00424E3B">
          <w:rPr>
            <w:webHidden/>
          </w:rPr>
          <w:fldChar w:fldCharType="begin"/>
        </w:r>
        <w:r w:rsidR="00424E3B">
          <w:rPr>
            <w:webHidden/>
          </w:rPr>
          <w:instrText xml:space="preserve"> PAGEREF _Toc160715572 \h </w:instrText>
        </w:r>
        <w:r w:rsidR="00424E3B">
          <w:rPr>
            <w:webHidden/>
          </w:rPr>
        </w:r>
        <w:r w:rsidR="00424E3B">
          <w:rPr>
            <w:webHidden/>
          </w:rPr>
          <w:fldChar w:fldCharType="separate"/>
        </w:r>
        <w:r w:rsidR="00424E3B">
          <w:rPr>
            <w:webHidden/>
          </w:rPr>
          <w:t>38</w:t>
        </w:r>
        <w:r w:rsidR="00424E3B">
          <w:rPr>
            <w:webHidden/>
          </w:rPr>
          <w:fldChar w:fldCharType="end"/>
        </w:r>
      </w:hyperlink>
    </w:p>
    <w:p w14:paraId="6F1892D5" w14:textId="47D28CFD" w:rsidR="00424E3B" w:rsidRDefault="00000000">
      <w:pPr>
        <w:pStyle w:val="TOC2"/>
        <w:rPr>
          <w:rFonts w:asciiTheme="minorHAnsi" w:eastAsiaTheme="minorEastAsia" w:hAnsiTheme="minorHAnsi"/>
          <w:kern w:val="2"/>
          <w:szCs w:val="22"/>
          <w:lang w:eastAsia="en-AU"/>
          <w14:ligatures w14:val="standardContextual"/>
        </w:rPr>
      </w:pPr>
      <w:hyperlink w:anchor="_Toc160715573" w:history="1">
        <w:r w:rsidR="00424E3B" w:rsidRPr="00A46CF5">
          <w:rPr>
            <w:rStyle w:val="Hyperlink"/>
          </w:rPr>
          <w:t>12.2</w:t>
        </w:r>
        <w:r w:rsidR="00424E3B">
          <w:rPr>
            <w:rFonts w:asciiTheme="minorHAnsi" w:eastAsiaTheme="minorEastAsia" w:hAnsiTheme="minorHAnsi"/>
            <w:kern w:val="2"/>
            <w:szCs w:val="22"/>
            <w:lang w:eastAsia="en-AU"/>
            <w14:ligatures w14:val="standardContextual"/>
          </w:rPr>
          <w:tab/>
        </w:r>
        <w:r w:rsidR="00424E3B" w:rsidRPr="00A46CF5">
          <w:rPr>
            <w:rStyle w:val="Hyperlink"/>
          </w:rPr>
          <w:t>Linked programs</w:t>
        </w:r>
        <w:r w:rsidR="00424E3B">
          <w:rPr>
            <w:webHidden/>
          </w:rPr>
          <w:tab/>
        </w:r>
        <w:r w:rsidR="00424E3B">
          <w:rPr>
            <w:webHidden/>
          </w:rPr>
          <w:fldChar w:fldCharType="begin"/>
        </w:r>
        <w:r w:rsidR="00424E3B">
          <w:rPr>
            <w:webHidden/>
          </w:rPr>
          <w:instrText xml:space="preserve"> PAGEREF _Toc160715573 \h </w:instrText>
        </w:r>
        <w:r w:rsidR="00424E3B">
          <w:rPr>
            <w:webHidden/>
          </w:rPr>
        </w:r>
        <w:r w:rsidR="00424E3B">
          <w:rPr>
            <w:webHidden/>
          </w:rPr>
          <w:fldChar w:fldCharType="separate"/>
        </w:r>
        <w:r w:rsidR="00424E3B">
          <w:rPr>
            <w:webHidden/>
          </w:rPr>
          <w:t>38</w:t>
        </w:r>
        <w:r w:rsidR="00424E3B">
          <w:rPr>
            <w:webHidden/>
          </w:rPr>
          <w:fldChar w:fldCharType="end"/>
        </w:r>
      </w:hyperlink>
    </w:p>
    <w:p w14:paraId="1CC5E327" w14:textId="557918EF" w:rsidR="00424E3B" w:rsidRDefault="00000000">
      <w:pPr>
        <w:pStyle w:val="TOC2"/>
        <w:rPr>
          <w:rFonts w:asciiTheme="minorHAnsi" w:eastAsiaTheme="minorEastAsia" w:hAnsiTheme="minorHAnsi"/>
          <w:kern w:val="2"/>
          <w:szCs w:val="22"/>
          <w:lang w:eastAsia="en-AU"/>
          <w14:ligatures w14:val="standardContextual"/>
        </w:rPr>
      </w:pPr>
      <w:hyperlink w:anchor="_Toc160715574" w:history="1">
        <w:r w:rsidR="00424E3B" w:rsidRPr="00A46CF5">
          <w:rPr>
            <w:rStyle w:val="Hyperlink"/>
          </w:rPr>
          <w:t>12.3</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Budgeted expenses by outcome table – Table 2.X.1</w:t>
        </w:r>
        <w:r w:rsidR="00424E3B">
          <w:rPr>
            <w:webHidden/>
          </w:rPr>
          <w:tab/>
        </w:r>
        <w:r w:rsidR="00424E3B">
          <w:rPr>
            <w:webHidden/>
          </w:rPr>
          <w:fldChar w:fldCharType="begin"/>
        </w:r>
        <w:r w:rsidR="00424E3B">
          <w:rPr>
            <w:webHidden/>
          </w:rPr>
          <w:instrText xml:space="preserve"> PAGEREF _Toc160715574 \h </w:instrText>
        </w:r>
        <w:r w:rsidR="00424E3B">
          <w:rPr>
            <w:webHidden/>
          </w:rPr>
        </w:r>
        <w:r w:rsidR="00424E3B">
          <w:rPr>
            <w:webHidden/>
          </w:rPr>
          <w:fldChar w:fldCharType="separate"/>
        </w:r>
        <w:r w:rsidR="00424E3B">
          <w:rPr>
            <w:webHidden/>
          </w:rPr>
          <w:t>40</w:t>
        </w:r>
        <w:r w:rsidR="00424E3B">
          <w:rPr>
            <w:webHidden/>
          </w:rPr>
          <w:fldChar w:fldCharType="end"/>
        </w:r>
      </w:hyperlink>
    </w:p>
    <w:p w14:paraId="6EA8123A" w14:textId="0894B852" w:rsidR="00424E3B" w:rsidRDefault="00000000">
      <w:pPr>
        <w:pStyle w:val="TOC3"/>
        <w:rPr>
          <w:rFonts w:asciiTheme="minorHAnsi" w:eastAsiaTheme="minorEastAsia" w:hAnsiTheme="minorHAnsi"/>
          <w:kern w:val="2"/>
          <w:szCs w:val="22"/>
          <w:lang w:eastAsia="en-AU"/>
          <w14:ligatures w14:val="standardContextual"/>
        </w:rPr>
      </w:pPr>
      <w:hyperlink w:anchor="_Toc160715575" w:history="1">
        <w:r w:rsidR="00424E3B" w:rsidRPr="00A46CF5">
          <w:rPr>
            <w:rStyle w:val="Hyperlink"/>
          </w:rPr>
          <w:t>12.3.1</w:t>
        </w:r>
        <w:r w:rsidR="00424E3B">
          <w:rPr>
            <w:rFonts w:asciiTheme="minorHAnsi" w:eastAsiaTheme="minorEastAsia" w:hAnsiTheme="minorHAnsi"/>
            <w:kern w:val="2"/>
            <w:szCs w:val="22"/>
            <w:lang w:eastAsia="en-AU"/>
            <w14:ligatures w14:val="standardContextual"/>
          </w:rPr>
          <w:tab/>
        </w:r>
        <w:r w:rsidR="00424E3B" w:rsidRPr="00A46CF5">
          <w:rPr>
            <w:rStyle w:val="Hyperlink"/>
          </w:rPr>
          <w:t xml:space="preserve">Minimum reporting requirements for </w:t>
        </w:r>
        <w:r w:rsidR="00424E3B" w:rsidRPr="00A46CF5">
          <w:rPr>
            <w:rStyle w:val="Hyperlink"/>
            <w:rFonts w:eastAsia="Cambria"/>
          </w:rPr>
          <w:t>Table 2.X.1</w:t>
        </w:r>
        <w:r w:rsidR="00424E3B">
          <w:rPr>
            <w:webHidden/>
          </w:rPr>
          <w:tab/>
        </w:r>
        <w:r w:rsidR="00424E3B">
          <w:rPr>
            <w:webHidden/>
          </w:rPr>
          <w:fldChar w:fldCharType="begin"/>
        </w:r>
        <w:r w:rsidR="00424E3B">
          <w:rPr>
            <w:webHidden/>
          </w:rPr>
          <w:instrText xml:space="preserve"> PAGEREF _Toc160715575 \h </w:instrText>
        </w:r>
        <w:r w:rsidR="00424E3B">
          <w:rPr>
            <w:webHidden/>
          </w:rPr>
        </w:r>
        <w:r w:rsidR="00424E3B">
          <w:rPr>
            <w:webHidden/>
          </w:rPr>
          <w:fldChar w:fldCharType="separate"/>
        </w:r>
        <w:r w:rsidR="00424E3B">
          <w:rPr>
            <w:webHidden/>
          </w:rPr>
          <w:t>40</w:t>
        </w:r>
        <w:r w:rsidR="00424E3B">
          <w:rPr>
            <w:webHidden/>
          </w:rPr>
          <w:fldChar w:fldCharType="end"/>
        </w:r>
      </w:hyperlink>
    </w:p>
    <w:p w14:paraId="40D02AB7" w14:textId="01A8B7FB" w:rsidR="00424E3B" w:rsidRDefault="00000000">
      <w:pPr>
        <w:pStyle w:val="TOC3"/>
        <w:rPr>
          <w:rFonts w:asciiTheme="minorHAnsi" w:eastAsiaTheme="minorEastAsia" w:hAnsiTheme="minorHAnsi"/>
          <w:kern w:val="2"/>
          <w:szCs w:val="22"/>
          <w:lang w:eastAsia="en-AU"/>
          <w14:ligatures w14:val="standardContextual"/>
        </w:rPr>
      </w:pPr>
      <w:hyperlink w:anchor="_Toc160715576" w:history="1">
        <w:r w:rsidR="00424E3B" w:rsidRPr="00A46CF5">
          <w:rPr>
            <w:rStyle w:val="Hyperlink"/>
          </w:rPr>
          <w:t>12.3.2</w:t>
        </w:r>
        <w:r w:rsidR="00424E3B">
          <w:rPr>
            <w:rFonts w:asciiTheme="minorHAnsi" w:eastAsiaTheme="minorEastAsia" w:hAnsiTheme="minorHAnsi"/>
            <w:kern w:val="2"/>
            <w:szCs w:val="22"/>
            <w:lang w:eastAsia="en-AU"/>
            <w14:ligatures w14:val="standardContextual"/>
          </w:rPr>
          <w:tab/>
        </w:r>
        <w:r w:rsidR="00424E3B" w:rsidRPr="00A46CF5">
          <w:rPr>
            <w:rStyle w:val="Hyperlink"/>
          </w:rPr>
          <w:t>Expenses not requiring appropriation</w:t>
        </w:r>
        <w:r w:rsidR="00424E3B">
          <w:rPr>
            <w:webHidden/>
          </w:rPr>
          <w:tab/>
        </w:r>
        <w:r w:rsidR="00424E3B">
          <w:rPr>
            <w:webHidden/>
          </w:rPr>
          <w:fldChar w:fldCharType="begin"/>
        </w:r>
        <w:r w:rsidR="00424E3B">
          <w:rPr>
            <w:webHidden/>
          </w:rPr>
          <w:instrText xml:space="preserve"> PAGEREF _Toc160715576 \h </w:instrText>
        </w:r>
        <w:r w:rsidR="00424E3B">
          <w:rPr>
            <w:webHidden/>
          </w:rPr>
        </w:r>
        <w:r w:rsidR="00424E3B">
          <w:rPr>
            <w:webHidden/>
          </w:rPr>
          <w:fldChar w:fldCharType="separate"/>
        </w:r>
        <w:r w:rsidR="00424E3B">
          <w:rPr>
            <w:webHidden/>
          </w:rPr>
          <w:t>41</w:t>
        </w:r>
        <w:r w:rsidR="00424E3B">
          <w:rPr>
            <w:webHidden/>
          </w:rPr>
          <w:fldChar w:fldCharType="end"/>
        </w:r>
      </w:hyperlink>
    </w:p>
    <w:p w14:paraId="0D037AD6" w14:textId="7DB9B974" w:rsidR="00424E3B" w:rsidRDefault="00000000">
      <w:pPr>
        <w:pStyle w:val="TOC3"/>
        <w:rPr>
          <w:rFonts w:asciiTheme="minorHAnsi" w:eastAsiaTheme="minorEastAsia" w:hAnsiTheme="minorHAnsi"/>
          <w:kern w:val="2"/>
          <w:szCs w:val="22"/>
          <w:lang w:eastAsia="en-AU"/>
          <w14:ligatures w14:val="standardContextual"/>
        </w:rPr>
      </w:pPr>
      <w:hyperlink w:anchor="_Toc160715577" w:history="1">
        <w:r w:rsidR="00424E3B" w:rsidRPr="00A46CF5">
          <w:rPr>
            <w:rStyle w:val="Hyperlink"/>
          </w:rPr>
          <w:t>12.3.3</w:t>
        </w:r>
        <w:r w:rsidR="00424E3B">
          <w:rPr>
            <w:rFonts w:asciiTheme="minorHAnsi" w:eastAsiaTheme="minorEastAsia" w:hAnsiTheme="minorHAnsi"/>
            <w:kern w:val="2"/>
            <w:szCs w:val="22"/>
            <w:lang w:eastAsia="en-AU"/>
            <w14:ligatures w14:val="standardContextual"/>
          </w:rPr>
          <w:tab/>
        </w:r>
        <w:r w:rsidR="00424E3B" w:rsidRPr="00A46CF5">
          <w:rPr>
            <w:rStyle w:val="Hyperlink"/>
            <w:rFonts w:eastAsia="Cambria"/>
          </w:rPr>
          <w:t>Adjustments for interest</w:t>
        </w:r>
        <w:r w:rsidR="00424E3B" w:rsidRPr="00A46CF5">
          <w:rPr>
            <w:rStyle w:val="Hyperlink"/>
          </w:rPr>
          <w:t xml:space="preserve"> and depreciation of Right-of-Use (RoU) assets</w:t>
        </w:r>
        <w:r w:rsidR="00424E3B">
          <w:rPr>
            <w:webHidden/>
          </w:rPr>
          <w:tab/>
        </w:r>
        <w:r w:rsidR="00424E3B">
          <w:rPr>
            <w:webHidden/>
          </w:rPr>
          <w:fldChar w:fldCharType="begin"/>
        </w:r>
        <w:r w:rsidR="00424E3B">
          <w:rPr>
            <w:webHidden/>
          </w:rPr>
          <w:instrText xml:space="preserve"> PAGEREF _Toc160715577 \h </w:instrText>
        </w:r>
        <w:r w:rsidR="00424E3B">
          <w:rPr>
            <w:webHidden/>
          </w:rPr>
        </w:r>
        <w:r w:rsidR="00424E3B">
          <w:rPr>
            <w:webHidden/>
          </w:rPr>
          <w:fldChar w:fldCharType="separate"/>
        </w:r>
        <w:r w:rsidR="00424E3B">
          <w:rPr>
            <w:webHidden/>
          </w:rPr>
          <w:t>42</w:t>
        </w:r>
        <w:r w:rsidR="00424E3B">
          <w:rPr>
            <w:webHidden/>
          </w:rPr>
          <w:fldChar w:fldCharType="end"/>
        </w:r>
      </w:hyperlink>
    </w:p>
    <w:p w14:paraId="598C1ABD" w14:textId="7BF777AD" w:rsidR="00424E3B" w:rsidRDefault="00000000">
      <w:pPr>
        <w:pStyle w:val="TOC3"/>
        <w:rPr>
          <w:rFonts w:asciiTheme="minorHAnsi" w:eastAsiaTheme="minorEastAsia" w:hAnsiTheme="minorHAnsi"/>
          <w:kern w:val="2"/>
          <w:szCs w:val="22"/>
          <w:lang w:eastAsia="en-AU"/>
          <w14:ligatures w14:val="standardContextual"/>
        </w:rPr>
      </w:pPr>
      <w:hyperlink w:anchor="_Toc160715578" w:history="1">
        <w:r w:rsidR="00424E3B" w:rsidRPr="00A46CF5">
          <w:rPr>
            <w:rStyle w:val="Hyperlink"/>
          </w:rPr>
          <w:t>12.3.4</w:t>
        </w:r>
        <w:r w:rsidR="00424E3B">
          <w:rPr>
            <w:rFonts w:asciiTheme="minorHAnsi" w:eastAsiaTheme="minorEastAsia" w:hAnsiTheme="minorHAnsi"/>
            <w:kern w:val="2"/>
            <w:szCs w:val="22"/>
            <w:lang w:eastAsia="en-AU"/>
            <w14:ligatures w14:val="standardContextual"/>
          </w:rPr>
          <w:tab/>
        </w:r>
        <w:r w:rsidR="00424E3B" w:rsidRPr="00A46CF5">
          <w:rPr>
            <w:rStyle w:val="Hyperlink"/>
          </w:rPr>
          <w:t>Source of information</w:t>
        </w:r>
        <w:r w:rsidR="00424E3B">
          <w:rPr>
            <w:webHidden/>
          </w:rPr>
          <w:tab/>
        </w:r>
        <w:r w:rsidR="00424E3B">
          <w:rPr>
            <w:webHidden/>
          </w:rPr>
          <w:fldChar w:fldCharType="begin"/>
        </w:r>
        <w:r w:rsidR="00424E3B">
          <w:rPr>
            <w:webHidden/>
          </w:rPr>
          <w:instrText xml:space="preserve"> PAGEREF _Toc160715578 \h </w:instrText>
        </w:r>
        <w:r w:rsidR="00424E3B">
          <w:rPr>
            <w:webHidden/>
          </w:rPr>
        </w:r>
        <w:r w:rsidR="00424E3B">
          <w:rPr>
            <w:webHidden/>
          </w:rPr>
          <w:fldChar w:fldCharType="separate"/>
        </w:r>
        <w:r w:rsidR="00424E3B">
          <w:rPr>
            <w:webHidden/>
          </w:rPr>
          <w:t>42</w:t>
        </w:r>
        <w:r w:rsidR="00424E3B">
          <w:rPr>
            <w:webHidden/>
          </w:rPr>
          <w:fldChar w:fldCharType="end"/>
        </w:r>
      </w:hyperlink>
    </w:p>
    <w:p w14:paraId="6EEAAAEF" w14:textId="6F399D25" w:rsidR="00424E3B" w:rsidRDefault="00000000">
      <w:pPr>
        <w:pStyle w:val="TOC3"/>
        <w:rPr>
          <w:rFonts w:asciiTheme="minorHAnsi" w:eastAsiaTheme="minorEastAsia" w:hAnsiTheme="minorHAnsi"/>
          <w:kern w:val="2"/>
          <w:szCs w:val="22"/>
          <w:lang w:eastAsia="en-AU"/>
          <w14:ligatures w14:val="standardContextual"/>
        </w:rPr>
      </w:pPr>
      <w:hyperlink w:anchor="_Toc160715579" w:history="1">
        <w:r w:rsidR="00424E3B" w:rsidRPr="00A46CF5">
          <w:rPr>
            <w:rStyle w:val="Hyperlink"/>
          </w:rPr>
          <w:t>12.3.5</w:t>
        </w:r>
        <w:r w:rsidR="00424E3B">
          <w:rPr>
            <w:rFonts w:asciiTheme="minorHAnsi" w:eastAsiaTheme="minorEastAsia" w:hAnsiTheme="minorHAnsi"/>
            <w:kern w:val="2"/>
            <w:szCs w:val="22"/>
            <w:lang w:eastAsia="en-AU"/>
            <w14:ligatures w14:val="standardContextual"/>
          </w:rPr>
          <w:tab/>
        </w:r>
        <w:r w:rsidR="00424E3B" w:rsidRPr="00A46CF5">
          <w:rPr>
            <w:rStyle w:val="Hyperlink"/>
          </w:rPr>
          <w:t>Program components – Table 2.X.2</w:t>
        </w:r>
        <w:r w:rsidR="00424E3B">
          <w:rPr>
            <w:webHidden/>
          </w:rPr>
          <w:tab/>
        </w:r>
        <w:r w:rsidR="00424E3B">
          <w:rPr>
            <w:webHidden/>
          </w:rPr>
          <w:fldChar w:fldCharType="begin"/>
        </w:r>
        <w:r w:rsidR="00424E3B">
          <w:rPr>
            <w:webHidden/>
          </w:rPr>
          <w:instrText xml:space="preserve"> PAGEREF _Toc160715579 \h </w:instrText>
        </w:r>
        <w:r w:rsidR="00424E3B">
          <w:rPr>
            <w:webHidden/>
          </w:rPr>
        </w:r>
        <w:r w:rsidR="00424E3B">
          <w:rPr>
            <w:webHidden/>
          </w:rPr>
          <w:fldChar w:fldCharType="separate"/>
        </w:r>
        <w:r w:rsidR="00424E3B">
          <w:rPr>
            <w:webHidden/>
          </w:rPr>
          <w:t>43</w:t>
        </w:r>
        <w:r w:rsidR="00424E3B">
          <w:rPr>
            <w:webHidden/>
          </w:rPr>
          <w:fldChar w:fldCharType="end"/>
        </w:r>
      </w:hyperlink>
    </w:p>
    <w:p w14:paraId="3BAC90B4" w14:textId="2C844030" w:rsidR="00424E3B" w:rsidRDefault="00000000">
      <w:pPr>
        <w:pStyle w:val="TOC2"/>
        <w:rPr>
          <w:rFonts w:asciiTheme="minorHAnsi" w:eastAsiaTheme="minorEastAsia" w:hAnsiTheme="minorHAnsi"/>
          <w:kern w:val="2"/>
          <w:szCs w:val="22"/>
          <w:lang w:eastAsia="en-AU"/>
          <w14:ligatures w14:val="standardContextual"/>
        </w:rPr>
      </w:pPr>
      <w:hyperlink w:anchor="_Toc160715580" w:history="1">
        <w:r w:rsidR="00424E3B" w:rsidRPr="00A46CF5">
          <w:rPr>
            <w:rStyle w:val="Hyperlink"/>
          </w:rPr>
          <w:t>12.4</w:t>
        </w:r>
        <w:r w:rsidR="00424E3B">
          <w:rPr>
            <w:rFonts w:asciiTheme="minorHAnsi" w:eastAsiaTheme="minorEastAsia" w:hAnsiTheme="minorHAnsi"/>
            <w:kern w:val="2"/>
            <w:szCs w:val="22"/>
            <w:lang w:eastAsia="en-AU"/>
            <w14:ligatures w14:val="standardContextual"/>
          </w:rPr>
          <w:tab/>
        </w:r>
        <w:r w:rsidR="00424E3B" w:rsidRPr="00A46CF5">
          <w:rPr>
            <w:rStyle w:val="Hyperlink"/>
          </w:rPr>
          <w:t>Performance measures for Outcome - Table 2.X.3</w:t>
        </w:r>
        <w:r w:rsidR="00424E3B">
          <w:rPr>
            <w:webHidden/>
          </w:rPr>
          <w:tab/>
        </w:r>
        <w:r w:rsidR="00424E3B">
          <w:rPr>
            <w:webHidden/>
          </w:rPr>
          <w:fldChar w:fldCharType="begin"/>
        </w:r>
        <w:r w:rsidR="00424E3B">
          <w:rPr>
            <w:webHidden/>
          </w:rPr>
          <w:instrText xml:space="preserve"> PAGEREF _Toc160715580 \h </w:instrText>
        </w:r>
        <w:r w:rsidR="00424E3B">
          <w:rPr>
            <w:webHidden/>
          </w:rPr>
        </w:r>
        <w:r w:rsidR="00424E3B">
          <w:rPr>
            <w:webHidden/>
          </w:rPr>
          <w:fldChar w:fldCharType="separate"/>
        </w:r>
        <w:r w:rsidR="00424E3B">
          <w:rPr>
            <w:webHidden/>
          </w:rPr>
          <w:t>43</w:t>
        </w:r>
        <w:r w:rsidR="00424E3B">
          <w:rPr>
            <w:webHidden/>
          </w:rPr>
          <w:fldChar w:fldCharType="end"/>
        </w:r>
      </w:hyperlink>
    </w:p>
    <w:p w14:paraId="66382939" w14:textId="59A5D61E" w:rsidR="00424E3B" w:rsidRDefault="00000000">
      <w:pPr>
        <w:pStyle w:val="TOC3"/>
        <w:rPr>
          <w:rFonts w:asciiTheme="minorHAnsi" w:eastAsiaTheme="minorEastAsia" w:hAnsiTheme="minorHAnsi"/>
          <w:kern w:val="2"/>
          <w:szCs w:val="22"/>
          <w:lang w:eastAsia="en-AU"/>
          <w14:ligatures w14:val="standardContextual"/>
        </w:rPr>
      </w:pPr>
      <w:hyperlink w:anchor="_Toc160715581" w:history="1">
        <w:r w:rsidR="00424E3B" w:rsidRPr="00A46CF5">
          <w:rPr>
            <w:rStyle w:val="Hyperlink"/>
          </w:rPr>
          <w:t>12.4.1</w:t>
        </w:r>
        <w:r w:rsidR="00424E3B">
          <w:rPr>
            <w:rFonts w:asciiTheme="minorHAnsi" w:eastAsiaTheme="minorEastAsia" w:hAnsiTheme="minorHAnsi"/>
            <w:kern w:val="2"/>
            <w:szCs w:val="22"/>
            <w:lang w:eastAsia="en-AU"/>
            <w14:ligatures w14:val="standardContextual"/>
          </w:rPr>
          <w:tab/>
        </w:r>
        <w:r w:rsidR="00424E3B" w:rsidRPr="00A46CF5">
          <w:rPr>
            <w:rStyle w:val="Hyperlink"/>
          </w:rPr>
          <w:t>Program title and brief description</w:t>
        </w:r>
        <w:r w:rsidR="00424E3B">
          <w:rPr>
            <w:webHidden/>
          </w:rPr>
          <w:tab/>
        </w:r>
        <w:r w:rsidR="00424E3B">
          <w:rPr>
            <w:webHidden/>
          </w:rPr>
          <w:fldChar w:fldCharType="begin"/>
        </w:r>
        <w:r w:rsidR="00424E3B">
          <w:rPr>
            <w:webHidden/>
          </w:rPr>
          <w:instrText xml:space="preserve"> PAGEREF _Toc160715581 \h </w:instrText>
        </w:r>
        <w:r w:rsidR="00424E3B">
          <w:rPr>
            <w:webHidden/>
          </w:rPr>
        </w:r>
        <w:r w:rsidR="00424E3B">
          <w:rPr>
            <w:webHidden/>
          </w:rPr>
          <w:fldChar w:fldCharType="separate"/>
        </w:r>
        <w:r w:rsidR="00424E3B">
          <w:rPr>
            <w:webHidden/>
          </w:rPr>
          <w:t>44</w:t>
        </w:r>
        <w:r w:rsidR="00424E3B">
          <w:rPr>
            <w:webHidden/>
          </w:rPr>
          <w:fldChar w:fldCharType="end"/>
        </w:r>
      </w:hyperlink>
    </w:p>
    <w:p w14:paraId="139255C3" w14:textId="58966CBA" w:rsidR="00424E3B" w:rsidRDefault="00000000">
      <w:pPr>
        <w:pStyle w:val="TOC3"/>
        <w:rPr>
          <w:rFonts w:asciiTheme="minorHAnsi" w:eastAsiaTheme="minorEastAsia" w:hAnsiTheme="minorHAnsi"/>
          <w:kern w:val="2"/>
          <w:szCs w:val="22"/>
          <w:lang w:eastAsia="en-AU"/>
          <w14:ligatures w14:val="standardContextual"/>
        </w:rPr>
      </w:pPr>
      <w:hyperlink w:anchor="_Toc160715582" w:history="1">
        <w:r w:rsidR="00424E3B" w:rsidRPr="00A46CF5">
          <w:rPr>
            <w:rStyle w:val="Hyperlink"/>
          </w:rPr>
          <w:t>12.4.2</w:t>
        </w:r>
        <w:r w:rsidR="00424E3B">
          <w:rPr>
            <w:rFonts w:asciiTheme="minorHAnsi" w:eastAsiaTheme="minorEastAsia" w:hAnsiTheme="minorHAnsi"/>
            <w:kern w:val="2"/>
            <w:szCs w:val="22"/>
            <w:lang w:eastAsia="en-AU"/>
            <w14:ligatures w14:val="standardContextual"/>
          </w:rPr>
          <w:tab/>
        </w:r>
        <w:r w:rsidR="00424E3B" w:rsidRPr="00A46CF5">
          <w:rPr>
            <w:rStyle w:val="Hyperlink"/>
          </w:rPr>
          <w:t>Key Activities</w:t>
        </w:r>
        <w:r w:rsidR="00424E3B">
          <w:rPr>
            <w:webHidden/>
          </w:rPr>
          <w:tab/>
        </w:r>
        <w:r w:rsidR="00424E3B">
          <w:rPr>
            <w:webHidden/>
          </w:rPr>
          <w:fldChar w:fldCharType="begin"/>
        </w:r>
        <w:r w:rsidR="00424E3B">
          <w:rPr>
            <w:webHidden/>
          </w:rPr>
          <w:instrText xml:space="preserve"> PAGEREF _Toc160715582 \h </w:instrText>
        </w:r>
        <w:r w:rsidR="00424E3B">
          <w:rPr>
            <w:webHidden/>
          </w:rPr>
        </w:r>
        <w:r w:rsidR="00424E3B">
          <w:rPr>
            <w:webHidden/>
          </w:rPr>
          <w:fldChar w:fldCharType="separate"/>
        </w:r>
        <w:r w:rsidR="00424E3B">
          <w:rPr>
            <w:webHidden/>
          </w:rPr>
          <w:t>44</w:t>
        </w:r>
        <w:r w:rsidR="00424E3B">
          <w:rPr>
            <w:webHidden/>
          </w:rPr>
          <w:fldChar w:fldCharType="end"/>
        </w:r>
      </w:hyperlink>
    </w:p>
    <w:p w14:paraId="6FF0DC73" w14:textId="5E41C2D7" w:rsidR="00424E3B" w:rsidRDefault="00000000">
      <w:pPr>
        <w:pStyle w:val="TOC3"/>
        <w:rPr>
          <w:rFonts w:asciiTheme="minorHAnsi" w:eastAsiaTheme="minorEastAsia" w:hAnsiTheme="minorHAnsi"/>
          <w:kern w:val="2"/>
          <w:szCs w:val="22"/>
          <w:lang w:eastAsia="en-AU"/>
          <w14:ligatures w14:val="standardContextual"/>
        </w:rPr>
      </w:pPr>
      <w:hyperlink w:anchor="_Toc160715583" w:history="1">
        <w:r w:rsidR="00424E3B" w:rsidRPr="00A46CF5">
          <w:rPr>
            <w:rStyle w:val="Hyperlink"/>
          </w:rPr>
          <w:t>12.4.3</w:t>
        </w:r>
        <w:r w:rsidR="00424E3B">
          <w:rPr>
            <w:rFonts w:asciiTheme="minorHAnsi" w:eastAsiaTheme="minorEastAsia" w:hAnsiTheme="minorHAnsi"/>
            <w:kern w:val="2"/>
            <w:szCs w:val="22"/>
            <w:lang w:eastAsia="en-AU"/>
            <w14:ligatures w14:val="standardContextual"/>
          </w:rPr>
          <w:tab/>
        </w:r>
        <w:r w:rsidR="00424E3B" w:rsidRPr="00A46CF5">
          <w:rPr>
            <w:rStyle w:val="Hyperlink"/>
          </w:rPr>
          <w:t>Performance measures</w:t>
        </w:r>
        <w:r w:rsidR="00424E3B">
          <w:rPr>
            <w:webHidden/>
          </w:rPr>
          <w:tab/>
        </w:r>
        <w:r w:rsidR="00424E3B">
          <w:rPr>
            <w:webHidden/>
          </w:rPr>
          <w:fldChar w:fldCharType="begin"/>
        </w:r>
        <w:r w:rsidR="00424E3B">
          <w:rPr>
            <w:webHidden/>
          </w:rPr>
          <w:instrText xml:space="preserve"> PAGEREF _Toc160715583 \h </w:instrText>
        </w:r>
        <w:r w:rsidR="00424E3B">
          <w:rPr>
            <w:webHidden/>
          </w:rPr>
        </w:r>
        <w:r w:rsidR="00424E3B">
          <w:rPr>
            <w:webHidden/>
          </w:rPr>
          <w:fldChar w:fldCharType="separate"/>
        </w:r>
        <w:r w:rsidR="00424E3B">
          <w:rPr>
            <w:webHidden/>
          </w:rPr>
          <w:t>46</w:t>
        </w:r>
        <w:r w:rsidR="00424E3B">
          <w:rPr>
            <w:webHidden/>
          </w:rPr>
          <w:fldChar w:fldCharType="end"/>
        </w:r>
      </w:hyperlink>
    </w:p>
    <w:p w14:paraId="064613FA" w14:textId="74F0A5BD" w:rsidR="00424E3B" w:rsidRDefault="00000000">
      <w:pPr>
        <w:pStyle w:val="TOC3"/>
        <w:rPr>
          <w:rFonts w:asciiTheme="minorHAnsi" w:eastAsiaTheme="minorEastAsia" w:hAnsiTheme="minorHAnsi"/>
          <w:kern w:val="2"/>
          <w:szCs w:val="22"/>
          <w:lang w:eastAsia="en-AU"/>
          <w14:ligatures w14:val="standardContextual"/>
        </w:rPr>
      </w:pPr>
      <w:hyperlink w:anchor="_Toc160715584" w:history="1">
        <w:r w:rsidR="00424E3B" w:rsidRPr="00A46CF5">
          <w:rPr>
            <w:rStyle w:val="Hyperlink"/>
          </w:rPr>
          <w:t>12.4.4</w:t>
        </w:r>
        <w:r w:rsidR="00424E3B">
          <w:rPr>
            <w:rFonts w:asciiTheme="minorHAnsi" w:eastAsiaTheme="minorEastAsia" w:hAnsiTheme="minorHAnsi"/>
            <w:kern w:val="2"/>
            <w:szCs w:val="22"/>
            <w:lang w:eastAsia="en-AU"/>
            <w14:ligatures w14:val="standardContextual"/>
          </w:rPr>
          <w:tab/>
        </w:r>
        <w:r w:rsidR="00424E3B" w:rsidRPr="00A46CF5">
          <w:rPr>
            <w:rStyle w:val="Hyperlink"/>
          </w:rPr>
          <w:t>Associated targets</w:t>
        </w:r>
        <w:r w:rsidR="00424E3B">
          <w:rPr>
            <w:webHidden/>
          </w:rPr>
          <w:tab/>
        </w:r>
        <w:r w:rsidR="00424E3B">
          <w:rPr>
            <w:webHidden/>
          </w:rPr>
          <w:fldChar w:fldCharType="begin"/>
        </w:r>
        <w:r w:rsidR="00424E3B">
          <w:rPr>
            <w:webHidden/>
          </w:rPr>
          <w:instrText xml:space="preserve"> PAGEREF _Toc160715584 \h </w:instrText>
        </w:r>
        <w:r w:rsidR="00424E3B">
          <w:rPr>
            <w:webHidden/>
          </w:rPr>
        </w:r>
        <w:r w:rsidR="00424E3B">
          <w:rPr>
            <w:webHidden/>
          </w:rPr>
          <w:fldChar w:fldCharType="separate"/>
        </w:r>
        <w:r w:rsidR="00424E3B">
          <w:rPr>
            <w:webHidden/>
          </w:rPr>
          <w:t>46</w:t>
        </w:r>
        <w:r w:rsidR="00424E3B">
          <w:rPr>
            <w:webHidden/>
          </w:rPr>
          <w:fldChar w:fldCharType="end"/>
        </w:r>
      </w:hyperlink>
    </w:p>
    <w:p w14:paraId="49791C63" w14:textId="76A6D052" w:rsidR="00424E3B" w:rsidRDefault="00000000">
      <w:pPr>
        <w:pStyle w:val="TOC3"/>
        <w:rPr>
          <w:rFonts w:asciiTheme="minorHAnsi" w:eastAsiaTheme="minorEastAsia" w:hAnsiTheme="minorHAnsi"/>
          <w:kern w:val="2"/>
          <w:szCs w:val="22"/>
          <w:lang w:eastAsia="en-AU"/>
          <w14:ligatures w14:val="standardContextual"/>
        </w:rPr>
      </w:pPr>
      <w:hyperlink w:anchor="_Toc160715585" w:history="1">
        <w:r w:rsidR="00424E3B" w:rsidRPr="00A46CF5">
          <w:rPr>
            <w:rStyle w:val="Hyperlink"/>
          </w:rPr>
          <w:t>12.4.5</w:t>
        </w:r>
        <w:r w:rsidR="00424E3B">
          <w:rPr>
            <w:rFonts w:asciiTheme="minorHAnsi" w:eastAsiaTheme="minorEastAsia" w:hAnsiTheme="minorHAnsi"/>
            <w:kern w:val="2"/>
            <w:szCs w:val="22"/>
            <w:lang w:eastAsia="en-AU"/>
            <w14:ligatures w14:val="standardContextual"/>
          </w:rPr>
          <w:tab/>
        </w:r>
        <w:r w:rsidR="00424E3B" w:rsidRPr="00A46CF5">
          <w:rPr>
            <w:rStyle w:val="Hyperlink"/>
          </w:rPr>
          <w:t>Expected date of achievement</w:t>
        </w:r>
        <w:r w:rsidR="00424E3B">
          <w:rPr>
            <w:webHidden/>
          </w:rPr>
          <w:tab/>
        </w:r>
        <w:r w:rsidR="00424E3B">
          <w:rPr>
            <w:webHidden/>
          </w:rPr>
          <w:fldChar w:fldCharType="begin"/>
        </w:r>
        <w:r w:rsidR="00424E3B">
          <w:rPr>
            <w:webHidden/>
          </w:rPr>
          <w:instrText xml:space="preserve"> PAGEREF _Toc160715585 \h </w:instrText>
        </w:r>
        <w:r w:rsidR="00424E3B">
          <w:rPr>
            <w:webHidden/>
          </w:rPr>
        </w:r>
        <w:r w:rsidR="00424E3B">
          <w:rPr>
            <w:webHidden/>
          </w:rPr>
          <w:fldChar w:fldCharType="separate"/>
        </w:r>
        <w:r w:rsidR="00424E3B">
          <w:rPr>
            <w:webHidden/>
          </w:rPr>
          <w:t>46</w:t>
        </w:r>
        <w:r w:rsidR="00424E3B">
          <w:rPr>
            <w:webHidden/>
          </w:rPr>
          <w:fldChar w:fldCharType="end"/>
        </w:r>
      </w:hyperlink>
    </w:p>
    <w:p w14:paraId="4642CF24" w14:textId="7721C085" w:rsidR="00424E3B" w:rsidRDefault="00000000">
      <w:pPr>
        <w:pStyle w:val="TOC3"/>
        <w:rPr>
          <w:rFonts w:asciiTheme="minorHAnsi" w:eastAsiaTheme="minorEastAsia" w:hAnsiTheme="minorHAnsi"/>
          <w:kern w:val="2"/>
          <w:szCs w:val="22"/>
          <w:lang w:eastAsia="en-AU"/>
          <w14:ligatures w14:val="standardContextual"/>
        </w:rPr>
      </w:pPr>
      <w:hyperlink w:anchor="_Toc160715586" w:history="1">
        <w:r w:rsidR="00424E3B" w:rsidRPr="00A46CF5">
          <w:rPr>
            <w:rStyle w:val="Hyperlink"/>
          </w:rPr>
          <w:t>12.4.6</w:t>
        </w:r>
        <w:r w:rsidR="00424E3B">
          <w:rPr>
            <w:rFonts w:asciiTheme="minorHAnsi" w:eastAsiaTheme="minorEastAsia" w:hAnsiTheme="minorHAnsi"/>
            <w:kern w:val="2"/>
            <w:szCs w:val="22"/>
            <w:lang w:eastAsia="en-AU"/>
            <w14:ligatures w14:val="standardContextual"/>
          </w:rPr>
          <w:tab/>
        </w:r>
        <w:r w:rsidR="00424E3B" w:rsidRPr="00A46CF5">
          <w:rPr>
            <w:rStyle w:val="Hyperlink"/>
          </w:rPr>
          <w:t>Characteristics of performance measures</w:t>
        </w:r>
        <w:r w:rsidR="00424E3B">
          <w:rPr>
            <w:webHidden/>
          </w:rPr>
          <w:tab/>
        </w:r>
        <w:r w:rsidR="00424E3B">
          <w:rPr>
            <w:webHidden/>
          </w:rPr>
          <w:fldChar w:fldCharType="begin"/>
        </w:r>
        <w:r w:rsidR="00424E3B">
          <w:rPr>
            <w:webHidden/>
          </w:rPr>
          <w:instrText xml:space="preserve"> PAGEREF _Toc160715586 \h </w:instrText>
        </w:r>
        <w:r w:rsidR="00424E3B">
          <w:rPr>
            <w:webHidden/>
          </w:rPr>
        </w:r>
        <w:r w:rsidR="00424E3B">
          <w:rPr>
            <w:webHidden/>
          </w:rPr>
          <w:fldChar w:fldCharType="separate"/>
        </w:r>
        <w:r w:rsidR="00424E3B">
          <w:rPr>
            <w:webHidden/>
          </w:rPr>
          <w:t>46</w:t>
        </w:r>
        <w:r w:rsidR="00424E3B">
          <w:rPr>
            <w:webHidden/>
          </w:rPr>
          <w:fldChar w:fldCharType="end"/>
        </w:r>
      </w:hyperlink>
    </w:p>
    <w:p w14:paraId="0C11755E" w14:textId="58DA2982" w:rsidR="00424E3B" w:rsidRDefault="00000000">
      <w:pPr>
        <w:pStyle w:val="TOC3"/>
        <w:rPr>
          <w:rFonts w:asciiTheme="minorHAnsi" w:eastAsiaTheme="minorEastAsia" w:hAnsiTheme="minorHAnsi"/>
          <w:kern w:val="2"/>
          <w:szCs w:val="22"/>
          <w:lang w:eastAsia="en-AU"/>
          <w14:ligatures w14:val="standardContextual"/>
        </w:rPr>
      </w:pPr>
      <w:hyperlink w:anchor="_Toc160715587" w:history="1">
        <w:r w:rsidR="00424E3B" w:rsidRPr="00A46CF5">
          <w:rPr>
            <w:rStyle w:val="Hyperlink"/>
          </w:rPr>
          <w:t>12.4.7</w:t>
        </w:r>
        <w:r w:rsidR="00424E3B">
          <w:rPr>
            <w:rFonts w:asciiTheme="minorHAnsi" w:eastAsiaTheme="minorEastAsia" w:hAnsiTheme="minorHAnsi"/>
            <w:kern w:val="2"/>
            <w:szCs w:val="22"/>
            <w:lang w:eastAsia="en-AU"/>
            <w14:ligatures w14:val="standardContextual"/>
          </w:rPr>
          <w:tab/>
        </w:r>
        <w:r w:rsidR="00424E3B" w:rsidRPr="00A46CF5">
          <w:rPr>
            <w:rStyle w:val="Hyperlink"/>
          </w:rPr>
          <w:t>Achieving a ‘clear read’</w:t>
        </w:r>
        <w:r w:rsidR="00424E3B">
          <w:rPr>
            <w:webHidden/>
          </w:rPr>
          <w:tab/>
        </w:r>
        <w:r w:rsidR="00424E3B">
          <w:rPr>
            <w:webHidden/>
          </w:rPr>
          <w:fldChar w:fldCharType="begin"/>
        </w:r>
        <w:r w:rsidR="00424E3B">
          <w:rPr>
            <w:webHidden/>
          </w:rPr>
          <w:instrText xml:space="preserve"> PAGEREF _Toc160715587 \h </w:instrText>
        </w:r>
        <w:r w:rsidR="00424E3B">
          <w:rPr>
            <w:webHidden/>
          </w:rPr>
        </w:r>
        <w:r w:rsidR="00424E3B">
          <w:rPr>
            <w:webHidden/>
          </w:rPr>
          <w:fldChar w:fldCharType="separate"/>
        </w:r>
        <w:r w:rsidR="00424E3B">
          <w:rPr>
            <w:webHidden/>
          </w:rPr>
          <w:t>47</w:t>
        </w:r>
        <w:r w:rsidR="00424E3B">
          <w:rPr>
            <w:webHidden/>
          </w:rPr>
          <w:fldChar w:fldCharType="end"/>
        </w:r>
      </w:hyperlink>
    </w:p>
    <w:p w14:paraId="14D05019" w14:textId="7270C62F" w:rsidR="00424E3B" w:rsidRDefault="00000000">
      <w:pPr>
        <w:pStyle w:val="TOC3"/>
        <w:rPr>
          <w:rFonts w:asciiTheme="minorHAnsi" w:eastAsiaTheme="minorEastAsia" w:hAnsiTheme="minorHAnsi"/>
          <w:kern w:val="2"/>
          <w:szCs w:val="22"/>
          <w:lang w:eastAsia="en-AU"/>
          <w14:ligatures w14:val="standardContextual"/>
        </w:rPr>
      </w:pPr>
      <w:hyperlink w:anchor="_Toc160715588" w:history="1">
        <w:r w:rsidR="00424E3B" w:rsidRPr="00A46CF5">
          <w:rPr>
            <w:rStyle w:val="Hyperlink"/>
          </w:rPr>
          <w:t>12.4.8</w:t>
        </w:r>
        <w:r w:rsidR="00424E3B">
          <w:rPr>
            <w:rFonts w:asciiTheme="minorHAnsi" w:eastAsiaTheme="minorEastAsia" w:hAnsiTheme="minorHAnsi"/>
            <w:kern w:val="2"/>
            <w:szCs w:val="22"/>
            <w:lang w:eastAsia="en-AU"/>
            <w14:ligatures w14:val="standardContextual"/>
          </w:rPr>
          <w:tab/>
        </w:r>
        <w:r w:rsidR="00424E3B" w:rsidRPr="00A46CF5">
          <w:rPr>
            <w:rStyle w:val="Hyperlink"/>
          </w:rPr>
          <w:t>Presentation of new or modified performance measures</w:t>
        </w:r>
        <w:r w:rsidR="00424E3B">
          <w:rPr>
            <w:webHidden/>
          </w:rPr>
          <w:tab/>
        </w:r>
        <w:r w:rsidR="00424E3B">
          <w:rPr>
            <w:webHidden/>
          </w:rPr>
          <w:fldChar w:fldCharType="begin"/>
        </w:r>
        <w:r w:rsidR="00424E3B">
          <w:rPr>
            <w:webHidden/>
          </w:rPr>
          <w:instrText xml:space="preserve"> PAGEREF _Toc160715588 \h </w:instrText>
        </w:r>
        <w:r w:rsidR="00424E3B">
          <w:rPr>
            <w:webHidden/>
          </w:rPr>
        </w:r>
        <w:r w:rsidR="00424E3B">
          <w:rPr>
            <w:webHidden/>
          </w:rPr>
          <w:fldChar w:fldCharType="separate"/>
        </w:r>
        <w:r w:rsidR="00424E3B">
          <w:rPr>
            <w:webHidden/>
          </w:rPr>
          <w:t>47</w:t>
        </w:r>
        <w:r w:rsidR="00424E3B">
          <w:rPr>
            <w:webHidden/>
          </w:rPr>
          <w:fldChar w:fldCharType="end"/>
        </w:r>
      </w:hyperlink>
    </w:p>
    <w:p w14:paraId="169D845C" w14:textId="6633843B" w:rsidR="00424E3B" w:rsidRDefault="00000000">
      <w:pPr>
        <w:pStyle w:val="TOC1"/>
        <w:rPr>
          <w:rFonts w:asciiTheme="minorHAnsi" w:eastAsiaTheme="minorEastAsia" w:hAnsiTheme="minorHAnsi"/>
          <w:kern w:val="2"/>
          <w:sz w:val="22"/>
          <w:szCs w:val="22"/>
          <w:lang w:eastAsia="en-AU"/>
          <w14:ligatures w14:val="standardContextual"/>
        </w:rPr>
      </w:pPr>
      <w:hyperlink w:anchor="_Toc160715589" w:history="1">
        <w:r w:rsidR="00424E3B" w:rsidRPr="00A46CF5">
          <w:rPr>
            <w:rStyle w:val="Hyperlink"/>
          </w:rPr>
          <w:t>13</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Section 3 - Budgeted financial statements</w:t>
        </w:r>
        <w:r w:rsidR="00424E3B">
          <w:rPr>
            <w:webHidden/>
          </w:rPr>
          <w:tab/>
        </w:r>
        <w:r w:rsidR="00424E3B">
          <w:rPr>
            <w:webHidden/>
          </w:rPr>
          <w:fldChar w:fldCharType="begin"/>
        </w:r>
        <w:r w:rsidR="00424E3B">
          <w:rPr>
            <w:webHidden/>
          </w:rPr>
          <w:instrText xml:space="preserve"> PAGEREF _Toc160715589 \h </w:instrText>
        </w:r>
        <w:r w:rsidR="00424E3B">
          <w:rPr>
            <w:webHidden/>
          </w:rPr>
        </w:r>
        <w:r w:rsidR="00424E3B">
          <w:rPr>
            <w:webHidden/>
          </w:rPr>
          <w:fldChar w:fldCharType="separate"/>
        </w:r>
        <w:r w:rsidR="00424E3B">
          <w:rPr>
            <w:webHidden/>
          </w:rPr>
          <w:t>48</w:t>
        </w:r>
        <w:r w:rsidR="00424E3B">
          <w:rPr>
            <w:webHidden/>
          </w:rPr>
          <w:fldChar w:fldCharType="end"/>
        </w:r>
      </w:hyperlink>
    </w:p>
    <w:p w14:paraId="33EB7685" w14:textId="17BA04A3" w:rsidR="00424E3B" w:rsidRDefault="00000000">
      <w:pPr>
        <w:pStyle w:val="TOC2"/>
        <w:rPr>
          <w:rFonts w:asciiTheme="minorHAnsi" w:eastAsiaTheme="minorEastAsia" w:hAnsiTheme="minorHAnsi"/>
          <w:kern w:val="2"/>
          <w:szCs w:val="22"/>
          <w:lang w:eastAsia="en-AU"/>
          <w14:ligatures w14:val="standardContextual"/>
        </w:rPr>
      </w:pPr>
      <w:hyperlink w:anchor="_Toc160715590" w:history="1">
        <w:r w:rsidR="00424E3B" w:rsidRPr="00A46CF5">
          <w:rPr>
            <w:rStyle w:val="Hyperlink"/>
          </w:rPr>
          <w:t>13.1</w:t>
        </w:r>
        <w:r w:rsidR="00424E3B">
          <w:rPr>
            <w:rFonts w:asciiTheme="minorHAnsi" w:eastAsiaTheme="minorEastAsia" w:hAnsiTheme="minorHAnsi"/>
            <w:kern w:val="2"/>
            <w:szCs w:val="22"/>
            <w:lang w:eastAsia="en-AU"/>
            <w14:ligatures w14:val="standardContextual"/>
          </w:rPr>
          <w:tab/>
        </w:r>
        <w:r w:rsidR="00424E3B" w:rsidRPr="00A46CF5">
          <w:rPr>
            <w:rStyle w:val="Hyperlink"/>
          </w:rPr>
          <w:t>Tables constituting the budgeted financial statements</w:t>
        </w:r>
        <w:r w:rsidR="00424E3B">
          <w:rPr>
            <w:webHidden/>
          </w:rPr>
          <w:tab/>
        </w:r>
        <w:r w:rsidR="00424E3B">
          <w:rPr>
            <w:webHidden/>
          </w:rPr>
          <w:fldChar w:fldCharType="begin"/>
        </w:r>
        <w:r w:rsidR="00424E3B">
          <w:rPr>
            <w:webHidden/>
          </w:rPr>
          <w:instrText xml:space="preserve"> PAGEREF _Toc160715590 \h </w:instrText>
        </w:r>
        <w:r w:rsidR="00424E3B">
          <w:rPr>
            <w:webHidden/>
          </w:rPr>
        </w:r>
        <w:r w:rsidR="00424E3B">
          <w:rPr>
            <w:webHidden/>
          </w:rPr>
          <w:fldChar w:fldCharType="separate"/>
        </w:r>
        <w:r w:rsidR="00424E3B">
          <w:rPr>
            <w:webHidden/>
          </w:rPr>
          <w:t>48</w:t>
        </w:r>
        <w:r w:rsidR="00424E3B">
          <w:rPr>
            <w:webHidden/>
          </w:rPr>
          <w:fldChar w:fldCharType="end"/>
        </w:r>
      </w:hyperlink>
    </w:p>
    <w:p w14:paraId="6B2E8F86" w14:textId="4271F8CB" w:rsidR="00424E3B" w:rsidRDefault="00000000">
      <w:pPr>
        <w:pStyle w:val="TOC2"/>
        <w:rPr>
          <w:rFonts w:asciiTheme="minorHAnsi" w:eastAsiaTheme="minorEastAsia" w:hAnsiTheme="minorHAnsi"/>
          <w:kern w:val="2"/>
          <w:szCs w:val="22"/>
          <w:lang w:eastAsia="en-AU"/>
          <w14:ligatures w14:val="standardContextual"/>
        </w:rPr>
      </w:pPr>
      <w:hyperlink w:anchor="_Toc160715591" w:history="1">
        <w:r w:rsidR="00424E3B" w:rsidRPr="00A46CF5">
          <w:rPr>
            <w:rStyle w:val="Hyperlink"/>
          </w:rPr>
          <w:t>13.2</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financial statements</w:t>
        </w:r>
        <w:r w:rsidR="00424E3B">
          <w:rPr>
            <w:webHidden/>
          </w:rPr>
          <w:tab/>
        </w:r>
        <w:r w:rsidR="00424E3B">
          <w:rPr>
            <w:webHidden/>
          </w:rPr>
          <w:fldChar w:fldCharType="begin"/>
        </w:r>
        <w:r w:rsidR="00424E3B">
          <w:rPr>
            <w:webHidden/>
          </w:rPr>
          <w:instrText xml:space="preserve"> PAGEREF _Toc160715591 \h </w:instrText>
        </w:r>
        <w:r w:rsidR="00424E3B">
          <w:rPr>
            <w:webHidden/>
          </w:rPr>
        </w:r>
        <w:r w:rsidR="00424E3B">
          <w:rPr>
            <w:webHidden/>
          </w:rPr>
          <w:fldChar w:fldCharType="separate"/>
        </w:r>
        <w:r w:rsidR="00424E3B">
          <w:rPr>
            <w:webHidden/>
          </w:rPr>
          <w:t>49</w:t>
        </w:r>
        <w:r w:rsidR="00424E3B">
          <w:rPr>
            <w:webHidden/>
          </w:rPr>
          <w:fldChar w:fldCharType="end"/>
        </w:r>
      </w:hyperlink>
    </w:p>
    <w:p w14:paraId="74450542" w14:textId="1A9D822E" w:rsidR="00424E3B" w:rsidRDefault="00000000">
      <w:pPr>
        <w:pStyle w:val="TOC3"/>
        <w:rPr>
          <w:rFonts w:asciiTheme="minorHAnsi" w:eastAsiaTheme="minorEastAsia" w:hAnsiTheme="minorHAnsi"/>
          <w:kern w:val="2"/>
          <w:szCs w:val="22"/>
          <w:lang w:eastAsia="en-AU"/>
          <w14:ligatures w14:val="standardContextual"/>
        </w:rPr>
      </w:pPr>
      <w:hyperlink w:anchor="_Toc160715592" w:history="1">
        <w:r w:rsidR="00424E3B" w:rsidRPr="00A46CF5">
          <w:rPr>
            <w:rStyle w:val="Hyperlink"/>
          </w:rPr>
          <w:t>13.2.1</w:t>
        </w:r>
        <w:r w:rsidR="00424E3B">
          <w:rPr>
            <w:rFonts w:asciiTheme="minorHAnsi" w:eastAsiaTheme="minorEastAsia" w:hAnsiTheme="minorHAnsi"/>
            <w:kern w:val="2"/>
            <w:szCs w:val="22"/>
            <w:lang w:eastAsia="en-AU"/>
            <w14:ligatures w14:val="standardContextual"/>
          </w:rPr>
          <w:tab/>
        </w:r>
        <w:r w:rsidR="00424E3B" w:rsidRPr="00A46CF5">
          <w:rPr>
            <w:rStyle w:val="Hyperlink"/>
          </w:rPr>
          <w:t>Comprehensive income statement (showing net cost of services)</w:t>
        </w:r>
        <w:r w:rsidR="00424E3B">
          <w:rPr>
            <w:webHidden/>
          </w:rPr>
          <w:tab/>
        </w:r>
        <w:r w:rsidR="00424E3B">
          <w:rPr>
            <w:webHidden/>
          </w:rPr>
          <w:fldChar w:fldCharType="begin"/>
        </w:r>
        <w:r w:rsidR="00424E3B">
          <w:rPr>
            <w:webHidden/>
          </w:rPr>
          <w:instrText xml:space="preserve"> PAGEREF _Toc160715592 \h </w:instrText>
        </w:r>
        <w:r w:rsidR="00424E3B">
          <w:rPr>
            <w:webHidden/>
          </w:rPr>
        </w:r>
        <w:r w:rsidR="00424E3B">
          <w:rPr>
            <w:webHidden/>
          </w:rPr>
          <w:fldChar w:fldCharType="separate"/>
        </w:r>
        <w:r w:rsidR="00424E3B">
          <w:rPr>
            <w:webHidden/>
          </w:rPr>
          <w:t>49</w:t>
        </w:r>
        <w:r w:rsidR="00424E3B">
          <w:rPr>
            <w:webHidden/>
          </w:rPr>
          <w:fldChar w:fldCharType="end"/>
        </w:r>
      </w:hyperlink>
    </w:p>
    <w:p w14:paraId="16E79F4D" w14:textId="0CF25E2C" w:rsidR="00424E3B" w:rsidRDefault="00000000">
      <w:pPr>
        <w:pStyle w:val="TOC3"/>
        <w:rPr>
          <w:rFonts w:asciiTheme="minorHAnsi" w:eastAsiaTheme="minorEastAsia" w:hAnsiTheme="minorHAnsi"/>
          <w:kern w:val="2"/>
          <w:szCs w:val="22"/>
          <w:lang w:eastAsia="en-AU"/>
          <w14:ligatures w14:val="standardContextual"/>
        </w:rPr>
      </w:pPr>
      <w:hyperlink w:anchor="_Toc160715593" w:history="1">
        <w:r w:rsidR="00424E3B" w:rsidRPr="00A46CF5">
          <w:rPr>
            <w:rStyle w:val="Hyperlink"/>
          </w:rPr>
          <w:t>13.2.2</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Budgeted departmental balance sheet</w:t>
        </w:r>
        <w:r w:rsidR="00424E3B">
          <w:rPr>
            <w:webHidden/>
          </w:rPr>
          <w:tab/>
        </w:r>
        <w:r w:rsidR="00424E3B">
          <w:rPr>
            <w:webHidden/>
          </w:rPr>
          <w:fldChar w:fldCharType="begin"/>
        </w:r>
        <w:r w:rsidR="00424E3B">
          <w:rPr>
            <w:webHidden/>
          </w:rPr>
          <w:instrText xml:space="preserve"> PAGEREF _Toc160715593 \h </w:instrText>
        </w:r>
        <w:r w:rsidR="00424E3B">
          <w:rPr>
            <w:webHidden/>
          </w:rPr>
        </w:r>
        <w:r w:rsidR="00424E3B">
          <w:rPr>
            <w:webHidden/>
          </w:rPr>
          <w:fldChar w:fldCharType="separate"/>
        </w:r>
        <w:r w:rsidR="00424E3B">
          <w:rPr>
            <w:webHidden/>
          </w:rPr>
          <w:t>49</w:t>
        </w:r>
        <w:r w:rsidR="00424E3B">
          <w:rPr>
            <w:webHidden/>
          </w:rPr>
          <w:fldChar w:fldCharType="end"/>
        </w:r>
      </w:hyperlink>
    </w:p>
    <w:p w14:paraId="4ED71D38" w14:textId="3AB62B88" w:rsidR="00424E3B" w:rsidRDefault="00000000">
      <w:pPr>
        <w:pStyle w:val="TOC3"/>
        <w:rPr>
          <w:rFonts w:asciiTheme="minorHAnsi" w:eastAsiaTheme="minorEastAsia" w:hAnsiTheme="minorHAnsi"/>
          <w:kern w:val="2"/>
          <w:szCs w:val="22"/>
          <w:lang w:eastAsia="en-AU"/>
          <w14:ligatures w14:val="standardContextual"/>
        </w:rPr>
      </w:pPr>
      <w:hyperlink w:anchor="_Toc160715594" w:history="1">
        <w:r w:rsidR="00424E3B" w:rsidRPr="00A46CF5">
          <w:rPr>
            <w:rStyle w:val="Hyperlink"/>
          </w:rPr>
          <w:t>13.2.3</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statement of changes in equity</w:t>
        </w:r>
        <w:r w:rsidR="00424E3B">
          <w:rPr>
            <w:webHidden/>
          </w:rPr>
          <w:tab/>
        </w:r>
        <w:r w:rsidR="00424E3B">
          <w:rPr>
            <w:webHidden/>
          </w:rPr>
          <w:fldChar w:fldCharType="begin"/>
        </w:r>
        <w:r w:rsidR="00424E3B">
          <w:rPr>
            <w:webHidden/>
          </w:rPr>
          <w:instrText xml:space="preserve"> PAGEREF _Toc160715594 \h </w:instrText>
        </w:r>
        <w:r w:rsidR="00424E3B">
          <w:rPr>
            <w:webHidden/>
          </w:rPr>
        </w:r>
        <w:r w:rsidR="00424E3B">
          <w:rPr>
            <w:webHidden/>
          </w:rPr>
          <w:fldChar w:fldCharType="separate"/>
        </w:r>
        <w:r w:rsidR="00424E3B">
          <w:rPr>
            <w:webHidden/>
          </w:rPr>
          <w:t>49</w:t>
        </w:r>
        <w:r w:rsidR="00424E3B">
          <w:rPr>
            <w:webHidden/>
          </w:rPr>
          <w:fldChar w:fldCharType="end"/>
        </w:r>
      </w:hyperlink>
    </w:p>
    <w:p w14:paraId="2D88DBCA" w14:textId="2C94D55C" w:rsidR="00424E3B" w:rsidRDefault="00000000">
      <w:pPr>
        <w:pStyle w:val="TOC3"/>
        <w:rPr>
          <w:rFonts w:asciiTheme="minorHAnsi" w:eastAsiaTheme="minorEastAsia" w:hAnsiTheme="minorHAnsi"/>
          <w:kern w:val="2"/>
          <w:szCs w:val="22"/>
          <w:lang w:eastAsia="en-AU"/>
          <w14:ligatures w14:val="standardContextual"/>
        </w:rPr>
      </w:pPr>
      <w:hyperlink w:anchor="_Toc160715595" w:history="1">
        <w:r w:rsidR="00424E3B" w:rsidRPr="00A46CF5">
          <w:rPr>
            <w:rStyle w:val="Hyperlink"/>
          </w:rPr>
          <w:t>13.2.4</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Budgeted departmental statement of cash flows</w:t>
        </w:r>
        <w:r w:rsidR="00424E3B">
          <w:rPr>
            <w:webHidden/>
          </w:rPr>
          <w:tab/>
        </w:r>
        <w:r w:rsidR="00424E3B">
          <w:rPr>
            <w:webHidden/>
          </w:rPr>
          <w:fldChar w:fldCharType="begin"/>
        </w:r>
        <w:r w:rsidR="00424E3B">
          <w:rPr>
            <w:webHidden/>
          </w:rPr>
          <w:instrText xml:space="preserve"> PAGEREF _Toc160715595 \h </w:instrText>
        </w:r>
        <w:r w:rsidR="00424E3B">
          <w:rPr>
            <w:webHidden/>
          </w:rPr>
        </w:r>
        <w:r w:rsidR="00424E3B">
          <w:rPr>
            <w:webHidden/>
          </w:rPr>
          <w:fldChar w:fldCharType="separate"/>
        </w:r>
        <w:r w:rsidR="00424E3B">
          <w:rPr>
            <w:webHidden/>
          </w:rPr>
          <w:t>50</w:t>
        </w:r>
        <w:r w:rsidR="00424E3B">
          <w:rPr>
            <w:webHidden/>
          </w:rPr>
          <w:fldChar w:fldCharType="end"/>
        </w:r>
      </w:hyperlink>
    </w:p>
    <w:p w14:paraId="7664A42E" w14:textId="4FFF5905" w:rsidR="00424E3B" w:rsidRDefault="00000000">
      <w:pPr>
        <w:pStyle w:val="TOC3"/>
        <w:rPr>
          <w:rFonts w:asciiTheme="minorHAnsi" w:eastAsiaTheme="minorEastAsia" w:hAnsiTheme="minorHAnsi"/>
          <w:kern w:val="2"/>
          <w:szCs w:val="22"/>
          <w:lang w:eastAsia="en-AU"/>
          <w14:ligatures w14:val="standardContextual"/>
        </w:rPr>
      </w:pPr>
      <w:hyperlink w:anchor="_Toc160715596" w:history="1">
        <w:r w:rsidR="00424E3B" w:rsidRPr="00A46CF5">
          <w:rPr>
            <w:rStyle w:val="Hyperlink"/>
          </w:rPr>
          <w:t>13.2.5</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capital budget statement</w:t>
        </w:r>
        <w:r w:rsidR="00424E3B">
          <w:rPr>
            <w:webHidden/>
          </w:rPr>
          <w:tab/>
        </w:r>
        <w:r w:rsidR="00424E3B">
          <w:rPr>
            <w:webHidden/>
          </w:rPr>
          <w:fldChar w:fldCharType="begin"/>
        </w:r>
        <w:r w:rsidR="00424E3B">
          <w:rPr>
            <w:webHidden/>
          </w:rPr>
          <w:instrText xml:space="preserve"> PAGEREF _Toc160715596 \h </w:instrText>
        </w:r>
        <w:r w:rsidR="00424E3B">
          <w:rPr>
            <w:webHidden/>
          </w:rPr>
        </w:r>
        <w:r w:rsidR="00424E3B">
          <w:rPr>
            <w:webHidden/>
          </w:rPr>
          <w:fldChar w:fldCharType="separate"/>
        </w:r>
        <w:r w:rsidR="00424E3B">
          <w:rPr>
            <w:webHidden/>
          </w:rPr>
          <w:t>50</w:t>
        </w:r>
        <w:r w:rsidR="00424E3B">
          <w:rPr>
            <w:webHidden/>
          </w:rPr>
          <w:fldChar w:fldCharType="end"/>
        </w:r>
      </w:hyperlink>
    </w:p>
    <w:p w14:paraId="0DFB63B6" w14:textId="52EC5879" w:rsidR="00424E3B" w:rsidRDefault="00000000">
      <w:pPr>
        <w:pStyle w:val="TOC3"/>
        <w:rPr>
          <w:rFonts w:asciiTheme="minorHAnsi" w:eastAsiaTheme="minorEastAsia" w:hAnsiTheme="minorHAnsi"/>
          <w:kern w:val="2"/>
          <w:szCs w:val="22"/>
          <w:lang w:eastAsia="en-AU"/>
          <w14:ligatures w14:val="standardContextual"/>
        </w:rPr>
      </w:pPr>
      <w:hyperlink w:anchor="_Toc160715597" w:history="1">
        <w:r w:rsidR="00424E3B" w:rsidRPr="00A46CF5">
          <w:rPr>
            <w:rStyle w:val="Hyperlink"/>
          </w:rPr>
          <w:t>13.2.6</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statement of asset movements</w:t>
        </w:r>
        <w:r w:rsidR="00424E3B">
          <w:rPr>
            <w:webHidden/>
          </w:rPr>
          <w:tab/>
        </w:r>
        <w:r w:rsidR="00424E3B">
          <w:rPr>
            <w:webHidden/>
          </w:rPr>
          <w:fldChar w:fldCharType="begin"/>
        </w:r>
        <w:r w:rsidR="00424E3B">
          <w:rPr>
            <w:webHidden/>
          </w:rPr>
          <w:instrText xml:space="preserve"> PAGEREF _Toc160715597 \h </w:instrText>
        </w:r>
        <w:r w:rsidR="00424E3B">
          <w:rPr>
            <w:webHidden/>
          </w:rPr>
        </w:r>
        <w:r w:rsidR="00424E3B">
          <w:rPr>
            <w:webHidden/>
          </w:rPr>
          <w:fldChar w:fldCharType="separate"/>
        </w:r>
        <w:r w:rsidR="00424E3B">
          <w:rPr>
            <w:webHidden/>
          </w:rPr>
          <w:t>50</w:t>
        </w:r>
        <w:r w:rsidR="00424E3B">
          <w:rPr>
            <w:webHidden/>
          </w:rPr>
          <w:fldChar w:fldCharType="end"/>
        </w:r>
      </w:hyperlink>
    </w:p>
    <w:p w14:paraId="002CFF48" w14:textId="34B79773" w:rsidR="00424E3B" w:rsidRDefault="00000000">
      <w:pPr>
        <w:pStyle w:val="TOC3"/>
        <w:rPr>
          <w:rFonts w:asciiTheme="minorHAnsi" w:eastAsiaTheme="minorEastAsia" w:hAnsiTheme="minorHAnsi"/>
          <w:kern w:val="2"/>
          <w:szCs w:val="22"/>
          <w:lang w:eastAsia="en-AU"/>
          <w14:ligatures w14:val="standardContextual"/>
        </w:rPr>
      </w:pPr>
      <w:hyperlink w:anchor="_Toc160715598" w:history="1">
        <w:r w:rsidR="00424E3B" w:rsidRPr="00A46CF5">
          <w:rPr>
            <w:rStyle w:val="Hyperlink"/>
          </w:rPr>
          <w:t>13.2.7</w:t>
        </w:r>
        <w:r w:rsidR="00424E3B">
          <w:rPr>
            <w:rFonts w:asciiTheme="minorHAnsi" w:eastAsiaTheme="minorEastAsia" w:hAnsiTheme="minorHAnsi"/>
            <w:kern w:val="2"/>
            <w:szCs w:val="22"/>
            <w:lang w:eastAsia="en-AU"/>
            <w14:ligatures w14:val="standardContextual"/>
          </w:rPr>
          <w:tab/>
        </w:r>
        <w:r w:rsidR="00424E3B" w:rsidRPr="00A46CF5">
          <w:rPr>
            <w:rStyle w:val="Hyperlink"/>
          </w:rPr>
          <w:t>Administered financial statements</w:t>
        </w:r>
        <w:r w:rsidR="00424E3B">
          <w:rPr>
            <w:webHidden/>
          </w:rPr>
          <w:tab/>
        </w:r>
        <w:r w:rsidR="00424E3B">
          <w:rPr>
            <w:webHidden/>
          </w:rPr>
          <w:fldChar w:fldCharType="begin"/>
        </w:r>
        <w:r w:rsidR="00424E3B">
          <w:rPr>
            <w:webHidden/>
          </w:rPr>
          <w:instrText xml:space="preserve"> PAGEREF _Toc160715598 \h </w:instrText>
        </w:r>
        <w:r w:rsidR="00424E3B">
          <w:rPr>
            <w:webHidden/>
          </w:rPr>
        </w:r>
        <w:r w:rsidR="00424E3B">
          <w:rPr>
            <w:webHidden/>
          </w:rPr>
          <w:fldChar w:fldCharType="separate"/>
        </w:r>
        <w:r w:rsidR="00424E3B">
          <w:rPr>
            <w:webHidden/>
          </w:rPr>
          <w:t>51</w:t>
        </w:r>
        <w:r w:rsidR="00424E3B">
          <w:rPr>
            <w:webHidden/>
          </w:rPr>
          <w:fldChar w:fldCharType="end"/>
        </w:r>
      </w:hyperlink>
    </w:p>
    <w:p w14:paraId="594A2F8B" w14:textId="5833BAD7" w:rsidR="00424E3B" w:rsidRDefault="00000000">
      <w:pPr>
        <w:pStyle w:val="TOC1"/>
        <w:rPr>
          <w:rFonts w:asciiTheme="minorHAnsi" w:eastAsiaTheme="minorEastAsia" w:hAnsiTheme="minorHAnsi"/>
          <w:kern w:val="2"/>
          <w:sz w:val="22"/>
          <w:szCs w:val="22"/>
          <w:lang w:eastAsia="en-AU"/>
          <w14:ligatures w14:val="standardContextual"/>
        </w:rPr>
      </w:pPr>
      <w:hyperlink w:anchor="_Toc160715599" w:history="1">
        <w:r w:rsidR="00424E3B" w:rsidRPr="00A46CF5">
          <w:rPr>
            <w:rStyle w:val="Hyperlink"/>
          </w:rPr>
          <w:t>14</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Related issues</w:t>
        </w:r>
        <w:r w:rsidR="00424E3B">
          <w:rPr>
            <w:webHidden/>
          </w:rPr>
          <w:tab/>
        </w:r>
        <w:r w:rsidR="00424E3B">
          <w:rPr>
            <w:webHidden/>
          </w:rPr>
          <w:fldChar w:fldCharType="begin"/>
        </w:r>
        <w:r w:rsidR="00424E3B">
          <w:rPr>
            <w:webHidden/>
          </w:rPr>
          <w:instrText xml:space="preserve"> PAGEREF _Toc160715599 \h </w:instrText>
        </w:r>
        <w:r w:rsidR="00424E3B">
          <w:rPr>
            <w:webHidden/>
          </w:rPr>
        </w:r>
        <w:r w:rsidR="00424E3B">
          <w:rPr>
            <w:webHidden/>
          </w:rPr>
          <w:fldChar w:fldCharType="separate"/>
        </w:r>
        <w:r w:rsidR="00424E3B">
          <w:rPr>
            <w:webHidden/>
          </w:rPr>
          <w:t>52</w:t>
        </w:r>
        <w:r w:rsidR="00424E3B">
          <w:rPr>
            <w:webHidden/>
          </w:rPr>
          <w:fldChar w:fldCharType="end"/>
        </w:r>
      </w:hyperlink>
    </w:p>
    <w:p w14:paraId="0E0EBECB" w14:textId="414E319A" w:rsidR="00424E3B" w:rsidRDefault="00000000">
      <w:pPr>
        <w:pStyle w:val="TOC2"/>
        <w:rPr>
          <w:rFonts w:asciiTheme="minorHAnsi" w:eastAsiaTheme="minorEastAsia" w:hAnsiTheme="minorHAnsi"/>
          <w:kern w:val="2"/>
          <w:szCs w:val="22"/>
          <w:lang w:eastAsia="en-AU"/>
          <w14:ligatures w14:val="standardContextual"/>
        </w:rPr>
      </w:pPr>
      <w:hyperlink w:anchor="_Toc160715600" w:history="1">
        <w:r w:rsidR="00424E3B" w:rsidRPr="00A46CF5">
          <w:rPr>
            <w:rStyle w:val="Hyperlink"/>
          </w:rPr>
          <w:t>14.1</w:t>
        </w:r>
        <w:r w:rsidR="00424E3B">
          <w:rPr>
            <w:rFonts w:asciiTheme="minorHAnsi" w:eastAsiaTheme="minorEastAsia" w:hAnsiTheme="minorHAnsi"/>
            <w:kern w:val="2"/>
            <w:szCs w:val="22"/>
            <w:lang w:eastAsia="en-AU"/>
            <w14:ligatures w14:val="standardContextual"/>
          </w:rPr>
          <w:tab/>
        </w:r>
        <w:r w:rsidR="00424E3B" w:rsidRPr="00A46CF5">
          <w:rPr>
            <w:rStyle w:val="Hyperlink"/>
          </w:rPr>
          <w:t>Machinery of government changes</w:t>
        </w:r>
        <w:r w:rsidR="00424E3B">
          <w:rPr>
            <w:webHidden/>
          </w:rPr>
          <w:tab/>
        </w:r>
        <w:r w:rsidR="00424E3B">
          <w:rPr>
            <w:webHidden/>
          </w:rPr>
          <w:fldChar w:fldCharType="begin"/>
        </w:r>
        <w:r w:rsidR="00424E3B">
          <w:rPr>
            <w:webHidden/>
          </w:rPr>
          <w:instrText xml:space="preserve"> PAGEREF _Toc160715600 \h </w:instrText>
        </w:r>
        <w:r w:rsidR="00424E3B">
          <w:rPr>
            <w:webHidden/>
          </w:rPr>
        </w:r>
        <w:r w:rsidR="00424E3B">
          <w:rPr>
            <w:webHidden/>
          </w:rPr>
          <w:fldChar w:fldCharType="separate"/>
        </w:r>
        <w:r w:rsidR="00424E3B">
          <w:rPr>
            <w:webHidden/>
          </w:rPr>
          <w:t>52</w:t>
        </w:r>
        <w:r w:rsidR="00424E3B">
          <w:rPr>
            <w:webHidden/>
          </w:rPr>
          <w:fldChar w:fldCharType="end"/>
        </w:r>
      </w:hyperlink>
    </w:p>
    <w:p w14:paraId="66BA24B2" w14:textId="1261F80F" w:rsidR="00424E3B" w:rsidRDefault="00000000">
      <w:pPr>
        <w:pStyle w:val="TOC2"/>
        <w:rPr>
          <w:rFonts w:asciiTheme="minorHAnsi" w:eastAsiaTheme="minorEastAsia" w:hAnsiTheme="minorHAnsi"/>
          <w:kern w:val="2"/>
          <w:szCs w:val="22"/>
          <w:lang w:eastAsia="en-AU"/>
          <w14:ligatures w14:val="standardContextual"/>
        </w:rPr>
      </w:pPr>
      <w:hyperlink w:anchor="_Toc160715601" w:history="1">
        <w:r w:rsidR="00424E3B" w:rsidRPr="00A46CF5">
          <w:rPr>
            <w:rStyle w:val="Hyperlink"/>
          </w:rPr>
          <w:t>14.2</w:t>
        </w:r>
        <w:r w:rsidR="00424E3B">
          <w:rPr>
            <w:rFonts w:asciiTheme="minorHAnsi" w:eastAsiaTheme="minorEastAsia" w:hAnsiTheme="minorHAnsi"/>
            <w:kern w:val="2"/>
            <w:szCs w:val="22"/>
            <w:lang w:eastAsia="en-AU"/>
            <w14:ligatures w14:val="standardContextual"/>
          </w:rPr>
          <w:tab/>
        </w:r>
        <w:r w:rsidR="00424E3B" w:rsidRPr="00A46CF5">
          <w:rPr>
            <w:rStyle w:val="Hyperlink"/>
          </w:rPr>
          <w:t>Entity resource statement (Table 1.1)</w:t>
        </w:r>
        <w:r w:rsidR="00424E3B">
          <w:rPr>
            <w:webHidden/>
          </w:rPr>
          <w:tab/>
        </w:r>
        <w:r w:rsidR="00424E3B">
          <w:rPr>
            <w:webHidden/>
          </w:rPr>
          <w:fldChar w:fldCharType="begin"/>
        </w:r>
        <w:r w:rsidR="00424E3B">
          <w:rPr>
            <w:webHidden/>
          </w:rPr>
          <w:instrText xml:space="preserve"> PAGEREF _Toc160715601 \h </w:instrText>
        </w:r>
        <w:r w:rsidR="00424E3B">
          <w:rPr>
            <w:webHidden/>
          </w:rPr>
        </w:r>
        <w:r w:rsidR="00424E3B">
          <w:rPr>
            <w:webHidden/>
          </w:rPr>
          <w:fldChar w:fldCharType="separate"/>
        </w:r>
        <w:r w:rsidR="00424E3B">
          <w:rPr>
            <w:webHidden/>
          </w:rPr>
          <w:t>52</w:t>
        </w:r>
        <w:r w:rsidR="00424E3B">
          <w:rPr>
            <w:webHidden/>
          </w:rPr>
          <w:fldChar w:fldCharType="end"/>
        </w:r>
      </w:hyperlink>
    </w:p>
    <w:p w14:paraId="0E1EAE4A" w14:textId="4516DC3B" w:rsidR="00424E3B" w:rsidRDefault="00000000">
      <w:pPr>
        <w:pStyle w:val="TOC2"/>
        <w:rPr>
          <w:rFonts w:asciiTheme="minorHAnsi" w:eastAsiaTheme="minorEastAsia" w:hAnsiTheme="minorHAnsi"/>
          <w:kern w:val="2"/>
          <w:szCs w:val="22"/>
          <w:lang w:eastAsia="en-AU"/>
          <w14:ligatures w14:val="standardContextual"/>
        </w:rPr>
      </w:pPr>
      <w:hyperlink w:anchor="_Toc160715602" w:history="1">
        <w:r w:rsidR="00424E3B" w:rsidRPr="00A46CF5">
          <w:rPr>
            <w:rStyle w:val="Hyperlink"/>
          </w:rPr>
          <w:t>14.3</w:t>
        </w:r>
        <w:r w:rsidR="00424E3B">
          <w:rPr>
            <w:rFonts w:asciiTheme="minorHAnsi" w:eastAsiaTheme="minorEastAsia" w:hAnsiTheme="minorHAnsi"/>
            <w:kern w:val="2"/>
            <w:szCs w:val="22"/>
            <w:lang w:eastAsia="en-AU"/>
            <w14:ligatures w14:val="standardContextual"/>
          </w:rPr>
          <w:tab/>
        </w:r>
        <w:r w:rsidR="00424E3B" w:rsidRPr="00A46CF5">
          <w:rPr>
            <w:rStyle w:val="Hyperlink"/>
          </w:rPr>
          <w:t>Receiving entities</w:t>
        </w:r>
        <w:r w:rsidR="00424E3B">
          <w:rPr>
            <w:webHidden/>
          </w:rPr>
          <w:tab/>
        </w:r>
        <w:r w:rsidR="00424E3B">
          <w:rPr>
            <w:webHidden/>
          </w:rPr>
          <w:fldChar w:fldCharType="begin"/>
        </w:r>
        <w:r w:rsidR="00424E3B">
          <w:rPr>
            <w:webHidden/>
          </w:rPr>
          <w:instrText xml:space="preserve"> PAGEREF _Toc160715602 \h </w:instrText>
        </w:r>
        <w:r w:rsidR="00424E3B">
          <w:rPr>
            <w:webHidden/>
          </w:rPr>
        </w:r>
        <w:r w:rsidR="00424E3B">
          <w:rPr>
            <w:webHidden/>
          </w:rPr>
          <w:fldChar w:fldCharType="separate"/>
        </w:r>
        <w:r w:rsidR="00424E3B">
          <w:rPr>
            <w:webHidden/>
          </w:rPr>
          <w:t>52</w:t>
        </w:r>
        <w:r w:rsidR="00424E3B">
          <w:rPr>
            <w:webHidden/>
          </w:rPr>
          <w:fldChar w:fldCharType="end"/>
        </w:r>
      </w:hyperlink>
    </w:p>
    <w:p w14:paraId="4A10F665" w14:textId="26FBA8E5" w:rsidR="00424E3B" w:rsidRDefault="00000000">
      <w:pPr>
        <w:pStyle w:val="TOC2"/>
        <w:rPr>
          <w:rFonts w:asciiTheme="minorHAnsi" w:eastAsiaTheme="minorEastAsia" w:hAnsiTheme="minorHAnsi"/>
          <w:kern w:val="2"/>
          <w:szCs w:val="22"/>
          <w:lang w:eastAsia="en-AU"/>
          <w14:ligatures w14:val="standardContextual"/>
        </w:rPr>
      </w:pPr>
      <w:hyperlink w:anchor="_Toc160715603" w:history="1">
        <w:r w:rsidR="00424E3B" w:rsidRPr="00A46CF5">
          <w:rPr>
            <w:rStyle w:val="Hyperlink"/>
          </w:rPr>
          <w:t>14.4</w:t>
        </w:r>
        <w:r w:rsidR="00424E3B">
          <w:rPr>
            <w:rFonts w:asciiTheme="minorHAnsi" w:eastAsiaTheme="minorEastAsia" w:hAnsiTheme="minorHAnsi"/>
            <w:kern w:val="2"/>
            <w:szCs w:val="22"/>
            <w:lang w:eastAsia="en-AU"/>
            <w14:ligatures w14:val="standardContextual"/>
          </w:rPr>
          <w:tab/>
        </w:r>
        <w:r w:rsidR="00424E3B" w:rsidRPr="00A46CF5">
          <w:rPr>
            <w:rStyle w:val="Hyperlink"/>
          </w:rPr>
          <w:t>Transferring entities</w:t>
        </w:r>
        <w:r w:rsidR="00424E3B">
          <w:rPr>
            <w:webHidden/>
          </w:rPr>
          <w:tab/>
        </w:r>
        <w:r w:rsidR="00424E3B">
          <w:rPr>
            <w:webHidden/>
          </w:rPr>
          <w:fldChar w:fldCharType="begin"/>
        </w:r>
        <w:r w:rsidR="00424E3B">
          <w:rPr>
            <w:webHidden/>
          </w:rPr>
          <w:instrText xml:space="preserve"> PAGEREF _Toc160715603 \h </w:instrText>
        </w:r>
        <w:r w:rsidR="00424E3B">
          <w:rPr>
            <w:webHidden/>
          </w:rPr>
        </w:r>
        <w:r w:rsidR="00424E3B">
          <w:rPr>
            <w:webHidden/>
          </w:rPr>
          <w:fldChar w:fldCharType="separate"/>
        </w:r>
        <w:r w:rsidR="00424E3B">
          <w:rPr>
            <w:webHidden/>
          </w:rPr>
          <w:t>52</w:t>
        </w:r>
        <w:r w:rsidR="00424E3B">
          <w:rPr>
            <w:webHidden/>
          </w:rPr>
          <w:fldChar w:fldCharType="end"/>
        </w:r>
      </w:hyperlink>
    </w:p>
    <w:p w14:paraId="07C94C4C" w14:textId="29B6554F" w:rsidR="00424E3B" w:rsidRDefault="00000000">
      <w:pPr>
        <w:pStyle w:val="TOC2"/>
        <w:rPr>
          <w:rFonts w:asciiTheme="minorHAnsi" w:eastAsiaTheme="minorEastAsia" w:hAnsiTheme="minorHAnsi"/>
          <w:kern w:val="2"/>
          <w:szCs w:val="22"/>
          <w:lang w:eastAsia="en-AU"/>
          <w14:ligatures w14:val="standardContextual"/>
        </w:rPr>
      </w:pPr>
      <w:hyperlink w:anchor="_Toc160715604" w:history="1">
        <w:r w:rsidR="00424E3B" w:rsidRPr="00A46CF5">
          <w:rPr>
            <w:rStyle w:val="Hyperlink"/>
          </w:rPr>
          <w:t>14.5</w:t>
        </w:r>
        <w:r w:rsidR="00424E3B">
          <w:rPr>
            <w:rFonts w:asciiTheme="minorHAnsi" w:eastAsiaTheme="minorEastAsia" w:hAnsiTheme="minorHAnsi"/>
            <w:kern w:val="2"/>
            <w:szCs w:val="22"/>
            <w:lang w:eastAsia="en-AU"/>
            <w14:ligatures w14:val="standardContextual"/>
          </w:rPr>
          <w:tab/>
        </w:r>
        <w:r w:rsidR="00424E3B" w:rsidRPr="00A46CF5">
          <w:rPr>
            <w:rStyle w:val="Hyperlink"/>
          </w:rPr>
          <w:t>Outcome information</w:t>
        </w:r>
        <w:r w:rsidR="00424E3B">
          <w:rPr>
            <w:webHidden/>
          </w:rPr>
          <w:tab/>
        </w:r>
        <w:r w:rsidR="00424E3B">
          <w:rPr>
            <w:webHidden/>
          </w:rPr>
          <w:fldChar w:fldCharType="begin"/>
        </w:r>
        <w:r w:rsidR="00424E3B">
          <w:rPr>
            <w:webHidden/>
          </w:rPr>
          <w:instrText xml:space="preserve"> PAGEREF _Toc160715604 \h </w:instrText>
        </w:r>
        <w:r w:rsidR="00424E3B">
          <w:rPr>
            <w:webHidden/>
          </w:rPr>
        </w:r>
        <w:r w:rsidR="00424E3B">
          <w:rPr>
            <w:webHidden/>
          </w:rPr>
          <w:fldChar w:fldCharType="separate"/>
        </w:r>
        <w:r w:rsidR="00424E3B">
          <w:rPr>
            <w:webHidden/>
          </w:rPr>
          <w:t>52</w:t>
        </w:r>
        <w:r w:rsidR="00424E3B">
          <w:rPr>
            <w:webHidden/>
          </w:rPr>
          <w:fldChar w:fldCharType="end"/>
        </w:r>
      </w:hyperlink>
    </w:p>
    <w:p w14:paraId="5080BDA6" w14:textId="29656AF5" w:rsidR="00424E3B" w:rsidRDefault="00000000">
      <w:pPr>
        <w:pStyle w:val="TOC2"/>
        <w:rPr>
          <w:rFonts w:asciiTheme="minorHAnsi" w:eastAsiaTheme="minorEastAsia" w:hAnsiTheme="minorHAnsi"/>
          <w:kern w:val="2"/>
          <w:szCs w:val="22"/>
          <w:lang w:eastAsia="en-AU"/>
          <w14:ligatures w14:val="standardContextual"/>
        </w:rPr>
      </w:pPr>
      <w:hyperlink w:anchor="_Toc160715605" w:history="1">
        <w:r w:rsidR="00424E3B" w:rsidRPr="00A46CF5">
          <w:rPr>
            <w:rStyle w:val="Hyperlink"/>
          </w:rPr>
          <w:t>14.6</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Budgeted financial statements</w:t>
        </w:r>
        <w:r w:rsidR="00424E3B">
          <w:rPr>
            <w:webHidden/>
          </w:rPr>
          <w:tab/>
        </w:r>
        <w:r w:rsidR="00424E3B">
          <w:rPr>
            <w:webHidden/>
          </w:rPr>
          <w:fldChar w:fldCharType="begin"/>
        </w:r>
        <w:r w:rsidR="00424E3B">
          <w:rPr>
            <w:webHidden/>
          </w:rPr>
          <w:instrText xml:space="preserve"> PAGEREF _Toc160715605 \h </w:instrText>
        </w:r>
        <w:r w:rsidR="00424E3B">
          <w:rPr>
            <w:webHidden/>
          </w:rPr>
        </w:r>
        <w:r w:rsidR="00424E3B">
          <w:rPr>
            <w:webHidden/>
          </w:rPr>
          <w:fldChar w:fldCharType="separate"/>
        </w:r>
        <w:r w:rsidR="00424E3B">
          <w:rPr>
            <w:webHidden/>
          </w:rPr>
          <w:t>53</w:t>
        </w:r>
        <w:r w:rsidR="00424E3B">
          <w:rPr>
            <w:webHidden/>
          </w:rPr>
          <w:fldChar w:fldCharType="end"/>
        </w:r>
      </w:hyperlink>
    </w:p>
    <w:p w14:paraId="75F8726D" w14:textId="38690D14" w:rsidR="00424E3B" w:rsidRDefault="00000000">
      <w:pPr>
        <w:pStyle w:val="TOC2"/>
        <w:rPr>
          <w:rFonts w:asciiTheme="minorHAnsi" w:eastAsiaTheme="minorEastAsia" w:hAnsiTheme="minorHAnsi"/>
          <w:kern w:val="2"/>
          <w:szCs w:val="22"/>
          <w:lang w:eastAsia="en-AU"/>
          <w14:ligatures w14:val="standardContextual"/>
        </w:rPr>
      </w:pPr>
      <w:hyperlink w:anchor="_Toc160715606" w:history="1">
        <w:r w:rsidR="00424E3B" w:rsidRPr="00A46CF5">
          <w:rPr>
            <w:rStyle w:val="Hyperlink"/>
          </w:rPr>
          <w:t>14.7</w:t>
        </w:r>
        <w:r w:rsidR="00424E3B">
          <w:rPr>
            <w:rFonts w:asciiTheme="minorHAnsi" w:eastAsiaTheme="minorEastAsia" w:hAnsiTheme="minorHAnsi"/>
            <w:kern w:val="2"/>
            <w:szCs w:val="22"/>
            <w:lang w:eastAsia="en-AU"/>
            <w14:ligatures w14:val="standardContextual"/>
          </w:rPr>
          <w:tab/>
        </w:r>
        <w:r w:rsidR="00424E3B" w:rsidRPr="00A46CF5">
          <w:rPr>
            <w:rStyle w:val="Hyperlink"/>
          </w:rPr>
          <w:t>Other important information</w:t>
        </w:r>
        <w:r w:rsidR="00424E3B">
          <w:rPr>
            <w:webHidden/>
          </w:rPr>
          <w:tab/>
        </w:r>
        <w:r w:rsidR="00424E3B">
          <w:rPr>
            <w:webHidden/>
          </w:rPr>
          <w:fldChar w:fldCharType="begin"/>
        </w:r>
        <w:r w:rsidR="00424E3B">
          <w:rPr>
            <w:webHidden/>
          </w:rPr>
          <w:instrText xml:space="preserve"> PAGEREF _Toc160715606 \h </w:instrText>
        </w:r>
        <w:r w:rsidR="00424E3B">
          <w:rPr>
            <w:webHidden/>
          </w:rPr>
        </w:r>
        <w:r w:rsidR="00424E3B">
          <w:rPr>
            <w:webHidden/>
          </w:rPr>
          <w:fldChar w:fldCharType="separate"/>
        </w:r>
        <w:r w:rsidR="00424E3B">
          <w:rPr>
            <w:webHidden/>
          </w:rPr>
          <w:t>53</w:t>
        </w:r>
        <w:r w:rsidR="00424E3B">
          <w:rPr>
            <w:webHidden/>
          </w:rPr>
          <w:fldChar w:fldCharType="end"/>
        </w:r>
      </w:hyperlink>
    </w:p>
    <w:p w14:paraId="574AB9BB" w14:textId="5B7A6525" w:rsidR="00424E3B" w:rsidRDefault="00000000">
      <w:pPr>
        <w:pStyle w:val="TOC3"/>
        <w:rPr>
          <w:rFonts w:asciiTheme="minorHAnsi" w:eastAsiaTheme="minorEastAsia" w:hAnsiTheme="minorHAnsi"/>
          <w:kern w:val="2"/>
          <w:szCs w:val="22"/>
          <w:lang w:eastAsia="en-AU"/>
          <w14:ligatures w14:val="standardContextual"/>
        </w:rPr>
      </w:pPr>
      <w:hyperlink w:anchor="_Toc160715607" w:history="1">
        <w:r w:rsidR="00424E3B" w:rsidRPr="00A46CF5">
          <w:rPr>
            <w:rStyle w:val="Hyperlink"/>
          </w:rPr>
          <w:t>14.7.1</w:t>
        </w:r>
        <w:r w:rsidR="00424E3B">
          <w:rPr>
            <w:rFonts w:asciiTheme="minorHAnsi" w:eastAsiaTheme="minorEastAsia" w:hAnsiTheme="minorHAnsi"/>
            <w:kern w:val="2"/>
            <w:szCs w:val="22"/>
            <w:lang w:eastAsia="en-AU"/>
            <w14:ligatures w14:val="standardContextual"/>
          </w:rPr>
          <w:tab/>
        </w:r>
        <w:r w:rsidR="00424E3B" w:rsidRPr="00A46CF5">
          <w:rPr>
            <w:rStyle w:val="Hyperlink"/>
          </w:rPr>
          <w:t>Subsequent MoG changes following the PB Statements</w:t>
        </w:r>
        <w:r w:rsidR="00424E3B">
          <w:rPr>
            <w:webHidden/>
          </w:rPr>
          <w:tab/>
        </w:r>
        <w:r w:rsidR="00424E3B">
          <w:rPr>
            <w:webHidden/>
          </w:rPr>
          <w:fldChar w:fldCharType="begin"/>
        </w:r>
        <w:r w:rsidR="00424E3B">
          <w:rPr>
            <w:webHidden/>
          </w:rPr>
          <w:instrText xml:space="preserve"> PAGEREF _Toc160715607 \h </w:instrText>
        </w:r>
        <w:r w:rsidR="00424E3B">
          <w:rPr>
            <w:webHidden/>
          </w:rPr>
        </w:r>
        <w:r w:rsidR="00424E3B">
          <w:rPr>
            <w:webHidden/>
          </w:rPr>
          <w:fldChar w:fldCharType="separate"/>
        </w:r>
        <w:r w:rsidR="00424E3B">
          <w:rPr>
            <w:webHidden/>
          </w:rPr>
          <w:t>53</w:t>
        </w:r>
        <w:r w:rsidR="00424E3B">
          <w:rPr>
            <w:webHidden/>
          </w:rPr>
          <w:fldChar w:fldCharType="end"/>
        </w:r>
      </w:hyperlink>
    </w:p>
    <w:p w14:paraId="68C417C5" w14:textId="04EBA0C2" w:rsidR="00424E3B" w:rsidRDefault="00000000">
      <w:pPr>
        <w:pStyle w:val="TOC3"/>
        <w:rPr>
          <w:rFonts w:asciiTheme="minorHAnsi" w:eastAsiaTheme="minorEastAsia" w:hAnsiTheme="minorHAnsi"/>
          <w:kern w:val="2"/>
          <w:szCs w:val="22"/>
          <w:lang w:eastAsia="en-AU"/>
          <w14:ligatures w14:val="standardContextual"/>
        </w:rPr>
      </w:pPr>
      <w:hyperlink w:anchor="_Toc160715608" w:history="1">
        <w:r w:rsidR="00424E3B" w:rsidRPr="00A46CF5">
          <w:rPr>
            <w:rStyle w:val="Hyperlink"/>
          </w:rPr>
          <w:t>14.7.2</w:t>
        </w:r>
        <w:r w:rsidR="00424E3B">
          <w:rPr>
            <w:rFonts w:asciiTheme="minorHAnsi" w:eastAsiaTheme="minorEastAsia" w:hAnsiTheme="minorHAnsi"/>
            <w:kern w:val="2"/>
            <w:szCs w:val="22"/>
            <w:lang w:eastAsia="en-AU"/>
            <w14:ligatures w14:val="standardContextual"/>
          </w:rPr>
          <w:tab/>
        </w:r>
        <w:r w:rsidR="00424E3B" w:rsidRPr="00A46CF5">
          <w:rPr>
            <w:rStyle w:val="Hyperlink"/>
          </w:rPr>
          <w:t>Program and outcome changes</w:t>
        </w:r>
        <w:r w:rsidR="00424E3B">
          <w:rPr>
            <w:webHidden/>
          </w:rPr>
          <w:tab/>
        </w:r>
        <w:r w:rsidR="00424E3B">
          <w:rPr>
            <w:webHidden/>
          </w:rPr>
          <w:fldChar w:fldCharType="begin"/>
        </w:r>
        <w:r w:rsidR="00424E3B">
          <w:rPr>
            <w:webHidden/>
          </w:rPr>
          <w:instrText xml:space="preserve"> PAGEREF _Toc160715608 \h </w:instrText>
        </w:r>
        <w:r w:rsidR="00424E3B">
          <w:rPr>
            <w:webHidden/>
          </w:rPr>
        </w:r>
        <w:r w:rsidR="00424E3B">
          <w:rPr>
            <w:webHidden/>
          </w:rPr>
          <w:fldChar w:fldCharType="separate"/>
        </w:r>
        <w:r w:rsidR="00424E3B">
          <w:rPr>
            <w:webHidden/>
          </w:rPr>
          <w:t>53</w:t>
        </w:r>
        <w:r w:rsidR="00424E3B">
          <w:rPr>
            <w:webHidden/>
          </w:rPr>
          <w:fldChar w:fldCharType="end"/>
        </w:r>
      </w:hyperlink>
    </w:p>
    <w:p w14:paraId="45D0BC6E" w14:textId="3654C465" w:rsidR="00424E3B" w:rsidRDefault="00000000">
      <w:pPr>
        <w:pStyle w:val="TOC1"/>
        <w:rPr>
          <w:rFonts w:asciiTheme="minorHAnsi" w:eastAsiaTheme="minorEastAsia" w:hAnsiTheme="minorHAnsi"/>
          <w:kern w:val="2"/>
          <w:sz w:val="22"/>
          <w:szCs w:val="22"/>
          <w:lang w:eastAsia="en-AU"/>
          <w14:ligatures w14:val="standardContextual"/>
        </w:rPr>
      </w:pPr>
      <w:hyperlink w:anchor="_Toc160715609" w:history="1">
        <w:r w:rsidR="00424E3B" w:rsidRPr="00A46CF5">
          <w:rPr>
            <w:rStyle w:val="Hyperlink"/>
          </w:rPr>
          <w:t>Appendix 1:</w:t>
        </w:r>
        <w:r w:rsidR="00424E3B">
          <w:rPr>
            <w:webHidden/>
          </w:rPr>
          <w:tab/>
        </w:r>
        <w:r w:rsidR="00424E3B">
          <w:rPr>
            <w:webHidden/>
          </w:rPr>
          <w:fldChar w:fldCharType="begin"/>
        </w:r>
        <w:r w:rsidR="00424E3B">
          <w:rPr>
            <w:webHidden/>
          </w:rPr>
          <w:instrText xml:space="preserve"> PAGEREF _Toc160715609 \h </w:instrText>
        </w:r>
        <w:r w:rsidR="00424E3B">
          <w:rPr>
            <w:webHidden/>
          </w:rPr>
        </w:r>
        <w:r w:rsidR="00424E3B">
          <w:rPr>
            <w:webHidden/>
          </w:rPr>
          <w:fldChar w:fldCharType="separate"/>
        </w:r>
        <w:r w:rsidR="00424E3B">
          <w:rPr>
            <w:webHidden/>
          </w:rPr>
          <w:t>54</w:t>
        </w:r>
        <w:r w:rsidR="00424E3B">
          <w:rPr>
            <w:webHidden/>
          </w:rPr>
          <w:fldChar w:fldCharType="end"/>
        </w:r>
      </w:hyperlink>
    </w:p>
    <w:p w14:paraId="73D995F5" w14:textId="5B92CD60" w:rsidR="00424E3B" w:rsidRDefault="00000000">
      <w:pPr>
        <w:pStyle w:val="TOC1"/>
        <w:rPr>
          <w:rFonts w:asciiTheme="minorHAnsi" w:eastAsiaTheme="minorEastAsia" w:hAnsiTheme="minorHAnsi"/>
          <w:kern w:val="2"/>
          <w:sz w:val="22"/>
          <w:szCs w:val="22"/>
          <w:lang w:eastAsia="en-AU"/>
          <w14:ligatures w14:val="standardContextual"/>
        </w:rPr>
      </w:pPr>
      <w:hyperlink w:anchor="_Toc160715610" w:history="1">
        <w:r w:rsidR="00424E3B" w:rsidRPr="00A46CF5">
          <w:rPr>
            <w:rStyle w:val="Hyperlink"/>
          </w:rPr>
          <w:t>15</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Index of Source Information</w:t>
        </w:r>
        <w:r w:rsidR="00424E3B">
          <w:rPr>
            <w:webHidden/>
          </w:rPr>
          <w:tab/>
        </w:r>
        <w:r w:rsidR="00424E3B">
          <w:rPr>
            <w:webHidden/>
          </w:rPr>
          <w:fldChar w:fldCharType="begin"/>
        </w:r>
        <w:r w:rsidR="00424E3B">
          <w:rPr>
            <w:webHidden/>
          </w:rPr>
          <w:instrText xml:space="preserve"> PAGEREF _Toc160715610 \h </w:instrText>
        </w:r>
        <w:r w:rsidR="00424E3B">
          <w:rPr>
            <w:webHidden/>
          </w:rPr>
        </w:r>
        <w:r w:rsidR="00424E3B">
          <w:rPr>
            <w:webHidden/>
          </w:rPr>
          <w:fldChar w:fldCharType="separate"/>
        </w:r>
        <w:r w:rsidR="00424E3B">
          <w:rPr>
            <w:webHidden/>
          </w:rPr>
          <w:t>54</w:t>
        </w:r>
        <w:r w:rsidR="00424E3B">
          <w:rPr>
            <w:webHidden/>
          </w:rPr>
          <w:fldChar w:fldCharType="end"/>
        </w:r>
      </w:hyperlink>
    </w:p>
    <w:p w14:paraId="7D5ADB93" w14:textId="2A1F9B8B" w:rsidR="00424E3B" w:rsidRDefault="00000000">
      <w:pPr>
        <w:pStyle w:val="TOC3"/>
        <w:rPr>
          <w:rFonts w:asciiTheme="minorHAnsi" w:eastAsiaTheme="minorEastAsia" w:hAnsiTheme="minorHAnsi"/>
          <w:kern w:val="2"/>
          <w:szCs w:val="22"/>
          <w:lang w:eastAsia="en-AU"/>
          <w14:ligatures w14:val="standardContextual"/>
        </w:rPr>
      </w:pPr>
      <w:hyperlink w:anchor="_Toc160715611" w:history="1">
        <w:r w:rsidR="00424E3B" w:rsidRPr="00A46CF5">
          <w:rPr>
            <w:rStyle w:val="Hyperlink"/>
          </w:rPr>
          <w:t>15.1.1</w:t>
        </w:r>
        <w:r w:rsidR="00424E3B">
          <w:rPr>
            <w:rFonts w:asciiTheme="minorHAnsi" w:eastAsiaTheme="minorEastAsia" w:hAnsiTheme="minorHAnsi"/>
            <w:kern w:val="2"/>
            <w:szCs w:val="22"/>
            <w:lang w:eastAsia="en-AU"/>
            <w14:ligatures w14:val="standardContextual"/>
          </w:rPr>
          <w:tab/>
        </w:r>
        <w:r w:rsidR="00424E3B" w:rsidRPr="00A46CF5">
          <w:rPr>
            <w:rStyle w:val="Hyperlink"/>
          </w:rPr>
          <w:t>Portfolio structure and outcomes</w:t>
        </w:r>
        <w:r w:rsidR="00424E3B">
          <w:rPr>
            <w:webHidden/>
          </w:rPr>
          <w:tab/>
        </w:r>
        <w:r w:rsidR="00424E3B">
          <w:rPr>
            <w:webHidden/>
          </w:rPr>
          <w:fldChar w:fldCharType="begin"/>
        </w:r>
        <w:r w:rsidR="00424E3B">
          <w:rPr>
            <w:webHidden/>
          </w:rPr>
          <w:instrText xml:space="preserve"> PAGEREF _Toc160715611 \h </w:instrText>
        </w:r>
        <w:r w:rsidR="00424E3B">
          <w:rPr>
            <w:webHidden/>
          </w:rPr>
        </w:r>
        <w:r w:rsidR="00424E3B">
          <w:rPr>
            <w:webHidden/>
          </w:rPr>
          <w:fldChar w:fldCharType="separate"/>
        </w:r>
        <w:r w:rsidR="00424E3B">
          <w:rPr>
            <w:webHidden/>
          </w:rPr>
          <w:t>54</w:t>
        </w:r>
        <w:r w:rsidR="00424E3B">
          <w:rPr>
            <w:webHidden/>
          </w:rPr>
          <w:fldChar w:fldCharType="end"/>
        </w:r>
      </w:hyperlink>
    </w:p>
    <w:p w14:paraId="21A6951C" w14:textId="5ED93943" w:rsidR="00424E3B" w:rsidRDefault="00000000">
      <w:pPr>
        <w:pStyle w:val="TOC3"/>
        <w:rPr>
          <w:rFonts w:asciiTheme="minorHAnsi" w:eastAsiaTheme="minorEastAsia" w:hAnsiTheme="minorHAnsi"/>
          <w:kern w:val="2"/>
          <w:szCs w:val="22"/>
          <w:lang w:eastAsia="en-AU"/>
          <w14:ligatures w14:val="standardContextual"/>
        </w:rPr>
      </w:pPr>
      <w:hyperlink w:anchor="_Toc160715612" w:history="1">
        <w:r w:rsidR="00424E3B" w:rsidRPr="00A46CF5">
          <w:rPr>
            <w:rStyle w:val="Hyperlink"/>
          </w:rPr>
          <w:t>15.1.2</w:t>
        </w:r>
        <w:r w:rsidR="00424E3B">
          <w:rPr>
            <w:rFonts w:asciiTheme="minorHAnsi" w:eastAsiaTheme="minorEastAsia" w:hAnsiTheme="minorHAnsi"/>
            <w:kern w:val="2"/>
            <w:szCs w:val="22"/>
            <w:lang w:eastAsia="en-AU"/>
            <w14:ligatures w14:val="standardContextual"/>
          </w:rPr>
          <w:tab/>
        </w:r>
        <w:r w:rsidR="00424E3B" w:rsidRPr="00A46CF5">
          <w:rPr>
            <w:rStyle w:val="Hyperlink"/>
          </w:rPr>
          <w:t>Table 1.1 Entity Resource Statement - CBMS Reports</w:t>
        </w:r>
        <w:r w:rsidR="00424E3B">
          <w:rPr>
            <w:webHidden/>
          </w:rPr>
          <w:tab/>
        </w:r>
        <w:r w:rsidR="00424E3B">
          <w:rPr>
            <w:webHidden/>
          </w:rPr>
          <w:fldChar w:fldCharType="begin"/>
        </w:r>
        <w:r w:rsidR="00424E3B">
          <w:rPr>
            <w:webHidden/>
          </w:rPr>
          <w:instrText xml:space="preserve"> PAGEREF _Toc160715612 \h </w:instrText>
        </w:r>
        <w:r w:rsidR="00424E3B">
          <w:rPr>
            <w:webHidden/>
          </w:rPr>
        </w:r>
        <w:r w:rsidR="00424E3B">
          <w:rPr>
            <w:webHidden/>
          </w:rPr>
          <w:fldChar w:fldCharType="separate"/>
        </w:r>
        <w:r w:rsidR="00424E3B">
          <w:rPr>
            <w:webHidden/>
          </w:rPr>
          <w:t>54</w:t>
        </w:r>
        <w:r w:rsidR="00424E3B">
          <w:rPr>
            <w:webHidden/>
          </w:rPr>
          <w:fldChar w:fldCharType="end"/>
        </w:r>
      </w:hyperlink>
    </w:p>
    <w:p w14:paraId="0EB30CA5" w14:textId="4FDF2C8C" w:rsidR="00424E3B" w:rsidRDefault="00000000">
      <w:pPr>
        <w:pStyle w:val="TOC3"/>
        <w:rPr>
          <w:rFonts w:asciiTheme="minorHAnsi" w:eastAsiaTheme="minorEastAsia" w:hAnsiTheme="minorHAnsi"/>
          <w:kern w:val="2"/>
          <w:szCs w:val="22"/>
          <w:lang w:eastAsia="en-AU"/>
          <w14:ligatures w14:val="standardContextual"/>
        </w:rPr>
      </w:pPr>
      <w:hyperlink w:anchor="_Toc160715613" w:history="1">
        <w:r w:rsidR="00424E3B" w:rsidRPr="00A46CF5">
          <w:rPr>
            <w:rStyle w:val="Hyperlink"/>
          </w:rPr>
          <w:t>15.1.3</w:t>
        </w:r>
        <w:r w:rsidR="00424E3B">
          <w:rPr>
            <w:rFonts w:asciiTheme="minorHAnsi" w:eastAsiaTheme="minorEastAsia" w:hAnsiTheme="minorHAnsi"/>
            <w:kern w:val="2"/>
            <w:szCs w:val="22"/>
            <w:lang w:eastAsia="en-AU"/>
            <w14:ligatures w14:val="standardContextual"/>
          </w:rPr>
          <w:tab/>
        </w:r>
        <w:r w:rsidR="00424E3B" w:rsidRPr="00A46CF5">
          <w:rPr>
            <w:rStyle w:val="Hyperlink"/>
          </w:rPr>
          <w:t>Appropriation Bills 1 and 2 (for 2024-25)</w:t>
        </w:r>
        <w:r w:rsidR="00424E3B">
          <w:rPr>
            <w:webHidden/>
          </w:rPr>
          <w:tab/>
        </w:r>
        <w:r w:rsidR="00424E3B">
          <w:rPr>
            <w:webHidden/>
          </w:rPr>
          <w:fldChar w:fldCharType="begin"/>
        </w:r>
        <w:r w:rsidR="00424E3B">
          <w:rPr>
            <w:webHidden/>
          </w:rPr>
          <w:instrText xml:space="preserve"> PAGEREF _Toc160715613 \h </w:instrText>
        </w:r>
        <w:r w:rsidR="00424E3B">
          <w:rPr>
            <w:webHidden/>
          </w:rPr>
        </w:r>
        <w:r w:rsidR="00424E3B">
          <w:rPr>
            <w:webHidden/>
          </w:rPr>
          <w:fldChar w:fldCharType="separate"/>
        </w:r>
        <w:r w:rsidR="00424E3B">
          <w:rPr>
            <w:webHidden/>
          </w:rPr>
          <w:t>54</w:t>
        </w:r>
        <w:r w:rsidR="00424E3B">
          <w:rPr>
            <w:webHidden/>
          </w:rPr>
          <w:fldChar w:fldCharType="end"/>
        </w:r>
      </w:hyperlink>
    </w:p>
    <w:p w14:paraId="05F8D5A2" w14:textId="1B3BD767" w:rsidR="00424E3B" w:rsidRDefault="00000000">
      <w:pPr>
        <w:pStyle w:val="TOC3"/>
        <w:rPr>
          <w:rFonts w:asciiTheme="minorHAnsi" w:eastAsiaTheme="minorEastAsia" w:hAnsiTheme="minorHAnsi"/>
          <w:kern w:val="2"/>
          <w:szCs w:val="22"/>
          <w:lang w:eastAsia="en-AU"/>
          <w14:ligatures w14:val="standardContextual"/>
        </w:rPr>
      </w:pPr>
      <w:hyperlink w:anchor="_Toc160715614" w:history="1">
        <w:r w:rsidR="00424E3B" w:rsidRPr="00A46CF5">
          <w:rPr>
            <w:rStyle w:val="Hyperlink"/>
          </w:rPr>
          <w:t>15.1.4</w:t>
        </w:r>
        <w:r w:rsidR="00424E3B">
          <w:rPr>
            <w:rFonts w:asciiTheme="minorHAnsi" w:eastAsiaTheme="minorEastAsia" w:hAnsiTheme="minorHAnsi"/>
            <w:kern w:val="2"/>
            <w:szCs w:val="22"/>
            <w:lang w:eastAsia="en-AU"/>
            <w14:ligatures w14:val="standardContextual"/>
          </w:rPr>
          <w:tab/>
        </w:r>
        <w:r w:rsidR="00424E3B" w:rsidRPr="00A46CF5">
          <w:rPr>
            <w:rStyle w:val="Hyperlink"/>
          </w:rPr>
          <w:t>Appropriation Act No. 3 and 4 (for 2023-24)</w:t>
        </w:r>
        <w:r w:rsidR="00424E3B">
          <w:rPr>
            <w:webHidden/>
          </w:rPr>
          <w:tab/>
        </w:r>
        <w:r w:rsidR="00424E3B">
          <w:rPr>
            <w:webHidden/>
          </w:rPr>
          <w:fldChar w:fldCharType="begin"/>
        </w:r>
        <w:r w:rsidR="00424E3B">
          <w:rPr>
            <w:webHidden/>
          </w:rPr>
          <w:instrText xml:space="preserve"> PAGEREF _Toc160715614 \h </w:instrText>
        </w:r>
        <w:r w:rsidR="00424E3B">
          <w:rPr>
            <w:webHidden/>
          </w:rPr>
        </w:r>
        <w:r w:rsidR="00424E3B">
          <w:rPr>
            <w:webHidden/>
          </w:rPr>
          <w:fldChar w:fldCharType="separate"/>
        </w:r>
        <w:r w:rsidR="00424E3B">
          <w:rPr>
            <w:webHidden/>
          </w:rPr>
          <w:t>54</w:t>
        </w:r>
        <w:r w:rsidR="00424E3B">
          <w:rPr>
            <w:webHidden/>
          </w:rPr>
          <w:fldChar w:fldCharType="end"/>
        </w:r>
      </w:hyperlink>
    </w:p>
    <w:p w14:paraId="36286A77" w14:textId="497E4490" w:rsidR="00424E3B" w:rsidRDefault="00000000">
      <w:pPr>
        <w:pStyle w:val="TOC3"/>
        <w:rPr>
          <w:rFonts w:asciiTheme="minorHAnsi" w:eastAsiaTheme="minorEastAsia" w:hAnsiTheme="minorHAnsi"/>
          <w:kern w:val="2"/>
          <w:szCs w:val="22"/>
          <w:lang w:eastAsia="en-AU"/>
          <w14:ligatures w14:val="standardContextual"/>
        </w:rPr>
      </w:pPr>
      <w:hyperlink w:anchor="_Toc160715615" w:history="1">
        <w:r w:rsidR="00424E3B" w:rsidRPr="00A46CF5">
          <w:rPr>
            <w:rStyle w:val="Hyperlink"/>
          </w:rPr>
          <w:t>15.1.5</w:t>
        </w:r>
        <w:r w:rsidR="00424E3B">
          <w:rPr>
            <w:rFonts w:asciiTheme="minorHAnsi" w:eastAsiaTheme="minorEastAsia" w:hAnsiTheme="minorHAnsi"/>
            <w:kern w:val="2"/>
            <w:szCs w:val="22"/>
            <w:lang w:eastAsia="en-AU"/>
            <w14:ligatures w14:val="standardContextual"/>
          </w:rPr>
          <w:tab/>
        </w:r>
        <w:r w:rsidR="00424E3B" w:rsidRPr="00A46CF5">
          <w:rPr>
            <w:rStyle w:val="Hyperlink"/>
          </w:rPr>
          <w:t>Other reports</w:t>
        </w:r>
        <w:r w:rsidR="00424E3B">
          <w:rPr>
            <w:webHidden/>
          </w:rPr>
          <w:tab/>
        </w:r>
        <w:r w:rsidR="00424E3B">
          <w:rPr>
            <w:webHidden/>
          </w:rPr>
          <w:fldChar w:fldCharType="begin"/>
        </w:r>
        <w:r w:rsidR="00424E3B">
          <w:rPr>
            <w:webHidden/>
          </w:rPr>
          <w:instrText xml:space="preserve"> PAGEREF _Toc160715615 \h </w:instrText>
        </w:r>
        <w:r w:rsidR="00424E3B">
          <w:rPr>
            <w:webHidden/>
          </w:rPr>
        </w:r>
        <w:r w:rsidR="00424E3B">
          <w:rPr>
            <w:webHidden/>
          </w:rPr>
          <w:fldChar w:fldCharType="separate"/>
        </w:r>
        <w:r w:rsidR="00424E3B">
          <w:rPr>
            <w:webHidden/>
          </w:rPr>
          <w:t>54</w:t>
        </w:r>
        <w:r w:rsidR="00424E3B">
          <w:rPr>
            <w:webHidden/>
          </w:rPr>
          <w:fldChar w:fldCharType="end"/>
        </w:r>
      </w:hyperlink>
    </w:p>
    <w:p w14:paraId="47891D10" w14:textId="33D7F8D2" w:rsidR="00424E3B" w:rsidRDefault="00000000">
      <w:pPr>
        <w:pStyle w:val="TOC3"/>
        <w:rPr>
          <w:rFonts w:asciiTheme="minorHAnsi" w:eastAsiaTheme="minorEastAsia" w:hAnsiTheme="minorHAnsi"/>
          <w:kern w:val="2"/>
          <w:szCs w:val="22"/>
          <w:lang w:eastAsia="en-AU"/>
          <w14:ligatures w14:val="standardContextual"/>
        </w:rPr>
      </w:pPr>
      <w:hyperlink w:anchor="_Toc160715616" w:history="1">
        <w:r w:rsidR="00424E3B" w:rsidRPr="00A46CF5">
          <w:rPr>
            <w:rStyle w:val="Hyperlink"/>
          </w:rPr>
          <w:t>15.1.6</w:t>
        </w:r>
        <w:r w:rsidR="00424E3B">
          <w:rPr>
            <w:rFonts w:asciiTheme="minorHAnsi" w:eastAsiaTheme="minorEastAsia" w:hAnsiTheme="minorHAnsi"/>
            <w:kern w:val="2"/>
            <w:szCs w:val="22"/>
            <w:lang w:eastAsia="en-AU"/>
            <w14:ligatures w14:val="standardContextual"/>
          </w:rPr>
          <w:tab/>
        </w:r>
        <w:r w:rsidR="00424E3B" w:rsidRPr="00A46CF5">
          <w:rPr>
            <w:rStyle w:val="Hyperlink"/>
          </w:rPr>
          <w:t>Prior year annual appropriation balances</w:t>
        </w:r>
        <w:r w:rsidR="00424E3B">
          <w:rPr>
            <w:webHidden/>
          </w:rPr>
          <w:tab/>
        </w:r>
        <w:r w:rsidR="00424E3B">
          <w:rPr>
            <w:webHidden/>
          </w:rPr>
          <w:fldChar w:fldCharType="begin"/>
        </w:r>
        <w:r w:rsidR="00424E3B">
          <w:rPr>
            <w:webHidden/>
          </w:rPr>
          <w:instrText xml:space="preserve"> PAGEREF _Toc160715616 \h </w:instrText>
        </w:r>
        <w:r w:rsidR="00424E3B">
          <w:rPr>
            <w:webHidden/>
          </w:rPr>
        </w:r>
        <w:r w:rsidR="00424E3B">
          <w:rPr>
            <w:webHidden/>
          </w:rPr>
          <w:fldChar w:fldCharType="separate"/>
        </w:r>
        <w:r w:rsidR="00424E3B">
          <w:rPr>
            <w:webHidden/>
          </w:rPr>
          <w:t>55</w:t>
        </w:r>
        <w:r w:rsidR="00424E3B">
          <w:rPr>
            <w:webHidden/>
          </w:rPr>
          <w:fldChar w:fldCharType="end"/>
        </w:r>
      </w:hyperlink>
    </w:p>
    <w:p w14:paraId="722CD3BD" w14:textId="16E2FA5F" w:rsidR="00424E3B" w:rsidRDefault="00000000">
      <w:pPr>
        <w:pStyle w:val="TOC3"/>
        <w:rPr>
          <w:rFonts w:asciiTheme="minorHAnsi" w:eastAsiaTheme="minorEastAsia" w:hAnsiTheme="minorHAnsi"/>
          <w:kern w:val="2"/>
          <w:szCs w:val="22"/>
          <w:lang w:eastAsia="en-AU"/>
          <w14:ligatures w14:val="standardContextual"/>
        </w:rPr>
      </w:pPr>
      <w:hyperlink w:anchor="_Toc160715617" w:history="1">
        <w:r w:rsidR="00424E3B" w:rsidRPr="00A46CF5">
          <w:rPr>
            <w:rStyle w:val="Hyperlink"/>
          </w:rPr>
          <w:t>15.1.7</w:t>
        </w:r>
        <w:r w:rsidR="00424E3B">
          <w:rPr>
            <w:rFonts w:asciiTheme="minorHAnsi" w:eastAsiaTheme="minorEastAsia" w:hAnsiTheme="minorHAnsi"/>
            <w:kern w:val="2"/>
            <w:szCs w:val="22"/>
            <w:lang w:eastAsia="en-AU"/>
            <w14:ligatures w14:val="standardContextual"/>
          </w:rPr>
          <w:tab/>
        </w:r>
        <w:r w:rsidR="00424E3B" w:rsidRPr="00A46CF5">
          <w:rPr>
            <w:rStyle w:val="Hyperlink"/>
          </w:rPr>
          <w:t>Section 74 Receipts Reports</w:t>
        </w:r>
        <w:r w:rsidR="00424E3B">
          <w:rPr>
            <w:webHidden/>
          </w:rPr>
          <w:tab/>
        </w:r>
        <w:r w:rsidR="00424E3B">
          <w:rPr>
            <w:webHidden/>
          </w:rPr>
          <w:fldChar w:fldCharType="begin"/>
        </w:r>
        <w:r w:rsidR="00424E3B">
          <w:rPr>
            <w:webHidden/>
          </w:rPr>
          <w:instrText xml:space="preserve"> PAGEREF _Toc160715617 \h </w:instrText>
        </w:r>
        <w:r w:rsidR="00424E3B">
          <w:rPr>
            <w:webHidden/>
          </w:rPr>
        </w:r>
        <w:r w:rsidR="00424E3B">
          <w:rPr>
            <w:webHidden/>
          </w:rPr>
          <w:fldChar w:fldCharType="separate"/>
        </w:r>
        <w:r w:rsidR="00424E3B">
          <w:rPr>
            <w:webHidden/>
          </w:rPr>
          <w:t>55</w:t>
        </w:r>
        <w:r w:rsidR="00424E3B">
          <w:rPr>
            <w:webHidden/>
          </w:rPr>
          <w:fldChar w:fldCharType="end"/>
        </w:r>
      </w:hyperlink>
    </w:p>
    <w:p w14:paraId="3CC3ED33" w14:textId="5FAF8F6F" w:rsidR="00424E3B" w:rsidRDefault="00000000">
      <w:pPr>
        <w:pStyle w:val="TOC3"/>
        <w:rPr>
          <w:rFonts w:asciiTheme="minorHAnsi" w:eastAsiaTheme="minorEastAsia" w:hAnsiTheme="minorHAnsi"/>
          <w:kern w:val="2"/>
          <w:szCs w:val="22"/>
          <w:lang w:eastAsia="en-AU"/>
          <w14:ligatures w14:val="standardContextual"/>
        </w:rPr>
      </w:pPr>
      <w:hyperlink w:anchor="_Toc160715618" w:history="1">
        <w:r w:rsidR="00424E3B" w:rsidRPr="00A46CF5">
          <w:rPr>
            <w:rStyle w:val="Hyperlink"/>
          </w:rPr>
          <w:t>15.1.8</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 administered capital budget</w:t>
        </w:r>
        <w:r w:rsidR="00424E3B">
          <w:rPr>
            <w:webHidden/>
          </w:rPr>
          <w:tab/>
        </w:r>
        <w:r w:rsidR="00424E3B">
          <w:rPr>
            <w:webHidden/>
          </w:rPr>
          <w:fldChar w:fldCharType="begin"/>
        </w:r>
        <w:r w:rsidR="00424E3B">
          <w:rPr>
            <w:webHidden/>
          </w:rPr>
          <w:instrText xml:space="preserve"> PAGEREF _Toc160715618 \h </w:instrText>
        </w:r>
        <w:r w:rsidR="00424E3B">
          <w:rPr>
            <w:webHidden/>
          </w:rPr>
        </w:r>
        <w:r w:rsidR="00424E3B">
          <w:rPr>
            <w:webHidden/>
          </w:rPr>
          <w:fldChar w:fldCharType="separate"/>
        </w:r>
        <w:r w:rsidR="00424E3B">
          <w:rPr>
            <w:webHidden/>
          </w:rPr>
          <w:t>55</w:t>
        </w:r>
        <w:r w:rsidR="00424E3B">
          <w:rPr>
            <w:webHidden/>
          </w:rPr>
          <w:fldChar w:fldCharType="end"/>
        </w:r>
      </w:hyperlink>
    </w:p>
    <w:p w14:paraId="436F9AF7" w14:textId="51B253CC" w:rsidR="00424E3B" w:rsidRDefault="00000000">
      <w:pPr>
        <w:pStyle w:val="TOC3"/>
        <w:rPr>
          <w:rFonts w:asciiTheme="minorHAnsi" w:eastAsiaTheme="minorEastAsia" w:hAnsiTheme="minorHAnsi"/>
          <w:kern w:val="2"/>
          <w:szCs w:val="22"/>
          <w:lang w:eastAsia="en-AU"/>
          <w14:ligatures w14:val="standardContextual"/>
        </w:rPr>
      </w:pPr>
      <w:hyperlink w:anchor="_Toc160715619" w:history="1">
        <w:r w:rsidR="00424E3B" w:rsidRPr="00A46CF5">
          <w:rPr>
            <w:rStyle w:val="Hyperlink"/>
          </w:rPr>
          <w:t>15.1.9</w:t>
        </w:r>
        <w:r w:rsidR="00424E3B">
          <w:rPr>
            <w:rFonts w:asciiTheme="minorHAnsi" w:eastAsiaTheme="minorEastAsia" w:hAnsiTheme="minorHAnsi"/>
            <w:kern w:val="2"/>
            <w:szCs w:val="22"/>
            <w:lang w:eastAsia="en-AU"/>
            <w14:ligatures w14:val="standardContextual"/>
          </w:rPr>
          <w:tab/>
        </w:r>
        <w:r w:rsidR="00424E3B" w:rsidRPr="00A46CF5">
          <w:rPr>
            <w:rStyle w:val="Hyperlink"/>
          </w:rPr>
          <w:t>Annual Appropriations – other services</w:t>
        </w:r>
        <w:r w:rsidR="00424E3B">
          <w:rPr>
            <w:webHidden/>
          </w:rPr>
          <w:tab/>
        </w:r>
        <w:r w:rsidR="00424E3B">
          <w:rPr>
            <w:webHidden/>
          </w:rPr>
          <w:fldChar w:fldCharType="begin"/>
        </w:r>
        <w:r w:rsidR="00424E3B">
          <w:rPr>
            <w:webHidden/>
          </w:rPr>
          <w:instrText xml:space="preserve"> PAGEREF _Toc160715619 \h </w:instrText>
        </w:r>
        <w:r w:rsidR="00424E3B">
          <w:rPr>
            <w:webHidden/>
          </w:rPr>
        </w:r>
        <w:r w:rsidR="00424E3B">
          <w:rPr>
            <w:webHidden/>
          </w:rPr>
          <w:fldChar w:fldCharType="separate"/>
        </w:r>
        <w:r w:rsidR="00424E3B">
          <w:rPr>
            <w:webHidden/>
          </w:rPr>
          <w:t>55</w:t>
        </w:r>
        <w:r w:rsidR="00424E3B">
          <w:rPr>
            <w:webHidden/>
          </w:rPr>
          <w:fldChar w:fldCharType="end"/>
        </w:r>
      </w:hyperlink>
    </w:p>
    <w:p w14:paraId="2B98BC9D" w14:textId="0C52FB10" w:rsidR="00424E3B" w:rsidRDefault="00000000">
      <w:pPr>
        <w:pStyle w:val="TOC3"/>
        <w:rPr>
          <w:rFonts w:asciiTheme="minorHAnsi" w:eastAsiaTheme="minorEastAsia" w:hAnsiTheme="minorHAnsi"/>
          <w:kern w:val="2"/>
          <w:szCs w:val="22"/>
          <w:lang w:eastAsia="en-AU"/>
          <w14:ligatures w14:val="standardContextual"/>
        </w:rPr>
      </w:pPr>
      <w:hyperlink w:anchor="_Toc160715620" w:history="1">
        <w:r w:rsidR="00424E3B" w:rsidRPr="00A46CF5">
          <w:rPr>
            <w:rStyle w:val="Hyperlink"/>
          </w:rPr>
          <w:t>15.1.10</w:t>
        </w:r>
        <w:r w:rsidR="00424E3B">
          <w:rPr>
            <w:rFonts w:asciiTheme="minorHAnsi" w:eastAsiaTheme="minorEastAsia" w:hAnsiTheme="minorHAnsi"/>
            <w:kern w:val="2"/>
            <w:szCs w:val="22"/>
            <w:lang w:eastAsia="en-AU"/>
            <w14:ligatures w14:val="standardContextual"/>
          </w:rPr>
          <w:tab/>
        </w:r>
        <w:r w:rsidR="00424E3B" w:rsidRPr="00A46CF5">
          <w:rPr>
            <w:rStyle w:val="Hyperlink"/>
          </w:rPr>
          <w:t>Payments to corporate entities</w:t>
        </w:r>
        <w:r w:rsidR="00424E3B">
          <w:rPr>
            <w:webHidden/>
          </w:rPr>
          <w:tab/>
        </w:r>
        <w:r w:rsidR="00424E3B">
          <w:rPr>
            <w:webHidden/>
          </w:rPr>
          <w:fldChar w:fldCharType="begin"/>
        </w:r>
        <w:r w:rsidR="00424E3B">
          <w:rPr>
            <w:webHidden/>
          </w:rPr>
          <w:instrText xml:space="preserve"> PAGEREF _Toc160715620 \h </w:instrText>
        </w:r>
        <w:r w:rsidR="00424E3B">
          <w:rPr>
            <w:webHidden/>
          </w:rPr>
        </w:r>
        <w:r w:rsidR="00424E3B">
          <w:rPr>
            <w:webHidden/>
          </w:rPr>
          <w:fldChar w:fldCharType="separate"/>
        </w:r>
        <w:r w:rsidR="00424E3B">
          <w:rPr>
            <w:webHidden/>
          </w:rPr>
          <w:t>55</w:t>
        </w:r>
        <w:r w:rsidR="00424E3B">
          <w:rPr>
            <w:webHidden/>
          </w:rPr>
          <w:fldChar w:fldCharType="end"/>
        </w:r>
      </w:hyperlink>
    </w:p>
    <w:p w14:paraId="1D88A66F" w14:textId="4C0813E2" w:rsidR="00424E3B" w:rsidRDefault="00000000">
      <w:pPr>
        <w:pStyle w:val="TOC3"/>
        <w:rPr>
          <w:rFonts w:asciiTheme="minorHAnsi" w:eastAsiaTheme="minorEastAsia" w:hAnsiTheme="minorHAnsi"/>
          <w:kern w:val="2"/>
          <w:szCs w:val="22"/>
          <w:lang w:eastAsia="en-AU"/>
          <w14:ligatures w14:val="standardContextual"/>
        </w:rPr>
      </w:pPr>
      <w:hyperlink w:anchor="_Toc160715621" w:history="1">
        <w:r w:rsidR="00424E3B" w:rsidRPr="00A46CF5">
          <w:rPr>
            <w:rStyle w:val="Hyperlink"/>
          </w:rPr>
          <w:t>15.1.11</w:t>
        </w:r>
        <w:r w:rsidR="00424E3B">
          <w:rPr>
            <w:rFonts w:asciiTheme="minorHAnsi" w:eastAsiaTheme="minorEastAsia" w:hAnsiTheme="minorHAnsi"/>
            <w:kern w:val="2"/>
            <w:szCs w:val="22"/>
            <w:lang w:eastAsia="en-AU"/>
            <w14:ligatures w14:val="standardContextual"/>
          </w:rPr>
          <w:tab/>
        </w:r>
        <w:r w:rsidR="00424E3B" w:rsidRPr="00A46CF5">
          <w:rPr>
            <w:rStyle w:val="Hyperlink"/>
          </w:rPr>
          <w:t>Special Appropriations</w:t>
        </w:r>
        <w:r w:rsidR="00424E3B">
          <w:rPr>
            <w:webHidden/>
          </w:rPr>
          <w:tab/>
        </w:r>
        <w:r w:rsidR="00424E3B">
          <w:rPr>
            <w:webHidden/>
          </w:rPr>
          <w:fldChar w:fldCharType="begin"/>
        </w:r>
        <w:r w:rsidR="00424E3B">
          <w:rPr>
            <w:webHidden/>
          </w:rPr>
          <w:instrText xml:space="preserve"> PAGEREF _Toc160715621 \h </w:instrText>
        </w:r>
        <w:r w:rsidR="00424E3B">
          <w:rPr>
            <w:webHidden/>
          </w:rPr>
        </w:r>
        <w:r w:rsidR="00424E3B">
          <w:rPr>
            <w:webHidden/>
          </w:rPr>
          <w:fldChar w:fldCharType="separate"/>
        </w:r>
        <w:r w:rsidR="00424E3B">
          <w:rPr>
            <w:webHidden/>
          </w:rPr>
          <w:t>55</w:t>
        </w:r>
        <w:r w:rsidR="00424E3B">
          <w:rPr>
            <w:webHidden/>
          </w:rPr>
          <w:fldChar w:fldCharType="end"/>
        </w:r>
      </w:hyperlink>
    </w:p>
    <w:p w14:paraId="1E65AA2C" w14:textId="563DD6A7" w:rsidR="00424E3B" w:rsidRDefault="00000000">
      <w:pPr>
        <w:pStyle w:val="TOC3"/>
        <w:rPr>
          <w:rFonts w:asciiTheme="minorHAnsi" w:eastAsiaTheme="minorEastAsia" w:hAnsiTheme="minorHAnsi"/>
          <w:kern w:val="2"/>
          <w:szCs w:val="22"/>
          <w:lang w:eastAsia="en-AU"/>
          <w14:ligatures w14:val="standardContextual"/>
        </w:rPr>
      </w:pPr>
      <w:hyperlink w:anchor="_Toc160715622" w:history="1">
        <w:r w:rsidR="00424E3B" w:rsidRPr="00A46CF5">
          <w:rPr>
            <w:rStyle w:val="Hyperlink"/>
          </w:rPr>
          <w:t>15.1.12</w:t>
        </w:r>
        <w:r w:rsidR="00424E3B">
          <w:rPr>
            <w:rFonts w:asciiTheme="minorHAnsi" w:eastAsiaTheme="minorEastAsia" w:hAnsiTheme="minorHAnsi"/>
            <w:kern w:val="2"/>
            <w:szCs w:val="22"/>
            <w:lang w:eastAsia="en-AU"/>
            <w14:ligatures w14:val="standardContextual"/>
          </w:rPr>
          <w:tab/>
        </w:r>
        <w:r w:rsidR="00424E3B" w:rsidRPr="00A46CF5">
          <w:rPr>
            <w:rStyle w:val="Hyperlink"/>
          </w:rPr>
          <w:t>Special accounts and Exclusion of Trust Moneys</w:t>
        </w:r>
        <w:r w:rsidR="00424E3B">
          <w:rPr>
            <w:webHidden/>
          </w:rPr>
          <w:tab/>
        </w:r>
        <w:r w:rsidR="00424E3B">
          <w:rPr>
            <w:webHidden/>
          </w:rPr>
          <w:fldChar w:fldCharType="begin"/>
        </w:r>
        <w:r w:rsidR="00424E3B">
          <w:rPr>
            <w:webHidden/>
          </w:rPr>
          <w:instrText xml:space="preserve"> PAGEREF _Toc160715622 \h </w:instrText>
        </w:r>
        <w:r w:rsidR="00424E3B">
          <w:rPr>
            <w:webHidden/>
          </w:rPr>
        </w:r>
        <w:r w:rsidR="00424E3B">
          <w:rPr>
            <w:webHidden/>
          </w:rPr>
          <w:fldChar w:fldCharType="separate"/>
        </w:r>
        <w:r w:rsidR="00424E3B">
          <w:rPr>
            <w:webHidden/>
          </w:rPr>
          <w:t>56</w:t>
        </w:r>
        <w:r w:rsidR="00424E3B">
          <w:rPr>
            <w:webHidden/>
          </w:rPr>
          <w:fldChar w:fldCharType="end"/>
        </w:r>
      </w:hyperlink>
    </w:p>
    <w:p w14:paraId="3D3E1627" w14:textId="3A13F525" w:rsidR="00424E3B" w:rsidRDefault="00000000">
      <w:pPr>
        <w:pStyle w:val="TOC2"/>
        <w:rPr>
          <w:rFonts w:asciiTheme="minorHAnsi" w:eastAsiaTheme="minorEastAsia" w:hAnsiTheme="minorHAnsi"/>
          <w:kern w:val="2"/>
          <w:szCs w:val="22"/>
          <w:lang w:eastAsia="en-AU"/>
          <w14:ligatures w14:val="standardContextual"/>
        </w:rPr>
      </w:pPr>
      <w:hyperlink w:anchor="_Toc160715623" w:history="1">
        <w:r w:rsidR="00424E3B" w:rsidRPr="00A46CF5">
          <w:rPr>
            <w:rStyle w:val="Hyperlink"/>
          </w:rPr>
          <w:t>15.2</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Budgeted financial statements</w:t>
        </w:r>
        <w:r w:rsidR="00424E3B">
          <w:rPr>
            <w:webHidden/>
          </w:rPr>
          <w:tab/>
        </w:r>
        <w:r w:rsidR="00424E3B">
          <w:rPr>
            <w:webHidden/>
          </w:rPr>
          <w:fldChar w:fldCharType="begin"/>
        </w:r>
        <w:r w:rsidR="00424E3B">
          <w:rPr>
            <w:webHidden/>
          </w:rPr>
          <w:instrText xml:space="preserve"> PAGEREF _Toc160715623 \h </w:instrText>
        </w:r>
        <w:r w:rsidR="00424E3B">
          <w:rPr>
            <w:webHidden/>
          </w:rPr>
        </w:r>
        <w:r w:rsidR="00424E3B">
          <w:rPr>
            <w:webHidden/>
          </w:rPr>
          <w:fldChar w:fldCharType="separate"/>
        </w:r>
        <w:r w:rsidR="00424E3B">
          <w:rPr>
            <w:webHidden/>
          </w:rPr>
          <w:t>56</w:t>
        </w:r>
        <w:r w:rsidR="00424E3B">
          <w:rPr>
            <w:webHidden/>
          </w:rPr>
          <w:fldChar w:fldCharType="end"/>
        </w:r>
      </w:hyperlink>
    </w:p>
    <w:p w14:paraId="11E4AA8A" w14:textId="0C9C9160" w:rsidR="00424E3B" w:rsidRDefault="00000000">
      <w:pPr>
        <w:pStyle w:val="TOC3"/>
        <w:rPr>
          <w:rFonts w:asciiTheme="minorHAnsi" w:eastAsiaTheme="minorEastAsia" w:hAnsiTheme="minorHAnsi"/>
          <w:kern w:val="2"/>
          <w:szCs w:val="22"/>
          <w:lang w:eastAsia="en-AU"/>
          <w14:ligatures w14:val="standardContextual"/>
        </w:rPr>
      </w:pPr>
      <w:hyperlink w:anchor="_Toc160715624" w:history="1">
        <w:r w:rsidR="00424E3B" w:rsidRPr="00A46CF5">
          <w:rPr>
            <w:rStyle w:val="Hyperlink"/>
          </w:rPr>
          <w:t>15.2.1</w:t>
        </w:r>
        <w:r w:rsidR="00424E3B">
          <w:rPr>
            <w:rFonts w:asciiTheme="minorHAnsi" w:eastAsiaTheme="minorEastAsia" w:hAnsiTheme="minorHAnsi"/>
            <w:kern w:val="2"/>
            <w:szCs w:val="22"/>
            <w:lang w:eastAsia="en-AU"/>
            <w14:ligatures w14:val="standardContextual"/>
          </w:rPr>
          <w:tab/>
        </w:r>
        <w:r w:rsidR="00424E3B" w:rsidRPr="00A46CF5">
          <w:rPr>
            <w:rStyle w:val="Hyperlink"/>
          </w:rPr>
          <w:t>CBMS Chart of account mappings</w:t>
        </w:r>
        <w:r w:rsidR="00424E3B">
          <w:rPr>
            <w:webHidden/>
          </w:rPr>
          <w:tab/>
        </w:r>
        <w:r w:rsidR="00424E3B">
          <w:rPr>
            <w:webHidden/>
          </w:rPr>
          <w:fldChar w:fldCharType="begin"/>
        </w:r>
        <w:r w:rsidR="00424E3B">
          <w:rPr>
            <w:webHidden/>
          </w:rPr>
          <w:instrText xml:space="preserve"> PAGEREF _Toc160715624 \h </w:instrText>
        </w:r>
        <w:r w:rsidR="00424E3B">
          <w:rPr>
            <w:webHidden/>
          </w:rPr>
        </w:r>
        <w:r w:rsidR="00424E3B">
          <w:rPr>
            <w:webHidden/>
          </w:rPr>
          <w:fldChar w:fldCharType="separate"/>
        </w:r>
        <w:r w:rsidR="00424E3B">
          <w:rPr>
            <w:webHidden/>
          </w:rPr>
          <w:t>56</w:t>
        </w:r>
        <w:r w:rsidR="00424E3B">
          <w:rPr>
            <w:webHidden/>
          </w:rPr>
          <w:fldChar w:fldCharType="end"/>
        </w:r>
      </w:hyperlink>
    </w:p>
    <w:p w14:paraId="0C6F37D8" w14:textId="2386D16C" w:rsidR="00424E3B" w:rsidRDefault="00000000">
      <w:pPr>
        <w:pStyle w:val="TOC3"/>
        <w:rPr>
          <w:rFonts w:asciiTheme="minorHAnsi" w:eastAsiaTheme="minorEastAsia" w:hAnsiTheme="minorHAnsi"/>
          <w:kern w:val="2"/>
          <w:szCs w:val="22"/>
          <w:lang w:eastAsia="en-AU"/>
          <w14:ligatures w14:val="standardContextual"/>
        </w:rPr>
      </w:pPr>
      <w:hyperlink w:anchor="_Toc160715625" w:history="1">
        <w:r w:rsidR="00424E3B" w:rsidRPr="00A46CF5">
          <w:rPr>
            <w:rStyle w:val="Hyperlink"/>
          </w:rPr>
          <w:t>15.2.2</w:t>
        </w:r>
        <w:r w:rsidR="00424E3B">
          <w:rPr>
            <w:rFonts w:asciiTheme="minorHAnsi" w:eastAsiaTheme="minorEastAsia" w:hAnsiTheme="minorHAnsi"/>
            <w:kern w:val="2"/>
            <w:szCs w:val="22"/>
            <w:lang w:eastAsia="en-AU"/>
            <w14:ligatures w14:val="standardContextual"/>
          </w:rPr>
          <w:tab/>
        </w:r>
        <w:r w:rsidR="00424E3B" w:rsidRPr="00A46CF5">
          <w:rPr>
            <w:rStyle w:val="Hyperlink"/>
          </w:rPr>
          <w:t>Transactional Annual Estimates Data</w:t>
        </w:r>
        <w:r w:rsidR="00424E3B">
          <w:rPr>
            <w:webHidden/>
          </w:rPr>
          <w:tab/>
        </w:r>
        <w:r w:rsidR="00424E3B">
          <w:rPr>
            <w:webHidden/>
          </w:rPr>
          <w:fldChar w:fldCharType="begin"/>
        </w:r>
        <w:r w:rsidR="00424E3B">
          <w:rPr>
            <w:webHidden/>
          </w:rPr>
          <w:instrText xml:space="preserve"> PAGEREF _Toc160715625 \h </w:instrText>
        </w:r>
        <w:r w:rsidR="00424E3B">
          <w:rPr>
            <w:webHidden/>
          </w:rPr>
        </w:r>
        <w:r w:rsidR="00424E3B">
          <w:rPr>
            <w:webHidden/>
          </w:rPr>
          <w:fldChar w:fldCharType="separate"/>
        </w:r>
        <w:r w:rsidR="00424E3B">
          <w:rPr>
            <w:webHidden/>
          </w:rPr>
          <w:t>56</w:t>
        </w:r>
        <w:r w:rsidR="00424E3B">
          <w:rPr>
            <w:webHidden/>
          </w:rPr>
          <w:fldChar w:fldCharType="end"/>
        </w:r>
      </w:hyperlink>
    </w:p>
    <w:p w14:paraId="21BE066E" w14:textId="3113FF8C" w:rsidR="00424E3B" w:rsidRDefault="00000000">
      <w:pPr>
        <w:pStyle w:val="TOC3"/>
        <w:rPr>
          <w:rFonts w:asciiTheme="minorHAnsi" w:eastAsiaTheme="minorEastAsia" w:hAnsiTheme="minorHAnsi"/>
          <w:kern w:val="2"/>
          <w:szCs w:val="22"/>
          <w:lang w:eastAsia="en-AU"/>
          <w14:ligatures w14:val="standardContextual"/>
        </w:rPr>
      </w:pPr>
      <w:hyperlink w:anchor="_Toc160715626" w:history="1">
        <w:r w:rsidR="00424E3B" w:rsidRPr="00A46CF5">
          <w:rPr>
            <w:rStyle w:val="Hyperlink"/>
          </w:rPr>
          <w:t>15.2.3</w:t>
        </w:r>
        <w:r w:rsidR="00424E3B">
          <w:rPr>
            <w:rFonts w:asciiTheme="minorHAnsi" w:eastAsiaTheme="minorEastAsia" w:hAnsiTheme="minorHAnsi"/>
            <w:kern w:val="2"/>
            <w:szCs w:val="22"/>
            <w:lang w:eastAsia="en-AU"/>
            <w14:ligatures w14:val="standardContextual"/>
          </w:rPr>
          <w:tab/>
        </w:r>
        <w:r w:rsidR="00424E3B" w:rsidRPr="00A46CF5">
          <w:rPr>
            <w:rStyle w:val="Hyperlink"/>
          </w:rPr>
          <w:t>PBS T3.01 Comprehensive income statement (showing net cost of services)</w:t>
        </w:r>
        <w:r w:rsidR="00424E3B">
          <w:rPr>
            <w:webHidden/>
          </w:rPr>
          <w:tab/>
        </w:r>
        <w:r w:rsidR="00424E3B">
          <w:rPr>
            <w:webHidden/>
          </w:rPr>
          <w:fldChar w:fldCharType="begin"/>
        </w:r>
        <w:r w:rsidR="00424E3B">
          <w:rPr>
            <w:webHidden/>
          </w:rPr>
          <w:instrText xml:space="preserve"> PAGEREF _Toc160715626 \h </w:instrText>
        </w:r>
        <w:r w:rsidR="00424E3B">
          <w:rPr>
            <w:webHidden/>
          </w:rPr>
        </w:r>
        <w:r w:rsidR="00424E3B">
          <w:rPr>
            <w:webHidden/>
          </w:rPr>
          <w:fldChar w:fldCharType="separate"/>
        </w:r>
        <w:r w:rsidR="00424E3B">
          <w:rPr>
            <w:webHidden/>
          </w:rPr>
          <w:t>56</w:t>
        </w:r>
        <w:r w:rsidR="00424E3B">
          <w:rPr>
            <w:webHidden/>
          </w:rPr>
          <w:fldChar w:fldCharType="end"/>
        </w:r>
      </w:hyperlink>
    </w:p>
    <w:p w14:paraId="12095CD7" w14:textId="7DBCFC32" w:rsidR="00424E3B" w:rsidRDefault="00000000">
      <w:pPr>
        <w:pStyle w:val="TOC3"/>
        <w:rPr>
          <w:rFonts w:asciiTheme="minorHAnsi" w:eastAsiaTheme="minorEastAsia" w:hAnsiTheme="minorHAnsi"/>
          <w:kern w:val="2"/>
          <w:szCs w:val="22"/>
          <w:lang w:eastAsia="en-AU"/>
          <w14:ligatures w14:val="standardContextual"/>
        </w:rPr>
      </w:pPr>
      <w:hyperlink w:anchor="_Toc160715627" w:history="1">
        <w:r w:rsidR="00424E3B" w:rsidRPr="00A46CF5">
          <w:rPr>
            <w:rStyle w:val="Hyperlink"/>
          </w:rPr>
          <w:t>15.2.4</w:t>
        </w:r>
        <w:r w:rsidR="00424E3B">
          <w:rPr>
            <w:rFonts w:asciiTheme="minorHAnsi" w:eastAsiaTheme="minorEastAsia" w:hAnsiTheme="minorHAnsi"/>
            <w:kern w:val="2"/>
            <w:szCs w:val="22"/>
            <w:lang w:eastAsia="en-AU"/>
            <w14:ligatures w14:val="standardContextual"/>
          </w:rPr>
          <w:tab/>
        </w:r>
        <w:r w:rsidR="00424E3B" w:rsidRPr="00A46CF5">
          <w:rPr>
            <w:rStyle w:val="Hyperlink"/>
          </w:rPr>
          <w:t>PBS T3.02 Budgeted departmental balance sheet</w:t>
        </w:r>
        <w:r w:rsidR="00424E3B">
          <w:rPr>
            <w:webHidden/>
          </w:rPr>
          <w:tab/>
        </w:r>
        <w:r w:rsidR="00424E3B">
          <w:rPr>
            <w:webHidden/>
          </w:rPr>
          <w:fldChar w:fldCharType="begin"/>
        </w:r>
        <w:r w:rsidR="00424E3B">
          <w:rPr>
            <w:webHidden/>
          </w:rPr>
          <w:instrText xml:space="preserve"> PAGEREF _Toc160715627 \h </w:instrText>
        </w:r>
        <w:r w:rsidR="00424E3B">
          <w:rPr>
            <w:webHidden/>
          </w:rPr>
        </w:r>
        <w:r w:rsidR="00424E3B">
          <w:rPr>
            <w:webHidden/>
          </w:rPr>
          <w:fldChar w:fldCharType="separate"/>
        </w:r>
        <w:r w:rsidR="00424E3B">
          <w:rPr>
            <w:webHidden/>
          </w:rPr>
          <w:t>56</w:t>
        </w:r>
        <w:r w:rsidR="00424E3B">
          <w:rPr>
            <w:webHidden/>
          </w:rPr>
          <w:fldChar w:fldCharType="end"/>
        </w:r>
      </w:hyperlink>
    </w:p>
    <w:p w14:paraId="0C3B6466" w14:textId="0812394A" w:rsidR="00424E3B" w:rsidRDefault="00000000">
      <w:pPr>
        <w:pStyle w:val="TOC3"/>
        <w:rPr>
          <w:rFonts w:asciiTheme="minorHAnsi" w:eastAsiaTheme="minorEastAsia" w:hAnsiTheme="minorHAnsi"/>
          <w:kern w:val="2"/>
          <w:szCs w:val="22"/>
          <w:lang w:eastAsia="en-AU"/>
          <w14:ligatures w14:val="standardContextual"/>
        </w:rPr>
      </w:pPr>
      <w:hyperlink w:anchor="_Toc160715628" w:history="1">
        <w:r w:rsidR="00424E3B" w:rsidRPr="00A46CF5">
          <w:rPr>
            <w:rStyle w:val="Hyperlink"/>
          </w:rPr>
          <w:t>15.2.5</w:t>
        </w:r>
        <w:r w:rsidR="00424E3B">
          <w:rPr>
            <w:rFonts w:asciiTheme="minorHAnsi" w:eastAsiaTheme="minorEastAsia" w:hAnsiTheme="minorHAnsi"/>
            <w:kern w:val="2"/>
            <w:szCs w:val="22"/>
            <w:lang w:eastAsia="en-AU"/>
            <w14:ligatures w14:val="standardContextual"/>
          </w:rPr>
          <w:tab/>
        </w:r>
        <w:r w:rsidR="00424E3B" w:rsidRPr="00A46CF5">
          <w:rPr>
            <w:rStyle w:val="Hyperlink"/>
          </w:rPr>
          <w:t>PBS T3.03 Departmental statement of changes in equity</w:t>
        </w:r>
        <w:r w:rsidR="00424E3B">
          <w:rPr>
            <w:webHidden/>
          </w:rPr>
          <w:tab/>
        </w:r>
        <w:r w:rsidR="00424E3B">
          <w:rPr>
            <w:webHidden/>
          </w:rPr>
          <w:fldChar w:fldCharType="begin"/>
        </w:r>
        <w:r w:rsidR="00424E3B">
          <w:rPr>
            <w:webHidden/>
          </w:rPr>
          <w:instrText xml:space="preserve"> PAGEREF _Toc160715628 \h </w:instrText>
        </w:r>
        <w:r w:rsidR="00424E3B">
          <w:rPr>
            <w:webHidden/>
          </w:rPr>
        </w:r>
        <w:r w:rsidR="00424E3B">
          <w:rPr>
            <w:webHidden/>
          </w:rPr>
          <w:fldChar w:fldCharType="separate"/>
        </w:r>
        <w:r w:rsidR="00424E3B">
          <w:rPr>
            <w:webHidden/>
          </w:rPr>
          <w:t>57</w:t>
        </w:r>
        <w:r w:rsidR="00424E3B">
          <w:rPr>
            <w:webHidden/>
          </w:rPr>
          <w:fldChar w:fldCharType="end"/>
        </w:r>
      </w:hyperlink>
    </w:p>
    <w:p w14:paraId="5D874AAF" w14:textId="09640166" w:rsidR="00424E3B" w:rsidRDefault="00000000">
      <w:pPr>
        <w:pStyle w:val="TOC3"/>
        <w:rPr>
          <w:rFonts w:asciiTheme="minorHAnsi" w:eastAsiaTheme="minorEastAsia" w:hAnsiTheme="minorHAnsi"/>
          <w:kern w:val="2"/>
          <w:szCs w:val="22"/>
          <w:lang w:eastAsia="en-AU"/>
          <w14:ligatures w14:val="standardContextual"/>
        </w:rPr>
      </w:pPr>
      <w:hyperlink w:anchor="_Toc160715629" w:history="1">
        <w:r w:rsidR="00424E3B" w:rsidRPr="00A46CF5">
          <w:rPr>
            <w:rStyle w:val="Hyperlink"/>
          </w:rPr>
          <w:t>15.2.6</w:t>
        </w:r>
        <w:r w:rsidR="00424E3B">
          <w:rPr>
            <w:rFonts w:asciiTheme="minorHAnsi" w:eastAsiaTheme="minorEastAsia" w:hAnsiTheme="minorHAnsi"/>
            <w:kern w:val="2"/>
            <w:szCs w:val="22"/>
            <w:lang w:eastAsia="en-AU"/>
            <w14:ligatures w14:val="standardContextual"/>
          </w:rPr>
          <w:tab/>
        </w:r>
        <w:r w:rsidR="00424E3B" w:rsidRPr="00A46CF5">
          <w:rPr>
            <w:rStyle w:val="Hyperlink"/>
          </w:rPr>
          <w:t>PBS T3.04 Budgeted departmental statement of cash flows</w:t>
        </w:r>
        <w:r w:rsidR="00424E3B">
          <w:rPr>
            <w:webHidden/>
          </w:rPr>
          <w:tab/>
        </w:r>
        <w:r w:rsidR="00424E3B">
          <w:rPr>
            <w:webHidden/>
          </w:rPr>
          <w:fldChar w:fldCharType="begin"/>
        </w:r>
        <w:r w:rsidR="00424E3B">
          <w:rPr>
            <w:webHidden/>
          </w:rPr>
          <w:instrText xml:space="preserve"> PAGEREF _Toc160715629 \h </w:instrText>
        </w:r>
        <w:r w:rsidR="00424E3B">
          <w:rPr>
            <w:webHidden/>
          </w:rPr>
        </w:r>
        <w:r w:rsidR="00424E3B">
          <w:rPr>
            <w:webHidden/>
          </w:rPr>
          <w:fldChar w:fldCharType="separate"/>
        </w:r>
        <w:r w:rsidR="00424E3B">
          <w:rPr>
            <w:webHidden/>
          </w:rPr>
          <w:t>57</w:t>
        </w:r>
        <w:r w:rsidR="00424E3B">
          <w:rPr>
            <w:webHidden/>
          </w:rPr>
          <w:fldChar w:fldCharType="end"/>
        </w:r>
      </w:hyperlink>
    </w:p>
    <w:p w14:paraId="2A490D2B" w14:textId="3DC30A02" w:rsidR="00424E3B" w:rsidRDefault="00000000">
      <w:pPr>
        <w:pStyle w:val="TOC3"/>
        <w:rPr>
          <w:rFonts w:asciiTheme="minorHAnsi" w:eastAsiaTheme="minorEastAsia" w:hAnsiTheme="minorHAnsi"/>
          <w:kern w:val="2"/>
          <w:szCs w:val="22"/>
          <w:lang w:eastAsia="en-AU"/>
          <w14:ligatures w14:val="standardContextual"/>
        </w:rPr>
      </w:pPr>
      <w:hyperlink w:anchor="_Toc160715630" w:history="1">
        <w:r w:rsidR="00424E3B" w:rsidRPr="00A46CF5">
          <w:rPr>
            <w:rStyle w:val="Hyperlink"/>
          </w:rPr>
          <w:t>15.2.7</w:t>
        </w:r>
        <w:r w:rsidR="00424E3B">
          <w:rPr>
            <w:rFonts w:asciiTheme="minorHAnsi" w:eastAsiaTheme="minorEastAsia" w:hAnsiTheme="minorHAnsi"/>
            <w:kern w:val="2"/>
            <w:szCs w:val="22"/>
            <w:lang w:eastAsia="en-AU"/>
            <w14:ligatures w14:val="standardContextual"/>
          </w:rPr>
          <w:tab/>
        </w:r>
        <w:r w:rsidR="00424E3B" w:rsidRPr="00A46CF5">
          <w:rPr>
            <w:rStyle w:val="Hyperlink"/>
          </w:rPr>
          <w:t>PBS T3.05 Departmental capital budget statement</w:t>
        </w:r>
        <w:r w:rsidR="00424E3B">
          <w:rPr>
            <w:webHidden/>
          </w:rPr>
          <w:tab/>
        </w:r>
        <w:r w:rsidR="00424E3B">
          <w:rPr>
            <w:webHidden/>
          </w:rPr>
          <w:fldChar w:fldCharType="begin"/>
        </w:r>
        <w:r w:rsidR="00424E3B">
          <w:rPr>
            <w:webHidden/>
          </w:rPr>
          <w:instrText xml:space="preserve"> PAGEREF _Toc160715630 \h </w:instrText>
        </w:r>
        <w:r w:rsidR="00424E3B">
          <w:rPr>
            <w:webHidden/>
          </w:rPr>
        </w:r>
        <w:r w:rsidR="00424E3B">
          <w:rPr>
            <w:webHidden/>
          </w:rPr>
          <w:fldChar w:fldCharType="separate"/>
        </w:r>
        <w:r w:rsidR="00424E3B">
          <w:rPr>
            <w:webHidden/>
          </w:rPr>
          <w:t>57</w:t>
        </w:r>
        <w:r w:rsidR="00424E3B">
          <w:rPr>
            <w:webHidden/>
          </w:rPr>
          <w:fldChar w:fldCharType="end"/>
        </w:r>
      </w:hyperlink>
    </w:p>
    <w:p w14:paraId="4F8AEC2F" w14:textId="5208759F" w:rsidR="00424E3B" w:rsidRDefault="00000000">
      <w:pPr>
        <w:pStyle w:val="TOC3"/>
        <w:rPr>
          <w:rFonts w:asciiTheme="minorHAnsi" w:eastAsiaTheme="minorEastAsia" w:hAnsiTheme="minorHAnsi"/>
          <w:kern w:val="2"/>
          <w:szCs w:val="22"/>
          <w:lang w:eastAsia="en-AU"/>
          <w14:ligatures w14:val="standardContextual"/>
        </w:rPr>
      </w:pPr>
      <w:hyperlink w:anchor="_Toc160715631" w:history="1">
        <w:r w:rsidR="00424E3B" w:rsidRPr="00A46CF5">
          <w:rPr>
            <w:rStyle w:val="Hyperlink"/>
          </w:rPr>
          <w:t>15.2.8</w:t>
        </w:r>
        <w:r w:rsidR="00424E3B">
          <w:rPr>
            <w:rFonts w:asciiTheme="minorHAnsi" w:eastAsiaTheme="minorEastAsia" w:hAnsiTheme="minorHAnsi"/>
            <w:kern w:val="2"/>
            <w:szCs w:val="22"/>
            <w:lang w:eastAsia="en-AU"/>
            <w14:ligatures w14:val="standardContextual"/>
          </w:rPr>
          <w:tab/>
        </w:r>
        <w:r w:rsidR="00424E3B" w:rsidRPr="00A46CF5">
          <w:rPr>
            <w:rStyle w:val="Hyperlink"/>
          </w:rPr>
          <w:t>PBS T3.06 Departmental statement of asset movements</w:t>
        </w:r>
        <w:r w:rsidR="00424E3B">
          <w:rPr>
            <w:webHidden/>
          </w:rPr>
          <w:tab/>
        </w:r>
        <w:r w:rsidR="00424E3B">
          <w:rPr>
            <w:webHidden/>
          </w:rPr>
          <w:fldChar w:fldCharType="begin"/>
        </w:r>
        <w:r w:rsidR="00424E3B">
          <w:rPr>
            <w:webHidden/>
          </w:rPr>
          <w:instrText xml:space="preserve"> PAGEREF _Toc160715631 \h </w:instrText>
        </w:r>
        <w:r w:rsidR="00424E3B">
          <w:rPr>
            <w:webHidden/>
          </w:rPr>
        </w:r>
        <w:r w:rsidR="00424E3B">
          <w:rPr>
            <w:webHidden/>
          </w:rPr>
          <w:fldChar w:fldCharType="separate"/>
        </w:r>
        <w:r w:rsidR="00424E3B">
          <w:rPr>
            <w:webHidden/>
          </w:rPr>
          <w:t>57</w:t>
        </w:r>
        <w:r w:rsidR="00424E3B">
          <w:rPr>
            <w:webHidden/>
          </w:rPr>
          <w:fldChar w:fldCharType="end"/>
        </w:r>
      </w:hyperlink>
    </w:p>
    <w:p w14:paraId="1F939E71" w14:textId="4AC99125" w:rsidR="00424E3B" w:rsidRDefault="00000000">
      <w:pPr>
        <w:pStyle w:val="TOC3"/>
        <w:rPr>
          <w:rFonts w:asciiTheme="minorHAnsi" w:eastAsiaTheme="minorEastAsia" w:hAnsiTheme="minorHAnsi"/>
          <w:kern w:val="2"/>
          <w:szCs w:val="22"/>
          <w:lang w:eastAsia="en-AU"/>
          <w14:ligatures w14:val="standardContextual"/>
        </w:rPr>
      </w:pPr>
      <w:hyperlink w:anchor="_Toc160715632" w:history="1">
        <w:r w:rsidR="00424E3B" w:rsidRPr="00A46CF5">
          <w:rPr>
            <w:rStyle w:val="Hyperlink"/>
          </w:rPr>
          <w:t>15.2.9</w:t>
        </w:r>
        <w:r w:rsidR="00424E3B">
          <w:rPr>
            <w:rFonts w:asciiTheme="minorHAnsi" w:eastAsiaTheme="minorEastAsia" w:hAnsiTheme="minorHAnsi"/>
            <w:kern w:val="2"/>
            <w:szCs w:val="22"/>
            <w:lang w:eastAsia="en-AU"/>
            <w14:ligatures w14:val="standardContextual"/>
          </w:rPr>
          <w:tab/>
        </w:r>
        <w:r w:rsidR="00424E3B" w:rsidRPr="00A46CF5">
          <w:rPr>
            <w:rStyle w:val="Hyperlink"/>
          </w:rPr>
          <w:t>Administered financial statements</w:t>
        </w:r>
        <w:r w:rsidR="00424E3B">
          <w:rPr>
            <w:webHidden/>
          </w:rPr>
          <w:tab/>
        </w:r>
        <w:r w:rsidR="00424E3B">
          <w:rPr>
            <w:webHidden/>
          </w:rPr>
          <w:fldChar w:fldCharType="begin"/>
        </w:r>
        <w:r w:rsidR="00424E3B">
          <w:rPr>
            <w:webHidden/>
          </w:rPr>
          <w:instrText xml:space="preserve"> PAGEREF _Toc160715632 \h </w:instrText>
        </w:r>
        <w:r w:rsidR="00424E3B">
          <w:rPr>
            <w:webHidden/>
          </w:rPr>
        </w:r>
        <w:r w:rsidR="00424E3B">
          <w:rPr>
            <w:webHidden/>
          </w:rPr>
          <w:fldChar w:fldCharType="separate"/>
        </w:r>
        <w:r w:rsidR="00424E3B">
          <w:rPr>
            <w:webHidden/>
          </w:rPr>
          <w:t>57</w:t>
        </w:r>
        <w:r w:rsidR="00424E3B">
          <w:rPr>
            <w:webHidden/>
          </w:rPr>
          <w:fldChar w:fldCharType="end"/>
        </w:r>
      </w:hyperlink>
    </w:p>
    <w:p w14:paraId="7D3226F2" w14:textId="55CA6329" w:rsidR="00424E3B" w:rsidRDefault="00000000">
      <w:pPr>
        <w:pStyle w:val="TOC1"/>
        <w:rPr>
          <w:rFonts w:asciiTheme="minorHAnsi" w:eastAsiaTheme="minorEastAsia" w:hAnsiTheme="minorHAnsi"/>
          <w:kern w:val="2"/>
          <w:sz w:val="22"/>
          <w:szCs w:val="22"/>
          <w:lang w:eastAsia="en-AU"/>
          <w14:ligatures w14:val="standardContextual"/>
        </w:rPr>
      </w:pPr>
      <w:hyperlink w:anchor="_Toc160715633" w:history="1">
        <w:r w:rsidR="00424E3B" w:rsidRPr="00A46CF5">
          <w:rPr>
            <w:rStyle w:val="Hyperlink"/>
          </w:rPr>
          <w:t>Appendix 2:</w:t>
        </w:r>
        <w:r w:rsidR="00424E3B">
          <w:rPr>
            <w:webHidden/>
          </w:rPr>
          <w:tab/>
        </w:r>
        <w:r w:rsidR="00424E3B">
          <w:rPr>
            <w:webHidden/>
          </w:rPr>
          <w:fldChar w:fldCharType="begin"/>
        </w:r>
        <w:r w:rsidR="00424E3B">
          <w:rPr>
            <w:webHidden/>
          </w:rPr>
          <w:instrText xml:space="preserve"> PAGEREF _Toc160715633 \h </w:instrText>
        </w:r>
        <w:r w:rsidR="00424E3B">
          <w:rPr>
            <w:webHidden/>
          </w:rPr>
        </w:r>
        <w:r w:rsidR="00424E3B">
          <w:rPr>
            <w:webHidden/>
          </w:rPr>
          <w:fldChar w:fldCharType="separate"/>
        </w:r>
        <w:r w:rsidR="00424E3B">
          <w:rPr>
            <w:webHidden/>
          </w:rPr>
          <w:t>58</w:t>
        </w:r>
        <w:r w:rsidR="00424E3B">
          <w:rPr>
            <w:webHidden/>
          </w:rPr>
          <w:fldChar w:fldCharType="end"/>
        </w:r>
      </w:hyperlink>
    </w:p>
    <w:p w14:paraId="080D0036" w14:textId="23F1072F" w:rsidR="00424E3B" w:rsidRDefault="00000000">
      <w:pPr>
        <w:pStyle w:val="TOC1"/>
        <w:rPr>
          <w:rFonts w:asciiTheme="minorHAnsi" w:eastAsiaTheme="minorEastAsia" w:hAnsiTheme="minorHAnsi"/>
          <w:kern w:val="2"/>
          <w:sz w:val="22"/>
          <w:szCs w:val="22"/>
          <w:lang w:eastAsia="en-AU"/>
          <w14:ligatures w14:val="standardContextual"/>
        </w:rPr>
      </w:pPr>
      <w:hyperlink w:anchor="_Toc160715634" w:history="1">
        <w:r w:rsidR="00424E3B" w:rsidRPr="00A46CF5">
          <w:rPr>
            <w:rStyle w:val="Hyperlink"/>
          </w:rPr>
          <w:t>16</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Working with the templates</w:t>
        </w:r>
        <w:r w:rsidR="00424E3B">
          <w:rPr>
            <w:webHidden/>
          </w:rPr>
          <w:tab/>
        </w:r>
        <w:r w:rsidR="00424E3B">
          <w:rPr>
            <w:webHidden/>
          </w:rPr>
          <w:fldChar w:fldCharType="begin"/>
        </w:r>
        <w:r w:rsidR="00424E3B">
          <w:rPr>
            <w:webHidden/>
          </w:rPr>
          <w:instrText xml:space="preserve"> PAGEREF _Toc160715634 \h </w:instrText>
        </w:r>
        <w:r w:rsidR="00424E3B">
          <w:rPr>
            <w:webHidden/>
          </w:rPr>
        </w:r>
        <w:r w:rsidR="00424E3B">
          <w:rPr>
            <w:webHidden/>
          </w:rPr>
          <w:fldChar w:fldCharType="separate"/>
        </w:r>
        <w:r w:rsidR="00424E3B">
          <w:rPr>
            <w:webHidden/>
          </w:rPr>
          <w:t>58</w:t>
        </w:r>
        <w:r w:rsidR="00424E3B">
          <w:rPr>
            <w:webHidden/>
          </w:rPr>
          <w:fldChar w:fldCharType="end"/>
        </w:r>
      </w:hyperlink>
    </w:p>
    <w:p w14:paraId="75CDD97A" w14:textId="3E418D10" w:rsidR="00424E3B" w:rsidRDefault="00000000">
      <w:pPr>
        <w:pStyle w:val="TOC2"/>
        <w:rPr>
          <w:rFonts w:asciiTheme="minorHAnsi" w:eastAsiaTheme="minorEastAsia" w:hAnsiTheme="minorHAnsi"/>
          <w:kern w:val="2"/>
          <w:szCs w:val="22"/>
          <w:lang w:eastAsia="en-AU"/>
          <w14:ligatures w14:val="standardContextual"/>
        </w:rPr>
      </w:pPr>
      <w:hyperlink w:anchor="_Toc160715635" w:history="1">
        <w:r w:rsidR="00424E3B" w:rsidRPr="00A46CF5">
          <w:rPr>
            <w:rStyle w:val="Hyperlink"/>
          </w:rPr>
          <w:t>16.1</w:t>
        </w:r>
        <w:r w:rsidR="00424E3B">
          <w:rPr>
            <w:rFonts w:asciiTheme="minorHAnsi" w:eastAsiaTheme="minorEastAsia" w:hAnsiTheme="minorHAnsi"/>
            <w:kern w:val="2"/>
            <w:szCs w:val="22"/>
            <w:lang w:eastAsia="en-AU"/>
            <w14:ligatures w14:val="standardContextual"/>
          </w:rPr>
          <w:tab/>
        </w:r>
        <w:r w:rsidR="00424E3B" w:rsidRPr="00A46CF5">
          <w:rPr>
            <w:rStyle w:val="Hyperlink"/>
          </w:rPr>
          <w:t>Saving the files</w:t>
        </w:r>
        <w:r w:rsidR="00424E3B">
          <w:rPr>
            <w:webHidden/>
          </w:rPr>
          <w:tab/>
        </w:r>
        <w:r w:rsidR="00424E3B">
          <w:rPr>
            <w:webHidden/>
          </w:rPr>
          <w:fldChar w:fldCharType="begin"/>
        </w:r>
        <w:r w:rsidR="00424E3B">
          <w:rPr>
            <w:webHidden/>
          </w:rPr>
          <w:instrText xml:space="preserve"> PAGEREF _Toc160715635 \h </w:instrText>
        </w:r>
        <w:r w:rsidR="00424E3B">
          <w:rPr>
            <w:webHidden/>
          </w:rPr>
        </w:r>
        <w:r w:rsidR="00424E3B">
          <w:rPr>
            <w:webHidden/>
          </w:rPr>
          <w:fldChar w:fldCharType="separate"/>
        </w:r>
        <w:r w:rsidR="00424E3B">
          <w:rPr>
            <w:webHidden/>
          </w:rPr>
          <w:t>58</w:t>
        </w:r>
        <w:r w:rsidR="00424E3B">
          <w:rPr>
            <w:webHidden/>
          </w:rPr>
          <w:fldChar w:fldCharType="end"/>
        </w:r>
      </w:hyperlink>
    </w:p>
    <w:p w14:paraId="751D108F" w14:textId="300DE35E" w:rsidR="00424E3B" w:rsidRDefault="00000000">
      <w:pPr>
        <w:pStyle w:val="TOC2"/>
        <w:rPr>
          <w:rFonts w:asciiTheme="minorHAnsi" w:eastAsiaTheme="minorEastAsia" w:hAnsiTheme="minorHAnsi"/>
          <w:kern w:val="2"/>
          <w:szCs w:val="22"/>
          <w:lang w:eastAsia="en-AU"/>
          <w14:ligatures w14:val="standardContextual"/>
        </w:rPr>
      </w:pPr>
      <w:hyperlink w:anchor="_Toc160715636" w:history="1">
        <w:r w:rsidR="00424E3B" w:rsidRPr="00A46CF5">
          <w:rPr>
            <w:rStyle w:val="Hyperlink"/>
          </w:rPr>
          <w:t>16.2</w:t>
        </w:r>
        <w:r w:rsidR="00424E3B">
          <w:rPr>
            <w:rFonts w:asciiTheme="minorHAnsi" w:eastAsiaTheme="minorEastAsia" w:hAnsiTheme="minorHAnsi"/>
            <w:kern w:val="2"/>
            <w:szCs w:val="22"/>
            <w:lang w:eastAsia="en-AU"/>
            <w14:ligatures w14:val="standardContextual"/>
          </w:rPr>
          <w:tab/>
        </w:r>
        <w:r w:rsidR="00424E3B" w:rsidRPr="00A46CF5">
          <w:rPr>
            <w:rStyle w:val="Hyperlink"/>
          </w:rPr>
          <w:t>Excel table specifications</w:t>
        </w:r>
        <w:r w:rsidR="00424E3B">
          <w:rPr>
            <w:webHidden/>
          </w:rPr>
          <w:tab/>
        </w:r>
        <w:r w:rsidR="00424E3B">
          <w:rPr>
            <w:webHidden/>
          </w:rPr>
          <w:fldChar w:fldCharType="begin"/>
        </w:r>
        <w:r w:rsidR="00424E3B">
          <w:rPr>
            <w:webHidden/>
          </w:rPr>
          <w:instrText xml:space="preserve"> PAGEREF _Toc160715636 \h </w:instrText>
        </w:r>
        <w:r w:rsidR="00424E3B">
          <w:rPr>
            <w:webHidden/>
          </w:rPr>
        </w:r>
        <w:r w:rsidR="00424E3B">
          <w:rPr>
            <w:webHidden/>
          </w:rPr>
          <w:fldChar w:fldCharType="separate"/>
        </w:r>
        <w:r w:rsidR="00424E3B">
          <w:rPr>
            <w:webHidden/>
          </w:rPr>
          <w:t>58</w:t>
        </w:r>
        <w:r w:rsidR="00424E3B">
          <w:rPr>
            <w:webHidden/>
          </w:rPr>
          <w:fldChar w:fldCharType="end"/>
        </w:r>
      </w:hyperlink>
    </w:p>
    <w:p w14:paraId="771125DF" w14:textId="729A1EC6" w:rsidR="00424E3B" w:rsidRDefault="00000000">
      <w:pPr>
        <w:pStyle w:val="TOC2"/>
        <w:rPr>
          <w:rFonts w:asciiTheme="minorHAnsi" w:eastAsiaTheme="minorEastAsia" w:hAnsiTheme="minorHAnsi"/>
          <w:kern w:val="2"/>
          <w:szCs w:val="22"/>
          <w:lang w:eastAsia="en-AU"/>
          <w14:ligatures w14:val="standardContextual"/>
        </w:rPr>
      </w:pPr>
      <w:hyperlink w:anchor="_Toc160715637" w:history="1">
        <w:r w:rsidR="00424E3B" w:rsidRPr="00A46CF5">
          <w:rPr>
            <w:rStyle w:val="Hyperlink"/>
          </w:rPr>
          <w:t>16.3</w:t>
        </w:r>
        <w:r w:rsidR="00424E3B">
          <w:rPr>
            <w:rFonts w:asciiTheme="minorHAnsi" w:eastAsiaTheme="minorEastAsia" w:hAnsiTheme="minorHAnsi"/>
            <w:kern w:val="2"/>
            <w:szCs w:val="22"/>
            <w:lang w:eastAsia="en-AU"/>
            <w14:ligatures w14:val="standardContextual"/>
          </w:rPr>
          <w:tab/>
        </w:r>
        <w:r w:rsidR="00424E3B" w:rsidRPr="00A46CF5">
          <w:rPr>
            <w:rStyle w:val="Hyperlink"/>
          </w:rPr>
          <w:t>Formatting an existing table to budget standards</w:t>
        </w:r>
        <w:r w:rsidR="00424E3B">
          <w:rPr>
            <w:webHidden/>
          </w:rPr>
          <w:tab/>
        </w:r>
        <w:r w:rsidR="00424E3B">
          <w:rPr>
            <w:webHidden/>
          </w:rPr>
          <w:fldChar w:fldCharType="begin"/>
        </w:r>
        <w:r w:rsidR="00424E3B">
          <w:rPr>
            <w:webHidden/>
          </w:rPr>
          <w:instrText xml:space="preserve"> PAGEREF _Toc160715637 \h </w:instrText>
        </w:r>
        <w:r w:rsidR="00424E3B">
          <w:rPr>
            <w:webHidden/>
          </w:rPr>
        </w:r>
        <w:r w:rsidR="00424E3B">
          <w:rPr>
            <w:webHidden/>
          </w:rPr>
          <w:fldChar w:fldCharType="separate"/>
        </w:r>
        <w:r w:rsidR="00424E3B">
          <w:rPr>
            <w:webHidden/>
          </w:rPr>
          <w:t>59</w:t>
        </w:r>
        <w:r w:rsidR="00424E3B">
          <w:rPr>
            <w:webHidden/>
          </w:rPr>
          <w:fldChar w:fldCharType="end"/>
        </w:r>
      </w:hyperlink>
    </w:p>
    <w:p w14:paraId="67E6D9D0" w14:textId="469853B9" w:rsidR="00424E3B" w:rsidRDefault="00000000">
      <w:pPr>
        <w:pStyle w:val="TOC2"/>
        <w:rPr>
          <w:rFonts w:asciiTheme="minorHAnsi" w:eastAsiaTheme="minorEastAsia" w:hAnsiTheme="minorHAnsi"/>
          <w:kern w:val="2"/>
          <w:szCs w:val="22"/>
          <w:lang w:eastAsia="en-AU"/>
          <w14:ligatures w14:val="standardContextual"/>
        </w:rPr>
      </w:pPr>
      <w:hyperlink w:anchor="_Toc160715638" w:history="1">
        <w:r w:rsidR="00424E3B" w:rsidRPr="00A46CF5">
          <w:rPr>
            <w:rStyle w:val="Hyperlink"/>
          </w:rPr>
          <w:t>16.4</w:t>
        </w:r>
        <w:r w:rsidR="00424E3B">
          <w:rPr>
            <w:rFonts w:asciiTheme="minorHAnsi" w:eastAsiaTheme="minorEastAsia" w:hAnsiTheme="minorHAnsi"/>
            <w:kern w:val="2"/>
            <w:szCs w:val="22"/>
            <w:lang w:eastAsia="en-AU"/>
            <w14:ligatures w14:val="standardContextual"/>
          </w:rPr>
          <w:tab/>
        </w:r>
        <w:r w:rsidR="00424E3B" w:rsidRPr="00A46CF5">
          <w:rPr>
            <w:rStyle w:val="Hyperlink"/>
          </w:rPr>
          <w:t>For Portrait tables</w:t>
        </w:r>
        <w:r w:rsidR="00424E3B">
          <w:rPr>
            <w:webHidden/>
          </w:rPr>
          <w:tab/>
        </w:r>
        <w:r w:rsidR="00424E3B">
          <w:rPr>
            <w:webHidden/>
          </w:rPr>
          <w:fldChar w:fldCharType="begin"/>
        </w:r>
        <w:r w:rsidR="00424E3B">
          <w:rPr>
            <w:webHidden/>
          </w:rPr>
          <w:instrText xml:space="preserve"> PAGEREF _Toc160715638 \h </w:instrText>
        </w:r>
        <w:r w:rsidR="00424E3B">
          <w:rPr>
            <w:webHidden/>
          </w:rPr>
        </w:r>
        <w:r w:rsidR="00424E3B">
          <w:rPr>
            <w:webHidden/>
          </w:rPr>
          <w:fldChar w:fldCharType="separate"/>
        </w:r>
        <w:r w:rsidR="00424E3B">
          <w:rPr>
            <w:webHidden/>
          </w:rPr>
          <w:t>59</w:t>
        </w:r>
        <w:r w:rsidR="00424E3B">
          <w:rPr>
            <w:webHidden/>
          </w:rPr>
          <w:fldChar w:fldCharType="end"/>
        </w:r>
      </w:hyperlink>
    </w:p>
    <w:p w14:paraId="1E3EFFDE" w14:textId="1F04F0AC" w:rsidR="00424E3B" w:rsidRDefault="00000000">
      <w:pPr>
        <w:pStyle w:val="TOC2"/>
        <w:rPr>
          <w:rFonts w:asciiTheme="minorHAnsi" w:eastAsiaTheme="minorEastAsia" w:hAnsiTheme="minorHAnsi"/>
          <w:kern w:val="2"/>
          <w:szCs w:val="22"/>
          <w:lang w:eastAsia="en-AU"/>
          <w14:ligatures w14:val="standardContextual"/>
        </w:rPr>
      </w:pPr>
      <w:hyperlink w:anchor="_Toc160715639" w:history="1">
        <w:r w:rsidR="00424E3B" w:rsidRPr="00A46CF5">
          <w:rPr>
            <w:rStyle w:val="Hyperlink"/>
          </w:rPr>
          <w:t>16.5</w:t>
        </w:r>
        <w:r w:rsidR="00424E3B">
          <w:rPr>
            <w:rFonts w:asciiTheme="minorHAnsi" w:eastAsiaTheme="minorEastAsia" w:hAnsiTheme="minorHAnsi"/>
            <w:kern w:val="2"/>
            <w:szCs w:val="22"/>
            <w:lang w:eastAsia="en-AU"/>
            <w14:ligatures w14:val="standardContextual"/>
          </w:rPr>
          <w:tab/>
        </w:r>
        <w:r w:rsidR="00424E3B" w:rsidRPr="00A46CF5">
          <w:rPr>
            <w:rStyle w:val="Hyperlink"/>
          </w:rPr>
          <w:t>Inserting linked Excel tables into the Word template</w:t>
        </w:r>
        <w:r w:rsidR="00424E3B">
          <w:rPr>
            <w:webHidden/>
          </w:rPr>
          <w:tab/>
        </w:r>
        <w:r w:rsidR="00424E3B">
          <w:rPr>
            <w:webHidden/>
          </w:rPr>
          <w:fldChar w:fldCharType="begin"/>
        </w:r>
        <w:r w:rsidR="00424E3B">
          <w:rPr>
            <w:webHidden/>
          </w:rPr>
          <w:instrText xml:space="preserve"> PAGEREF _Toc160715639 \h </w:instrText>
        </w:r>
        <w:r w:rsidR="00424E3B">
          <w:rPr>
            <w:webHidden/>
          </w:rPr>
        </w:r>
        <w:r w:rsidR="00424E3B">
          <w:rPr>
            <w:webHidden/>
          </w:rPr>
          <w:fldChar w:fldCharType="separate"/>
        </w:r>
        <w:r w:rsidR="00424E3B">
          <w:rPr>
            <w:webHidden/>
          </w:rPr>
          <w:t>61</w:t>
        </w:r>
        <w:r w:rsidR="00424E3B">
          <w:rPr>
            <w:webHidden/>
          </w:rPr>
          <w:fldChar w:fldCharType="end"/>
        </w:r>
      </w:hyperlink>
    </w:p>
    <w:p w14:paraId="71EAB26D" w14:textId="43668DDB" w:rsidR="00424E3B" w:rsidRDefault="00000000">
      <w:pPr>
        <w:pStyle w:val="TOC2"/>
        <w:rPr>
          <w:rFonts w:asciiTheme="minorHAnsi" w:eastAsiaTheme="minorEastAsia" w:hAnsiTheme="minorHAnsi"/>
          <w:kern w:val="2"/>
          <w:szCs w:val="22"/>
          <w:lang w:eastAsia="en-AU"/>
          <w14:ligatures w14:val="standardContextual"/>
        </w:rPr>
      </w:pPr>
      <w:hyperlink w:anchor="_Toc160715640" w:history="1">
        <w:r w:rsidR="00424E3B" w:rsidRPr="00A46CF5">
          <w:rPr>
            <w:rStyle w:val="Hyperlink"/>
          </w:rPr>
          <w:t>16.6</w:t>
        </w:r>
        <w:r w:rsidR="00424E3B">
          <w:rPr>
            <w:rFonts w:asciiTheme="minorHAnsi" w:eastAsiaTheme="minorEastAsia" w:hAnsiTheme="minorHAnsi"/>
            <w:kern w:val="2"/>
            <w:szCs w:val="22"/>
            <w:lang w:eastAsia="en-AU"/>
            <w14:ligatures w14:val="standardContextual"/>
          </w:rPr>
          <w:tab/>
        </w:r>
        <w:r w:rsidR="00424E3B" w:rsidRPr="00A46CF5">
          <w:rPr>
            <w:rStyle w:val="Hyperlink"/>
          </w:rPr>
          <w:t>To insert a linked Excel table into the Word template:</w:t>
        </w:r>
        <w:r w:rsidR="00424E3B">
          <w:rPr>
            <w:webHidden/>
          </w:rPr>
          <w:tab/>
        </w:r>
        <w:r w:rsidR="00424E3B">
          <w:rPr>
            <w:webHidden/>
          </w:rPr>
          <w:fldChar w:fldCharType="begin"/>
        </w:r>
        <w:r w:rsidR="00424E3B">
          <w:rPr>
            <w:webHidden/>
          </w:rPr>
          <w:instrText xml:space="preserve"> PAGEREF _Toc160715640 \h </w:instrText>
        </w:r>
        <w:r w:rsidR="00424E3B">
          <w:rPr>
            <w:webHidden/>
          </w:rPr>
        </w:r>
        <w:r w:rsidR="00424E3B">
          <w:rPr>
            <w:webHidden/>
          </w:rPr>
          <w:fldChar w:fldCharType="separate"/>
        </w:r>
        <w:r w:rsidR="00424E3B">
          <w:rPr>
            <w:webHidden/>
          </w:rPr>
          <w:t>61</w:t>
        </w:r>
        <w:r w:rsidR="00424E3B">
          <w:rPr>
            <w:webHidden/>
          </w:rPr>
          <w:fldChar w:fldCharType="end"/>
        </w:r>
      </w:hyperlink>
    </w:p>
    <w:p w14:paraId="53CBE413" w14:textId="3DF1FE0F" w:rsidR="00424E3B" w:rsidRDefault="00000000">
      <w:pPr>
        <w:pStyle w:val="TOC2"/>
        <w:rPr>
          <w:rFonts w:asciiTheme="minorHAnsi" w:eastAsiaTheme="minorEastAsia" w:hAnsiTheme="minorHAnsi"/>
          <w:kern w:val="2"/>
          <w:szCs w:val="22"/>
          <w:lang w:eastAsia="en-AU"/>
          <w14:ligatures w14:val="standardContextual"/>
        </w:rPr>
      </w:pPr>
      <w:hyperlink w:anchor="_Toc160715641" w:history="1">
        <w:r w:rsidR="00424E3B" w:rsidRPr="00A46CF5">
          <w:rPr>
            <w:rStyle w:val="Hyperlink"/>
          </w:rPr>
          <w:t>16.7</w:t>
        </w:r>
        <w:r w:rsidR="00424E3B">
          <w:rPr>
            <w:rFonts w:asciiTheme="minorHAnsi" w:eastAsiaTheme="minorEastAsia" w:hAnsiTheme="minorHAnsi"/>
            <w:kern w:val="2"/>
            <w:szCs w:val="22"/>
            <w:lang w:eastAsia="en-AU"/>
            <w14:ligatures w14:val="standardContextual"/>
          </w:rPr>
          <w:tab/>
        </w:r>
        <w:r w:rsidR="00424E3B" w:rsidRPr="00A46CF5">
          <w:rPr>
            <w:rStyle w:val="Hyperlink"/>
          </w:rPr>
          <w:t>To update linked tables</w:t>
        </w:r>
        <w:r w:rsidR="00424E3B">
          <w:rPr>
            <w:webHidden/>
          </w:rPr>
          <w:tab/>
        </w:r>
        <w:r w:rsidR="00424E3B">
          <w:rPr>
            <w:webHidden/>
          </w:rPr>
          <w:fldChar w:fldCharType="begin"/>
        </w:r>
        <w:r w:rsidR="00424E3B">
          <w:rPr>
            <w:webHidden/>
          </w:rPr>
          <w:instrText xml:space="preserve"> PAGEREF _Toc160715641 \h </w:instrText>
        </w:r>
        <w:r w:rsidR="00424E3B">
          <w:rPr>
            <w:webHidden/>
          </w:rPr>
        </w:r>
        <w:r w:rsidR="00424E3B">
          <w:rPr>
            <w:webHidden/>
          </w:rPr>
          <w:fldChar w:fldCharType="separate"/>
        </w:r>
        <w:r w:rsidR="00424E3B">
          <w:rPr>
            <w:webHidden/>
          </w:rPr>
          <w:t>62</w:t>
        </w:r>
        <w:r w:rsidR="00424E3B">
          <w:rPr>
            <w:webHidden/>
          </w:rPr>
          <w:fldChar w:fldCharType="end"/>
        </w:r>
      </w:hyperlink>
    </w:p>
    <w:p w14:paraId="4FF99D12" w14:textId="7D8D2664" w:rsidR="00424E3B" w:rsidRDefault="00000000">
      <w:pPr>
        <w:pStyle w:val="TOC2"/>
        <w:rPr>
          <w:rFonts w:asciiTheme="minorHAnsi" w:eastAsiaTheme="minorEastAsia" w:hAnsiTheme="minorHAnsi"/>
          <w:kern w:val="2"/>
          <w:szCs w:val="22"/>
          <w:lang w:eastAsia="en-AU"/>
          <w14:ligatures w14:val="standardContextual"/>
        </w:rPr>
      </w:pPr>
      <w:hyperlink w:anchor="_Toc160715642" w:history="1">
        <w:r w:rsidR="00424E3B" w:rsidRPr="00A46CF5">
          <w:rPr>
            <w:rStyle w:val="Hyperlink"/>
          </w:rPr>
          <w:t>16.8</w:t>
        </w:r>
        <w:r w:rsidR="00424E3B">
          <w:rPr>
            <w:rFonts w:asciiTheme="minorHAnsi" w:eastAsiaTheme="minorEastAsia" w:hAnsiTheme="minorHAnsi"/>
            <w:kern w:val="2"/>
            <w:szCs w:val="22"/>
            <w:lang w:eastAsia="en-AU"/>
            <w14:ligatures w14:val="standardContextual"/>
          </w:rPr>
          <w:tab/>
        </w:r>
        <w:r w:rsidR="00424E3B" w:rsidRPr="00A46CF5">
          <w:rPr>
            <w:rStyle w:val="Hyperlink"/>
          </w:rPr>
          <w:t>Preparing the Word template for printing</w:t>
        </w:r>
        <w:r w:rsidR="00424E3B">
          <w:rPr>
            <w:webHidden/>
          </w:rPr>
          <w:tab/>
        </w:r>
        <w:r w:rsidR="00424E3B">
          <w:rPr>
            <w:webHidden/>
          </w:rPr>
          <w:fldChar w:fldCharType="begin"/>
        </w:r>
        <w:r w:rsidR="00424E3B">
          <w:rPr>
            <w:webHidden/>
          </w:rPr>
          <w:instrText xml:space="preserve"> PAGEREF _Toc160715642 \h </w:instrText>
        </w:r>
        <w:r w:rsidR="00424E3B">
          <w:rPr>
            <w:webHidden/>
          </w:rPr>
        </w:r>
        <w:r w:rsidR="00424E3B">
          <w:rPr>
            <w:webHidden/>
          </w:rPr>
          <w:fldChar w:fldCharType="separate"/>
        </w:r>
        <w:r w:rsidR="00424E3B">
          <w:rPr>
            <w:webHidden/>
          </w:rPr>
          <w:t>62</w:t>
        </w:r>
        <w:r w:rsidR="00424E3B">
          <w:rPr>
            <w:webHidden/>
          </w:rPr>
          <w:fldChar w:fldCharType="end"/>
        </w:r>
      </w:hyperlink>
    </w:p>
    <w:p w14:paraId="360B9228" w14:textId="55774496" w:rsidR="00424E3B" w:rsidRDefault="00000000">
      <w:pPr>
        <w:pStyle w:val="TOC2"/>
        <w:rPr>
          <w:rFonts w:asciiTheme="minorHAnsi" w:eastAsiaTheme="minorEastAsia" w:hAnsiTheme="minorHAnsi"/>
          <w:kern w:val="2"/>
          <w:szCs w:val="22"/>
          <w:lang w:eastAsia="en-AU"/>
          <w14:ligatures w14:val="standardContextual"/>
        </w:rPr>
      </w:pPr>
      <w:hyperlink w:anchor="_Toc160715643" w:history="1">
        <w:r w:rsidR="00424E3B" w:rsidRPr="00A46CF5">
          <w:rPr>
            <w:rStyle w:val="Hyperlink"/>
          </w:rPr>
          <w:t>16.9</w:t>
        </w:r>
        <w:r w:rsidR="00424E3B">
          <w:rPr>
            <w:rFonts w:asciiTheme="minorHAnsi" w:eastAsiaTheme="minorEastAsia" w:hAnsiTheme="minorHAnsi"/>
            <w:kern w:val="2"/>
            <w:szCs w:val="22"/>
            <w:lang w:eastAsia="en-AU"/>
            <w14:ligatures w14:val="standardContextual"/>
          </w:rPr>
          <w:tab/>
        </w:r>
        <w:r w:rsidR="00424E3B" w:rsidRPr="00A46CF5">
          <w:rPr>
            <w:rStyle w:val="Hyperlink"/>
          </w:rPr>
          <w:t>Preparing the Word template for online publication</w:t>
        </w:r>
        <w:r w:rsidR="00424E3B">
          <w:rPr>
            <w:webHidden/>
          </w:rPr>
          <w:tab/>
        </w:r>
        <w:r w:rsidR="00424E3B">
          <w:rPr>
            <w:webHidden/>
          </w:rPr>
          <w:fldChar w:fldCharType="begin"/>
        </w:r>
        <w:r w:rsidR="00424E3B">
          <w:rPr>
            <w:webHidden/>
          </w:rPr>
          <w:instrText xml:space="preserve"> PAGEREF _Toc160715643 \h </w:instrText>
        </w:r>
        <w:r w:rsidR="00424E3B">
          <w:rPr>
            <w:webHidden/>
          </w:rPr>
        </w:r>
        <w:r w:rsidR="00424E3B">
          <w:rPr>
            <w:webHidden/>
          </w:rPr>
          <w:fldChar w:fldCharType="separate"/>
        </w:r>
        <w:r w:rsidR="00424E3B">
          <w:rPr>
            <w:webHidden/>
          </w:rPr>
          <w:t>62</w:t>
        </w:r>
        <w:r w:rsidR="00424E3B">
          <w:rPr>
            <w:webHidden/>
          </w:rPr>
          <w:fldChar w:fldCharType="end"/>
        </w:r>
      </w:hyperlink>
    </w:p>
    <w:p w14:paraId="74F2E178" w14:textId="7B42DAE5" w:rsidR="00424E3B" w:rsidRDefault="00000000">
      <w:pPr>
        <w:pStyle w:val="TOC2"/>
        <w:rPr>
          <w:rFonts w:asciiTheme="minorHAnsi" w:eastAsiaTheme="minorEastAsia" w:hAnsiTheme="minorHAnsi"/>
          <w:kern w:val="2"/>
          <w:szCs w:val="22"/>
          <w:lang w:eastAsia="en-AU"/>
          <w14:ligatures w14:val="standardContextual"/>
        </w:rPr>
      </w:pPr>
      <w:hyperlink w:anchor="_Toc160715644" w:history="1">
        <w:r w:rsidR="00424E3B" w:rsidRPr="00A46CF5">
          <w:rPr>
            <w:rStyle w:val="Hyperlink"/>
          </w:rPr>
          <w:t>16.10</w:t>
        </w:r>
        <w:r w:rsidR="00424E3B">
          <w:rPr>
            <w:rFonts w:asciiTheme="minorHAnsi" w:eastAsiaTheme="minorEastAsia" w:hAnsiTheme="minorHAnsi"/>
            <w:kern w:val="2"/>
            <w:szCs w:val="22"/>
            <w:lang w:eastAsia="en-AU"/>
            <w14:ligatures w14:val="standardContextual"/>
          </w:rPr>
          <w:tab/>
        </w:r>
        <w:r w:rsidR="00424E3B" w:rsidRPr="00A46CF5">
          <w:rPr>
            <w:rStyle w:val="Hyperlink"/>
          </w:rPr>
          <w:t>Accessibility requirements</w:t>
        </w:r>
        <w:r w:rsidR="00424E3B">
          <w:rPr>
            <w:webHidden/>
          </w:rPr>
          <w:tab/>
        </w:r>
        <w:r w:rsidR="00424E3B">
          <w:rPr>
            <w:webHidden/>
          </w:rPr>
          <w:fldChar w:fldCharType="begin"/>
        </w:r>
        <w:r w:rsidR="00424E3B">
          <w:rPr>
            <w:webHidden/>
          </w:rPr>
          <w:instrText xml:space="preserve"> PAGEREF _Toc160715644 \h </w:instrText>
        </w:r>
        <w:r w:rsidR="00424E3B">
          <w:rPr>
            <w:webHidden/>
          </w:rPr>
        </w:r>
        <w:r w:rsidR="00424E3B">
          <w:rPr>
            <w:webHidden/>
          </w:rPr>
          <w:fldChar w:fldCharType="separate"/>
        </w:r>
        <w:r w:rsidR="00424E3B">
          <w:rPr>
            <w:webHidden/>
          </w:rPr>
          <w:t>62</w:t>
        </w:r>
        <w:r w:rsidR="00424E3B">
          <w:rPr>
            <w:webHidden/>
          </w:rPr>
          <w:fldChar w:fldCharType="end"/>
        </w:r>
      </w:hyperlink>
    </w:p>
    <w:p w14:paraId="24C0A9BD" w14:textId="3A672E48" w:rsidR="00424E3B" w:rsidRDefault="00000000">
      <w:pPr>
        <w:pStyle w:val="TOC3"/>
        <w:rPr>
          <w:rFonts w:asciiTheme="minorHAnsi" w:eastAsiaTheme="minorEastAsia" w:hAnsiTheme="minorHAnsi"/>
          <w:kern w:val="2"/>
          <w:szCs w:val="22"/>
          <w:lang w:eastAsia="en-AU"/>
          <w14:ligatures w14:val="standardContextual"/>
        </w:rPr>
      </w:pPr>
      <w:hyperlink w:anchor="_Toc160715645" w:history="1">
        <w:r w:rsidR="00424E3B" w:rsidRPr="00A46CF5">
          <w:rPr>
            <w:rStyle w:val="Hyperlink"/>
          </w:rPr>
          <w:t>16.10.1</w:t>
        </w:r>
        <w:r w:rsidR="00424E3B">
          <w:rPr>
            <w:rFonts w:asciiTheme="minorHAnsi" w:eastAsiaTheme="minorEastAsia" w:hAnsiTheme="minorHAnsi"/>
            <w:kern w:val="2"/>
            <w:szCs w:val="22"/>
            <w:lang w:eastAsia="en-AU"/>
            <w14:ligatures w14:val="standardContextual"/>
          </w:rPr>
          <w:tab/>
        </w:r>
        <w:r w:rsidR="00424E3B" w:rsidRPr="00A46CF5">
          <w:rPr>
            <w:rStyle w:val="Hyperlink"/>
          </w:rPr>
          <w:t>Online accessibility</w:t>
        </w:r>
        <w:r w:rsidR="00424E3B">
          <w:rPr>
            <w:webHidden/>
          </w:rPr>
          <w:tab/>
        </w:r>
        <w:r w:rsidR="00424E3B">
          <w:rPr>
            <w:webHidden/>
          </w:rPr>
          <w:fldChar w:fldCharType="begin"/>
        </w:r>
        <w:r w:rsidR="00424E3B">
          <w:rPr>
            <w:webHidden/>
          </w:rPr>
          <w:instrText xml:space="preserve"> PAGEREF _Toc160715645 \h </w:instrText>
        </w:r>
        <w:r w:rsidR="00424E3B">
          <w:rPr>
            <w:webHidden/>
          </w:rPr>
        </w:r>
        <w:r w:rsidR="00424E3B">
          <w:rPr>
            <w:webHidden/>
          </w:rPr>
          <w:fldChar w:fldCharType="separate"/>
        </w:r>
        <w:r w:rsidR="00424E3B">
          <w:rPr>
            <w:webHidden/>
          </w:rPr>
          <w:t>62</w:t>
        </w:r>
        <w:r w:rsidR="00424E3B">
          <w:rPr>
            <w:webHidden/>
          </w:rPr>
          <w:fldChar w:fldCharType="end"/>
        </w:r>
      </w:hyperlink>
    </w:p>
    <w:p w14:paraId="0E3C75EE" w14:textId="5A9ED3DE" w:rsidR="00424E3B" w:rsidRDefault="00000000">
      <w:pPr>
        <w:pStyle w:val="TOC3"/>
        <w:rPr>
          <w:rFonts w:asciiTheme="minorHAnsi" w:eastAsiaTheme="minorEastAsia" w:hAnsiTheme="minorHAnsi"/>
          <w:kern w:val="2"/>
          <w:szCs w:val="22"/>
          <w:lang w:eastAsia="en-AU"/>
          <w14:ligatures w14:val="standardContextual"/>
        </w:rPr>
      </w:pPr>
      <w:hyperlink w:anchor="_Toc160715646" w:history="1">
        <w:r w:rsidR="00424E3B" w:rsidRPr="00A46CF5">
          <w:rPr>
            <w:rStyle w:val="Hyperlink"/>
          </w:rPr>
          <w:t>16.10.2</w:t>
        </w:r>
        <w:r w:rsidR="00424E3B">
          <w:rPr>
            <w:rFonts w:asciiTheme="minorHAnsi" w:eastAsiaTheme="minorEastAsia" w:hAnsiTheme="minorHAnsi"/>
            <w:kern w:val="2"/>
            <w:szCs w:val="22"/>
            <w:lang w:eastAsia="en-AU"/>
            <w14:ligatures w14:val="standardContextual"/>
          </w:rPr>
          <w:tab/>
        </w:r>
        <w:r w:rsidR="00424E3B" w:rsidRPr="00A46CF5">
          <w:rPr>
            <w:rStyle w:val="Hyperlink"/>
          </w:rPr>
          <w:t>Improving documents accessibility</w:t>
        </w:r>
        <w:r w:rsidR="00424E3B">
          <w:rPr>
            <w:webHidden/>
          </w:rPr>
          <w:tab/>
        </w:r>
        <w:r w:rsidR="00424E3B">
          <w:rPr>
            <w:webHidden/>
          </w:rPr>
          <w:fldChar w:fldCharType="begin"/>
        </w:r>
        <w:r w:rsidR="00424E3B">
          <w:rPr>
            <w:webHidden/>
          </w:rPr>
          <w:instrText xml:space="preserve"> PAGEREF _Toc160715646 \h </w:instrText>
        </w:r>
        <w:r w:rsidR="00424E3B">
          <w:rPr>
            <w:webHidden/>
          </w:rPr>
        </w:r>
        <w:r w:rsidR="00424E3B">
          <w:rPr>
            <w:webHidden/>
          </w:rPr>
          <w:fldChar w:fldCharType="separate"/>
        </w:r>
        <w:r w:rsidR="00424E3B">
          <w:rPr>
            <w:webHidden/>
          </w:rPr>
          <w:t>62</w:t>
        </w:r>
        <w:r w:rsidR="00424E3B">
          <w:rPr>
            <w:webHidden/>
          </w:rPr>
          <w:fldChar w:fldCharType="end"/>
        </w:r>
      </w:hyperlink>
    </w:p>
    <w:p w14:paraId="4084DCC4" w14:textId="6BAF55E1" w:rsidR="00424E3B" w:rsidRDefault="00000000">
      <w:pPr>
        <w:pStyle w:val="TOC1"/>
        <w:rPr>
          <w:rFonts w:asciiTheme="minorHAnsi" w:eastAsiaTheme="minorEastAsia" w:hAnsiTheme="minorHAnsi"/>
          <w:kern w:val="2"/>
          <w:sz w:val="22"/>
          <w:szCs w:val="22"/>
          <w:lang w:eastAsia="en-AU"/>
          <w14:ligatures w14:val="standardContextual"/>
        </w:rPr>
      </w:pPr>
      <w:hyperlink w:anchor="_Toc160715647" w:history="1">
        <w:r w:rsidR="00424E3B" w:rsidRPr="00A46CF5">
          <w:rPr>
            <w:rStyle w:val="Hyperlink"/>
          </w:rPr>
          <w:t>Appendix 3:</w:t>
        </w:r>
        <w:r w:rsidR="00424E3B">
          <w:rPr>
            <w:webHidden/>
          </w:rPr>
          <w:tab/>
        </w:r>
        <w:r w:rsidR="00424E3B">
          <w:rPr>
            <w:webHidden/>
          </w:rPr>
          <w:fldChar w:fldCharType="begin"/>
        </w:r>
        <w:r w:rsidR="00424E3B">
          <w:rPr>
            <w:webHidden/>
          </w:rPr>
          <w:instrText xml:space="preserve"> PAGEREF _Toc160715647 \h </w:instrText>
        </w:r>
        <w:r w:rsidR="00424E3B">
          <w:rPr>
            <w:webHidden/>
          </w:rPr>
        </w:r>
        <w:r w:rsidR="00424E3B">
          <w:rPr>
            <w:webHidden/>
          </w:rPr>
          <w:fldChar w:fldCharType="separate"/>
        </w:r>
        <w:r w:rsidR="00424E3B">
          <w:rPr>
            <w:webHidden/>
          </w:rPr>
          <w:t>64</w:t>
        </w:r>
        <w:r w:rsidR="00424E3B">
          <w:rPr>
            <w:webHidden/>
          </w:rPr>
          <w:fldChar w:fldCharType="end"/>
        </w:r>
      </w:hyperlink>
    </w:p>
    <w:p w14:paraId="4416129C" w14:textId="2A23BE34" w:rsidR="00424E3B" w:rsidRDefault="00000000">
      <w:pPr>
        <w:pStyle w:val="TOC1"/>
        <w:rPr>
          <w:rFonts w:asciiTheme="minorHAnsi" w:eastAsiaTheme="minorEastAsia" w:hAnsiTheme="minorHAnsi"/>
          <w:kern w:val="2"/>
          <w:sz w:val="22"/>
          <w:szCs w:val="22"/>
          <w:lang w:eastAsia="en-AU"/>
          <w14:ligatures w14:val="standardContextual"/>
        </w:rPr>
      </w:pPr>
      <w:hyperlink w:anchor="_Toc160715648" w:history="1">
        <w:r w:rsidR="00424E3B" w:rsidRPr="00A46CF5">
          <w:rPr>
            <w:rStyle w:val="Hyperlink"/>
          </w:rPr>
          <w:t>17</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Contacts</w:t>
        </w:r>
        <w:r w:rsidR="00424E3B">
          <w:rPr>
            <w:webHidden/>
          </w:rPr>
          <w:tab/>
        </w:r>
        <w:r w:rsidR="00424E3B">
          <w:rPr>
            <w:webHidden/>
          </w:rPr>
          <w:fldChar w:fldCharType="begin"/>
        </w:r>
        <w:r w:rsidR="00424E3B">
          <w:rPr>
            <w:webHidden/>
          </w:rPr>
          <w:instrText xml:space="preserve"> PAGEREF _Toc160715648 \h </w:instrText>
        </w:r>
        <w:r w:rsidR="00424E3B">
          <w:rPr>
            <w:webHidden/>
          </w:rPr>
        </w:r>
        <w:r w:rsidR="00424E3B">
          <w:rPr>
            <w:webHidden/>
          </w:rPr>
          <w:fldChar w:fldCharType="separate"/>
        </w:r>
        <w:r w:rsidR="00424E3B">
          <w:rPr>
            <w:webHidden/>
          </w:rPr>
          <w:t>64</w:t>
        </w:r>
        <w:r w:rsidR="00424E3B">
          <w:rPr>
            <w:webHidden/>
          </w:rPr>
          <w:fldChar w:fldCharType="end"/>
        </w:r>
      </w:hyperlink>
    </w:p>
    <w:p w14:paraId="1DD4C87C" w14:textId="09BE77E8" w:rsidR="00424E3B" w:rsidRDefault="00000000">
      <w:pPr>
        <w:pStyle w:val="TOC2"/>
        <w:rPr>
          <w:rFonts w:asciiTheme="minorHAnsi" w:eastAsiaTheme="minorEastAsia" w:hAnsiTheme="minorHAnsi"/>
          <w:kern w:val="2"/>
          <w:szCs w:val="22"/>
          <w:lang w:eastAsia="en-AU"/>
          <w14:ligatures w14:val="standardContextual"/>
        </w:rPr>
      </w:pPr>
      <w:hyperlink w:anchor="_Toc160715649" w:history="1">
        <w:r w:rsidR="00424E3B" w:rsidRPr="00A46CF5">
          <w:rPr>
            <w:rStyle w:val="Hyperlink"/>
          </w:rPr>
          <w:t>17.1</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 of Finance</w:t>
        </w:r>
        <w:r w:rsidR="00424E3B">
          <w:rPr>
            <w:webHidden/>
          </w:rPr>
          <w:tab/>
        </w:r>
        <w:r w:rsidR="00424E3B">
          <w:rPr>
            <w:webHidden/>
          </w:rPr>
          <w:fldChar w:fldCharType="begin"/>
        </w:r>
        <w:r w:rsidR="00424E3B">
          <w:rPr>
            <w:webHidden/>
          </w:rPr>
          <w:instrText xml:space="preserve"> PAGEREF _Toc160715649 \h </w:instrText>
        </w:r>
        <w:r w:rsidR="00424E3B">
          <w:rPr>
            <w:webHidden/>
          </w:rPr>
        </w:r>
        <w:r w:rsidR="00424E3B">
          <w:rPr>
            <w:webHidden/>
          </w:rPr>
          <w:fldChar w:fldCharType="separate"/>
        </w:r>
        <w:r w:rsidR="00424E3B">
          <w:rPr>
            <w:webHidden/>
          </w:rPr>
          <w:t>64</w:t>
        </w:r>
        <w:r w:rsidR="00424E3B">
          <w:rPr>
            <w:webHidden/>
          </w:rPr>
          <w:fldChar w:fldCharType="end"/>
        </w:r>
      </w:hyperlink>
    </w:p>
    <w:p w14:paraId="071C0069" w14:textId="57C93053" w:rsidR="00424E3B" w:rsidRDefault="00000000">
      <w:pPr>
        <w:pStyle w:val="TOC2"/>
        <w:rPr>
          <w:rFonts w:asciiTheme="minorHAnsi" w:eastAsiaTheme="minorEastAsia" w:hAnsiTheme="minorHAnsi"/>
          <w:kern w:val="2"/>
          <w:szCs w:val="22"/>
          <w:lang w:eastAsia="en-AU"/>
          <w14:ligatures w14:val="standardContextual"/>
        </w:rPr>
      </w:pPr>
      <w:hyperlink w:anchor="_Toc160715650" w:history="1">
        <w:r w:rsidR="00424E3B" w:rsidRPr="00A46CF5">
          <w:rPr>
            <w:rStyle w:val="Hyperlink"/>
          </w:rPr>
          <w:t>17.2</w:t>
        </w:r>
        <w:r w:rsidR="00424E3B">
          <w:rPr>
            <w:rFonts w:asciiTheme="minorHAnsi" w:eastAsiaTheme="minorEastAsia" w:hAnsiTheme="minorHAnsi"/>
            <w:kern w:val="2"/>
            <w:szCs w:val="22"/>
            <w:lang w:eastAsia="en-AU"/>
            <w14:ligatures w14:val="standardContextual"/>
          </w:rPr>
          <w:tab/>
        </w:r>
        <w:r w:rsidR="00424E3B" w:rsidRPr="00A46CF5">
          <w:rPr>
            <w:rStyle w:val="Hyperlink"/>
          </w:rPr>
          <w:t>CanPrint</w:t>
        </w:r>
        <w:r w:rsidR="00424E3B">
          <w:rPr>
            <w:webHidden/>
          </w:rPr>
          <w:tab/>
        </w:r>
        <w:r w:rsidR="00424E3B">
          <w:rPr>
            <w:webHidden/>
          </w:rPr>
          <w:fldChar w:fldCharType="begin"/>
        </w:r>
        <w:r w:rsidR="00424E3B">
          <w:rPr>
            <w:webHidden/>
          </w:rPr>
          <w:instrText xml:space="preserve"> PAGEREF _Toc160715650 \h </w:instrText>
        </w:r>
        <w:r w:rsidR="00424E3B">
          <w:rPr>
            <w:webHidden/>
          </w:rPr>
        </w:r>
        <w:r w:rsidR="00424E3B">
          <w:rPr>
            <w:webHidden/>
          </w:rPr>
          <w:fldChar w:fldCharType="separate"/>
        </w:r>
        <w:r w:rsidR="00424E3B">
          <w:rPr>
            <w:webHidden/>
          </w:rPr>
          <w:t>64</w:t>
        </w:r>
        <w:r w:rsidR="00424E3B">
          <w:rPr>
            <w:webHidden/>
          </w:rPr>
          <w:fldChar w:fldCharType="end"/>
        </w:r>
      </w:hyperlink>
    </w:p>
    <w:p w14:paraId="58487AEF" w14:textId="1FBE3156" w:rsidR="00424E3B" w:rsidRDefault="00000000">
      <w:pPr>
        <w:pStyle w:val="TOC2"/>
        <w:rPr>
          <w:rFonts w:asciiTheme="minorHAnsi" w:eastAsiaTheme="minorEastAsia" w:hAnsiTheme="minorHAnsi"/>
          <w:kern w:val="2"/>
          <w:szCs w:val="22"/>
          <w:lang w:eastAsia="en-AU"/>
          <w14:ligatures w14:val="standardContextual"/>
        </w:rPr>
      </w:pPr>
      <w:hyperlink w:anchor="_Toc160715651" w:history="1">
        <w:r w:rsidR="00424E3B" w:rsidRPr="00A46CF5">
          <w:rPr>
            <w:rStyle w:val="Hyperlink"/>
          </w:rPr>
          <w:t>17.3</w:t>
        </w:r>
        <w:r w:rsidR="00424E3B">
          <w:rPr>
            <w:rFonts w:asciiTheme="minorHAnsi" w:eastAsiaTheme="minorEastAsia" w:hAnsiTheme="minorHAnsi"/>
            <w:kern w:val="2"/>
            <w:szCs w:val="22"/>
            <w:lang w:eastAsia="en-AU"/>
            <w14:ligatures w14:val="standardContextual"/>
          </w:rPr>
          <w:tab/>
        </w:r>
        <w:r w:rsidR="00424E3B" w:rsidRPr="00A46CF5">
          <w:rPr>
            <w:rStyle w:val="Hyperlink"/>
          </w:rPr>
          <w:t>Treasury</w:t>
        </w:r>
        <w:r w:rsidR="00424E3B">
          <w:rPr>
            <w:webHidden/>
          </w:rPr>
          <w:tab/>
        </w:r>
        <w:r w:rsidR="00424E3B">
          <w:rPr>
            <w:webHidden/>
          </w:rPr>
          <w:fldChar w:fldCharType="begin"/>
        </w:r>
        <w:r w:rsidR="00424E3B">
          <w:rPr>
            <w:webHidden/>
          </w:rPr>
          <w:instrText xml:space="preserve"> PAGEREF _Toc160715651 \h </w:instrText>
        </w:r>
        <w:r w:rsidR="00424E3B">
          <w:rPr>
            <w:webHidden/>
          </w:rPr>
        </w:r>
        <w:r w:rsidR="00424E3B">
          <w:rPr>
            <w:webHidden/>
          </w:rPr>
          <w:fldChar w:fldCharType="separate"/>
        </w:r>
        <w:r w:rsidR="00424E3B">
          <w:rPr>
            <w:webHidden/>
          </w:rPr>
          <w:t>64</w:t>
        </w:r>
        <w:r w:rsidR="00424E3B">
          <w:rPr>
            <w:webHidden/>
          </w:rPr>
          <w:fldChar w:fldCharType="end"/>
        </w:r>
      </w:hyperlink>
    </w:p>
    <w:p w14:paraId="6FA104E7" w14:textId="305E7D28" w:rsidR="00424E3B" w:rsidRDefault="00000000">
      <w:pPr>
        <w:pStyle w:val="TOC2"/>
        <w:rPr>
          <w:rFonts w:asciiTheme="minorHAnsi" w:eastAsiaTheme="minorEastAsia" w:hAnsiTheme="minorHAnsi"/>
          <w:kern w:val="2"/>
          <w:szCs w:val="22"/>
          <w:lang w:eastAsia="en-AU"/>
          <w14:ligatures w14:val="standardContextual"/>
        </w:rPr>
      </w:pPr>
      <w:hyperlink w:anchor="_Toc160715652" w:history="1">
        <w:r w:rsidR="00424E3B" w:rsidRPr="00A46CF5">
          <w:rPr>
            <w:rStyle w:val="Hyperlink"/>
          </w:rPr>
          <w:t>17.4</w:t>
        </w:r>
        <w:r w:rsidR="00424E3B">
          <w:rPr>
            <w:rFonts w:asciiTheme="minorHAnsi" w:eastAsiaTheme="minorEastAsia" w:hAnsiTheme="minorHAnsi"/>
            <w:kern w:val="2"/>
            <w:szCs w:val="22"/>
            <w:lang w:eastAsia="en-AU"/>
            <w14:ligatures w14:val="standardContextual"/>
          </w:rPr>
          <w:tab/>
        </w:r>
        <w:r w:rsidR="00424E3B" w:rsidRPr="00A46CF5">
          <w:rPr>
            <w:rStyle w:val="Hyperlink"/>
          </w:rPr>
          <w:t>Senate Table Office</w:t>
        </w:r>
        <w:r w:rsidR="00424E3B">
          <w:rPr>
            <w:webHidden/>
          </w:rPr>
          <w:tab/>
        </w:r>
        <w:r w:rsidR="00424E3B">
          <w:rPr>
            <w:webHidden/>
          </w:rPr>
          <w:fldChar w:fldCharType="begin"/>
        </w:r>
        <w:r w:rsidR="00424E3B">
          <w:rPr>
            <w:webHidden/>
          </w:rPr>
          <w:instrText xml:space="preserve"> PAGEREF _Toc160715652 \h </w:instrText>
        </w:r>
        <w:r w:rsidR="00424E3B">
          <w:rPr>
            <w:webHidden/>
          </w:rPr>
        </w:r>
        <w:r w:rsidR="00424E3B">
          <w:rPr>
            <w:webHidden/>
          </w:rPr>
          <w:fldChar w:fldCharType="separate"/>
        </w:r>
        <w:r w:rsidR="00424E3B">
          <w:rPr>
            <w:webHidden/>
          </w:rPr>
          <w:t>65</w:t>
        </w:r>
        <w:r w:rsidR="00424E3B">
          <w:rPr>
            <w:webHidden/>
          </w:rPr>
          <w:fldChar w:fldCharType="end"/>
        </w:r>
      </w:hyperlink>
    </w:p>
    <w:p w14:paraId="0F460935" w14:textId="0C9AE678" w:rsidR="00424E3B" w:rsidRDefault="00000000">
      <w:pPr>
        <w:pStyle w:val="TOC1"/>
        <w:rPr>
          <w:rFonts w:asciiTheme="minorHAnsi" w:eastAsiaTheme="minorEastAsia" w:hAnsiTheme="minorHAnsi"/>
          <w:kern w:val="2"/>
          <w:sz w:val="22"/>
          <w:szCs w:val="22"/>
          <w:lang w:eastAsia="en-AU"/>
          <w14:ligatures w14:val="standardContextual"/>
        </w:rPr>
      </w:pPr>
      <w:hyperlink w:anchor="_Toc160715653" w:history="1">
        <w:r w:rsidR="00424E3B" w:rsidRPr="00A46CF5">
          <w:rPr>
            <w:rStyle w:val="Hyperlink"/>
          </w:rPr>
          <w:t>18</w:t>
        </w:r>
        <w:r w:rsidR="00424E3B">
          <w:rPr>
            <w:rFonts w:asciiTheme="minorHAnsi" w:eastAsiaTheme="minorEastAsia" w:hAnsiTheme="minorHAnsi"/>
            <w:kern w:val="2"/>
            <w:sz w:val="22"/>
            <w:szCs w:val="22"/>
            <w:lang w:eastAsia="en-AU"/>
            <w14:ligatures w14:val="standardContextual"/>
          </w:rPr>
          <w:tab/>
        </w:r>
        <w:r w:rsidR="00424E3B" w:rsidRPr="00A46CF5">
          <w:rPr>
            <w:rStyle w:val="Hyperlink"/>
          </w:rPr>
          <w:t>Glossary of terms</w:t>
        </w:r>
        <w:r w:rsidR="00424E3B">
          <w:rPr>
            <w:webHidden/>
          </w:rPr>
          <w:tab/>
        </w:r>
        <w:r w:rsidR="00424E3B">
          <w:rPr>
            <w:webHidden/>
          </w:rPr>
          <w:fldChar w:fldCharType="begin"/>
        </w:r>
        <w:r w:rsidR="00424E3B">
          <w:rPr>
            <w:webHidden/>
          </w:rPr>
          <w:instrText xml:space="preserve"> PAGEREF _Toc160715653 \h </w:instrText>
        </w:r>
        <w:r w:rsidR="00424E3B">
          <w:rPr>
            <w:webHidden/>
          </w:rPr>
        </w:r>
        <w:r w:rsidR="00424E3B">
          <w:rPr>
            <w:webHidden/>
          </w:rPr>
          <w:fldChar w:fldCharType="separate"/>
        </w:r>
        <w:r w:rsidR="00424E3B">
          <w:rPr>
            <w:webHidden/>
          </w:rPr>
          <w:t>66</w:t>
        </w:r>
        <w:r w:rsidR="00424E3B">
          <w:rPr>
            <w:webHidden/>
          </w:rPr>
          <w:fldChar w:fldCharType="end"/>
        </w:r>
      </w:hyperlink>
    </w:p>
    <w:p w14:paraId="0CDBF054" w14:textId="56443C0A" w:rsidR="00424E3B" w:rsidRDefault="00000000">
      <w:pPr>
        <w:pStyle w:val="TOC2"/>
        <w:rPr>
          <w:rFonts w:asciiTheme="minorHAnsi" w:eastAsiaTheme="minorEastAsia" w:hAnsiTheme="minorHAnsi"/>
          <w:kern w:val="2"/>
          <w:szCs w:val="22"/>
          <w:lang w:eastAsia="en-AU"/>
          <w14:ligatures w14:val="standardContextual"/>
        </w:rPr>
      </w:pPr>
      <w:hyperlink w:anchor="_Toc160715654" w:history="1">
        <w:r w:rsidR="00424E3B" w:rsidRPr="00A46CF5">
          <w:rPr>
            <w:rStyle w:val="Hyperlink"/>
          </w:rPr>
          <w:t>18.1</w:t>
        </w:r>
        <w:r w:rsidR="00424E3B">
          <w:rPr>
            <w:rFonts w:asciiTheme="minorHAnsi" w:eastAsiaTheme="minorEastAsia" w:hAnsiTheme="minorHAnsi"/>
            <w:kern w:val="2"/>
            <w:szCs w:val="22"/>
            <w:lang w:eastAsia="en-AU"/>
            <w14:ligatures w14:val="standardContextual"/>
          </w:rPr>
          <w:tab/>
        </w:r>
        <w:r w:rsidR="00424E3B" w:rsidRPr="00A46CF5">
          <w:rPr>
            <w:rStyle w:val="Hyperlink"/>
          </w:rPr>
          <w:t>Activities</w:t>
        </w:r>
        <w:r w:rsidR="00424E3B">
          <w:rPr>
            <w:webHidden/>
          </w:rPr>
          <w:tab/>
        </w:r>
        <w:r w:rsidR="00424E3B">
          <w:rPr>
            <w:webHidden/>
          </w:rPr>
          <w:fldChar w:fldCharType="begin"/>
        </w:r>
        <w:r w:rsidR="00424E3B">
          <w:rPr>
            <w:webHidden/>
          </w:rPr>
          <w:instrText xml:space="preserve"> PAGEREF _Toc160715654 \h </w:instrText>
        </w:r>
        <w:r w:rsidR="00424E3B">
          <w:rPr>
            <w:webHidden/>
          </w:rPr>
        </w:r>
        <w:r w:rsidR="00424E3B">
          <w:rPr>
            <w:webHidden/>
          </w:rPr>
          <w:fldChar w:fldCharType="separate"/>
        </w:r>
        <w:r w:rsidR="00424E3B">
          <w:rPr>
            <w:webHidden/>
          </w:rPr>
          <w:t>66</w:t>
        </w:r>
        <w:r w:rsidR="00424E3B">
          <w:rPr>
            <w:webHidden/>
          </w:rPr>
          <w:fldChar w:fldCharType="end"/>
        </w:r>
      </w:hyperlink>
    </w:p>
    <w:p w14:paraId="6C9F7139" w14:textId="3CC26AFC" w:rsidR="00424E3B" w:rsidRDefault="00000000">
      <w:pPr>
        <w:pStyle w:val="TOC2"/>
        <w:rPr>
          <w:rFonts w:asciiTheme="minorHAnsi" w:eastAsiaTheme="minorEastAsia" w:hAnsiTheme="minorHAnsi"/>
          <w:kern w:val="2"/>
          <w:szCs w:val="22"/>
          <w:lang w:eastAsia="en-AU"/>
          <w14:ligatures w14:val="standardContextual"/>
        </w:rPr>
      </w:pPr>
      <w:hyperlink w:anchor="_Toc160715655" w:history="1">
        <w:r w:rsidR="00424E3B" w:rsidRPr="00A46CF5">
          <w:rPr>
            <w:rStyle w:val="Hyperlink"/>
          </w:rPr>
          <w:t>18.2</w:t>
        </w:r>
        <w:r w:rsidR="00424E3B">
          <w:rPr>
            <w:rFonts w:asciiTheme="minorHAnsi" w:eastAsiaTheme="minorEastAsia" w:hAnsiTheme="minorHAnsi"/>
            <w:kern w:val="2"/>
            <w:szCs w:val="22"/>
            <w:lang w:eastAsia="en-AU"/>
            <w14:ligatures w14:val="standardContextual"/>
          </w:rPr>
          <w:tab/>
        </w:r>
        <w:r w:rsidR="00424E3B" w:rsidRPr="00A46CF5">
          <w:rPr>
            <w:rStyle w:val="Hyperlink"/>
          </w:rPr>
          <w:t>Actual available appropriation</w:t>
        </w:r>
        <w:r w:rsidR="00424E3B">
          <w:rPr>
            <w:webHidden/>
          </w:rPr>
          <w:tab/>
        </w:r>
        <w:r w:rsidR="00424E3B">
          <w:rPr>
            <w:webHidden/>
          </w:rPr>
          <w:fldChar w:fldCharType="begin"/>
        </w:r>
        <w:r w:rsidR="00424E3B">
          <w:rPr>
            <w:webHidden/>
          </w:rPr>
          <w:instrText xml:space="preserve"> PAGEREF _Toc160715655 \h </w:instrText>
        </w:r>
        <w:r w:rsidR="00424E3B">
          <w:rPr>
            <w:webHidden/>
          </w:rPr>
        </w:r>
        <w:r w:rsidR="00424E3B">
          <w:rPr>
            <w:webHidden/>
          </w:rPr>
          <w:fldChar w:fldCharType="separate"/>
        </w:r>
        <w:r w:rsidR="00424E3B">
          <w:rPr>
            <w:webHidden/>
          </w:rPr>
          <w:t>66</w:t>
        </w:r>
        <w:r w:rsidR="00424E3B">
          <w:rPr>
            <w:webHidden/>
          </w:rPr>
          <w:fldChar w:fldCharType="end"/>
        </w:r>
      </w:hyperlink>
    </w:p>
    <w:p w14:paraId="3BC78614" w14:textId="240A851C" w:rsidR="00424E3B" w:rsidRDefault="00000000">
      <w:pPr>
        <w:pStyle w:val="TOC2"/>
        <w:rPr>
          <w:rFonts w:asciiTheme="minorHAnsi" w:eastAsiaTheme="minorEastAsia" w:hAnsiTheme="minorHAnsi"/>
          <w:kern w:val="2"/>
          <w:szCs w:val="22"/>
          <w:lang w:eastAsia="en-AU"/>
          <w14:ligatures w14:val="standardContextual"/>
        </w:rPr>
      </w:pPr>
      <w:hyperlink w:anchor="_Toc160715656" w:history="1">
        <w:r w:rsidR="00424E3B" w:rsidRPr="00A46CF5">
          <w:rPr>
            <w:rStyle w:val="Hyperlink"/>
          </w:rPr>
          <w:t>18.3</w:t>
        </w:r>
        <w:r w:rsidR="00424E3B">
          <w:rPr>
            <w:rFonts w:asciiTheme="minorHAnsi" w:eastAsiaTheme="minorEastAsia" w:hAnsiTheme="minorHAnsi"/>
            <w:kern w:val="2"/>
            <w:szCs w:val="22"/>
            <w:lang w:eastAsia="en-AU"/>
            <w14:ligatures w14:val="standardContextual"/>
          </w:rPr>
          <w:tab/>
        </w:r>
        <w:r w:rsidR="00424E3B" w:rsidRPr="00A46CF5">
          <w:rPr>
            <w:rStyle w:val="Hyperlink"/>
          </w:rPr>
          <w:t>Administered item</w:t>
        </w:r>
        <w:r w:rsidR="00424E3B">
          <w:rPr>
            <w:webHidden/>
          </w:rPr>
          <w:tab/>
        </w:r>
        <w:r w:rsidR="00424E3B">
          <w:rPr>
            <w:webHidden/>
          </w:rPr>
          <w:fldChar w:fldCharType="begin"/>
        </w:r>
        <w:r w:rsidR="00424E3B">
          <w:rPr>
            <w:webHidden/>
          </w:rPr>
          <w:instrText xml:space="preserve"> PAGEREF _Toc160715656 \h </w:instrText>
        </w:r>
        <w:r w:rsidR="00424E3B">
          <w:rPr>
            <w:webHidden/>
          </w:rPr>
        </w:r>
        <w:r w:rsidR="00424E3B">
          <w:rPr>
            <w:webHidden/>
          </w:rPr>
          <w:fldChar w:fldCharType="separate"/>
        </w:r>
        <w:r w:rsidR="00424E3B">
          <w:rPr>
            <w:webHidden/>
          </w:rPr>
          <w:t>66</w:t>
        </w:r>
        <w:r w:rsidR="00424E3B">
          <w:rPr>
            <w:webHidden/>
          </w:rPr>
          <w:fldChar w:fldCharType="end"/>
        </w:r>
      </w:hyperlink>
    </w:p>
    <w:p w14:paraId="706F762B" w14:textId="56FB14A9" w:rsidR="00424E3B" w:rsidRDefault="00000000">
      <w:pPr>
        <w:pStyle w:val="TOC2"/>
        <w:rPr>
          <w:rFonts w:asciiTheme="minorHAnsi" w:eastAsiaTheme="minorEastAsia" w:hAnsiTheme="minorHAnsi"/>
          <w:kern w:val="2"/>
          <w:szCs w:val="22"/>
          <w:lang w:eastAsia="en-AU"/>
          <w14:ligatures w14:val="standardContextual"/>
        </w:rPr>
      </w:pPr>
      <w:hyperlink w:anchor="_Toc160715657" w:history="1">
        <w:r w:rsidR="00424E3B" w:rsidRPr="00A46CF5">
          <w:rPr>
            <w:rStyle w:val="Hyperlink"/>
          </w:rPr>
          <w:t>18.4</w:t>
        </w:r>
        <w:r w:rsidR="00424E3B">
          <w:rPr>
            <w:rFonts w:asciiTheme="minorHAnsi" w:eastAsiaTheme="minorEastAsia" w:hAnsiTheme="minorHAnsi"/>
            <w:kern w:val="2"/>
            <w:szCs w:val="22"/>
            <w:lang w:eastAsia="en-AU"/>
            <w14:ligatures w14:val="standardContextual"/>
          </w:rPr>
          <w:tab/>
        </w:r>
        <w:r w:rsidR="00424E3B" w:rsidRPr="00A46CF5">
          <w:rPr>
            <w:rStyle w:val="Hyperlink"/>
          </w:rPr>
          <w:t>Administrative Arrangements Order</w:t>
        </w:r>
        <w:r w:rsidR="00424E3B">
          <w:rPr>
            <w:webHidden/>
          </w:rPr>
          <w:tab/>
        </w:r>
        <w:r w:rsidR="00424E3B">
          <w:rPr>
            <w:webHidden/>
          </w:rPr>
          <w:fldChar w:fldCharType="begin"/>
        </w:r>
        <w:r w:rsidR="00424E3B">
          <w:rPr>
            <w:webHidden/>
          </w:rPr>
          <w:instrText xml:space="preserve"> PAGEREF _Toc160715657 \h </w:instrText>
        </w:r>
        <w:r w:rsidR="00424E3B">
          <w:rPr>
            <w:webHidden/>
          </w:rPr>
        </w:r>
        <w:r w:rsidR="00424E3B">
          <w:rPr>
            <w:webHidden/>
          </w:rPr>
          <w:fldChar w:fldCharType="separate"/>
        </w:r>
        <w:r w:rsidR="00424E3B">
          <w:rPr>
            <w:webHidden/>
          </w:rPr>
          <w:t>66</w:t>
        </w:r>
        <w:r w:rsidR="00424E3B">
          <w:rPr>
            <w:webHidden/>
          </w:rPr>
          <w:fldChar w:fldCharType="end"/>
        </w:r>
      </w:hyperlink>
    </w:p>
    <w:p w14:paraId="7F1545B4" w14:textId="2590C338" w:rsidR="00424E3B" w:rsidRDefault="00000000">
      <w:pPr>
        <w:pStyle w:val="TOC2"/>
        <w:rPr>
          <w:rFonts w:asciiTheme="minorHAnsi" w:eastAsiaTheme="minorEastAsia" w:hAnsiTheme="minorHAnsi"/>
          <w:kern w:val="2"/>
          <w:szCs w:val="22"/>
          <w:lang w:eastAsia="en-AU"/>
          <w14:ligatures w14:val="standardContextual"/>
        </w:rPr>
      </w:pPr>
      <w:hyperlink w:anchor="_Toc160715658" w:history="1">
        <w:r w:rsidR="00424E3B" w:rsidRPr="00A46CF5">
          <w:rPr>
            <w:rStyle w:val="Hyperlink"/>
          </w:rPr>
          <w:t>18.5</w:t>
        </w:r>
        <w:r w:rsidR="00424E3B">
          <w:rPr>
            <w:rFonts w:asciiTheme="minorHAnsi" w:eastAsiaTheme="minorEastAsia" w:hAnsiTheme="minorHAnsi"/>
            <w:kern w:val="2"/>
            <w:szCs w:val="22"/>
            <w:lang w:eastAsia="en-AU"/>
            <w14:ligatures w14:val="standardContextual"/>
          </w:rPr>
          <w:tab/>
        </w:r>
        <w:r w:rsidR="00424E3B" w:rsidRPr="00A46CF5">
          <w:rPr>
            <w:rStyle w:val="Hyperlink"/>
          </w:rPr>
          <w:t>Agency Advice Unit</w:t>
        </w:r>
        <w:r w:rsidR="00424E3B">
          <w:rPr>
            <w:webHidden/>
          </w:rPr>
          <w:tab/>
        </w:r>
        <w:r w:rsidR="00424E3B">
          <w:rPr>
            <w:webHidden/>
          </w:rPr>
          <w:fldChar w:fldCharType="begin"/>
        </w:r>
        <w:r w:rsidR="00424E3B">
          <w:rPr>
            <w:webHidden/>
          </w:rPr>
          <w:instrText xml:space="preserve"> PAGEREF _Toc160715658 \h </w:instrText>
        </w:r>
        <w:r w:rsidR="00424E3B">
          <w:rPr>
            <w:webHidden/>
          </w:rPr>
        </w:r>
        <w:r w:rsidR="00424E3B">
          <w:rPr>
            <w:webHidden/>
          </w:rPr>
          <w:fldChar w:fldCharType="separate"/>
        </w:r>
        <w:r w:rsidR="00424E3B">
          <w:rPr>
            <w:webHidden/>
          </w:rPr>
          <w:t>66</w:t>
        </w:r>
        <w:r w:rsidR="00424E3B">
          <w:rPr>
            <w:webHidden/>
          </w:rPr>
          <w:fldChar w:fldCharType="end"/>
        </w:r>
      </w:hyperlink>
    </w:p>
    <w:p w14:paraId="6E2014C8" w14:textId="6F10AFCF" w:rsidR="00424E3B" w:rsidRDefault="00000000">
      <w:pPr>
        <w:pStyle w:val="TOC2"/>
        <w:rPr>
          <w:rFonts w:asciiTheme="minorHAnsi" w:eastAsiaTheme="minorEastAsia" w:hAnsiTheme="minorHAnsi"/>
          <w:kern w:val="2"/>
          <w:szCs w:val="22"/>
          <w:lang w:eastAsia="en-AU"/>
          <w14:ligatures w14:val="standardContextual"/>
        </w:rPr>
      </w:pPr>
      <w:hyperlink w:anchor="_Toc160715659" w:history="1">
        <w:r w:rsidR="00424E3B" w:rsidRPr="00A46CF5">
          <w:rPr>
            <w:rStyle w:val="Hyperlink"/>
          </w:rPr>
          <w:t>18.6</w:t>
        </w:r>
        <w:r w:rsidR="00424E3B">
          <w:rPr>
            <w:rFonts w:asciiTheme="minorHAnsi" w:eastAsiaTheme="minorEastAsia" w:hAnsiTheme="minorHAnsi"/>
            <w:kern w:val="2"/>
            <w:szCs w:val="22"/>
            <w:lang w:eastAsia="en-AU"/>
            <w14:ligatures w14:val="standardContextual"/>
          </w:rPr>
          <w:tab/>
        </w:r>
        <w:r w:rsidR="00424E3B" w:rsidRPr="00A46CF5">
          <w:rPr>
            <w:rStyle w:val="Hyperlink"/>
          </w:rPr>
          <w:t>Appropriation</w:t>
        </w:r>
        <w:r w:rsidR="00424E3B">
          <w:rPr>
            <w:webHidden/>
          </w:rPr>
          <w:tab/>
        </w:r>
        <w:r w:rsidR="00424E3B">
          <w:rPr>
            <w:webHidden/>
          </w:rPr>
          <w:fldChar w:fldCharType="begin"/>
        </w:r>
        <w:r w:rsidR="00424E3B">
          <w:rPr>
            <w:webHidden/>
          </w:rPr>
          <w:instrText xml:space="preserve"> PAGEREF _Toc160715659 \h </w:instrText>
        </w:r>
        <w:r w:rsidR="00424E3B">
          <w:rPr>
            <w:webHidden/>
          </w:rPr>
        </w:r>
        <w:r w:rsidR="00424E3B">
          <w:rPr>
            <w:webHidden/>
          </w:rPr>
          <w:fldChar w:fldCharType="separate"/>
        </w:r>
        <w:r w:rsidR="00424E3B">
          <w:rPr>
            <w:webHidden/>
          </w:rPr>
          <w:t>66</w:t>
        </w:r>
        <w:r w:rsidR="00424E3B">
          <w:rPr>
            <w:webHidden/>
          </w:rPr>
          <w:fldChar w:fldCharType="end"/>
        </w:r>
      </w:hyperlink>
    </w:p>
    <w:p w14:paraId="5FCA2960" w14:textId="782E61DF" w:rsidR="00424E3B" w:rsidRDefault="00000000">
      <w:pPr>
        <w:pStyle w:val="TOC2"/>
        <w:rPr>
          <w:rFonts w:asciiTheme="minorHAnsi" w:eastAsiaTheme="minorEastAsia" w:hAnsiTheme="minorHAnsi"/>
          <w:kern w:val="2"/>
          <w:szCs w:val="22"/>
          <w:lang w:eastAsia="en-AU"/>
          <w14:ligatures w14:val="standardContextual"/>
        </w:rPr>
      </w:pPr>
      <w:hyperlink w:anchor="_Toc160715660" w:history="1">
        <w:r w:rsidR="00424E3B" w:rsidRPr="00A46CF5">
          <w:rPr>
            <w:rStyle w:val="Hyperlink"/>
          </w:rPr>
          <w:t>18.7</w:t>
        </w:r>
        <w:r w:rsidR="00424E3B">
          <w:rPr>
            <w:rFonts w:asciiTheme="minorHAnsi" w:eastAsiaTheme="minorEastAsia" w:hAnsiTheme="minorHAnsi"/>
            <w:kern w:val="2"/>
            <w:szCs w:val="22"/>
            <w:lang w:eastAsia="en-AU"/>
            <w14:ligatures w14:val="standardContextual"/>
          </w:rPr>
          <w:tab/>
        </w:r>
        <w:r w:rsidR="00424E3B" w:rsidRPr="00A46CF5">
          <w:rPr>
            <w:rStyle w:val="Hyperlink"/>
          </w:rPr>
          <w:t>Cash Management module</w:t>
        </w:r>
        <w:r w:rsidR="00424E3B">
          <w:rPr>
            <w:webHidden/>
          </w:rPr>
          <w:tab/>
        </w:r>
        <w:r w:rsidR="00424E3B">
          <w:rPr>
            <w:webHidden/>
          </w:rPr>
          <w:fldChar w:fldCharType="begin"/>
        </w:r>
        <w:r w:rsidR="00424E3B">
          <w:rPr>
            <w:webHidden/>
          </w:rPr>
          <w:instrText xml:space="preserve"> PAGEREF _Toc160715660 \h </w:instrText>
        </w:r>
        <w:r w:rsidR="00424E3B">
          <w:rPr>
            <w:webHidden/>
          </w:rPr>
        </w:r>
        <w:r w:rsidR="00424E3B">
          <w:rPr>
            <w:webHidden/>
          </w:rPr>
          <w:fldChar w:fldCharType="separate"/>
        </w:r>
        <w:r w:rsidR="00424E3B">
          <w:rPr>
            <w:webHidden/>
          </w:rPr>
          <w:t>66</w:t>
        </w:r>
        <w:r w:rsidR="00424E3B">
          <w:rPr>
            <w:webHidden/>
          </w:rPr>
          <w:fldChar w:fldCharType="end"/>
        </w:r>
      </w:hyperlink>
    </w:p>
    <w:p w14:paraId="69A2374B" w14:textId="464CA388" w:rsidR="00424E3B" w:rsidRDefault="00000000">
      <w:pPr>
        <w:pStyle w:val="TOC2"/>
        <w:rPr>
          <w:rFonts w:asciiTheme="minorHAnsi" w:eastAsiaTheme="minorEastAsia" w:hAnsiTheme="minorHAnsi"/>
          <w:kern w:val="2"/>
          <w:szCs w:val="22"/>
          <w:lang w:eastAsia="en-AU"/>
          <w14:ligatures w14:val="standardContextual"/>
        </w:rPr>
      </w:pPr>
      <w:hyperlink w:anchor="_Toc160715661" w:history="1">
        <w:r w:rsidR="00424E3B" w:rsidRPr="00A46CF5">
          <w:rPr>
            <w:rStyle w:val="Hyperlink"/>
          </w:rPr>
          <w:t>18.8</w:t>
        </w:r>
        <w:r w:rsidR="00424E3B">
          <w:rPr>
            <w:rFonts w:asciiTheme="minorHAnsi" w:eastAsiaTheme="minorEastAsia" w:hAnsiTheme="minorHAnsi"/>
            <w:kern w:val="2"/>
            <w:szCs w:val="22"/>
            <w:lang w:eastAsia="en-AU"/>
            <w14:ligatures w14:val="standardContextual"/>
          </w:rPr>
          <w:tab/>
        </w:r>
        <w:r w:rsidR="00424E3B" w:rsidRPr="00A46CF5">
          <w:rPr>
            <w:rStyle w:val="Hyperlink"/>
          </w:rPr>
          <w:t>Australian Government Organisation Register</w:t>
        </w:r>
        <w:r w:rsidR="00424E3B">
          <w:rPr>
            <w:webHidden/>
          </w:rPr>
          <w:tab/>
        </w:r>
        <w:r w:rsidR="00424E3B">
          <w:rPr>
            <w:webHidden/>
          </w:rPr>
          <w:fldChar w:fldCharType="begin"/>
        </w:r>
        <w:r w:rsidR="00424E3B">
          <w:rPr>
            <w:webHidden/>
          </w:rPr>
          <w:instrText xml:space="preserve"> PAGEREF _Toc160715661 \h </w:instrText>
        </w:r>
        <w:r w:rsidR="00424E3B">
          <w:rPr>
            <w:webHidden/>
          </w:rPr>
        </w:r>
        <w:r w:rsidR="00424E3B">
          <w:rPr>
            <w:webHidden/>
          </w:rPr>
          <w:fldChar w:fldCharType="separate"/>
        </w:r>
        <w:r w:rsidR="00424E3B">
          <w:rPr>
            <w:webHidden/>
          </w:rPr>
          <w:t>67</w:t>
        </w:r>
        <w:r w:rsidR="00424E3B">
          <w:rPr>
            <w:webHidden/>
          </w:rPr>
          <w:fldChar w:fldCharType="end"/>
        </w:r>
      </w:hyperlink>
    </w:p>
    <w:p w14:paraId="0F3015E9" w14:textId="40103A00" w:rsidR="00424E3B" w:rsidRDefault="00000000">
      <w:pPr>
        <w:pStyle w:val="TOC2"/>
        <w:rPr>
          <w:rFonts w:asciiTheme="minorHAnsi" w:eastAsiaTheme="minorEastAsia" w:hAnsiTheme="minorHAnsi"/>
          <w:kern w:val="2"/>
          <w:szCs w:val="22"/>
          <w:lang w:eastAsia="en-AU"/>
          <w14:ligatures w14:val="standardContextual"/>
        </w:rPr>
      </w:pPr>
      <w:hyperlink w:anchor="_Toc160715662" w:history="1">
        <w:r w:rsidR="00424E3B" w:rsidRPr="00A46CF5">
          <w:rPr>
            <w:rStyle w:val="Hyperlink"/>
          </w:rPr>
          <w:t>18.9</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 Paper 1 (BP No. 1)</w:t>
        </w:r>
        <w:r w:rsidR="00424E3B">
          <w:rPr>
            <w:webHidden/>
          </w:rPr>
          <w:tab/>
        </w:r>
        <w:r w:rsidR="00424E3B">
          <w:rPr>
            <w:webHidden/>
          </w:rPr>
          <w:fldChar w:fldCharType="begin"/>
        </w:r>
        <w:r w:rsidR="00424E3B">
          <w:rPr>
            <w:webHidden/>
          </w:rPr>
          <w:instrText xml:space="preserve"> PAGEREF _Toc160715662 \h </w:instrText>
        </w:r>
        <w:r w:rsidR="00424E3B">
          <w:rPr>
            <w:webHidden/>
          </w:rPr>
        </w:r>
        <w:r w:rsidR="00424E3B">
          <w:rPr>
            <w:webHidden/>
          </w:rPr>
          <w:fldChar w:fldCharType="separate"/>
        </w:r>
        <w:r w:rsidR="00424E3B">
          <w:rPr>
            <w:webHidden/>
          </w:rPr>
          <w:t>67</w:t>
        </w:r>
        <w:r w:rsidR="00424E3B">
          <w:rPr>
            <w:webHidden/>
          </w:rPr>
          <w:fldChar w:fldCharType="end"/>
        </w:r>
      </w:hyperlink>
    </w:p>
    <w:p w14:paraId="42C54112" w14:textId="781BDFE9" w:rsidR="00424E3B" w:rsidRDefault="00000000">
      <w:pPr>
        <w:pStyle w:val="TOC2"/>
        <w:rPr>
          <w:rFonts w:asciiTheme="minorHAnsi" w:eastAsiaTheme="minorEastAsia" w:hAnsiTheme="minorHAnsi"/>
          <w:kern w:val="2"/>
          <w:szCs w:val="22"/>
          <w:lang w:eastAsia="en-AU"/>
          <w14:ligatures w14:val="standardContextual"/>
        </w:rPr>
      </w:pPr>
      <w:hyperlink w:anchor="_Toc160715663" w:history="1">
        <w:r w:rsidR="00424E3B" w:rsidRPr="00A46CF5">
          <w:rPr>
            <w:rStyle w:val="Hyperlink"/>
          </w:rPr>
          <w:t>18.10</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 Paper 2 (BP No. 2)</w:t>
        </w:r>
        <w:r w:rsidR="00424E3B">
          <w:rPr>
            <w:webHidden/>
          </w:rPr>
          <w:tab/>
        </w:r>
        <w:r w:rsidR="00424E3B">
          <w:rPr>
            <w:webHidden/>
          </w:rPr>
          <w:fldChar w:fldCharType="begin"/>
        </w:r>
        <w:r w:rsidR="00424E3B">
          <w:rPr>
            <w:webHidden/>
          </w:rPr>
          <w:instrText xml:space="preserve"> PAGEREF _Toc160715663 \h </w:instrText>
        </w:r>
        <w:r w:rsidR="00424E3B">
          <w:rPr>
            <w:webHidden/>
          </w:rPr>
        </w:r>
        <w:r w:rsidR="00424E3B">
          <w:rPr>
            <w:webHidden/>
          </w:rPr>
          <w:fldChar w:fldCharType="separate"/>
        </w:r>
        <w:r w:rsidR="00424E3B">
          <w:rPr>
            <w:webHidden/>
          </w:rPr>
          <w:t>67</w:t>
        </w:r>
        <w:r w:rsidR="00424E3B">
          <w:rPr>
            <w:webHidden/>
          </w:rPr>
          <w:fldChar w:fldCharType="end"/>
        </w:r>
      </w:hyperlink>
    </w:p>
    <w:p w14:paraId="245E1693" w14:textId="73512940" w:rsidR="00424E3B" w:rsidRDefault="00000000">
      <w:pPr>
        <w:pStyle w:val="TOC2"/>
        <w:rPr>
          <w:rFonts w:asciiTheme="minorHAnsi" w:eastAsiaTheme="minorEastAsia" w:hAnsiTheme="minorHAnsi"/>
          <w:kern w:val="2"/>
          <w:szCs w:val="22"/>
          <w:lang w:eastAsia="en-AU"/>
          <w14:ligatures w14:val="standardContextual"/>
        </w:rPr>
      </w:pPr>
      <w:hyperlink w:anchor="_Toc160715664" w:history="1">
        <w:r w:rsidR="00424E3B" w:rsidRPr="00A46CF5">
          <w:rPr>
            <w:rStyle w:val="Hyperlink"/>
          </w:rPr>
          <w:t>18.11</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 Paper 3 (BP No. 3)</w:t>
        </w:r>
        <w:r w:rsidR="00424E3B">
          <w:rPr>
            <w:webHidden/>
          </w:rPr>
          <w:tab/>
        </w:r>
        <w:r w:rsidR="00424E3B">
          <w:rPr>
            <w:webHidden/>
          </w:rPr>
          <w:fldChar w:fldCharType="begin"/>
        </w:r>
        <w:r w:rsidR="00424E3B">
          <w:rPr>
            <w:webHidden/>
          </w:rPr>
          <w:instrText xml:space="preserve"> PAGEREF _Toc160715664 \h </w:instrText>
        </w:r>
        <w:r w:rsidR="00424E3B">
          <w:rPr>
            <w:webHidden/>
          </w:rPr>
        </w:r>
        <w:r w:rsidR="00424E3B">
          <w:rPr>
            <w:webHidden/>
          </w:rPr>
          <w:fldChar w:fldCharType="separate"/>
        </w:r>
        <w:r w:rsidR="00424E3B">
          <w:rPr>
            <w:webHidden/>
          </w:rPr>
          <w:t>67</w:t>
        </w:r>
        <w:r w:rsidR="00424E3B">
          <w:rPr>
            <w:webHidden/>
          </w:rPr>
          <w:fldChar w:fldCharType="end"/>
        </w:r>
      </w:hyperlink>
    </w:p>
    <w:p w14:paraId="4894C05F" w14:textId="0FFD0B68" w:rsidR="00424E3B" w:rsidRDefault="00000000">
      <w:pPr>
        <w:pStyle w:val="TOC2"/>
        <w:rPr>
          <w:rFonts w:asciiTheme="minorHAnsi" w:eastAsiaTheme="minorEastAsia" w:hAnsiTheme="minorHAnsi"/>
          <w:kern w:val="2"/>
          <w:szCs w:val="22"/>
          <w:lang w:eastAsia="en-AU"/>
          <w14:ligatures w14:val="standardContextual"/>
        </w:rPr>
      </w:pPr>
      <w:hyperlink w:anchor="_Toc160715665" w:history="1">
        <w:r w:rsidR="00424E3B" w:rsidRPr="00A46CF5">
          <w:rPr>
            <w:rStyle w:val="Hyperlink"/>
          </w:rPr>
          <w:t>18.12</w:t>
        </w:r>
        <w:r w:rsidR="00424E3B">
          <w:rPr>
            <w:rFonts w:asciiTheme="minorHAnsi" w:eastAsiaTheme="minorEastAsia" w:hAnsiTheme="minorHAnsi"/>
            <w:kern w:val="2"/>
            <w:szCs w:val="22"/>
            <w:lang w:eastAsia="en-AU"/>
            <w14:ligatures w14:val="standardContextual"/>
          </w:rPr>
          <w:tab/>
        </w:r>
        <w:r w:rsidR="00424E3B" w:rsidRPr="00A46CF5">
          <w:rPr>
            <w:rStyle w:val="Hyperlink"/>
          </w:rPr>
          <w:t>Budget Paper 4 (BP No. 4)</w:t>
        </w:r>
        <w:r w:rsidR="00424E3B">
          <w:rPr>
            <w:webHidden/>
          </w:rPr>
          <w:tab/>
        </w:r>
        <w:r w:rsidR="00424E3B">
          <w:rPr>
            <w:webHidden/>
          </w:rPr>
          <w:fldChar w:fldCharType="begin"/>
        </w:r>
        <w:r w:rsidR="00424E3B">
          <w:rPr>
            <w:webHidden/>
          </w:rPr>
          <w:instrText xml:space="preserve"> PAGEREF _Toc160715665 \h </w:instrText>
        </w:r>
        <w:r w:rsidR="00424E3B">
          <w:rPr>
            <w:webHidden/>
          </w:rPr>
        </w:r>
        <w:r w:rsidR="00424E3B">
          <w:rPr>
            <w:webHidden/>
          </w:rPr>
          <w:fldChar w:fldCharType="separate"/>
        </w:r>
        <w:r w:rsidR="00424E3B">
          <w:rPr>
            <w:webHidden/>
          </w:rPr>
          <w:t>67</w:t>
        </w:r>
        <w:r w:rsidR="00424E3B">
          <w:rPr>
            <w:webHidden/>
          </w:rPr>
          <w:fldChar w:fldCharType="end"/>
        </w:r>
      </w:hyperlink>
    </w:p>
    <w:p w14:paraId="0DA4D47B" w14:textId="149A97C9" w:rsidR="00424E3B" w:rsidRDefault="00000000">
      <w:pPr>
        <w:pStyle w:val="TOC2"/>
        <w:rPr>
          <w:rFonts w:asciiTheme="minorHAnsi" w:eastAsiaTheme="minorEastAsia" w:hAnsiTheme="minorHAnsi"/>
          <w:kern w:val="2"/>
          <w:szCs w:val="22"/>
          <w:lang w:eastAsia="en-AU"/>
          <w14:ligatures w14:val="standardContextual"/>
        </w:rPr>
      </w:pPr>
      <w:hyperlink w:anchor="_Toc160715666" w:history="1">
        <w:r w:rsidR="00424E3B" w:rsidRPr="00A46CF5">
          <w:rPr>
            <w:rStyle w:val="Hyperlink"/>
          </w:rPr>
          <w:t>18.13</w:t>
        </w:r>
        <w:r w:rsidR="00424E3B">
          <w:rPr>
            <w:rFonts w:asciiTheme="minorHAnsi" w:eastAsiaTheme="minorEastAsia" w:hAnsiTheme="minorHAnsi"/>
            <w:kern w:val="2"/>
            <w:szCs w:val="22"/>
            <w:lang w:eastAsia="en-AU"/>
            <w14:ligatures w14:val="standardContextual"/>
          </w:rPr>
          <w:tab/>
        </w:r>
        <w:r w:rsidR="00424E3B" w:rsidRPr="00A46CF5">
          <w:rPr>
            <w:rStyle w:val="Hyperlink"/>
          </w:rPr>
          <w:t>Central Budget Management System (CBMS)</w:t>
        </w:r>
        <w:r w:rsidR="00424E3B">
          <w:rPr>
            <w:webHidden/>
          </w:rPr>
          <w:tab/>
        </w:r>
        <w:r w:rsidR="00424E3B">
          <w:rPr>
            <w:webHidden/>
          </w:rPr>
          <w:fldChar w:fldCharType="begin"/>
        </w:r>
        <w:r w:rsidR="00424E3B">
          <w:rPr>
            <w:webHidden/>
          </w:rPr>
          <w:instrText xml:space="preserve"> PAGEREF _Toc160715666 \h </w:instrText>
        </w:r>
        <w:r w:rsidR="00424E3B">
          <w:rPr>
            <w:webHidden/>
          </w:rPr>
        </w:r>
        <w:r w:rsidR="00424E3B">
          <w:rPr>
            <w:webHidden/>
          </w:rPr>
          <w:fldChar w:fldCharType="separate"/>
        </w:r>
        <w:r w:rsidR="00424E3B">
          <w:rPr>
            <w:webHidden/>
          </w:rPr>
          <w:t>67</w:t>
        </w:r>
        <w:r w:rsidR="00424E3B">
          <w:rPr>
            <w:webHidden/>
          </w:rPr>
          <w:fldChar w:fldCharType="end"/>
        </w:r>
      </w:hyperlink>
    </w:p>
    <w:p w14:paraId="07782F9B" w14:textId="1AA243E5" w:rsidR="00424E3B" w:rsidRDefault="00000000">
      <w:pPr>
        <w:pStyle w:val="TOC2"/>
        <w:rPr>
          <w:rFonts w:asciiTheme="minorHAnsi" w:eastAsiaTheme="minorEastAsia" w:hAnsiTheme="minorHAnsi"/>
          <w:kern w:val="2"/>
          <w:szCs w:val="22"/>
          <w:lang w:eastAsia="en-AU"/>
          <w14:ligatures w14:val="standardContextual"/>
        </w:rPr>
      </w:pPr>
      <w:hyperlink w:anchor="_Toc160715667" w:history="1">
        <w:r w:rsidR="00424E3B" w:rsidRPr="00A46CF5">
          <w:rPr>
            <w:rStyle w:val="Hyperlink"/>
          </w:rPr>
          <w:t>18.14</w:t>
        </w:r>
        <w:r w:rsidR="00424E3B">
          <w:rPr>
            <w:rFonts w:asciiTheme="minorHAnsi" w:eastAsiaTheme="minorEastAsia" w:hAnsiTheme="minorHAnsi"/>
            <w:kern w:val="2"/>
            <w:szCs w:val="22"/>
            <w:lang w:eastAsia="en-AU"/>
            <w14:ligatures w14:val="standardContextual"/>
          </w:rPr>
          <w:tab/>
        </w:r>
        <w:r w:rsidR="00424E3B" w:rsidRPr="00A46CF5">
          <w:rPr>
            <w:rStyle w:val="Hyperlink"/>
          </w:rPr>
          <w:t>Clear read principle</w:t>
        </w:r>
        <w:r w:rsidR="00424E3B">
          <w:rPr>
            <w:webHidden/>
          </w:rPr>
          <w:tab/>
        </w:r>
        <w:r w:rsidR="00424E3B">
          <w:rPr>
            <w:webHidden/>
          </w:rPr>
          <w:fldChar w:fldCharType="begin"/>
        </w:r>
        <w:r w:rsidR="00424E3B">
          <w:rPr>
            <w:webHidden/>
          </w:rPr>
          <w:instrText xml:space="preserve"> PAGEREF _Toc160715667 \h </w:instrText>
        </w:r>
        <w:r w:rsidR="00424E3B">
          <w:rPr>
            <w:webHidden/>
          </w:rPr>
        </w:r>
        <w:r w:rsidR="00424E3B">
          <w:rPr>
            <w:webHidden/>
          </w:rPr>
          <w:fldChar w:fldCharType="separate"/>
        </w:r>
        <w:r w:rsidR="00424E3B">
          <w:rPr>
            <w:webHidden/>
          </w:rPr>
          <w:t>67</w:t>
        </w:r>
        <w:r w:rsidR="00424E3B">
          <w:rPr>
            <w:webHidden/>
          </w:rPr>
          <w:fldChar w:fldCharType="end"/>
        </w:r>
      </w:hyperlink>
    </w:p>
    <w:p w14:paraId="28C6F446" w14:textId="34FF8895" w:rsidR="00424E3B" w:rsidRDefault="00000000">
      <w:pPr>
        <w:pStyle w:val="TOC2"/>
        <w:rPr>
          <w:rFonts w:asciiTheme="minorHAnsi" w:eastAsiaTheme="minorEastAsia" w:hAnsiTheme="minorHAnsi"/>
          <w:kern w:val="2"/>
          <w:szCs w:val="22"/>
          <w:lang w:eastAsia="en-AU"/>
          <w14:ligatures w14:val="standardContextual"/>
        </w:rPr>
      </w:pPr>
      <w:hyperlink w:anchor="_Toc160715668" w:history="1">
        <w:r w:rsidR="00424E3B" w:rsidRPr="00A46CF5">
          <w:rPr>
            <w:rStyle w:val="Hyperlink"/>
          </w:rPr>
          <w:t>18.15</w:t>
        </w:r>
        <w:r w:rsidR="00424E3B">
          <w:rPr>
            <w:rFonts w:asciiTheme="minorHAnsi" w:eastAsiaTheme="minorEastAsia" w:hAnsiTheme="minorHAnsi"/>
            <w:kern w:val="2"/>
            <w:szCs w:val="22"/>
            <w:lang w:eastAsia="en-AU"/>
            <w14:ligatures w14:val="standardContextual"/>
          </w:rPr>
          <w:tab/>
        </w:r>
        <w:r w:rsidR="00424E3B" w:rsidRPr="00A46CF5">
          <w:rPr>
            <w:rStyle w:val="Hyperlink"/>
          </w:rPr>
          <w:t>Consolidated Revenue Fund</w:t>
        </w:r>
        <w:r w:rsidR="00424E3B">
          <w:rPr>
            <w:webHidden/>
          </w:rPr>
          <w:tab/>
        </w:r>
        <w:r w:rsidR="00424E3B">
          <w:rPr>
            <w:webHidden/>
          </w:rPr>
          <w:fldChar w:fldCharType="begin"/>
        </w:r>
        <w:r w:rsidR="00424E3B">
          <w:rPr>
            <w:webHidden/>
          </w:rPr>
          <w:instrText xml:space="preserve"> PAGEREF _Toc160715668 \h </w:instrText>
        </w:r>
        <w:r w:rsidR="00424E3B">
          <w:rPr>
            <w:webHidden/>
          </w:rPr>
        </w:r>
        <w:r w:rsidR="00424E3B">
          <w:rPr>
            <w:webHidden/>
          </w:rPr>
          <w:fldChar w:fldCharType="separate"/>
        </w:r>
        <w:r w:rsidR="00424E3B">
          <w:rPr>
            <w:webHidden/>
          </w:rPr>
          <w:t>67</w:t>
        </w:r>
        <w:r w:rsidR="00424E3B">
          <w:rPr>
            <w:webHidden/>
          </w:rPr>
          <w:fldChar w:fldCharType="end"/>
        </w:r>
      </w:hyperlink>
    </w:p>
    <w:p w14:paraId="7395E649" w14:textId="10EC88BA" w:rsidR="00424E3B" w:rsidRDefault="00000000">
      <w:pPr>
        <w:pStyle w:val="TOC2"/>
        <w:rPr>
          <w:rFonts w:asciiTheme="minorHAnsi" w:eastAsiaTheme="minorEastAsia" w:hAnsiTheme="minorHAnsi"/>
          <w:kern w:val="2"/>
          <w:szCs w:val="22"/>
          <w:lang w:eastAsia="en-AU"/>
          <w14:ligatures w14:val="standardContextual"/>
        </w:rPr>
      </w:pPr>
      <w:hyperlink w:anchor="_Toc160715669" w:history="1">
        <w:r w:rsidR="00424E3B" w:rsidRPr="00A46CF5">
          <w:rPr>
            <w:rStyle w:val="Hyperlink"/>
          </w:rPr>
          <w:t>18.16</w:t>
        </w:r>
        <w:r w:rsidR="00424E3B">
          <w:rPr>
            <w:rFonts w:asciiTheme="minorHAnsi" w:eastAsiaTheme="minorEastAsia" w:hAnsiTheme="minorHAnsi"/>
            <w:kern w:val="2"/>
            <w:szCs w:val="22"/>
            <w:lang w:eastAsia="en-AU"/>
            <w14:ligatures w14:val="standardContextual"/>
          </w:rPr>
          <w:tab/>
        </w:r>
        <w:r w:rsidR="00424E3B" w:rsidRPr="00A46CF5">
          <w:rPr>
            <w:rStyle w:val="Hyperlink"/>
          </w:rPr>
          <w:t>Contractor</w:t>
        </w:r>
        <w:r w:rsidR="00424E3B">
          <w:rPr>
            <w:webHidden/>
          </w:rPr>
          <w:tab/>
        </w:r>
        <w:r w:rsidR="00424E3B">
          <w:rPr>
            <w:webHidden/>
          </w:rPr>
          <w:fldChar w:fldCharType="begin"/>
        </w:r>
        <w:r w:rsidR="00424E3B">
          <w:rPr>
            <w:webHidden/>
          </w:rPr>
          <w:instrText xml:space="preserve"> PAGEREF _Toc160715669 \h </w:instrText>
        </w:r>
        <w:r w:rsidR="00424E3B">
          <w:rPr>
            <w:webHidden/>
          </w:rPr>
        </w:r>
        <w:r w:rsidR="00424E3B">
          <w:rPr>
            <w:webHidden/>
          </w:rPr>
          <w:fldChar w:fldCharType="separate"/>
        </w:r>
        <w:r w:rsidR="00424E3B">
          <w:rPr>
            <w:webHidden/>
          </w:rPr>
          <w:t>68</w:t>
        </w:r>
        <w:r w:rsidR="00424E3B">
          <w:rPr>
            <w:webHidden/>
          </w:rPr>
          <w:fldChar w:fldCharType="end"/>
        </w:r>
      </w:hyperlink>
    </w:p>
    <w:p w14:paraId="58B07BF3" w14:textId="653B74F5" w:rsidR="00424E3B" w:rsidRDefault="00000000">
      <w:pPr>
        <w:pStyle w:val="TOC2"/>
        <w:rPr>
          <w:rFonts w:asciiTheme="minorHAnsi" w:eastAsiaTheme="minorEastAsia" w:hAnsiTheme="minorHAnsi"/>
          <w:kern w:val="2"/>
          <w:szCs w:val="22"/>
          <w:lang w:eastAsia="en-AU"/>
          <w14:ligatures w14:val="standardContextual"/>
        </w:rPr>
      </w:pPr>
      <w:hyperlink w:anchor="_Toc160715670" w:history="1">
        <w:r w:rsidR="00424E3B" w:rsidRPr="00A46CF5">
          <w:rPr>
            <w:rStyle w:val="Hyperlink"/>
          </w:rPr>
          <w:t>18.17</w:t>
        </w:r>
        <w:r w:rsidR="00424E3B">
          <w:rPr>
            <w:rFonts w:asciiTheme="minorHAnsi" w:eastAsiaTheme="minorEastAsia" w:hAnsiTheme="minorHAnsi"/>
            <w:kern w:val="2"/>
            <w:szCs w:val="22"/>
            <w:lang w:eastAsia="en-AU"/>
            <w14:ligatures w14:val="standardContextual"/>
          </w:rPr>
          <w:tab/>
        </w:r>
        <w:r w:rsidR="00424E3B" w:rsidRPr="00A46CF5">
          <w:rPr>
            <w:rStyle w:val="Hyperlink"/>
          </w:rPr>
          <w:t>Departmental item</w:t>
        </w:r>
        <w:r w:rsidR="00424E3B">
          <w:rPr>
            <w:webHidden/>
          </w:rPr>
          <w:tab/>
        </w:r>
        <w:r w:rsidR="00424E3B">
          <w:rPr>
            <w:webHidden/>
          </w:rPr>
          <w:fldChar w:fldCharType="begin"/>
        </w:r>
        <w:r w:rsidR="00424E3B">
          <w:rPr>
            <w:webHidden/>
          </w:rPr>
          <w:instrText xml:space="preserve"> PAGEREF _Toc160715670 \h </w:instrText>
        </w:r>
        <w:r w:rsidR="00424E3B">
          <w:rPr>
            <w:webHidden/>
          </w:rPr>
        </w:r>
        <w:r w:rsidR="00424E3B">
          <w:rPr>
            <w:webHidden/>
          </w:rPr>
          <w:fldChar w:fldCharType="separate"/>
        </w:r>
        <w:r w:rsidR="00424E3B">
          <w:rPr>
            <w:webHidden/>
          </w:rPr>
          <w:t>68</w:t>
        </w:r>
        <w:r w:rsidR="00424E3B">
          <w:rPr>
            <w:webHidden/>
          </w:rPr>
          <w:fldChar w:fldCharType="end"/>
        </w:r>
      </w:hyperlink>
    </w:p>
    <w:p w14:paraId="058FF5D1" w14:textId="63F6CBB6" w:rsidR="00424E3B" w:rsidRDefault="00000000">
      <w:pPr>
        <w:pStyle w:val="TOC2"/>
        <w:rPr>
          <w:rFonts w:asciiTheme="minorHAnsi" w:eastAsiaTheme="minorEastAsia" w:hAnsiTheme="minorHAnsi"/>
          <w:kern w:val="2"/>
          <w:szCs w:val="22"/>
          <w:lang w:eastAsia="en-AU"/>
          <w14:ligatures w14:val="standardContextual"/>
        </w:rPr>
      </w:pPr>
      <w:hyperlink w:anchor="_Toc160715671" w:history="1">
        <w:r w:rsidR="00424E3B" w:rsidRPr="00A46CF5">
          <w:rPr>
            <w:rStyle w:val="Hyperlink"/>
          </w:rPr>
          <w:t>18.18</w:t>
        </w:r>
        <w:r w:rsidR="00424E3B">
          <w:rPr>
            <w:rFonts w:asciiTheme="minorHAnsi" w:eastAsiaTheme="minorEastAsia" w:hAnsiTheme="minorHAnsi"/>
            <w:kern w:val="2"/>
            <w:szCs w:val="22"/>
            <w:lang w:eastAsia="en-AU"/>
            <w14:ligatures w14:val="standardContextual"/>
          </w:rPr>
          <w:tab/>
        </w:r>
        <w:r w:rsidR="00424E3B" w:rsidRPr="00A46CF5">
          <w:rPr>
            <w:rStyle w:val="Hyperlink"/>
          </w:rPr>
          <w:t>Entities</w:t>
        </w:r>
        <w:r w:rsidR="00424E3B">
          <w:rPr>
            <w:webHidden/>
          </w:rPr>
          <w:tab/>
        </w:r>
        <w:r w:rsidR="00424E3B">
          <w:rPr>
            <w:webHidden/>
          </w:rPr>
          <w:fldChar w:fldCharType="begin"/>
        </w:r>
        <w:r w:rsidR="00424E3B">
          <w:rPr>
            <w:webHidden/>
          </w:rPr>
          <w:instrText xml:space="preserve"> PAGEREF _Toc160715671 \h </w:instrText>
        </w:r>
        <w:r w:rsidR="00424E3B">
          <w:rPr>
            <w:webHidden/>
          </w:rPr>
        </w:r>
        <w:r w:rsidR="00424E3B">
          <w:rPr>
            <w:webHidden/>
          </w:rPr>
          <w:fldChar w:fldCharType="separate"/>
        </w:r>
        <w:r w:rsidR="00424E3B">
          <w:rPr>
            <w:webHidden/>
          </w:rPr>
          <w:t>68</w:t>
        </w:r>
        <w:r w:rsidR="00424E3B">
          <w:rPr>
            <w:webHidden/>
          </w:rPr>
          <w:fldChar w:fldCharType="end"/>
        </w:r>
      </w:hyperlink>
    </w:p>
    <w:p w14:paraId="7ED612E9" w14:textId="118ABD5F" w:rsidR="00424E3B" w:rsidRDefault="00000000">
      <w:pPr>
        <w:pStyle w:val="TOC2"/>
        <w:rPr>
          <w:rFonts w:asciiTheme="minorHAnsi" w:eastAsiaTheme="minorEastAsia" w:hAnsiTheme="minorHAnsi"/>
          <w:kern w:val="2"/>
          <w:szCs w:val="22"/>
          <w:lang w:eastAsia="en-AU"/>
          <w14:ligatures w14:val="standardContextual"/>
        </w:rPr>
      </w:pPr>
      <w:hyperlink w:anchor="_Toc160715672" w:history="1">
        <w:r w:rsidR="00424E3B" w:rsidRPr="00A46CF5">
          <w:rPr>
            <w:rStyle w:val="Hyperlink"/>
          </w:rPr>
          <w:t>18.19</w:t>
        </w:r>
        <w:r w:rsidR="00424E3B">
          <w:rPr>
            <w:rFonts w:asciiTheme="minorHAnsi" w:eastAsiaTheme="minorEastAsia" w:hAnsiTheme="minorHAnsi"/>
            <w:kern w:val="2"/>
            <w:szCs w:val="22"/>
            <w:lang w:eastAsia="en-AU"/>
            <w14:ligatures w14:val="standardContextual"/>
          </w:rPr>
          <w:tab/>
        </w:r>
        <w:r w:rsidR="00424E3B" w:rsidRPr="00A46CF5">
          <w:rPr>
            <w:rStyle w:val="Hyperlink"/>
          </w:rPr>
          <w:t>Estimated actual expenses</w:t>
        </w:r>
        <w:r w:rsidR="00424E3B">
          <w:rPr>
            <w:webHidden/>
          </w:rPr>
          <w:tab/>
        </w:r>
        <w:r w:rsidR="00424E3B">
          <w:rPr>
            <w:webHidden/>
          </w:rPr>
          <w:fldChar w:fldCharType="begin"/>
        </w:r>
        <w:r w:rsidR="00424E3B">
          <w:rPr>
            <w:webHidden/>
          </w:rPr>
          <w:instrText xml:space="preserve"> PAGEREF _Toc160715672 \h </w:instrText>
        </w:r>
        <w:r w:rsidR="00424E3B">
          <w:rPr>
            <w:webHidden/>
          </w:rPr>
        </w:r>
        <w:r w:rsidR="00424E3B">
          <w:rPr>
            <w:webHidden/>
          </w:rPr>
          <w:fldChar w:fldCharType="separate"/>
        </w:r>
        <w:r w:rsidR="00424E3B">
          <w:rPr>
            <w:webHidden/>
          </w:rPr>
          <w:t>68</w:t>
        </w:r>
        <w:r w:rsidR="00424E3B">
          <w:rPr>
            <w:webHidden/>
          </w:rPr>
          <w:fldChar w:fldCharType="end"/>
        </w:r>
      </w:hyperlink>
    </w:p>
    <w:p w14:paraId="75A0797D" w14:textId="1BDCD519" w:rsidR="00424E3B" w:rsidRDefault="00000000">
      <w:pPr>
        <w:pStyle w:val="TOC2"/>
        <w:rPr>
          <w:rFonts w:asciiTheme="minorHAnsi" w:eastAsiaTheme="minorEastAsia" w:hAnsiTheme="minorHAnsi"/>
          <w:kern w:val="2"/>
          <w:szCs w:val="22"/>
          <w:lang w:eastAsia="en-AU"/>
          <w14:ligatures w14:val="standardContextual"/>
        </w:rPr>
      </w:pPr>
      <w:hyperlink w:anchor="_Toc160715673" w:history="1">
        <w:r w:rsidR="00424E3B" w:rsidRPr="00A46CF5">
          <w:rPr>
            <w:rStyle w:val="Hyperlink"/>
          </w:rPr>
          <w:t>18.20</w:t>
        </w:r>
        <w:r w:rsidR="00424E3B">
          <w:rPr>
            <w:rFonts w:asciiTheme="minorHAnsi" w:eastAsiaTheme="minorEastAsia" w:hAnsiTheme="minorHAnsi"/>
            <w:kern w:val="2"/>
            <w:szCs w:val="22"/>
            <w:lang w:eastAsia="en-AU"/>
            <w14:ligatures w14:val="standardContextual"/>
          </w:rPr>
          <w:tab/>
        </w:r>
        <w:r w:rsidR="00424E3B" w:rsidRPr="00A46CF5">
          <w:rPr>
            <w:rStyle w:val="Hyperlink"/>
          </w:rPr>
          <w:t>Expenses not requiring appropriation in the Budget year</w:t>
        </w:r>
        <w:r w:rsidR="00424E3B">
          <w:rPr>
            <w:webHidden/>
          </w:rPr>
          <w:tab/>
        </w:r>
        <w:r w:rsidR="00424E3B">
          <w:rPr>
            <w:webHidden/>
          </w:rPr>
          <w:fldChar w:fldCharType="begin"/>
        </w:r>
        <w:r w:rsidR="00424E3B">
          <w:rPr>
            <w:webHidden/>
          </w:rPr>
          <w:instrText xml:space="preserve"> PAGEREF _Toc160715673 \h </w:instrText>
        </w:r>
        <w:r w:rsidR="00424E3B">
          <w:rPr>
            <w:webHidden/>
          </w:rPr>
        </w:r>
        <w:r w:rsidR="00424E3B">
          <w:rPr>
            <w:webHidden/>
          </w:rPr>
          <w:fldChar w:fldCharType="separate"/>
        </w:r>
        <w:r w:rsidR="00424E3B">
          <w:rPr>
            <w:webHidden/>
          </w:rPr>
          <w:t>68</w:t>
        </w:r>
        <w:r w:rsidR="00424E3B">
          <w:rPr>
            <w:webHidden/>
          </w:rPr>
          <w:fldChar w:fldCharType="end"/>
        </w:r>
      </w:hyperlink>
    </w:p>
    <w:p w14:paraId="2861B290" w14:textId="66CDC903" w:rsidR="00424E3B" w:rsidRDefault="00000000">
      <w:pPr>
        <w:pStyle w:val="TOC2"/>
        <w:rPr>
          <w:rFonts w:asciiTheme="minorHAnsi" w:eastAsiaTheme="minorEastAsia" w:hAnsiTheme="minorHAnsi"/>
          <w:kern w:val="2"/>
          <w:szCs w:val="22"/>
          <w:lang w:eastAsia="en-AU"/>
          <w14:ligatures w14:val="standardContextual"/>
        </w:rPr>
      </w:pPr>
      <w:hyperlink w:anchor="_Toc160715674" w:history="1">
        <w:r w:rsidR="00424E3B" w:rsidRPr="00A46CF5">
          <w:rPr>
            <w:rStyle w:val="Hyperlink"/>
          </w:rPr>
          <w:t>18.21</w:t>
        </w:r>
        <w:r w:rsidR="00424E3B">
          <w:rPr>
            <w:rFonts w:asciiTheme="minorHAnsi" w:eastAsiaTheme="minorEastAsia" w:hAnsiTheme="minorHAnsi"/>
            <w:kern w:val="2"/>
            <w:szCs w:val="22"/>
            <w:lang w:eastAsia="en-AU"/>
            <w14:ligatures w14:val="standardContextual"/>
          </w:rPr>
          <w:tab/>
        </w:r>
        <w:r w:rsidR="00424E3B" w:rsidRPr="00A46CF5">
          <w:rPr>
            <w:rStyle w:val="Hyperlink"/>
          </w:rPr>
          <w:t>Financial management information system</w:t>
        </w:r>
        <w:r w:rsidR="00424E3B">
          <w:rPr>
            <w:webHidden/>
          </w:rPr>
          <w:tab/>
        </w:r>
        <w:r w:rsidR="00424E3B">
          <w:rPr>
            <w:webHidden/>
          </w:rPr>
          <w:fldChar w:fldCharType="begin"/>
        </w:r>
        <w:r w:rsidR="00424E3B">
          <w:rPr>
            <w:webHidden/>
          </w:rPr>
          <w:instrText xml:space="preserve"> PAGEREF _Toc160715674 \h </w:instrText>
        </w:r>
        <w:r w:rsidR="00424E3B">
          <w:rPr>
            <w:webHidden/>
          </w:rPr>
        </w:r>
        <w:r w:rsidR="00424E3B">
          <w:rPr>
            <w:webHidden/>
          </w:rPr>
          <w:fldChar w:fldCharType="separate"/>
        </w:r>
        <w:r w:rsidR="00424E3B">
          <w:rPr>
            <w:webHidden/>
          </w:rPr>
          <w:t>68</w:t>
        </w:r>
        <w:r w:rsidR="00424E3B">
          <w:rPr>
            <w:webHidden/>
          </w:rPr>
          <w:fldChar w:fldCharType="end"/>
        </w:r>
      </w:hyperlink>
    </w:p>
    <w:p w14:paraId="470C056B" w14:textId="118D1B59" w:rsidR="00424E3B" w:rsidRDefault="00000000">
      <w:pPr>
        <w:pStyle w:val="TOC2"/>
        <w:rPr>
          <w:rFonts w:asciiTheme="minorHAnsi" w:eastAsiaTheme="minorEastAsia" w:hAnsiTheme="minorHAnsi"/>
          <w:kern w:val="2"/>
          <w:szCs w:val="22"/>
          <w:lang w:eastAsia="en-AU"/>
          <w14:ligatures w14:val="standardContextual"/>
        </w:rPr>
      </w:pPr>
      <w:hyperlink w:anchor="_Toc160715675" w:history="1">
        <w:r w:rsidR="00424E3B" w:rsidRPr="00A46CF5">
          <w:rPr>
            <w:rStyle w:val="Hyperlink"/>
          </w:rPr>
          <w:t>18.22</w:t>
        </w:r>
        <w:r w:rsidR="00424E3B">
          <w:rPr>
            <w:rFonts w:asciiTheme="minorHAnsi" w:eastAsiaTheme="minorEastAsia" w:hAnsiTheme="minorHAnsi"/>
            <w:kern w:val="2"/>
            <w:szCs w:val="22"/>
            <w:lang w:eastAsia="en-AU"/>
            <w14:ligatures w14:val="standardContextual"/>
          </w:rPr>
          <w:tab/>
        </w:r>
        <w:r w:rsidR="00424E3B" w:rsidRPr="00A46CF5">
          <w:rPr>
            <w:rStyle w:val="Hyperlink"/>
          </w:rPr>
          <w:t>Forward estimates period</w:t>
        </w:r>
        <w:r w:rsidR="00424E3B">
          <w:rPr>
            <w:webHidden/>
          </w:rPr>
          <w:tab/>
        </w:r>
        <w:r w:rsidR="00424E3B">
          <w:rPr>
            <w:webHidden/>
          </w:rPr>
          <w:fldChar w:fldCharType="begin"/>
        </w:r>
        <w:r w:rsidR="00424E3B">
          <w:rPr>
            <w:webHidden/>
          </w:rPr>
          <w:instrText xml:space="preserve"> PAGEREF _Toc160715675 \h </w:instrText>
        </w:r>
        <w:r w:rsidR="00424E3B">
          <w:rPr>
            <w:webHidden/>
          </w:rPr>
        </w:r>
        <w:r w:rsidR="00424E3B">
          <w:rPr>
            <w:webHidden/>
          </w:rPr>
          <w:fldChar w:fldCharType="separate"/>
        </w:r>
        <w:r w:rsidR="00424E3B">
          <w:rPr>
            <w:webHidden/>
          </w:rPr>
          <w:t>68</w:t>
        </w:r>
        <w:r w:rsidR="00424E3B">
          <w:rPr>
            <w:webHidden/>
          </w:rPr>
          <w:fldChar w:fldCharType="end"/>
        </w:r>
      </w:hyperlink>
    </w:p>
    <w:p w14:paraId="3338C22C" w14:textId="14D38466" w:rsidR="00424E3B" w:rsidRDefault="00000000">
      <w:pPr>
        <w:pStyle w:val="TOC2"/>
        <w:rPr>
          <w:rFonts w:asciiTheme="minorHAnsi" w:eastAsiaTheme="minorEastAsia" w:hAnsiTheme="minorHAnsi"/>
          <w:kern w:val="2"/>
          <w:szCs w:val="22"/>
          <w:lang w:eastAsia="en-AU"/>
          <w14:ligatures w14:val="standardContextual"/>
        </w:rPr>
      </w:pPr>
      <w:hyperlink w:anchor="_Toc160715676" w:history="1">
        <w:r w:rsidR="00424E3B" w:rsidRPr="00A46CF5">
          <w:rPr>
            <w:rStyle w:val="Hyperlink"/>
          </w:rPr>
          <w:t>18.23</w:t>
        </w:r>
        <w:r w:rsidR="00424E3B">
          <w:rPr>
            <w:rFonts w:asciiTheme="minorHAnsi" w:eastAsiaTheme="minorEastAsia" w:hAnsiTheme="minorHAnsi"/>
            <w:kern w:val="2"/>
            <w:szCs w:val="22"/>
            <w:lang w:eastAsia="en-AU"/>
            <w14:ligatures w14:val="standardContextual"/>
          </w:rPr>
          <w:tab/>
        </w:r>
        <w:r w:rsidR="00424E3B" w:rsidRPr="00A46CF5">
          <w:rPr>
            <w:rStyle w:val="Hyperlink"/>
          </w:rPr>
          <w:t>General Government Sector (GGS)</w:t>
        </w:r>
        <w:r w:rsidR="00424E3B">
          <w:rPr>
            <w:webHidden/>
          </w:rPr>
          <w:tab/>
        </w:r>
        <w:r w:rsidR="00424E3B">
          <w:rPr>
            <w:webHidden/>
          </w:rPr>
          <w:fldChar w:fldCharType="begin"/>
        </w:r>
        <w:r w:rsidR="00424E3B">
          <w:rPr>
            <w:webHidden/>
          </w:rPr>
          <w:instrText xml:space="preserve"> PAGEREF _Toc160715676 \h </w:instrText>
        </w:r>
        <w:r w:rsidR="00424E3B">
          <w:rPr>
            <w:webHidden/>
          </w:rPr>
        </w:r>
        <w:r w:rsidR="00424E3B">
          <w:rPr>
            <w:webHidden/>
          </w:rPr>
          <w:fldChar w:fldCharType="separate"/>
        </w:r>
        <w:r w:rsidR="00424E3B">
          <w:rPr>
            <w:webHidden/>
          </w:rPr>
          <w:t>68</w:t>
        </w:r>
        <w:r w:rsidR="00424E3B">
          <w:rPr>
            <w:webHidden/>
          </w:rPr>
          <w:fldChar w:fldCharType="end"/>
        </w:r>
      </w:hyperlink>
    </w:p>
    <w:p w14:paraId="237DE5D5" w14:textId="60D6840A" w:rsidR="00424E3B" w:rsidRDefault="00000000">
      <w:pPr>
        <w:pStyle w:val="TOC2"/>
        <w:rPr>
          <w:rFonts w:asciiTheme="minorHAnsi" w:eastAsiaTheme="minorEastAsia" w:hAnsiTheme="minorHAnsi"/>
          <w:kern w:val="2"/>
          <w:szCs w:val="22"/>
          <w:lang w:eastAsia="en-AU"/>
          <w14:ligatures w14:val="standardContextual"/>
        </w:rPr>
      </w:pPr>
      <w:hyperlink w:anchor="_Toc160715677" w:history="1">
        <w:r w:rsidR="00424E3B" w:rsidRPr="00A46CF5">
          <w:rPr>
            <w:rStyle w:val="Hyperlink"/>
          </w:rPr>
          <w:t>18.24</w:t>
        </w:r>
        <w:r w:rsidR="00424E3B">
          <w:rPr>
            <w:rFonts w:asciiTheme="minorHAnsi" w:eastAsiaTheme="minorEastAsia" w:hAnsiTheme="minorHAnsi"/>
            <w:kern w:val="2"/>
            <w:szCs w:val="22"/>
            <w:lang w:eastAsia="en-AU"/>
            <w14:ligatures w14:val="standardContextual"/>
          </w:rPr>
          <w:tab/>
        </w:r>
        <w:r w:rsidR="00424E3B" w:rsidRPr="00A46CF5">
          <w:rPr>
            <w:rStyle w:val="Hyperlink"/>
          </w:rPr>
          <w:t>Government finance statistics</w:t>
        </w:r>
        <w:r w:rsidR="00424E3B">
          <w:rPr>
            <w:webHidden/>
          </w:rPr>
          <w:tab/>
        </w:r>
        <w:r w:rsidR="00424E3B">
          <w:rPr>
            <w:webHidden/>
          </w:rPr>
          <w:fldChar w:fldCharType="begin"/>
        </w:r>
        <w:r w:rsidR="00424E3B">
          <w:rPr>
            <w:webHidden/>
          </w:rPr>
          <w:instrText xml:space="preserve"> PAGEREF _Toc160715677 \h </w:instrText>
        </w:r>
        <w:r w:rsidR="00424E3B">
          <w:rPr>
            <w:webHidden/>
          </w:rPr>
        </w:r>
        <w:r w:rsidR="00424E3B">
          <w:rPr>
            <w:webHidden/>
          </w:rPr>
          <w:fldChar w:fldCharType="separate"/>
        </w:r>
        <w:r w:rsidR="00424E3B">
          <w:rPr>
            <w:webHidden/>
          </w:rPr>
          <w:t>69</w:t>
        </w:r>
        <w:r w:rsidR="00424E3B">
          <w:rPr>
            <w:webHidden/>
          </w:rPr>
          <w:fldChar w:fldCharType="end"/>
        </w:r>
      </w:hyperlink>
    </w:p>
    <w:p w14:paraId="2FE6D9AC" w14:textId="4A1DAECC" w:rsidR="00424E3B" w:rsidRDefault="00000000">
      <w:pPr>
        <w:pStyle w:val="TOC2"/>
        <w:rPr>
          <w:rFonts w:asciiTheme="minorHAnsi" w:eastAsiaTheme="minorEastAsia" w:hAnsiTheme="minorHAnsi"/>
          <w:kern w:val="2"/>
          <w:szCs w:val="22"/>
          <w:lang w:eastAsia="en-AU"/>
          <w14:ligatures w14:val="standardContextual"/>
        </w:rPr>
      </w:pPr>
      <w:hyperlink w:anchor="_Toc160715678" w:history="1">
        <w:r w:rsidR="00424E3B" w:rsidRPr="00A46CF5">
          <w:rPr>
            <w:rStyle w:val="Hyperlink"/>
          </w:rPr>
          <w:t>18.25</w:t>
        </w:r>
        <w:r w:rsidR="00424E3B">
          <w:rPr>
            <w:rFonts w:asciiTheme="minorHAnsi" w:eastAsiaTheme="minorEastAsia" w:hAnsiTheme="minorHAnsi"/>
            <w:kern w:val="2"/>
            <w:szCs w:val="22"/>
            <w:lang w:eastAsia="en-AU"/>
            <w14:ligatures w14:val="standardContextual"/>
          </w:rPr>
          <w:tab/>
        </w:r>
        <w:r w:rsidR="00424E3B" w:rsidRPr="00A46CF5">
          <w:rPr>
            <w:rStyle w:val="Hyperlink"/>
          </w:rPr>
          <w:t>Intended result</w:t>
        </w:r>
        <w:r w:rsidR="00424E3B">
          <w:rPr>
            <w:webHidden/>
          </w:rPr>
          <w:tab/>
        </w:r>
        <w:r w:rsidR="00424E3B">
          <w:rPr>
            <w:webHidden/>
          </w:rPr>
          <w:fldChar w:fldCharType="begin"/>
        </w:r>
        <w:r w:rsidR="00424E3B">
          <w:rPr>
            <w:webHidden/>
          </w:rPr>
          <w:instrText xml:space="preserve"> PAGEREF _Toc160715678 \h </w:instrText>
        </w:r>
        <w:r w:rsidR="00424E3B">
          <w:rPr>
            <w:webHidden/>
          </w:rPr>
        </w:r>
        <w:r w:rsidR="00424E3B">
          <w:rPr>
            <w:webHidden/>
          </w:rPr>
          <w:fldChar w:fldCharType="separate"/>
        </w:r>
        <w:r w:rsidR="00424E3B">
          <w:rPr>
            <w:webHidden/>
          </w:rPr>
          <w:t>69</w:t>
        </w:r>
        <w:r w:rsidR="00424E3B">
          <w:rPr>
            <w:webHidden/>
          </w:rPr>
          <w:fldChar w:fldCharType="end"/>
        </w:r>
      </w:hyperlink>
    </w:p>
    <w:p w14:paraId="4639654A" w14:textId="2C73ED34" w:rsidR="00424E3B" w:rsidRDefault="00000000">
      <w:pPr>
        <w:pStyle w:val="TOC2"/>
        <w:rPr>
          <w:rFonts w:asciiTheme="minorHAnsi" w:eastAsiaTheme="minorEastAsia" w:hAnsiTheme="minorHAnsi"/>
          <w:kern w:val="2"/>
          <w:szCs w:val="22"/>
          <w:lang w:eastAsia="en-AU"/>
          <w14:ligatures w14:val="standardContextual"/>
        </w:rPr>
      </w:pPr>
      <w:hyperlink w:anchor="_Toc160715679" w:history="1">
        <w:r w:rsidR="00424E3B" w:rsidRPr="00A46CF5">
          <w:rPr>
            <w:rStyle w:val="Hyperlink"/>
          </w:rPr>
          <w:t>18.26</w:t>
        </w:r>
        <w:r w:rsidR="00424E3B">
          <w:rPr>
            <w:rFonts w:asciiTheme="minorHAnsi" w:eastAsiaTheme="minorEastAsia" w:hAnsiTheme="minorHAnsi"/>
            <w:kern w:val="2"/>
            <w:szCs w:val="22"/>
            <w:lang w:eastAsia="en-AU"/>
            <w14:ligatures w14:val="standardContextual"/>
          </w:rPr>
          <w:tab/>
        </w:r>
        <w:r w:rsidR="00424E3B" w:rsidRPr="00A46CF5">
          <w:rPr>
            <w:rStyle w:val="Hyperlink"/>
          </w:rPr>
          <w:t>Machinery of government changes</w:t>
        </w:r>
        <w:r w:rsidR="00424E3B">
          <w:rPr>
            <w:webHidden/>
          </w:rPr>
          <w:tab/>
        </w:r>
        <w:r w:rsidR="00424E3B">
          <w:rPr>
            <w:webHidden/>
          </w:rPr>
          <w:fldChar w:fldCharType="begin"/>
        </w:r>
        <w:r w:rsidR="00424E3B">
          <w:rPr>
            <w:webHidden/>
          </w:rPr>
          <w:instrText xml:space="preserve"> PAGEREF _Toc160715679 \h </w:instrText>
        </w:r>
        <w:r w:rsidR="00424E3B">
          <w:rPr>
            <w:webHidden/>
          </w:rPr>
        </w:r>
        <w:r w:rsidR="00424E3B">
          <w:rPr>
            <w:webHidden/>
          </w:rPr>
          <w:fldChar w:fldCharType="separate"/>
        </w:r>
        <w:r w:rsidR="00424E3B">
          <w:rPr>
            <w:webHidden/>
          </w:rPr>
          <w:t>69</w:t>
        </w:r>
        <w:r w:rsidR="00424E3B">
          <w:rPr>
            <w:webHidden/>
          </w:rPr>
          <w:fldChar w:fldCharType="end"/>
        </w:r>
      </w:hyperlink>
    </w:p>
    <w:p w14:paraId="22EF9E81" w14:textId="70B72540" w:rsidR="00424E3B" w:rsidRDefault="00000000">
      <w:pPr>
        <w:pStyle w:val="TOC2"/>
        <w:rPr>
          <w:rFonts w:asciiTheme="minorHAnsi" w:eastAsiaTheme="minorEastAsia" w:hAnsiTheme="minorHAnsi"/>
          <w:kern w:val="2"/>
          <w:szCs w:val="22"/>
          <w:lang w:eastAsia="en-AU"/>
          <w14:ligatures w14:val="standardContextual"/>
        </w:rPr>
      </w:pPr>
      <w:hyperlink w:anchor="_Toc160715680" w:history="1">
        <w:r w:rsidR="00424E3B" w:rsidRPr="00A46CF5">
          <w:rPr>
            <w:rStyle w:val="Hyperlink"/>
          </w:rPr>
          <w:t>18.27</w:t>
        </w:r>
        <w:r w:rsidR="00424E3B">
          <w:rPr>
            <w:rFonts w:asciiTheme="minorHAnsi" w:eastAsiaTheme="minorEastAsia" w:hAnsiTheme="minorHAnsi"/>
            <w:kern w:val="2"/>
            <w:szCs w:val="22"/>
            <w:lang w:eastAsia="en-AU"/>
            <w14:ligatures w14:val="standardContextual"/>
          </w:rPr>
          <w:tab/>
        </w:r>
        <w:r w:rsidR="00424E3B" w:rsidRPr="00A46CF5">
          <w:rPr>
            <w:rStyle w:val="Hyperlink"/>
          </w:rPr>
          <w:t>Measure</w:t>
        </w:r>
        <w:r w:rsidR="00424E3B">
          <w:rPr>
            <w:webHidden/>
          </w:rPr>
          <w:tab/>
        </w:r>
        <w:r w:rsidR="00424E3B">
          <w:rPr>
            <w:webHidden/>
          </w:rPr>
          <w:fldChar w:fldCharType="begin"/>
        </w:r>
        <w:r w:rsidR="00424E3B">
          <w:rPr>
            <w:webHidden/>
          </w:rPr>
          <w:instrText xml:space="preserve"> PAGEREF _Toc160715680 \h </w:instrText>
        </w:r>
        <w:r w:rsidR="00424E3B">
          <w:rPr>
            <w:webHidden/>
          </w:rPr>
        </w:r>
        <w:r w:rsidR="00424E3B">
          <w:rPr>
            <w:webHidden/>
          </w:rPr>
          <w:fldChar w:fldCharType="separate"/>
        </w:r>
        <w:r w:rsidR="00424E3B">
          <w:rPr>
            <w:webHidden/>
          </w:rPr>
          <w:t>69</w:t>
        </w:r>
        <w:r w:rsidR="00424E3B">
          <w:rPr>
            <w:webHidden/>
          </w:rPr>
          <w:fldChar w:fldCharType="end"/>
        </w:r>
      </w:hyperlink>
    </w:p>
    <w:p w14:paraId="5DA06D70" w14:textId="04C8CE28" w:rsidR="00424E3B" w:rsidRDefault="00000000">
      <w:pPr>
        <w:pStyle w:val="TOC2"/>
        <w:rPr>
          <w:rFonts w:asciiTheme="minorHAnsi" w:eastAsiaTheme="minorEastAsia" w:hAnsiTheme="minorHAnsi"/>
          <w:kern w:val="2"/>
          <w:szCs w:val="22"/>
          <w:lang w:eastAsia="en-AU"/>
          <w14:ligatures w14:val="standardContextual"/>
        </w:rPr>
      </w:pPr>
      <w:hyperlink w:anchor="_Toc160715681" w:history="1">
        <w:r w:rsidR="00424E3B" w:rsidRPr="00A46CF5">
          <w:rPr>
            <w:rStyle w:val="Hyperlink"/>
          </w:rPr>
          <w:t>18.28</w:t>
        </w:r>
        <w:r w:rsidR="00424E3B">
          <w:rPr>
            <w:rFonts w:asciiTheme="minorHAnsi" w:eastAsiaTheme="minorEastAsia" w:hAnsiTheme="minorHAnsi"/>
            <w:kern w:val="2"/>
            <w:szCs w:val="22"/>
            <w:lang w:eastAsia="en-AU"/>
            <w14:ligatures w14:val="standardContextual"/>
          </w:rPr>
          <w:tab/>
        </w:r>
        <w:r w:rsidR="00424E3B" w:rsidRPr="00A46CF5">
          <w:rPr>
            <w:rStyle w:val="Hyperlink"/>
          </w:rPr>
          <w:t>Mid-year Economic and Fiscal Outlook</w:t>
        </w:r>
        <w:r w:rsidR="00424E3B">
          <w:rPr>
            <w:webHidden/>
          </w:rPr>
          <w:tab/>
        </w:r>
        <w:r w:rsidR="00424E3B">
          <w:rPr>
            <w:webHidden/>
          </w:rPr>
          <w:fldChar w:fldCharType="begin"/>
        </w:r>
        <w:r w:rsidR="00424E3B">
          <w:rPr>
            <w:webHidden/>
          </w:rPr>
          <w:instrText xml:space="preserve"> PAGEREF _Toc160715681 \h </w:instrText>
        </w:r>
        <w:r w:rsidR="00424E3B">
          <w:rPr>
            <w:webHidden/>
          </w:rPr>
        </w:r>
        <w:r w:rsidR="00424E3B">
          <w:rPr>
            <w:webHidden/>
          </w:rPr>
          <w:fldChar w:fldCharType="separate"/>
        </w:r>
        <w:r w:rsidR="00424E3B">
          <w:rPr>
            <w:webHidden/>
          </w:rPr>
          <w:t>69</w:t>
        </w:r>
        <w:r w:rsidR="00424E3B">
          <w:rPr>
            <w:webHidden/>
          </w:rPr>
          <w:fldChar w:fldCharType="end"/>
        </w:r>
      </w:hyperlink>
    </w:p>
    <w:p w14:paraId="6E9352D4" w14:textId="40545E6A" w:rsidR="00424E3B" w:rsidRDefault="00000000">
      <w:pPr>
        <w:pStyle w:val="TOC2"/>
        <w:rPr>
          <w:rFonts w:asciiTheme="minorHAnsi" w:eastAsiaTheme="minorEastAsia" w:hAnsiTheme="minorHAnsi"/>
          <w:kern w:val="2"/>
          <w:szCs w:val="22"/>
          <w:lang w:eastAsia="en-AU"/>
          <w14:ligatures w14:val="standardContextual"/>
        </w:rPr>
      </w:pPr>
      <w:hyperlink w:anchor="_Toc160715682" w:history="1">
        <w:r w:rsidR="00424E3B" w:rsidRPr="00A46CF5">
          <w:rPr>
            <w:rStyle w:val="Hyperlink"/>
          </w:rPr>
          <w:t>18.29</w:t>
        </w:r>
        <w:r w:rsidR="00424E3B">
          <w:rPr>
            <w:rFonts w:asciiTheme="minorHAnsi" w:eastAsiaTheme="minorEastAsia" w:hAnsiTheme="minorHAnsi"/>
            <w:kern w:val="2"/>
            <w:szCs w:val="22"/>
            <w:lang w:eastAsia="en-AU"/>
            <w14:ligatures w14:val="standardContextual"/>
          </w:rPr>
          <w:tab/>
        </w:r>
        <w:r w:rsidR="00424E3B" w:rsidRPr="00A46CF5">
          <w:rPr>
            <w:rStyle w:val="Hyperlink"/>
          </w:rPr>
          <w:t>Official Public Account</w:t>
        </w:r>
        <w:r w:rsidR="00424E3B">
          <w:rPr>
            <w:webHidden/>
          </w:rPr>
          <w:tab/>
        </w:r>
        <w:r w:rsidR="00424E3B">
          <w:rPr>
            <w:webHidden/>
          </w:rPr>
          <w:fldChar w:fldCharType="begin"/>
        </w:r>
        <w:r w:rsidR="00424E3B">
          <w:rPr>
            <w:webHidden/>
          </w:rPr>
          <w:instrText xml:space="preserve"> PAGEREF _Toc160715682 \h </w:instrText>
        </w:r>
        <w:r w:rsidR="00424E3B">
          <w:rPr>
            <w:webHidden/>
          </w:rPr>
        </w:r>
        <w:r w:rsidR="00424E3B">
          <w:rPr>
            <w:webHidden/>
          </w:rPr>
          <w:fldChar w:fldCharType="separate"/>
        </w:r>
        <w:r w:rsidR="00424E3B">
          <w:rPr>
            <w:webHidden/>
          </w:rPr>
          <w:t>69</w:t>
        </w:r>
        <w:r w:rsidR="00424E3B">
          <w:rPr>
            <w:webHidden/>
          </w:rPr>
          <w:fldChar w:fldCharType="end"/>
        </w:r>
      </w:hyperlink>
    </w:p>
    <w:p w14:paraId="24DD737F" w14:textId="23D20C95" w:rsidR="00424E3B" w:rsidRDefault="00000000">
      <w:pPr>
        <w:pStyle w:val="TOC2"/>
        <w:rPr>
          <w:rFonts w:asciiTheme="minorHAnsi" w:eastAsiaTheme="minorEastAsia" w:hAnsiTheme="minorHAnsi"/>
          <w:kern w:val="2"/>
          <w:szCs w:val="22"/>
          <w:lang w:eastAsia="en-AU"/>
          <w14:ligatures w14:val="standardContextual"/>
        </w:rPr>
      </w:pPr>
      <w:hyperlink w:anchor="_Toc160715683" w:history="1">
        <w:r w:rsidR="00424E3B" w:rsidRPr="00A46CF5">
          <w:rPr>
            <w:rStyle w:val="Hyperlink"/>
          </w:rPr>
          <w:t>18.30</w:t>
        </w:r>
        <w:r w:rsidR="00424E3B">
          <w:rPr>
            <w:rFonts w:asciiTheme="minorHAnsi" w:eastAsiaTheme="minorEastAsia" w:hAnsiTheme="minorHAnsi"/>
            <w:kern w:val="2"/>
            <w:szCs w:val="22"/>
            <w:lang w:eastAsia="en-AU"/>
            <w14:ligatures w14:val="standardContextual"/>
          </w:rPr>
          <w:tab/>
        </w:r>
        <w:r w:rsidR="00424E3B" w:rsidRPr="00A46CF5">
          <w:rPr>
            <w:rStyle w:val="Hyperlink"/>
          </w:rPr>
          <w:t>Operating expenditure (of heritage and cultural assets)</w:t>
        </w:r>
        <w:r w:rsidR="00424E3B">
          <w:rPr>
            <w:webHidden/>
          </w:rPr>
          <w:tab/>
        </w:r>
        <w:r w:rsidR="00424E3B">
          <w:rPr>
            <w:webHidden/>
          </w:rPr>
          <w:fldChar w:fldCharType="begin"/>
        </w:r>
        <w:r w:rsidR="00424E3B">
          <w:rPr>
            <w:webHidden/>
          </w:rPr>
          <w:instrText xml:space="preserve"> PAGEREF _Toc160715683 \h </w:instrText>
        </w:r>
        <w:r w:rsidR="00424E3B">
          <w:rPr>
            <w:webHidden/>
          </w:rPr>
        </w:r>
        <w:r w:rsidR="00424E3B">
          <w:rPr>
            <w:webHidden/>
          </w:rPr>
          <w:fldChar w:fldCharType="separate"/>
        </w:r>
        <w:r w:rsidR="00424E3B">
          <w:rPr>
            <w:webHidden/>
          </w:rPr>
          <w:t>69</w:t>
        </w:r>
        <w:r w:rsidR="00424E3B">
          <w:rPr>
            <w:webHidden/>
          </w:rPr>
          <w:fldChar w:fldCharType="end"/>
        </w:r>
      </w:hyperlink>
    </w:p>
    <w:p w14:paraId="5EA498F1" w14:textId="5E83B8A2" w:rsidR="00424E3B" w:rsidRDefault="00000000">
      <w:pPr>
        <w:pStyle w:val="TOC2"/>
        <w:rPr>
          <w:rFonts w:asciiTheme="minorHAnsi" w:eastAsiaTheme="minorEastAsia" w:hAnsiTheme="minorHAnsi"/>
          <w:kern w:val="2"/>
          <w:szCs w:val="22"/>
          <w:lang w:eastAsia="en-AU"/>
          <w14:ligatures w14:val="standardContextual"/>
        </w:rPr>
      </w:pPr>
      <w:hyperlink w:anchor="_Toc160715684" w:history="1">
        <w:r w:rsidR="00424E3B" w:rsidRPr="00A46CF5">
          <w:rPr>
            <w:rStyle w:val="Hyperlink"/>
          </w:rPr>
          <w:t>18.31</w:t>
        </w:r>
        <w:r w:rsidR="00424E3B">
          <w:rPr>
            <w:rFonts w:asciiTheme="minorHAnsi" w:eastAsiaTheme="minorEastAsia" w:hAnsiTheme="minorHAnsi"/>
            <w:kern w:val="2"/>
            <w:szCs w:val="22"/>
            <w:lang w:eastAsia="en-AU"/>
            <w14:ligatures w14:val="standardContextual"/>
          </w:rPr>
          <w:tab/>
        </w:r>
        <w:r w:rsidR="00424E3B" w:rsidRPr="00A46CF5">
          <w:rPr>
            <w:rStyle w:val="Hyperlink"/>
          </w:rPr>
          <w:t>Outcome</w:t>
        </w:r>
        <w:r w:rsidR="00424E3B">
          <w:rPr>
            <w:webHidden/>
          </w:rPr>
          <w:tab/>
        </w:r>
        <w:r w:rsidR="00424E3B">
          <w:rPr>
            <w:webHidden/>
          </w:rPr>
          <w:fldChar w:fldCharType="begin"/>
        </w:r>
        <w:r w:rsidR="00424E3B">
          <w:rPr>
            <w:webHidden/>
          </w:rPr>
          <w:instrText xml:space="preserve"> PAGEREF _Toc160715684 \h </w:instrText>
        </w:r>
        <w:r w:rsidR="00424E3B">
          <w:rPr>
            <w:webHidden/>
          </w:rPr>
        </w:r>
        <w:r w:rsidR="00424E3B">
          <w:rPr>
            <w:webHidden/>
          </w:rPr>
          <w:fldChar w:fldCharType="separate"/>
        </w:r>
        <w:r w:rsidR="00424E3B">
          <w:rPr>
            <w:webHidden/>
          </w:rPr>
          <w:t>70</w:t>
        </w:r>
        <w:r w:rsidR="00424E3B">
          <w:rPr>
            <w:webHidden/>
          </w:rPr>
          <w:fldChar w:fldCharType="end"/>
        </w:r>
      </w:hyperlink>
    </w:p>
    <w:p w14:paraId="6B8C2C2A" w14:textId="4499B030" w:rsidR="00424E3B" w:rsidRDefault="00000000">
      <w:pPr>
        <w:pStyle w:val="TOC2"/>
        <w:rPr>
          <w:rFonts w:asciiTheme="minorHAnsi" w:eastAsiaTheme="minorEastAsia" w:hAnsiTheme="minorHAnsi"/>
          <w:kern w:val="2"/>
          <w:szCs w:val="22"/>
          <w:lang w:eastAsia="en-AU"/>
          <w14:ligatures w14:val="standardContextual"/>
        </w:rPr>
      </w:pPr>
      <w:hyperlink w:anchor="_Toc160715685" w:history="1">
        <w:r w:rsidR="00424E3B" w:rsidRPr="00A46CF5">
          <w:rPr>
            <w:rStyle w:val="Hyperlink"/>
          </w:rPr>
          <w:t>18.32</w:t>
        </w:r>
        <w:r w:rsidR="00424E3B">
          <w:rPr>
            <w:rFonts w:asciiTheme="minorHAnsi" w:eastAsiaTheme="minorEastAsia" w:hAnsiTheme="minorHAnsi"/>
            <w:kern w:val="2"/>
            <w:szCs w:val="22"/>
            <w:lang w:eastAsia="en-AU"/>
            <w14:ligatures w14:val="standardContextual"/>
          </w:rPr>
          <w:tab/>
        </w:r>
        <w:r w:rsidR="00424E3B" w:rsidRPr="00A46CF5">
          <w:rPr>
            <w:rStyle w:val="Hyperlink"/>
          </w:rPr>
          <w:t>Outcome statement</w:t>
        </w:r>
        <w:r w:rsidR="00424E3B">
          <w:rPr>
            <w:webHidden/>
          </w:rPr>
          <w:tab/>
        </w:r>
        <w:r w:rsidR="00424E3B">
          <w:rPr>
            <w:webHidden/>
          </w:rPr>
          <w:fldChar w:fldCharType="begin"/>
        </w:r>
        <w:r w:rsidR="00424E3B">
          <w:rPr>
            <w:webHidden/>
          </w:rPr>
          <w:instrText xml:space="preserve"> PAGEREF _Toc160715685 \h </w:instrText>
        </w:r>
        <w:r w:rsidR="00424E3B">
          <w:rPr>
            <w:webHidden/>
          </w:rPr>
        </w:r>
        <w:r w:rsidR="00424E3B">
          <w:rPr>
            <w:webHidden/>
          </w:rPr>
          <w:fldChar w:fldCharType="separate"/>
        </w:r>
        <w:r w:rsidR="00424E3B">
          <w:rPr>
            <w:webHidden/>
          </w:rPr>
          <w:t>70</w:t>
        </w:r>
        <w:r w:rsidR="00424E3B">
          <w:rPr>
            <w:webHidden/>
          </w:rPr>
          <w:fldChar w:fldCharType="end"/>
        </w:r>
      </w:hyperlink>
    </w:p>
    <w:p w14:paraId="7B87468F" w14:textId="3C944D28" w:rsidR="00424E3B" w:rsidRDefault="00000000">
      <w:pPr>
        <w:pStyle w:val="TOC2"/>
        <w:rPr>
          <w:rFonts w:asciiTheme="minorHAnsi" w:eastAsiaTheme="minorEastAsia" w:hAnsiTheme="minorHAnsi"/>
          <w:kern w:val="2"/>
          <w:szCs w:val="22"/>
          <w:lang w:eastAsia="en-AU"/>
          <w14:ligatures w14:val="standardContextual"/>
        </w:rPr>
      </w:pPr>
      <w:hyperlink w:anchor="_Toc160715686" w:history="1">
        <w:r w:rsidR="00424E3B" w:rsidRPr="00A46CF5">
          <w:rPr>
            <w:rStyle w:val="Hyperlink"/>
          </w:rPr>
          <w:t>18.33</w:t>
        </w:r>
        <w:r w:rsidR="00424E3B">
          <w:rPr>
            <w:rFonts w:asciiTheme="minorHAnsi" w:eastAsiaTheme="minorEastAsia" w:hAnsiTheme="minorHAnsi"/>
            <w:kern w:val="2"/>
            <w:szCs w:val="22"/>
            <w:lang w:eastAsia="en-AU"/>
            <w14:ligatures w14:val="standardContextual"/>
          </w:rPr>
          <w:tab/>
        </w:r>
        <w:r w:rsidR="00424E3B" w:rsidRPr="00A46CF5">
          <w:rPr>
            <w:rStyle w:val="Hyperlink"/>
          </w:rPr>
          <w:t>PB Statements</w:t>
        </w:r>
        <w:r w:rsidR="00424E3B">
          <w:rPr>
            <w:webHidden/>
          </w:rPr>
          <w:tab/>
        </w:r>
        <w:r w:rsidR="00424E3B">
          <w:rPr>
            <w:webHidden/>
          </w:rPr>
          <w:fldChar w:fldCharType="begin"/>
        </w:r>
        <w:r w:rsidR="00424E3B">
          <w:rPr>
            <w:webHidden/>
          </w:rPr>
          <w:instrText xml:space="preserve"> PAGEREF _Toc160715686 \h </w:instrText>
        </w:r>
        <w:r w:rsidR="00424E3B">
          <w:rPr>
            <w:webHidden/>
          </w:rPr>
        </w:r>
        <w:r w:rsidR="00424E3B">
          <w:rPr>
            <w:webHidden/>
          </w:rPr>
          <w:fldChar w:fldCharType="separate"/>
        </w:r>
        <w:r w:rsidR="00424E3B">
          <w:rPr>
            <w:webHidden/>
          </w:rPr>
          <w:t>70</w:t>
        </w:r>
        <w:r w:rsidR="00424E3B">
          <w:rPr>
            <w:webHidden/>
          </w:rPr>
          <w:fldChar w:fldCharType="end"/>
        </w:r>
      </w:hyperlink>
    </w:p>
    <w:p w14:paraId="0FAACD2B" w14:textId="0A348328" w:rsidR="00424E3B" w:rsidRDefault="00000000">
      <w:pPr>
        <w:pStyle w:val="TOC2"/>
        <w:rPr>
          <w:rFonts w:asciiTheme="minorHAnsi" w:eastAsiaTheme="minorEastAsia" w:hAnsiTheme="minorHAnsi"/>
          <w:kern w:val="2"/>
          <w:szCs w:val="22"/>
          <w:lang w:eastAsia="en-AU"/>
          <w14:ligatures w14:val="standardContextual"/>
        </w:rPr>
      </w:pPr>
      <w:hyperlink w:anchor="_Toc160715687" w:history="1">
        <w:r w:rsidR="00424E3B" w:rsidRPr="00A46CF5">
          <w:rPr>
            <w:rStyle w:val="Hyperlink"/>
          </w:rPr>
          <w:t>18.34</w:t>
        </w:r>
        <w:r w:rsidR="00424E3B">
          <w:rPr>
            <w:rFonts w:asciiTheme="minorHAnsi" w:eastAsiaTheme="minorEastAsia" w:hAnsiTheme="minorHAnsi"/>
            <w:kern w:val="2"/>
            <w:szCs w:val="22"/>
            <w:lang w:eastAsia="en-AU"/>
            <w14:ligatures w14:val="standardContextual"/>
          </w:rPr>
          <w:tab/>
        </w:r>
        <w:r w:rsidR="00424E3B" w:rsidRPr="00A46CF5">
          <w:rPr>
            <w:rStyle w:val="Hyperlink"/>
          </w:rPr>
          <w:t>PGPA Act flipchart and list</w:t>
        </w:r>
        <w:r w:rsidR="00424E3B">
          <w:rPr>
            <w:webHidden/>
          </w:rPr>
          <w:tab/>
        </w:r>
        <w:r w:rsidR="00424E3B">
          <w:rPr>
            <w:webHidden/>
          </w:rPr>
          <w:fldChar w:fldCharType="begin"/>
        </w:r>
        <w:r w:rsidR="00424E3B">
          <w:rPr>
            <w:webHidden/>
          </w:rPr>
          <w:instrText xml:space="preserve"> PAGEREF _Toc160715687 \h </w:instrText>
        </w:r>
        <w:r w:rsidR="00424E3B">
          <w:rPr>
            <w:webHidden/>
          </w:rPr>
        </w:r>
        <w:r w:rsidR="00424E3B">
          <w:rPr>
            <w:webHidden/>
          </w:rPr>
          <w:fldChar w:fldCharType="separate"/>
        </w:r>
        <w:r w:rsidR="00424E3B">
          <w:rPr>
            <w:webHidden/>
          </w:rPr>
          <w:t>70</w:t>
        </w:r>
        <w:r w:rsidR="00424E3B">
          <w:rPr>
            <w:webHidden/>
          </w:rPr>
          <w:fldChar w:fldCharType="end"/>
        </w:r>
      </w:hyperlink>
    </w:p>
    <w:p w14:paraId="268DAFC8" w14:textId="5CAD6AD8" w:rsidR="00424E3B" w:rsidRDefault="00000000">
      <w:pPr>
        <w:pStyle w:val="TOC2"/>
        <w:rPr>
          <w:rFonts w:asciiTheme="minorHAnsi" w:eastAsiaTheme="minorEastAsia" w:hAnsiTheme="minorHAnsi"/>
          <w:kern w:val="2"/>
          <w:szCs w:val="22"/>
          <w:lang w:eastAsia="en-AU"/>
          <w14:ligatures w14:val="standardContextual"/>
        </w:rPr>
      </w:pPr>
      <w:hyperlink w:anchor="_Toc160715688" w:history="1">
        <w:r w:rsidR="00424E3B" w:rsidRPr="00A46CF5">
          <w:rPr>
            <w:rStyle w:val="Hyperlink"/>
          </w:rPr>
          <w:t>18.35</w:t>
        </w:r>
        <w:r w:rsidR="00424E3B">
          <w:rPr>
            <w:rFonts w:asciiTheme="minorHAnsi" w:eastAsiaTheme="minorEastAsia" w:hAnsiTheme="minorHAnsi"/>
            <w:kern w:val="2"/>
            <w:szCs w:val="22"/>
            <w:lang w:eastAsia="en-AU"/>
            <w14:ligatures w14:val="standardContextual"/>
          </w:rPr>
          <w:tab/>
        </w:r>
        <w:r w:rsidR="00424E3B" w:rsidRPr="00A46CF5">
          <w:rPr>
            <w:rStyle w:val="Hyperlink"/>
          </w:rPr>
          <w:t>Portfolio Additional Estimates Statements</w:t>
        </w:r>
        <w:r w:rsidR="00424E3B">
          <w:rPr>
            <w:webHidden/>
          </w:rPr>
          <w:tab/>
        </w:r>
        <w:r w:rsidR="00424E3B">
          <w:rPr>
            <w:webHidden/>
          </w:rPr>
          <w:fldChar w:fldCharType="begin"/>
        </w:r>
        <w:r w:rsidR="00424E3B">
          <w:rPr>
            <w:webHidden/>
          </w:rPr>
          <w:instrText xml:space="preserve"> PAGEREF _Toc160715688 \h </w:instrText>
        </w:r>
        <w:r w:rsidR="00424E3B">
          <w:rPr>
            <w:webHidden/>
          </w:rPr>
        </w:r>
        <w:r w:rsidR="00424E3B">
          <w:rPr>
            <w:webHidden/>
          </w:rPr>
          <w:fldChar w:fldCharType="separate"/>
        </w:r>
        <w:r w:rsidR="00424E3B">
          <w:rPr>
            <w:webHidden/>
          </w:rPr>
          <w:t>70</w:t>
        </w:r>
        <w:r w:rsidR="00424E3B">
          <w:rPr>
            <w:webHidden/>
          </w:rPr>
          <w:fldChar w:fldCharType="end"/>
        </w:r>
      </w:hyperlink>
    </w:p>
    <w:p w14:paraId="249D583C" w14:textId="0231D1CF" w:rsidR="00424E3B" w:rsidRDefault="00000000">
      <w:pPr>
        <w:pStyle w:val="TOC2"/>
        <w:rPr>
          <w:rFonts w:asciiTheme="minorHAnsi" w:eastAsiaTheme="minorEastAsia" w:hAnsiTheme="minorHAnsi"/>
          <w:kern w:val="2"/>
          <w:szCs w:val="22"/>
          <w:lang w:eastAsia="en-AU"/>
          <w14:ligatures w14:val="standardContextual"/>
        </w:rPr>
      </w:pPr>
      <w:hyperlink w:anchor="_Toc160715689" w:history="1">
        <w:r w:rsidR="00424E3B" w:rsidRPr="00A46CF5">
          <w:rPr>
            <w:rStyle w:val="Hyperlink"/>
          </w:rPr>
          <w:t>18.36</w:t>
        </w:r>
        <w:r w:rsidR="00424E3B">
          <w:rPr>
            <w:rFonts w:asciiTheme="minorHAnsi" w:eastAsiaTheme="minorEastAsia" w:hAnsiTheme="minorHAnsi"/>
            <w:kern w:val="2"/>
            <w:szCs w:val="22"/>
            <w:lang w:eastAsia="en-AU"/>
            <w14:ligatures w14:val="standardContextual"/>
          </w:rPr>
          <w:tab/>
        </w:r>
        <w:r w:rsidR="00424E3B" w:rsidRPr="00A46CF5">
          <w:rPr>
            <w:rStyle w:val="Hyperlink"/>
          </w:rPr>
          <w:t>Portfolio Budget Statements</w:t>
        </w:r>
        <w:r w:rsidR="00424E3B">
          <w:rPr>
            <w:webHidden/>
          </w:rPr>
          <w:tab/>
        </w:r>
        <w:r w:rsidR="00424E3B">
          <w:rPr>
            <w:webHidden/>
          </w:rPr>
          <w:fldChar w:fldCharType="begin"/>
        </w:r>
        <w:r w:rsidR="00424E3B">
          <w:rPr>
            <w:webHidden/>
          </w:rPr>
          <w:instrText xml:space="preserve"> PAGEREF _Toc160715689 \h </w:instrText>
        </w:r>
        <w:r w:rsidR="00424E3B">
          <w:rPr>
            <w:webHidden/>
          </w:rPr>
        </w:r>
        <w:r w:rsidR="00424E3B">
          <w:rPr>
            <w:webHidden/>
          </w:rPr>
          <w:fldChar w:fldCharType="separate"/>
        </w:r>
        <w:r w:rsidR="00424E3B">
          <w:rPr>
            <w:webHidden/>
          </w:rPr>
          <w:t>70</w:t>
        </w:r>
        <w:r w:rsidR="00424E3B">
          <w:rPr>
            <w:webHidden/>
          </w:rPr>
          <w:fldChar w:fldCharType="end"/>
        </w:r>
      </w:hyperlink>
    </w:p>
    <w:p w14:paraId="434EC1B3" w14:textId="4FC26E32" w:rsidR="00424E3B" w:rsidRDefault="00000000">
      <w:pPr>
        <w:pStyle w:val="TOC2"/>
        <w:rPr>
          <w:rFonts w:asciiTheme="minorHAnsi" w:eastAsiaTheme="minorEastAsia" w:hAnsiTheme="minorHAnsi"/>
          <w:kern w:val="2"/>
          <w:szCs w:val="22"/>
          <w:lang w:eastAsia="en-AU"/>
          <w14:ligatures w14:val="standardContextual"/>
        </w:rPr>
      </w:pPr>
      <w:hyperlink w:anchor="_Toc160715690" w:history="1">
        <w:r w:rsidR="00424E3B" w:rsidRPr="00A46CF5">
          <w:rPr>
            <w:rStyle w:val="Hyperlink"/>
          </w:rPr>
          <w:t>18.37</w:t>
        </w:r>
        <w:r w:rsidR="00424E3B">
          <w:rPr>
            <w:rFonts w:asciiTheme="minorHAnsi" w:eastAsiaTheme="minorEastAsia" w:hAnsiTheme="minorHAnsi"/>
            <w:kern w:val="2"/>
            <w:szCs w:val="22"/>
            <w:lang w:eastAsia="en-AU"/>
            <w14:ligatures w14:val="standardContextual"/>
          </w:rPr>
          <w:tab/>
        </w:r>
        <w:r w:rsidR="00424E3B" w:rsidRPr="00A46CF5">
          <w:rPr>
            <w:rStyle w:val="Hyperlink"/>
          </w:rPr>
          <w:t>Pre-Election Fiscal Outlook</w:t>
        </w:r>
        <w:r w:rsidR="00424E3B">
          <w:rPr>
            <w:webHidden/>
          </w:rPr>
          <w:tab/>
        </w:r>
        <w:r w:rsidR="00424E3B">
          <w:rPr>
            <w:webHidden/>
          </w:rPr>
          <w:fldChar w:fldCharType="begin"/>
        </w:r>
        <w:r w:rsidR="00424E3B">
          <w:rPr>
            <w:webHidden/>
          </w:rPr>
          <w:instrText xml:space="preserve"> PAGEREF _Toc160715690 \h </w:instrText>
        </w:r>
        <w:r w:rsidR="00424E3B">
          <w:rPr>
            <w:webHidden/>
          </w:rPr>
        </w:r>
        <w:r w:rsidR="00424E3B">
          <w:rPr>
            <w:webHidden/>
          </w:rPr>
          <w:fldChar w:fldCharType="separate"/>
        </w:r>
        <w:r w:rsidR="00424E3B">
          <w:rPr>
            <w:webHidden/>
          </w:rPr>
          <w:t>71</w:t>
        </w:r>
        <w:r w:rsidR="00424E3B">
          <w:rPr>
            <w:webHidden/>
          </w:rPr>
          <w:fldChar w:fldCharType="end"/>
        </w:r>
      </w:hyperlink>
    </w:p>
    <w:p w14:paraId="3F69C9F1" w14:textId="67FD4D59" w:rsidR="00424E3B" w:rsidRDefault="00000000">
      <w:pPr>
        <w:pStyle w:val="TOC2"/>
        <w:rPr>
          <w:rFonts w:asciiTheme="minorHAnsi" w:eastAsiaTheme="minorEastAsia" w:hAnsiTheme="minorHAnsi"/>
          <w:kern w:val="2"/>
          <w:szCs w:val="22"/>
          <w:lang w:eastAsia="en-AU"/>
          <w14:ligatures w14:val="standardContextual"/>
        </w:rPr>
      </w:pPr>
      <w:hyperlink w:anchor="_Toc160715691" w:history="1">
        <w:r w:rsidR="00424E3B" w:rsidRPr="00A46CF5">
          <w:rPr>
            <w:rStyle w:val="Hyperlink"/>
          </w:rPr>
          <w:t>18.38</w:t>
        </w:r>
        <w:r w:rsidR="00424E3B">
          <w:rPr>
            <w:rFonts w:asciiTheme="minorHAnsi" w:eastAsiaTheme="minorEastAsia" w:hAnsiTheme="minorHAnsi"/>
            <w:kern w:val="2"/>
            <w:szCs w:val="22"/>
            <w:lang w:eastAsia="en-AU"/>
            <w14:ligatures w14:val="standardContextual"/>
          </w:rPr>
          <w:tab/>
        </w:r>
        <w:r w:rsidR="00424E3B" w:rsidRPr="00A46CF5">
          <w:rPr>
            <w:rStyle w:val="Hyperlink"/>
          </w:rPr>
          <w:t>Primary Reporting and Information Management Aid</w:t>
        </w:r>
        <w:r w:rsidR="00424E3B">
          <w:rPr>
            <w:webHidden/>
          </w:rPr>
          <w:tab/>
        </w:r>
        <w:r w:rsidR="00424E3B">
          <w:rPr>
            <w:webHidden/>
          </w:rPr>
          <w:fldChar w:fldCharType="begin"/>
        </w:r>
        <w:r w:rsidR="00424E3B">
          <w:rPr>
            <w:webHidden/>
          </w:rPr>
          <w:instrText xml:space="preserve"> PAGEREF _Toc160715691 \h </w:instrText>
        </w:r>
        <w:r w:rsidR="00424E3B">
          <w:rPr>
            <w:webHidden/>
          </w:rPr>
        </w:r>
        <w:r w:rsidR="00424E3B">
          <w:rPr>
            <w:webHidden/>
          </w:rPr>
          <w:fldChar w:fldCharType="separate"/>
        </w:r>
        <w:r w:rsidR="00424E3B">
          <w:rPr>
            <w:webHidden/>
          </w:rPr>
          <w:t>71</w:t>
        </w:r>
        <w:r w:rsidR="00424E3B">
          <w:rPr>
            <w:webHidden/>
          </w:rPr>
          <w:fldChar w:fldCharType="end"/>
        </w:r>
      </w:hyperlink>
    </w:p>
    <w:p w14:paraId="5874FB31" w14:textId="55ACC655" w:rsidR="00424E3B" w:rsidRDefault="00000000">
      <w:pPr>
        <w:pStyle w:val="TOC2"/>
        <w:rPr>
          <w:rFonts w:asciiTheme="minorHAnsi" w:eastAsiaTheme="minorEastAsia" w:hAnsiTheme="minorHAnsi"/>
          <w:kern w:val="2"/>
          <w:szCs w:val="22"/>
          <w:lang w:eastAsia="en-AU"/>
          <w14:ligatures w14:val="standardContextual"/>
        </w:rPr>
      </w:pPr>
      <w:hyperlink w:anchor="_Toc160715692" w:history="1">
        <w:r w:rsidR="00424E3B" w:rsidRPr="00A46CF5">
          <w:rPr>
            <w:rStyle w:val="Hyperlink"/>
          </w:rPr>
          <w:t>18.39</w:t>
        </w:r>
        <w:r w:rsidR="00424E3B">
          <w:rPr>
            <w:rFonts w:asciiTheme="minorHAnsi" w:eastAsiaTheme="minorEastAsia" w:hAnsiTheme="minorHAnsi"/>
            <w:kern w:val="2"/>
            <w:szCs w:val="22"/>
            <w:lang w:eastAsia="en-AU"/>
            <w14:ligatures w14:val="standardContextual"/>
          </w:rPr>
          <w:tab/>
        </w:r>
        <w:r w:rsidR="00424E3B" w:rsidRPr="00A46CF5">
          <w:rPr>
            <w:rStyle w:val="Hyperlink"/>
          </w:rPr>
          <w:t>Program</w:t>
        </w:r>
        <w:r w:rsidR="00424E3B">
          <w:rPr>
            <w:webHidden/>
          </w:rPr>
          <w:tab/>
        </w:r>
        <w:r w:rsidR="00424E3B">
          <w:rPr>
            <w:webHidden/>
          </w:rPr>
          <w:fldChar w:fldCharType="begin"/>
        </w:r>
        <w:r w:rsidR="00424E3B">
          <w:rPr>
            <w:webHidden/>
          </w:rPr>
          <w:instrText xml:space="preserve"> PAGEREF _Toc160715692 \h </w:instrText>
        </w:r>
        <w:r w:rsidR="00424E3B">
          <w:rPr>
            <w:webHidden/>
          </w:rPr>
        </w:r>
        <w:r w:rsidR="00424E3B">
          <w:rPr>
            <w:webHidden/>
          </w:rPr>
          <w:fldChar w:fldCharType="separate"/>
        </w:r>
        <w:r w:rsidR="00424E3B">
          <w:rPr>
            <w:webHidden/>
          </w:rPr>
          <w:t>71</w:t>
        </w:r>
        <w:r w:rsidR="00424E3B">
          <w:rPr>
            <w:webHidden/>
          </w:rPr>
          <w:fldChar w:fldCharType="end"/>
        </w:r>
      </w:hyperlink>
    </w:p>
    <w:p w14:paraId="1AD55C12" w14:textId="0309DF29" w:rsidR="00424E3B" w:rsidRDefault="00000000">
      <w:pPr>
        <w:pStyle w:val="TOC2"/>
        <w:rPr>
          <w:rFonts w:asciiTheme="minorHAnsi" w:eastAsiaTheme="minorEastAsia" w:hAnsiTheme="minorHAnsi"/>
          <w:kern w:val="2"/>
          <w:szCs w:val="22"/>
          <w:lang w:eastAsia="en-AU"/>
          <w14:ligatures w14:val="standardContextual"/>
        </w:rPr>
      </w:pPr>
      <w:hyperlink w:anchor="_Toc160715693" w:history="1">
        <w:r w:rsidR="00424E3B" w:rsidRPr="00A46CF5">
          <w:rPr>
            <w:rStyle w:val="Hyperlink"/>
          </w:rPr>
          <w:t>18.40</w:t>
        </w:r>
        <w:r w:rsidR="00424E3B">
          <w:rPr>
            <w:rFonts w:asciiTheme="minorHAnsi" w:eastAsiaTheme="minorEastAsia" w:hAnsiTheme="minorHAnsi"/>
            <w:kern w:val="2"/>
            <w:szCs w:val="22"/>
            <w:lang w:eastAsia="en-AU"/>
            <w14:ligatures w14:val="standardContextual"/>
          </w:rPr>
          <w:tab/>
        </w:r>
        <w:r w:rsidR="00424E3B" w:rsidRPr="00A46CF5">
          <w:rPr>
            <w:rStyle w:val="Hyperlink"/>
          </w:rPr>
          <w:t>Program support</w:t>
        </w:r>
        <w:r w:rsidR="00424E3B">
          <w:rPr>
            <w:webHidden/>
          </w:rPr>
          <w:tab/>
        </w:r>
        <w:r w:rsidR="00424E3B">
          <w:rPr>
            <w:webHidden/>
          </w:rPr>
          <w:fldChar w:fldCharType="begin"/>
        </w:r>
        <w:r w:rsidR="00424E3B">
          <w:rPr>
            <w:webHidden/>
          </w:rPr>
          <w:instrText xml:space="preserve"> PAGEREF _Toc160715693 \h </w:instrText>
        </w:r>
        <w:r w:rsidR="00424E3B">
          <w:rPr>
            <w:webHidden/>
          </w:rPr>
        </w:r>
        <w:r w:rsidR="00424E3B">
          <w:rPr>
            <w:webHidden/>
          </w:rPr>
          <w:fldChar w:fldCharType="separate"/>
        </w:r>
        <w:r w:rsidR="00424E3B">
          <w:rPr>
            <w:webHidden/>
          </w:rPr>
          <w:t>71</w:t>
        </w:r>
        <w:r w:rsidR="00424E3B">
          <w:rPr>
            <w:webHidden/>
          </w:rPr>
          <w:fldChar w:fldCharType="end"/>
        </w:r>
      </w:hyperlink>
    </w:p>
    <w:p w14:paraId="0639ED25" w14:textId="2C88447B" w:rsidR="00424E3B" w:rsidRDefault="00000000">
      <w:pPr>
        <w:pStyle w:val="TOC2"/>
        <w:rPr>
          <w:rFonts w:asciiTheme="minorHAnsi" w:eastAsiaTheme="minorEastAsia" w:hAnsiTheme="minorHAnsi"/>
          <w:kern w:val="2"/>
          <w:szCs w:val="22"/>
          <w:lang w:eastAsia="en-AU"/>
          <w14:ligatures w14:val="standardContextual"/>
        </w:rPr>
      </w:pPr>
      <w:hyperlink w:anchor="_Toc160715694" w:history="1">
        <w:r w:rsidR="00424E3B" w:rsidRPr="00A46CF5">
          <w:rPr>
            <w:rStyle w:val="Hyperlink"/>
          </w:rPr>
          <w:t>18.41</w:t>
        </w:r>
        <w:r w:rsidR="00424E3B">
          <w:rPr>
            <w:rFonts w:asciiTheme="minorHAnsi" w:eastAsiaTheme="minorEastAsia" w:hAnsiTheme="minorHAnsi"/>
            <w:kern w:val="2"/>
            <w:szCs w:val="22"/>
            <w:lang w:eastAsia="en-AU"/>
            <w14:ligatures w14:val="standardContextual"/>
          </w:rPr>
          <w:tab/>
        </w:r>
        <w:r w:rsidR="00424E3B" w:rsidRPr="00A46CF5">
          <w:rPr>
            <w:rStyle w:val="Hyperlink"/>
            <w:i/>
            <w:iCs/>
          </w:rPr>
          <w:t>Public Governance, Performance and Accountability Act 2013</w:t>
        </w:r>
        <w:r w:rsidR="00424E3B">
          <w:rPr>
            <w:webHidden/>
          </w:rPr>
          <w:tab/>
        </w:r>
        <w:r w:rsidR="00424E3B">
          <w:rPr>
            <w:webHidden/>
          </w:rPr>
          <w:fldChar w:fldCharType="begin"/>
        </w:r>
        <w:r w:rsidR="00424E3B">
          <w:rPr>
            <w:webHidden/>
          </w:rPr>
          <w:instrText xml:space="preserve"> PAGEREF _Toc160715694 \h </w:instrText>
        </w:r>
        <w:r w:rsidR="00424E3B">
          <w:rPr>
            <w:webHidden/>
          </w:rPr>
        </w:r>
        <w:r w:rsidR="00424E3B">
          <w:rPr>
            <w:webHidden/>
          </w:rPr>
          <w:fldChar w:fldCharType="separate"/>
        </w:r>
        <w:r w:rsidR="00424E3B">
          <w:rPr>
            <w:webHidden/>
          </w:rPr>
          <w:t>71</w:t>
        </w:r>
        <w:r w:rsidR="00424E3B">
          <w:rPr>
            <w:webHidden/>
          </w:rPr>
          <w:fldChar w:fldCharType="end"/>
        </w:r>
      </w:hyperlink>
    </w:p>
    <w:p w14:paraId="774B464E" w14:textId="06F89E5B" w:rsidR="00424E3B" w:rsidRDefault="00000000">
      <w:pPr>
        <w:pStyle w:val="TOC2"/>
        <w:rPr>
          <w:rFonts w:asciiTheme="minorHAnsi" w:eastAsiaTheme="minorEastAsia" w:hAnsiTheme="minorHAnsi"/>
          <w:kern w:val="2"/>
          <w:szCs w:val="22"/>
          <w:lang w:eastAsia="en-AU"/>
          <w14:ligatures w14:val="standardContextual"/>
        </w:rPr>
      </w:pPr>
      <w:hyperlink w:anchor="_Toc160715695" w:history="1">
        <w:r w:rsidR="00424E3B" w:rsidRPr="00A46CF5">
          <w:rPr>
            <w:rStyle w:val="Hyperlink"/>
          </w:rPr>
          <w:t>18.42</w:t>
        </w:r>
        <w:r w:rsidR="00424E3B">
          <w:rPr>
            <w:rFonts w:asciiTheme="minorHAnsi" w:eastAsiaTheme="minorEastAsia" w:hAnsiTheme="minorHAnsi"/>
            <w:kern w:val="2"/>
            <w:szCs w:val="22"/>
            <w:lang w:eastAsia="en-AU"/>
            <w14:ligatures w14:val="standardContextual"/>
          </w:rPr>
          <w:tab/>
        </w:r>
        <w:r w:rsidR="00424E3B" w:rsidRPr="00A46CF5">
          <w:rPr>
            <w:rStyle w:val="Hyperlink"/>
          </w:rPr>
          <w:t>Purpose</w:t>
        </w:r>
        <w:r w:rsidR="00424E3B">
          <w:rPr>
            <w:webHidden/>
          </w:rPr>
          <w:tab/>
        </w:r>
        <w:r w:rsidR="00424E3B">
          <w:rPr>
            <w:webHidden/>
          </w:rPr>
          <w:fldChar w:fldCharType="begin"/>
        </w:r>
        <w:r w:rsidR="00424E3B">
          <w:rPr>
            <w:webHidden/>
          </w:rPr>
          <w:instrText xml:space="preserve"> PAGEREF _Toc160715695 \h </w:instrText>
        </w:r>
        <w:r w:rsidR="00424E3B">
          <w:rPr>
            <w:webHidden/>
          </w:rPr>
        </w:r>
        <w:r w:rsidR="00424E3B">
          <w:rPr>
            <w:webHidden/>
          </w:rPr>
          <w:fldChar w:fldCharType="separate"/>
        </w:r>
        <w:r w:rsidR="00424E3B">
          <w:rPr>
            <w:webHidden/>
          </w:rPr>
          <w:t>71</w:t>
        </w:r>
        <w:r w:rsidR="00424E3B">
          <w:rPr>
            <w:webHidden/>
          </w:rPr>
          <w:fldChar w:fldCharType="end"/>
        </w:r>
      </w:hyperlink>
    </w:p>
    <w:p w14:paraId="1DD52270" w14:textId="5F13F024" w:rsidR="00424E3B" w:rsidRDefault="00000000">
      <w:pPr>
        <w:pStyle w:val="TOC2"/>
        <w:rPr>
          <w:rFonts w:asciiTheme="minorHAnsi" w:eastAsiaTheme="minorEastAsia" w:hAnsiTheme="minorHAnsi"/>
          <w:kern w:val="2"/>
          <w:szCs w:val="22"/>
          <w:lang w:eastAsia="en-AU"/>
          <w14:ligatures w14:val="standardContextual"/>
        </w:rPr>
      </w:pPr>
      <w:hyperlink w:anchor="_Toc160715696" w:history="1">
        <w:r w:rsidR="00424E3B" w:rsidRPr="00A46CF5">
          <w:rPr>
            <w:rStyle w:val="Hyperlink"/>
          </w:rPr>
          <w:t>18.43</w:t>
        </w:r>
        <w:r w:rsidR="00424E3B">
          <w:rPr>
            <w:rFonts w:asciiTheme="minorHAnsi" w:eastAsiaTheme="minorEastAsia" w:hAnsiTheme="minorHAnsi"/>
            <w:kern w:val="2"/>
            <w:szCs w:val="22"/>
            <w:lang w:eastAsia="en-AU"/>
            <w14:ligatures w14:val="standardContextual"/>
          </w:rPr>
          <w:tab/>
        </w:r>
        <w:r w:rsidR="00424E3B" w:rsidRPr="00A46CF5">
          <w:rPr>
            <w:rStyle w:val="Hyperlink"/>
          </w:rPr>
          <w:t>Right-of-Use Asset</w:t>
        </w:r>
        <w:r w:rsidR="00424E3B">
          <w:rPr>
            <w:webHidden/>
          </w:rPr>
          <w:tab/>
        </w:r>
        <w:r w:rsidR="00424E3B">
          <w:rPr>
            <w:webHidden/>
          </w:rPr>
          <w:fldChar w:fldCharType="begin"/>
        </w:r>
        <w:r w:rsidR="00424E3B">
          <w:rPr>
            <w:webHidden/>
          </w:rPr>
          <w:instrText xml:space="preserve"> PAGEREF _Toc160715696 \h </w:instrText>
        </w:r>
        <w:r w:rsidR="00424E3B">
          <w:rPr>
            <w:webHidden/>
          </w:rPr>
        </w:r>
        <w:r w:rsidR="00424E3B">
          <w:rPr>
            <w:webHidden/>
          </w:rPr>
          <w:fldChar w:fldCharType="separate"/>
        </w:r>
        <w:r w:rsidR="00424E3B">
          <w:rPr>
            <w:webHidden/>
          </w:rPr>
          <w:t>71</w:t>
        </w:r>
        <w:r w:rsidR="00424E3B">
          <w:rPr>
            <w:webHidden/>
          </w:rPr>
          <w:fldChar w:fldCharType="end"/>
        </w:r>
      </w:hyperlink>
    </w:p>
    <w:p w14:paraId="1496DF28" w14:textId="01E2DEDD" w:rsidR="00424E3B" w:rsidRDefault="00000000">
      <w:pPr>
        <w:pStyle w:val="TOC2"/>
        <w:rPr>
          <w:rFonts w:asciiTheme="minorHAnsi" w:eastAsiaTheme="minorEastAsia" w:hAnsiTheme="minorHAnsi"/>
          <w:kern w:val="2"/>
          <w:szCs w:val="22"/>
          <w:lang w:eastAsia="en-AU"/>
          <w14:ligatures w14:val="standardContextual"/>
        </w:rPr>
      </w:pPr>
      <w:hyperlink w:anchor="_Toc160715697" w:history="1">
        <w:r w:rsidR="00424E3B" w:rsidRPr="00A46CF5">
          <w:rPr>
            <w:rStyle w:val="Hyperlink"/>
          </w:rPr>
          <w:t>18.44</w:t>
        </w:r>
        <w:r w:rsidR="00424E3B">
          <w:rPr>
            <w:rFonts w:asciiTheme="minorHAnsi" w:eastAsiaTheme="minorEastAsia" w:hAnsiTheme="minorHAnsi"/>
            <w:kern w:val="2"/>
            <w:szCs w:val="22"/>
            <w:lang w:eastAsia="en-AU"/>
            <w14:ligatures w14:val="standardContextual"/>
          </w:rPr>
          <w:tab/>
        </w:r>
        <w:r w:rsidR="00424E3B" w:rsidRPr="00A46CF5">
          <w:rPr>
            <w:rStyle w:val="Hyperlink"/>
          </w:rPr>
          <w:t>Senate estimates hearings</w:t>
        </w:r>
        <w:r w:rsidR="00424E3B">
          <w:rPr>
            <w:webHidden/>
          </w:rPr>
          <w:tab/>
        </w:r>
        <w:r w:rsidR="00424E3B">
          <w:rPr>
            <w:webHidden/>
          </w:rPr>
          <w:fldChar w:fldCharType="begin"/>
        </w:r>
        <w:r w:rsidR="00424E3B">
          <w:rPr>
            <w:webHidden/>
          </w:rPr>
          <w:instrText xml:space="preserve"> PAGEREF _Toc160715697 \h </w:instrText>
        </w:r>
        <w:r w:rsidR="00424E3B">
          <w:rPr>
            <w:webHidden/>
          </w:rPr>
        </w:r>
        <w:r w:rsidR="00424E3B">
          <w:rPr>
            <w:webHidden/>
          </w:rPr>
          <w:fldChar w:fldCharType="separate"/>
        </w:r>
        <w:r w:rsidR="00424E3B">
          <w:rPr>
            <w:webHidden/>
          </w:rPr>
          <w:t>72</w:t>
        </w:r>
        <w:r w:rsidR="00424E3B">
          <w:rPr>
            <w:webHidden/>
          </w:rPr>
          <w:fldChar w:fldCharType="end"/>
        </w:r>
      </w:hyperlink>
    </w:p>
    <w:p w14:paraId="7AFBCB68" w14:textId="16DA6C49" w:rsidR="00424E3B" w:rsidRDefault="00000000">
      <w:pPr>
        <w:pStyle w:val="TOC2"/>
        <w:rPr>
          <w:rFonts w:asciiTheme="minorHAnsi" w:eastAsiaTheme="minorEastAsia" w:hAnsiTheme="minorHAnsi"/>
          <w:kern w:val="2"/>
          <w:szCs w:val="22"/>
          <w:lang w:eastAsia="en-AU"/>
          <w14:ligatures w14:val="standardContextual"/>
        </w:rPr>
      </w:pPr>
      <w:hyperlink w:anchor="_Toc160715698" w:history="1">
        <w:r w:rsidR="00424E3B" w:rsidRPr="00A46CF5">
          <w:rPr>
            <w:rStyle w:val="Hyperlink"/>
          </w:rPr>
          <w:t>18.45</w:t>
        </w:r>
        <w:r w:rsidR="00424E3B">
          <w:rPr>
            <w:rFonts w:asciiTheme="minorHAnsi" w:eastAsiaTheme="minorEastAsia" w:hAnsiTheme="minorHAnsi"/>
            <w:kern w:val="2"/>
            <w:szCs w:val="22"/>
            <w:lang w:eastAsia="en-AU"/>
            <w14:ligatures w14:val="standardContextual"/>
          </w:rPr>
          <w:tab/>
        </w:r>
        <w:r w:rsidR="00424E3B" w:rsidRPr="00A46CF5">
          <w:rPr>
            <w:rStyle w:val="Hyperlink"/>
          </w:rPr>
          <w:t>National Specific purpose payments</w:t>
        </w:r>
        <w:r w:rsidR="00424E3B">
          <w:rPr>
            <w:webHidden/>
          </w:rPr>
          <w:tab/>
        </w:r>
        <w:r w:rsidR="00424E3B">
          <w:rPr>
            <w:webHidden/>
          </w:rPr>
          <w:fldChar w:fldCharType="begin"/>
        </w:r>
        <w:r w:rsidR="00424E3B">
          <w:rPr>
            <w:webHidden/>
          </w:rPr>
          <w:instrText xml:space="preserve"> PAGEREF _Toc160715698 \h </w:instrText>
        </w:r>
        <w:r w:rsidR="00424E3B">
          <w:rPr>
            <w:webHidden/>
          </w:rPr>
        </w:r>
        <w:r w:rsidR="00424E3B">
          <w:rPr>
            <w:webHidden/>
          </w:rPr>
          <w:fldChar w:fldCharType="separate"/>
        </w:r>
        <w:r w:rsidR="00424E3B">
          <w:rPr>
            <w:webHidden/>
          </w:rPr>
          <w:t>72</w:t>
        </w:r>
        <w:r w:rsidR="00424E3B">
          <w:rPr>
            <w:webHidden/>
          </w:rPr>
          <w:fldChar w:fldCharType="end"/>
        </w:r>
      </w:hyperlink>
    </w:p>
    <w:p w14:paraId="28B758BB" w14:textId="399573C2" w:rsidR="00424E3B" w:rsidRDefault="00000000">
      <w:pPr>
        <w:pStyle w:val="TOC2"/>
        <w:rPr>
          <w:rFonts w:asciiTheme="minorHAnsi" w:eastAsiaTheme="minorEastAsia" w:hAnsiTheme="minorHAnsi"/>
          <w:kern w:val="2"/>
          <w:szCs w:val="22"/>
          <w:lang w:eastAsia="en-AU"/>
          <w14:ligatures w14:val="standardContextual"/>
        </w:rPr>
      </w:pPr>
      <w:hyperlink w:anchor="_Toc160715699" w:history="1">
        <w:r w:rsidR="00424E3B" w:rsidRPr="00A46CF5">
          <w:rPr>
            <w:rStyle w:val="Hyperlink"/>
          </w:rPr>
          <w:t>18.46</w:t>
        </w:r>
        <w:r w:rsidR="00424E3B">
          <w:rPr>
            <w:rFonts w:asciiTheme="minorHAnsi" w:eastAsiaTheme="minorEastAsia" w:hAnsiTheme="minorHAnsi"/>
            <w:kern w:val="2"/>
            <w:szCs w:val="22"/>
            <w:lang w:eastAsia="en-AU"/>
            <w14:ligatures w14:val="standardContextual"/>
          </w:rPr>
          <w:tab/>
        </w:r>
        <w:r w:rsidR="00424E3B" w:rsidRPr="00A46CF5">
          <w:rPr>
            <w:rStyle w:val="Hyperlink"/>
          </w:rPr>
          <w:t>Sub-function</w:t>
        </w:r>
        <w:r w:rsidR="00424E3B">
          <w:rPr>
            <w:webHidden/>
          </w:rPr>
          <w:tab/>
        </w:r>
        <w:r w:rsidR="00424E3B">
          <w:rPr>
            <w:webHidden/>
          </w:rPr>
          <w:fldChar w:fldCharType="begin"/>
        </w:r>
        <w:r w:rsidR="00424E3B">
          <w:rPr>
            <w:webHidden/>
          </w:rPr>
          <w:instrText xml:space="preserve"> PAGEREF _Toc160715699 \h </w:instrText>
        </w:r>
        <w:r w:rsidR="00424E3B">
          <w:rPr>
            <w:webHidden/>
          </w:rPr>
        </w:r>
        <w:r w:rsidR="00424E3B">
          <w:rPr>
            <w:webHidden/>
          </w:rPr>
          <w:fldChar w:fldCharType="separate"/>
        </w:r>
        <w:r w:rsidR="00424E3B">
          <w:rPr>
            <w:webHidden/>
          </w:rPr>
          <w:t>72</w:t>
        </w:r>
        <w:r w:rsidR="00424E3B">
          <w:rPr>
            <w:webHidden/>
          </w:rPr>
          <w:fldChar w:fldCharType="end"/>
        </w:r>
      </w:hyperlink>
    </w:p>
    <w:p w14:paraId="1CD3D2D4" w14:textId="13B6A6CA" w:rsidR="00424E3B" w:rsidRDefault="00000000">
      <w:pPr>
        <w:pStyle w:val="TOC2"/>
        <w:rPr>
          <w:rFonts w:asciiTheme="minorHAnsi" w:eastAsiaTheme="minorEastAsia" w:hAnsiTheme="minorHAnsi"/>
          <w:kern w:val="2"/>
          <w:szCs w:val="22"/>
          <w:lang w:eastAsia="en-AU"/>
          <w14:ligatures w14:val="standardContextual"/>
        </w:rPr>
      </w:pPr>
      <w:hyperlink w:anchor="_Toc160715700" w:history="1">
        <w:r w:rsidR="00424E3B" w:rsidRPr="00A46CF5">
          <w:rPr>
            <w:rStyle w:val="Hyperlink"/>
          </w:rPr>
          <w:t>18.47</w:t>
        </w:r>
        <w:r w:rsidR="00424E3B">
          <w:rPr>
            <w:rFonts w:asciiTheme="minorHAnsi" w:eastAsiaTheme="minorEastAsia" w:hAnsiTheme="minorHAnsi"/>
            <w:kern w:val="2"/>
            <w:szCs w:val="22"/>
            <w:lang w:eastAsia="en-AU"/>
            <w14:ligatures w14:val="standardContextual"/>
          </w:rPr>
          <w:tab/>
        </w:r>
        <w:r w:rsidR="00424E3B" w:rsidRPr="00A46CF5">
          <w:rPr>
            <w:rStyle w:val="Hyperlink"/>
          </w:rPr>
          <w:t>Target group</w:t>
        </w:r>
        <w:r w:rsidR="00424E3B">
          <w:rPr>
            <w:webHidden/>
          </w:rPr>
          <w:tab/>
        </w:r>
        <w:r w:rsidR="00424E3B">
          <w:rPr>
            <w:webHidden/>
          </w:rPr>
          <w:fldChar w:fldCharType="begin"/>
        </w:r>
        <w:r w:rsidR="00424E3B">
          <w:rPr>
            <w:webHidden/>
          </w:rPr>
          <w:instrText xml:space="preserve"> PAGEREF _Toc160715700 \h </w:instrText>
        </w:r>
        <w:r w:rsidR="00424E3B">
          <w:rPr>
            <w:webHidden/>
          </w:rPr>
        </w:r>
        <w:r w:rsidR="00424E3B">
          <w:rPr>
            <w:webHidden/>
          </w:rPr>
          <w:fldChar w:fldCharType="separate"/>
        </w:r>
        <w:r w:rsidR="00424E3B">
          <w:rPr>
            <w:webHidden/>
          </w:rPr>
          <w:t>72</w:t>
        </w:r>
        <w:r w:rsidR="00424E3B">
          <w:rPr>
            <w:webHidden/>
          </w:rPr>
          <w:fldChar w:fldCharType="end"/>
        </w:r>
      </w:hyperlink>
    </w:p>
    <w:p w14:paraId="054BE124" w14:textId="7D930A20" w:rsidR="00424E3B" w:rsidRDefault="00000000">
      <w:pPr>
        <w:pStyle w:val="TOC2"/>
        <w:rPr>
          <w:rFonts w:asciiTheme="minorHAnsi" w:eastAsiaTheme="minorEastAsia" w:hAnsiTheme="minorHAnsi"/>
          <w:kern w:val="2"/>
          <w:szCs w:val="22"/>
          <w:lang w:eastAsia="en-AU"/>
          <w14:ligatures w14:val="standardContextual"/>
        </w:rPr>
      </w:pPr>
      <w:hyperlink w:anchor="_Toc160715701" w:history="1">
        <w:r w:rsidR="00424E3B" w:rsidRPr="00A46CF5">
          <w:rPr>
            <w:rStyle w:val="Hyperlink"/>
          </w:rPr>
          <w:t>18.48</w:t>
        </w:r>
        <w:r w:rsidR="00424E3B">
          <w:rPr>
            <w:rFonts w:asciiTheme="minorHAnsi" w:eastAsiaTheme="minorEastAsia" w:hAnsiTheme="minorHAnsi"/>
            <w:kern w:val="2"/>
            <w:szCs w:val="22"/>
            <w:lang w:eastAsia="en-AU"/>
            <w14:ligatures w14:val="standardContextual"/>
          </w:rPr>
          <w:tab/>
        </w:r>
        <w:r w:rsidR="00424E3B" w:rsidRPr="00A46CF5">
          <w:rPr>
            <w:rStyle w:val="Hyperlink"/>
          </w:rPr>
          <w:t>Third party payments</w:t>
        </w:r>
        <w:r w:rsidR="00424E3B">
          <w:rPr>
            <w:webHidden/>
          </w:rPr>
          <w:tab/>
        </w:r>
        <w:r w:rsidR="00424E3B">
          <w:rPr>
            <w:webHidden/>
          </w:rPr>
          <w:fldChar w:fldCharType="begin"/>
        </w:r>
        <w:r w:rsidR="00424E3B">
          <w:rPr>
            <w:webHidden/>
          </w:rPr>
          <w:instrText xml:space="preserve"> PAGEREF _Toc160715701 \h </w:instrText>
        </w:r>
        <w:r w:rsidR="00424E3B">
          <w:rPr>
            <w:webHidden/>
          </w:rPr>
        </w:r>
        <w:r w:rsidR="00424E3B">
          <w:rPr>
            <w:webHidden/>
          </w:rPr>
          <w:fldChar w:fldCharType="separate"/>
        </w:r>
        <w:r w:rsidR="00424E3B">
          <w:rPr>
            <w:webHidden/>
          </w:rPr>
          <w:t>72</w:t>
        </w:r>
        <w:r w:rsidR="00424E3B">
          <w:rPr>
            <w:webHidden/>
          </w:rPr>
          <w:fldChar w:fldCharType="end"/>
        </w:r>
      </w:hyperlink>
    </w:p>
    <w:p w14:paraId="4B08D88D" w14:textId="58186FB9" w:rsidR="00424E3B" w:rsidRDefault="00000000">
      <w:pPr>
        <w:pStyle w:val="TOC2"/>
        <w:rPr>
          <w:rFonts w:asciiTheme="minorHAnsi" w:eastAsiaTheme="minorEastAsia" w:hAnsiTheme="minorHAnsi"/>
          <w:kern w:val="2"/>
          <w:szCs w:val="22"/>
          <w:lang w:eastAsia="en-AU"/>
          <w14:ligatures w14:val="standardContextual"/>
        </w:rPr>
      </w:pPr>
      <w:hyperlink w:anchor="_Toc160715702" w:history="1">
        <w:r w:rsidR="00424E3B" w:rsidRPr="00A46CF5">
          <w:rPr>
            <w:rStyle w:val="Hyperlink"/>
          </w:rPr>
          <w:t>18.49</w:t>
        </w:r>
        <w:r w:rsidR="00424E3B">
          <w:rPr>
            <w:rFonts w:asciiTheme="minorHAnsi" w:eastAsiaTheme="minorEastAsia" w:hAnsiTheme="minorHAnsi"/>
            <w:kern w:val="2"/>
            <w:szCs w:val="22"/>
            <w:lang w:eastAsia="en-AU"/>
            <w14:ligatures w14:val="standardContextual"/>
          </w:rPr>
          <w:tab/>
        </w:r>
        <w:r w:rsidR="00424E3B" w:rsidRPr="00A46CF5">
          <w:rPr>
            <w:rStyle w:val="Hyperlink"/>
          </w:rPr>
          <w:t>Transfer</w:t>
        </w:r>
        <w:r w:rsidR="00424E3B">
          <w:rPr>
            <w:webHidden/>
          </w:rPr>
          <w:tab/>
        </w:r>
        <w:r w:rsidR="00424E3B">
          <w:rPr>
            <w:webHidden/>
          </w:rPr>
          <w:fldChar w:fldCharType="begin"/>
        </w:r>
        <w:r w:rsidR="00424E3B">
          <w:rPr>
            <w:webHidden/>
          </w:rPr>
          <w:instrText xml:space="preserve"> PAGEREF _Toc160715702 \h </w:instrText>
        </w:r>
        <w:r w:rsidR="00424E3B">
          <w:rPr>
            <w:webHidden/>
          </w:rPr>
        </w:r>
        <w:r w:rsidR="00424E3B">
          <w:rPr>
            <w:webHidden/>
          </w:rPr>
          <w:fldChar w:fldCharType="separate"/>
        </w:r>
        <w:r w:rsidR="00424E3B">
          <w:rPr>
            <w:webHidden/>
          </w:rPr>
          <w:t>72</w:t>
        </w:r>
        <w:r w:rsidR="00424E3B">
          <w:rPr>
            <w:webHidden/>
          </w:rPr>
          <w:fldChar w:fldCharType="end"/>
        </w:r>
      </w:hyperlink>
    </w:p>
    <w:p w14:paraId="707EDD9F" w14:textId="2D687516" w:rsidR="00D81DFB" w:rsidRPr="00DD477A" w:rsidRDefault="006F618C">
      <w:r w:rsidRPr="00DD477A">
        <w:rPr>
          <w:noProof/>
        </w:rPr>
        <w:fldChar w:fldCharType="end"/>
      </w:r>
    </w:p>
    <w:p w14:paraId="165BF6C7" w14:textId="77777777" w:rsidR="00E47F62" w:rsidRPr="00DD477A" w:rsidRDefault="00E47F62" w:rsidP="000A7DEC">
      <w:pPr>
        <w:rPr>
          <w:rFonts w:cs="Calibri"/>
          <w:sz w:val="44"/>
          <w:szCs w:val="44"/>
        </w:rPr>
        <w:sectPr w:rsidR="00E47F62" w:rsidRPr="00DD477A" w:rsidSect="00E73E0E">
          <w:headerReference w:type="even" r:id="rId17"/>
          <w:headerReference w:type="default" r:id="rId18"/>
          <w:footerReference w:type="default" r:id="rId19"/>
          <w:headerReference w:type="first" r:id="rId20"/>
          <w:pgSz w:w="11900" w:h="16840" w:code="9"/>
          <w:pgMar w:top="1418" w:right="851" w:bottom="1418" w:left="1418" w:header="624" w:footer="624" w:gutter="0"/>
          <w:cols w:space="708"/>
          <w:docGrid w:linePitch="360"/>
        </w:sectPr>
      </w:pPr>
    </w:p>
    <w:p w14:paraId="5BE5C2FF" w14:textId="49B94EF0" w:rsidR="00A33FE8" w:rsidRPr="00DD477A" w:rsidRDefault="00A33FE8" w:rsidP="00E548A0">
      <w:pPr>
        <w:pStyle w:val="Heading1"/>
        <w:numPr>
          <w:ilvl w:val="0"/>
          <w:numId w:val="0"/>
        </w:numPr>
        <w:ind w:left="709"/>
      </w:pPr>
      <w:bookmarkStart w:id="2" w:name="_Toc534389757"/>
      <w:bookmarkStart w:id="3" w:name="_Toc534389898"/>
      <w:bookmarkStart w:id="4" w:name="_Toc534406194"/>
      <w:bookmarkStart w:id="5" w:name="_Toc534441471"/>
      <w:bookmarkStart w:id="6" w:name="_Toc534442812"/>
      <w:bookmarkStart w:id="7" w:name="_Toc534442953"/>
      <w:bookmarkStart w:id="8" w:name="_Toc534443094"/>
      <w:bookmarkStart w:id="9" w:name="_Toc534458849"/>
      <w:bookmarkStart w:id="10" w:name="_Toc534459638"/>
      <w:bookmarkStart w:id="11" w:name="_Toc534519133"/>
      <w:bookmarkStart w:id="12" w:name="_Toc534520043"/>
      <w:bookmarkStart w:id="13" w:name="_Toc534520313"/>
      <w:bookmarkStart w:id="14" w:name="_Toc534527525"/>
      <w:bookmarkStart w:id="15" w:name="_Toc534528255"/>
      <w:bookmarkStart w:id="16" w:name="_Toc534803473"/>
      <w:bookmarkStart w:id="17" w:name="_Toc534814164"/>
      <w:bookmarkStart w:id="18" w:name="_Toc536108534"/>
      <w:bookmarkStart w:id="19" w:name="_Toc536802085"/>
      <w:bookmarkStart w:id="20" w:name="Purpose"/>
      <w:bookmarkStart w:id="21" w:name="_Toc160715508"/>
      <w:bookmarkStart w:id="22" w:name="_Toc63347665"/>
      <w:bookmarkStart w:id="23" w:name="_Ref12615433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DD477A">
        <w:lastRenderedPageBreak/>
        <w:t>Introduction</w:t>
      </w:r>
      <w:bookmarkEnd w:id="21"/>
    </w:p>
    <w:p w14:paraId="08F83CDC" w14:textId="77777777" w:rsidR="00A33FE8" w:rsidRPr="00DD477A" w:rsidRDefault="00A33FE8" w:rsidP="00A85E0D"/>
    <w:p w14:paraId="44382613" w14:textId="77777777" w:rsidR="001768C3" w:rsidRPr="00DD477A" w:rsidRDefault="001768C3" w:rsidP="00166A5E">
      <w:pPr>
        <w:pStyle w:val="Heading1"/>
      </w:pPr>
      <w:bookmarkStart w:id="24" w:name="_Toc160715509"/>
      <w:r w:rsidRPr="002E0E04">
        <w:t>Purpose</w:t>
      </w:r>
      <w:bookmarkEnd w:id="24"/>
    </w:p>
    <w:p w14:paraId="5973BA39" w14:textId="1E2970D6" w:rsidR="00EB0814" w:rsidRPr="00DD477A" w:rsidRDefault="0038354C" w:rsidP="00E548A0">
      <w:pPr>
        <w:pStyle w:val="Heading2"/>
      </w:pPr>
      <w:bookmarkStart w:id="25" w:name="_Toc160715510"/>
      <w:r w:rsidRPr="00DD477A">
        <w:t>Portfolio Budget Statements (PB Statements)</w:t>
      </w:r>
      <w:bookmarkEnd w:id="25"/>
    </w:p>
    <w:p w14:paraId="748F37C5" w14:textId="4D2B4ADE" w:rsidR="0069247D" w:rsidRPr="00DD477A" w:rsidRDefault="0069247D" w:rsidP="0095142C">
      <w:pPr>
        <w:rPr>
          <w:rFonts w:cs="Calibri"/>
        </w:rPr>
      </w:pPr>
      <w:r w:rsidRPr="00DD477A">
        <w:t>PB Statements are an important mechanism by which the Executive Government (through Portfolio Ministers) is accountable to the Parliament. The primary purpose of the PB Statements is to inform stakeholders of proposed allocation of resources, new and amended</w:t>
      </w:r>
      <w:r w:rsidR="00AC7324" w:rsidRPr="00DD477A">
        <w:t>,</w:t>
      </w:r>
      <w:r w:rsidR="00AC7324" w:rsidRPr="00DD477A">
        <w:rPr>
          <w:rFonts w:eastAsia="Times New Roman" w:cs="Calibri"/>
          <w:lang w:eastAsia="en-AU"/>
        </w:rPr>
        <w:t xml:space="preserve"> based on the </w:t>
      </w:r>
      <w:r w:rsidR="00AC7324" w:rsidRPr="00DD477A">
        <w:rPr>
          <w:rFonts w:cs="Calibri"/>
        </w:rPr>
        <w:t>government’s decisions</w:t>
      </w:r>
      <w:r w:rsidR="003A3DDD" w:rsidRPr="00DD477A">
        <w:t>.</w:t>
      </w:r>
      <w:r w:rsidR="00143617" w:rsidRPr="00DD477A">
        <w:rPr>
          <w:rFonts w:cs="Calibri"/>
        </w:rPr>
        <w:t xml:space="preserve"> Together with the Budget Papers (BPs), the PB Statements form a package of documents tabled in Parliament on Budget night</w:t>
      </w:r>
      <w:r w:rsidR="005A0505" w:rsidRPr="00DD477A">
        <w:rPr>
          <w:rFonts w:cs="Calibri"/>
        </w:rPr>
        <w:t xml:space="preserve"> (second Tuesday in May in a non-election year)</w:t>
      </w:r>
      <w:r w:rsidR="00AC7324" w:rsidRPr="00DD477A">
        <w:rPr>
          <w:rFonts w:cs="Calibri"/>
        </w:rPr>
        <w:t xml:space="preserve"> to</w:t>
      </w:r>
      <w:r w:rsidR="00F107F6" w:rsidRPr="00DD477A">
        <w:rPr>
          <w:rFonts w:cs="Calibri"/>
        </w:rPr>
        <w:t xml:space="preserve"> provide information (financial and non-financial) at the portfolio and entity level on the ongoing policy and program delivery initiatives undertaken by the government.</w:t>
      </w:r>
    </w:p>
    <w:p w14:paraId="70C9C55D" w14:textId="4AB5C4DF" w:rsidR="00E03440" w:rsidRPr="00DD477A" w:rsidRDefault="00E03440" w:rsidP="00157BAB">
      <w:pPr>
        <w:pStyle w:val="Numbered"/>
        <w:numPr>
          <w:ilvl w:val="0"/>
          <w:numId w:val="0"/>
        </w:numPr>
      </w:pPr>
      <w:r w:rsidRPr="00DD477A">
        <w:t>PB Statements</w:t>
      </w:r>
      <w:r w:rsidR="00F107F6" w:rsidRPr="00DD477A">
        <w:t>,</w:t>
      </w:r>
      <w:r w:rsidRPr="00DD477A">
        <w:t xml:space="preserve"> </w:t>
      </w:r>
      <w:r w:rsidR="00F107F6" w:rsidRPr="00DD477A">
        <w:rPr>
          <w:rFonts w:cs="Calibri"/>
        </w:rPr>
        <w:t>formal ministerial documents signed by the responsible Portfolio Minister,</w:t>
      </w:r>
      <w:r w:rsidR="00F107F6" w:rsidRPr="00DD477A">
        <w:t xml:space="preserve"> </w:t>
      </w:r>
      <w:r w:rsidRPr="00DD477A">
        <w:t>aid interpretation of Appropriation Bills (No.1 and 2) 2024-2025 and the Appropriation (Parliamentary Departments) Bill (No. 1) 2024</w:t>
      </w:r>
      <w:r w:rsidRPr="00DD477A">
        <w:noBreakHyphen/>
        <w:t xml:space="preserve">2025 (2024-25 Budget Appropriation Bills) as ‘relevant documents’ under the </w:t>
      </w:r>
      <w:r w:rsidRPr="00DD477A">
        <w:rPr>
          <w:i/>
          <w:iCs/>
        </w:rPr>
        <w:t>Acts Interpretation Act 1901</w:t>
      </w:r>
      <w:r w:rsidRPr="00DD477A">
        <w:t>.</w:t>
      </w:r>
    </w:p>
    <w:p w14:paraId="22784A2E" w14:textId="7A8FA04F" w:rsidR="001768C3" w:rsidRPr="00DD477A" w:rsidRDefault="001768C3" w:rsidP="001768C3">
      <w:pPr>
        <w:rPr>
          <w:rFonts w:cs="Calibri"/>
        </w:rPr>
      </w:pPr>
      <w:r w:rsidRPr="00DD477A">
        <w:rPr>
          <w:rFonts w:cs="Calibri"/>
        </w:rPr>
        <w:t xml:space="preserve">The Appropriation Acts (the Acts) refer to the PB Statements as ‘relevant documents’ for the interpretation of the Acts, according to section 15AB of the </w:t>
      </w:r>
      <w:r w:rsidRPr="00DD477A">
        <w:rPr>
          <w:rFonts w:cs="Calibri"/>
          <w:i/>
          <w:iCs/>
        </w:rPr>
        <w:t>Acts Interpretation Act 1901</w:t>
      </w:r>
      <w:r w:rsidRPr="00DD477A">
        <w:rPr>
          <w:rFonts w:cs="Calibri"/>
        </w:rPr>
        <w:t>. As the PB Statements are supplementary explanatory documents to the Appropriation Bills, they must be consistent with the Appropriation Bills. Once passed by Parliament</w:t>
      </w:r>
      <w:r w:rsidR="00DE5763" w:rsidRPr="00DD477A">
        <w:rPr>
          <w:rFonts w:cs="Calibri"/>
        </w:rPr>
        <w:t xml:space="preserve"> and they have received royal assent</w:t>
      </w:r>
      <w:r w:rsidRPr="00DD477A">
        <w:rPr>
          <w:rFonts w:cs="Calibri"/>
        </w:rPr>
        <w:t xml:space="preserve">, the </w:t>
      </w:r>
      <w:r w:rsidR="00DE5763" w:rsidRPr="00DD477A">
        <w:rPr>
          <w:rFonts w:cs="Calibri"/>
        </w:rPr>
        <w:t xml:space="preserve">Appropriation Acts </w:t>
      </w:r>
      <w:r w:rsidRPr="00DD477A">
        <w:rPr>
          <w:rFonts w:cs="Calibri"/>
        </w:rPr>
        <w:t xml:space="preserve">become law. Should a discrepancy occur between the Acts and the PB Statements, </w:t>
      </w:r>
      <w:r w:rsidRPr="00DD477A">
        <w:rPr>
          <w:rFonts w:cs="Calibri"/>
          <w:b/>
        </w:rPr>
        <w:t xml:space="preserve">the </w:t>
      </w:r>
      <w:r w:rsidRPr="00DD477A">
        <w:rPr>
          <w:rFonts w:cs="Calibri"/>
          <w:b/>
          <w:bCs/>
        </w:rPr>
        <w:t>Acts are definitive</w:t>
      </w:r>
      <w:r w:rsidRPr="00DD477A">
        <w:rPr>
          <w:rFonts w:cs="Calibri"/>
        </w:rPr>
        <w:t>.</w:t>
      </w:r>
    </w:p>
    <w:p w14:paraId="17C7CAEF" w14:textId="72574529" w:rsidR="00A2714A" w:rsidRPr="00DD477A" w:rsidRDefault="00EB0814" w:rsidP="00E548A0">
      <w:pPr>
        <w:pStyle w:val="Heading2"/>
      </w:pPr>
      <w:bookmarkStart w:id="26" w:name="_Toc160715511"/>
      <w:r w:rsidRPr="00DD477A">
        <w:t>P</w:t>
      </w:r>
      <w:r w:rsidR="00A2714A" w:rsidRPr="00DD477A">
        <w:t>B</w:t>
      </w:r>
      <w:r w:rsidR="004D4B57" w:rsidRPr="00DD477A">
        <w:t xml:space="preserve"> </w:t>
      </w:r>
      <w:r w:rsidR="00A2714A" w:rsidRPr="00DD477A">
        <w:t>S</w:t>
      </w:r>
      <w:r w:rsidR="004D4B57" w:rsidRPr="00DD477A">
        <w:t>tatements</w:t>
      </w:r>
      <w:r w:rsidR="00A2714A" w:rsidRPr="00DD477A">
        <w:t xml:space="preserve"> Guide</w:t>
      </w:r>
      <w:bookmarkEnd w:id="26"/>
      <w:r w:rsidR="00A2714A" w:rsidRPr="00DD477A">
        <w:t xml:space="preserve"> </w:t>
      </w:r>
    </w:p>
    <w:p w14:paraId="720C701F" w14:textId="6A398592" w:rsidR="001768C3" w:rsidRPr="00DD477A" w:rsidRDefault="00C82FD9" w:rsidP="001768C3">
      <w:pPr>
        <w:rPr>
          <w:rFonts w:cs="Calibri"/>
        </w:rPr>
      </w:pPr>
      <w:r w:rsidRPr="00DD477A">
        <w:rPr>
          <w:rFonts w:cs="Calibri"/>
        </w:rPr>
        <w:t xml:space="preserve">This guide is </w:t>
      </w:r>
      <w:r w:rsidR="0024487C" w:rsidRPr="00DD477A">
        <w:rPr>
          <w:rFonts w:cs="Calibri"/>
        </w:rPr>
        <w:t xml:space="preserve">the key </w:t>
      </w:r>
      <w:r w:rsidR="004D4B57" w:rsidRPr="00DD477A">
        <w:rPr>
          <w:rFonts w:cs="Calibri"/>
        </w:rPr>
        <w:t xml:space="preserve">component of </w:t>
      </w:r>
      <w:r w:rsidR="00844C44" w:rsidRPr="00DD477A">
        <w:rPr>
          <w:rFonts w:cs="Calibri"/>
        </w:rPr>
        <w:t>the</w:t>
      </w:r>
      <w:r w:rsidR="00185231" w:rsidRPr="00DD477A">
        <w:rPr>
          <w:rFonts w:cs="Calibri"/>
        </w:rPr>
        <w:t xml:space="preserve"> </w:t>
      </w:r>
      <w:r w:rsidR="00844C44" w:rsidRPr="00DD477A">
        <w:rPr>
          <w:rFonts w:cs="Calibri"/>
        </w:rPr>
        <w:t>E</w:t>
      </w:r>
      <w:r w:rsidR="003030C8" w:rsidRPr="00DD477A">
        <w:rPr>
          <w:rFonts w:cs="Calibri"/>
        </w:rPr>
        <w:t>M</w:t>
      </w:r>
      <w:r w:rsidR="00BD1148" w:rsidRPr="00DD477A">
        <w:rPr>
          <w:rFonts w:cs="Calibri"/>
        </w:rPr>
        <w:t xml:space="preserve"> </w:t>
      </w:r>
      <w:r w:rsidR="004D4B57" w:rsidRPr="00DD477A">
        <w:rPr>
          <w:rFonts w:cs="Calibri"/>
        </w:rPr>
        <w:t xml:space="preserve">on the </w:t>
      </w:r>
      <w:r w:rsidR="008136F4" w:rsidRPr="00DD477A">
        <w:rPr>
          <w:rFonts w:cs="Calibri"/>
        </w:rPr>
        <w:t xml:space="preserve">2024-25 </w:t>
      </w:r>
      <w:r w:rsidR="004D4B57" w:rsidRPr="00DD477A">
        <w:rPr>
          <w:rFonts w:cs="Calibri"/>
        </w:rPr>
        <w:t xml:space="preserve">PB </w:t>
      </w:r>
      <w:r w:rsidR="008136F4" w:rsidRPr="00DD477A">
        <w:rPr>
          <w:rFonts w:cs="Calibri"/>
        </w:rPr>
        <w:t>Statements</w:t>
      </w:r>
      <w:r w:rsidR="00287908" w:rsidRPr="00DD477A">
        <w:rPr>
          <w:rFonts w:cs="Calibri"/>
        </w:rPr>
        <w:t xml:space="preserve">. </w:t>
      </w:r>
      <w:r w:rsidR="00BE45C2" w:rsidRPr="00DD477A">
        <w:rPr>
          <w:rFonts w:cs="Calibri"/>
        </w:rPr>
        <w:t>T</w:t>
      </w:r>
      <w:r w:rsidR="001768C3" w:rsidRPr="00DD477A">
        <w:rPr>
          <w:rFonts w:cs="Calibri"/>
        </w:rPr>
        <w:t>his guide</w:t>
      </w:r>
      <w:r w:rsidR="00287908" w:rsidRPr="00DD477A">
        <w:rPr>
          <w:rFonts w:cs="Calibri"/>
        </w:rPr>
        <w:t xml:space="preserve"> (</w:t>
      </w:r>
      <w:r w:rsidR="00287908" w:rsidRPr="00DD477A">
        <w:rPr>
          <w:rFonts w:cs="Calibri"/>
          <w:u w:val="single"/>
        </w:rPr>
        <w:t>Att</w:t>
      </w:r>
      <w:r w:rsidR="000C5F8B" w:rsidRPr="00DD477A">
        <w:rPr>
          <w:rFonts w:cs="Calibri"/>
          <w:u w:val="single"/>
        </w:rPr>
        <w:t>a</w:t>
      </w:r>
      <w:r w:rsidR="00287908" w:rsidRPr="00DD477A">
        <w:rPr>
          <w:rFonts w:cs="Calibri"/>
          <w:u w:val="single"/>
        </w:rPr>
        <w:t>chment A</w:t>
      </w:r>
      <w:r w:rsidR="00D37CEC" w:rsidRPr="00DD477A">
        <w:rPr>
          <w:rFonts w:cs="Calibri"/>
        </w:rPr>
        <w:t xml:space="preserve"> of the </w:t>
      </w:r>
      <w:r w:rsidR="00073DDA" w:rsidRPr="00DD477A">
        <w:rPr>
          <w:rFonts w:cs="Calibri"/>
        </w:rPr>
        <w:t xml:space="preserve">EM </w:t>
      </w:r>
      <w:r w:rsidR="00D37CEC" w:rsidRPr="00DD477A">
        <w:rPr>
          <w:rFonts w:cs="Calibri"/>
        </w:rPr>
        <w:t>package</w:t>
      </w:r>
      <w:r w:rsidR="00287908" w:rsidRPr="00DD477A">
        <w:rPr>
          <w:rFonts w:cs="Calibri"/>
        </w:rPr>
        <w:t>)</w:t>
      </w:r>
      <w:r w:rsidR="001768C3" w:rsidRPr="00DD477A">
        <w:rPr>
          <w:rFonts w:cs="Calibri"/>
        </w:rPr>
        <w:t xml:space="preserve"> </w:t>
      </w:r>
      <w:r w:rsidR="00BE45C2" w:rsidRPr="00DD477A">
        <w:rPr>
          <w:rFonts w:cs="Calibri"/>
        </w:rPr>
        <w:t>will</w:t>
      </w:r>
      <w:r w:rsidR="001768C3" w:rsidRPr="00DD477A">
        <w:rPr>
          <w:rFonts w:cs="Calibri"/>
        </w:rPr>
        <w:t xml:space="preserve"> assist users in the preparation of the 2024-25 PB Statements</w:t>
      </w:r>
      <w:r w:rsidR="009E41C2" w:rsidRPr="00DD477A">
        <w:rPr>
          <w:rFonts w:cs="Calibri"/>
        </w:rPr>
        <w:t xml:space="preserve">, providing </w:t>
      </w:r>
      <w:r w:rsidR="001768C3" w:rsidRPr="00DD477A">
        <w:rPr>
          <w:rFonts w:cs="Calibri"/>
        </w:rPr>
        <w:t>information on:</w:t>
      </w:r>
    </w:p>
    <w:p w14:paraId="30389854" w14:textId="6284A0CB" w:rsidR="004D4B57" w:rsidRPr="00DD477A" w:rsidRDefault="004D4B57" w:rsidP="00A85E0D">
      <w:pPr>
        <w:pStyle w:val="Bullet1"/>
      </w:pPr>
      <w:r w:rsidRPr="00DD477A">
        <w:t>key deliverables and deadlines for portfolios</w:t>
      </w:r>
      <w:r w:rsidRPr="00DD477A" w:rsidDel="004D4B57">
        <w:t xml:space="preserve"> </w:t>
      </w:r>
    </w:p>
    <w:p w14:paraId="4F5ECF00" w14:textId="1BAE588F" w:rsidR="00181FDE" w:rsidRPr="00DD477A" w:rsidRDefault="004D4B57" w:rsidP="00A85E0D">
      <w:pPr>
        <w:pStyle w:val="Bullet1"/>
      </w:pPr>
      <w:r w:rsidRPr="00DD477A">
        <w:t xml:space="preserve">the </w:t>
      </w:r>
      <w:r w:rsidR="00181FDE" w:rsidRPr="00DD477A">
        <w:t xml:space="preserve">mandatory templates to be </w:t>
      </w:r>
      <w:r w:rsidR="00616B52" w:rsidRPr="00DD477A">
        <w:t>utilised</w:t>
      </w:r>
      <w:r w:rsidR="008C1AAE" w:rsidRPr="00DD477A">
        <w:t xml:space="preserve"> </w:t>
      </w:r>
    </w:p>
    <w:p w14:paraId="6236394A" w14:textId="0A883693" w:rsidR="001768C3" w:rsidRPr="00DD477A" w:rsidRDefault="004D4B57" w:rsidP="00A85E0D">
      <w:pPr>
        <w:pStyle w:val="Bullet1"/>
      </w:pPr>
      <w:r w:rsidRPr="00DD477A">
        <w:t xml:space="preserve">format </w:t>
      </w:r>
      <w:r w:rsidR="001768C3" w:rsidRPr="00DD477A">
        <w:t xml:space="preserve">and </w:t>
      </w:r>
      <w:r w:rsidR="00E3295B" w:rsidRPr="00DD477A">
        <w:t>s</w:t>
      </w:r>
      <w:r w:rsidR="001768C3" w:rsidRPr="00DD477A">
        <w:t>tyle</w:t>
      </w:r>
      <w:r w:rsidR="00F800F3" w:rsidRPr="00DD477A">
        <w:t xml:space="preserve"> requirements</w:t>
      </w:r>
      <w:r w:rsidR="00E3295B" w:rsidRPr="00DD477A">
        <w:t xml:space="preserve"> and assistance</w:t>
      </w:r>
    </w:p>
    <w:p w14:paraId="5540B89A" w14:textId="26A269F7" w:rsidR="001768C3" w:rsidRPr="00DD477A" w:rsidRDefault="004D4B57" w:rsidP="00A85E0D">
      <w:pPr>
        <w:pStyle w:val="Bullet1"/>
      </w:pPr>
      <w:r w:rsidRPr="00DD477A">
        <w:t xml:space="preserve">mandatory </w:t>
      </w:r>
      <w:r w:rsidR="001768C3" w:rsidRPr="00DD477A">
        <w:t>inclusions and key requirements</w:t>
      </w:r>
    </w:p>
    <w:p w14:paraId="4F477C93" w14:textId="2A332E3A" w:rsidR="001768C3" w:rsidRPr="00DD477A" w:rsidRDefault="004D4B57" w:rsidP="00A85E0D">
      <w:pPr>
        <w:pStyle w:val="Bullet1"/>
      </w:pPr>
      <w:r w:rsidRPr="00DD477A">
        <w:t xml:space="preserve">sources </w:t>
      </w:r>
      <w:r w:rsidR="001768C3" w:rsidRPr="00DD477A">
        <w:t>of data and data preparation</w:t>
      </w:r>
      <w:r w:rsidRPr="00DD477A">
        <w:t>.</w:t>
      </w:r>
    </w:p>
    <w:p w14:paraId="22CFBD0A" w14:textId="025A87ED" w:rsidR="005D5FF5" w:rsidRPr="00DD477A" w:rsidRDefault="00AD4D8B" w:rsidP="00463CED">
      <w:pPr>
        <w:rPr>
          <w:rFonts w:cs="Calibri"/>
        </w:rPr>
      </w:pPr>
      <w:r w:rsidRPr="00DD477A">
        <w:rPr>
          <w:rFonts w:cs="Calibri"/>
        </w:rPr>
        <w:t xml:space="preserve">Details of relevant templates and </w:t>
      </w:r>
      <w:r w:rsidR="005B4A01" w:rsidRPr="00DD477A">
        <w:rPr>
          <w:rFonts w:cs="Calibri"/>
        </w:rPr>
        <w:t xml:space="preserve">source data is provided at the beginning of </w:t>
      </w:r>
      <w:r w:rsidR="006C0ED7" w:rsidRPr="00DD477A">
        <w:rPr>
          <w:rFonts w:cs="Calibri"/>
        </w:rPr>
        <w:t xml:space="preserve">the detailed guidance topic for </w:t>
      </w:r>
      <w:r w:rsidR="005B4A01" w:rsidRPr="00DD477A">
        <w:rPr>
          <w:rFonts w:cs="Calibri"/>
        </w:rPr>
        <w:t xml:space="preserve">each </w:t>
      </w:r>
      <w:r w:rsidR="006C0ED7" w:rsidRPr="00DD477A">
        <w:rPr>
          <w:rFonts w:cs="Calibri"/>
        </w:rPr>
        <w:t xml:space="preserve">of the </w:t>
      </w:r>
      <w:r w:rsidR="005D5FF5" w:rsidRPr="00DD477A">
        <w:rPr>
          <w:rFonts w:cs="Calibri"/>
        </w:rPr>
        <w:t xml:space="preserve">PB Statement </w:t>
      </w:r>
      <w:r w:rsidR="006C0ED7" w:rsidRPr="00DD477A">
        <w:rPr>
          <w:rFonts w:cs="Calibri"/>
        </w:rPr>
        <w:t>sections.</w:t>
      </w:r>
      <w:r w:rsidR="005D5FF5" w:rsidRPr="00DD477A">
        <w:rPr>
          <w:rFonts w:cs="Calibri"/>
        </w:rPr>
        <w:t xml:space="preserve"> </w:t>
      </w:r>
    </w:p>
    <w:p w14:paraId="0482F351" w14:textId="32EE09AA" w:rsidR="001768C3" w:rsidRPr="00DD477A" w:rsidRDefault="001768C3" w:rsidP="001768C3">
      <w:pPr>
        <w:pStyle w:val="ListParagraph"/>
        <w:ind w:left="0" w:firstLine="0"/>
        <w:rPr>
          <w:rFonts w:cs="Calibri"/>
          <w:lang w:val="en-AU"/>
        </w:rPr>
      </w:pPr>
      <w:r w:rsidRPr="00DD477A">
        <w:rPr>
          <w:rFonts w:ascii="Calibri" w:hAnsi="Calibri" w:cs="Calibri"/>
          <w:lang w:val="en-AU"/>
        </w:rPr>
        <w:t>Topics in this guide assist in the drafting of the following PB Statement sections:</w:t>
      </w:r>
    </w:p>
    <w:p w14:paraId="2EBD0AB9" w14:textId="77777777" w:rsidR="001768C3" w:rsidRPr="00DD477A" w:rsidRDefault="001768C3" w:rsidP="00A85E0D">
      <w:pPr>
        <w:pStyle w:val="Bullet1"/>
      </w:pPr>
      <w:r w:rsidRPr="00DD477A">
        <w:t xml:space="preserve">User Guide </w:t>
      </w:r>
    </w:p>
    <w:p w14:paraId="255119B3" w14:textId="77777777" w:rsidR="001768C3" w:rsidRPr="00DD477A" w:rsidRDefault="001768C3" w:rsidP="00A85E0D">
      <w:pPr>
        <w:pStyle w:val="Bullet1"/>
      </w:pPr>
      <w:r w:rsidRPr="00DD477A">
        <w:t>Portfolio overview</w:t>
      </w:r>
    </w:p>
    <w:p w14:paraId="796D3FAA" w14:textId="3130ED27" w:rsidR="00325DAA" w:rsidRPr="00DD477A" w:rsidRDefault="00325DAA" w:rsidP="00A85E0D">
      <w:pPr>
        <w:pStyle w:val="Bullet1"/>
      </w:pPr>
      <w:r w:rsidRPr="00DD477A">
        <w:t>Entity resources and planned performance</w:t>
      </w:r>
    </w:p>
    <w:p w14:paraId="3353AE3C" w14:textId="4D950B29" w:rsidR="001768C3" w:rsidRPr="00DD477A" w:rsidRDefault="001768C3" w:rsidP="00A85E0D">
      <w:pPr>
        <w:pStyle w:val="Bullet2"/>
      </w:pPr>
      <w:r w:rsidRPr="00DD477A">
        <w:t xml:space="preserve">Section </w:t>
      </w:r>
      <w:r w:rsidR="00325DAA" w:rsidRPr="00DD477A">
        <w:t>1</w:t>
      </w:r>
      <w:r w:rsidRPr="00DD477A">
        <w:t xml:space="preserve"> - Entity overview and resources</w:t>
      </w:r>
    </w:p>
    <w:p w14:paraId="2C501535" w14:textId="70E9BEE1" w:rsidR="001768C3" w:rsidRPr="00DD477A" w:rsidRDefault="001768C3" w:rsidP="00A85E0D">
      <w:pPr>
        <w:pStyle w:val="Bullet2"/>
      </w:pPr>
      <w:r w:rsidRPr="00DD477A">
        <w:lastRenderedPageBreak/>
        <w:t xml:space="preserve">Section </w:t>
      </w:r>
      <w:r w:rsidR="00325DAA" w:rsidRPr="00DD477A">
        <w:t>2</w:t>
      </w:r>
      <w:r w:rsidRPr="00DD477A">
        <w:t xml:space="preserve"> - Outcomes and planned performance</w:t>
      </w:r>
    </w:p>
    <w:p w14:paraId="174A4AD4" w14:textId="08813586" w:rsidR="001768C3" w:rsidRPr="00DD477A" w:rsidRDefault="001768C3" w:rsidP="00A85E0D">
      <w:pPr>
        <w:pStyle w:val="Bullet2"/>
      </w:pPr>
      <w:r w:rsidRPr="00DD477A">
        <w:t xml:space="preserve">Section </w:t>
      </w:r>
      <w:r w:rsidR="00325DAA" w:rsidRPr="00DD477A">
        <w:t>3</w:t>
      </w:r>
      <w:r w:rsidRPr="00DD477A">
        <w:t xml:space="preserve"> </w:t>
      </w:r>
      <w:r w:rsidR="00BA0E58" w:rsidRPr="00DD477A">
        <w:t>-</w:t>
      </w:r>
      <w:r w:rsidRPr="00DD477A">
        <w:t xml:space="preserve"> Budgeted financial statements</w:t>
      </w:r>
    </w:p>
    <w:p w14:paraId="6116E305" w14:textId="04C3214E" w:rsidR="00A10310" w:rsidRPr="00DD477A" w:rsidRDefault="00B54FB3" w:rsidP="00474F84">
      <w:pPr>
        <w:pStyle w:val="Heading1"/>
      </w:pPr>
      <w:bookmarkStart w:id="27" w:name="_Toc160715512"/>
      <w:r w:rsidRPr="00DD477A">
        <w:t>General guidance</w:t>
      </w:r>
      <w:bookmarkEnd w:id="27"/>
      <w:r w:rsidRPr="00DD477A">
        <w:t xml:space="preserve"> </w:t>
      </w:r>
      <w:bookmarkEnd w:id="22"/>
      <w:bookmarkEnd w:id="23"/>
    </w:p>
    <w:p w14:paraId="1E8794E8" w14:textId="2EB38E67" w:rsidR="002621F2" w:rsidRPr="00DD477A" w:rsidRDefault="002621F2" w:rsidP="00474F84">
      <w:pPr>
        <w:pStyle w:val="Heading2"/>
      </w:pPr>
      <w:bookmarkStart w:id="28" w:name="_Toc160715513"/>
      <w:r w:rsidRPr="00DD477A">
        <w:t>The PB</w:t>
      </w:r>
      <w:r w:rsidR="007E4A9C" w:rsidRPr="00DD477A">
        <w:t xml:space="preserve"> </w:t>
      </w:r>
      <w:r w:rsidRPr="00DD477A">
        <w:t>S</w:t>
      </w:r>
      <w:r w:rsidR="007E4A9C" w:rsidRPr="00DD477A">
        <w:t>tatements</w:t>
      </w:r>
      <w:r w:rsidRPr="00DD477A">
        <w:t xml:space="preserve"> </w:t>
      </w:r>
      <w:r w:rsidR="00987630" w:rsidRPr="00DD477A">
        <w:t xml:space="preserve">Preparation </w:t>
      </w:r>
      <w:r w:rsidRPr="00DD477A">
        <w:t>Process</w:t>
      </w:r>
      <w:bookmarkEnd w:id="28"/>
    </w:p>
    <w:p w14:paraId="6A7788BF" w14:textId="7CF8E252" w:rsidR="002621F2" w:rsidRPr="00DD477A" w:rsidRDefault="00842D8B" w:rsidP="002621F2">
      <w:r w:rsidRPr="00DD477A">
        <w:t>Broadly the process</w:t>
      </w:r>
      <w:r w:rsidR="004C6813" w:rsidRPr="00DD477A">
        <w:t xml:space="preserve"> for portfolios</w:t>
      </w:r>
      <w:r w:rsidR="00CD6C1B" w:rsidRPr="00DD477A">
        <w:t>, from the initial release of the</w:t>
      </w:r>
      <w:r w:rsidR="00F11A78" w:rsidRPr="00DD477A">
        <w:t xml:space="preserve"> EM </w:t>
      </w:r>
      <w:r w:rsidR="00832B4F" w:rsidRPr="00DD477A">
        <w:t>through to P</w:t>
      </w:r>
      <w:r w:rsidR="00F103EE" w:rsidRPr="00DD477A">
        <w:t>B</w:t>
      </w:r>
      <w:r w:rsidR="00B862FC" w:rsidRPr="00DD477A">
        <w:t> </w:t>
      </w:r>
      <w:r w:rsidR="00F103EE" w:rsidRPr="00DD477A">
        <w:t>S</w:t>
      </w:r>
      <w:r w:rsidR="007E4A9C" w:rsidRPr="00DD477A">
        <w:t>tatements</w:t>
      </w:r>
      <w:r w:rsidR="00832B4F" w:rsidRPr="00DD477A">
        <w:t xml:space="preserve"> publication and tabling </w:t>
      </w:r>
      <w:r w:rsidR="00B862FC" w:rsidRPr="00DD477A">
        <w:t xml:space="preserve">is </w:t>
      </w:r>
      <w:r w:rsidR="001D5A6E" w:rsidRPr="00DD477A">
        <w:t>as follows:</w:t>
      </w:r>
      <w:r w:rsidR="002C3F45" w:rsidRPr="00DD477A">
        <w:t xml:space="preserve"> </w:t>
      </w:r>
    </w:p>
    <w:p w14:paraId="5A6755B8" w14:textId="70292AF0" w:rsidR="00487D89" w:rsidRPr="00DD477A" w:rsidRDefault="00710611" w:rsidP="00157BAB">
      <w:pPr>
        <w:pStyle w:val="Numbered"/>
      </w:pPr>
      <w:r w:rsidRPr="00DD477A">
        <w:t>E</w:t>
      </w:r>
      <w:r w:rsidR="004E39B3" w:rsidRPr="00DD477A">
        <w:t>M</w:t>
      </w:r>
      <w:r w:rsidR="0001164D" w:rsidRPr="00DD477A">
        <w:t xml:space="preserve">, including </w:t>
      </w:r>
      <w:r w:rsidR="001D6966" w:rsidRPr="00DD477A">
        <w:t xml:space="preserve">updated </w:t>
      </w:r>
      <w:r w:rsidR="003E309A" w:rsidRPr="00DD477A">
        <w:t xml:space="preserve">mandatory </w:t>
      </w:r>
      <w:r w:rsidR="0001164D" w:rsidRPr="00DD477A">
        <w:t>templates</w:t>
      </w:r>
      <w:r w:rsidR="000C7A2B" w:rsidRPr="00DD477A">
        <w:t>,</w:t>
      </w:r>
      <w:r w:rsidR="00C63370" w:rsidRPr="00DD477A">
        <w:t xml:space="preserve"> </w:t>
      </w:r>
      <w:r w:rsidR="003F647E" w:rsidRPr="00DD477A">
        <w:t>circulated</w:t>
      </w:r>
      <w:r w:rsidR="00C63370" w:rsidRPr="00DD477A">
        <w:t xml:space="preserve"> to </w:t>
      </w:r>
      <w:r w:rsidR="007F0366" w:rsidRPr="00DD477A">
        <w:t xml:space="preserve">entities </w:t>
      </w:r>
      <w:r w:rsidR="004C6813" w:rsidRPr="00DD477A">
        <w:t>in early March (non</w:t>
      </w:r>
      <w:r w:rsidR="001D6966" w:rsidRPr="00DD477A">
        <w:noBreakHyphen/>
      </w:r>
      <w:r w:rsidR="004C6813" w:rsidRPr="00DD477A">
        <w:t>election year</w:t>
      </w:r>
      <w:r w:rsidR="001D6966" w:rsidRPr="00DD477A">
        <w:t>s</w:t>
      </w:r>
      <w:r w:rsidR="004C6813" w:rsidRPr="00DD477A">
        <w:t>)</w:t>
      </w:r>
      <w:r w:rsidR="0017584E" w:rsidRPr="00DD477A">
        <w:t>.</w:t>
      </w:r>
    </w:p>
    <w:p w14:paraId="4480894F" w14:textId="09F4EDBD" w:rsidR="00B862FC" w:rsidRPr="00DD477A" w:rsidRDefault="00B862FC" w:rsidP="00157BAB">
      <w:pPr>
        <w:pStyle w:val="Numbered"/>
        <w:rPr>
          <w:rFonts w:cs="Calibri"/>
        </w:rPr>
      </w:pPr>
      <w:r w:rsidRPr="00DD477A">
        <w:rPr>
          <w:rFonts w:cs="Calibri"/>
        </w:rPr>
        <w:t>Portfolios to forward Ministerial requests for new or changes to existing outcome statement changes</w:t>
      </w:r>
      <w:r w:rsidR="00CE2DB5" w:rsidRPr="00DD477A">
        <w:rPr>
          <w:rFonts w:cs="Calibri"/>
        </w:rPr>
        <w:t xml:space="preserve"> to Minister for Finance</w:t>
      </w:r>
      <w:r w:rsidR="0017584E" w:rsidRPr="00DD477A">
        <w:rPr>
          <w:rFonts w:cs="Calibri"/>
        </w:rPr>
        <w:t>.</w:t>
      </w:r>
    </w:p>
    <w:p w14:paraId="6C5C481F" w14:textId="14511B8B" w:rsidR="00B862FC" w:rsidRPr="00DD477A" w:rsidRDefault="00B862FC" w:rsidP="00157BAB">
      <w:pPr>
        <w:pStyle w:val="Numbered"/>
        <w:rPr>
          <w:rFonts w:cs="Calibri"/>
        </w:rPr>
      </w:pPr>
      <w:r w:rsidRPr="00DD477A">
        <w:rPr>
          <w:rFonts w:cs="Calibri"/>
        </w:rPr>
        <w:t xml:space="preserve">Government decisions made </w:t>
      </w:r>
      <w:r w:rsidR="008226D1" w:rsidRPr="00DD477A">
        <w:rPr>
          <w:rFonts w:cs="Calibri"/>
        </w:rPr>
        <w:t>and whole of Government budget processes are conducted as part of the budget process</w:t>
      </w:r>
      <w:r w:rsidRPr="00DD477A">
        <w:rPr>
          <w:rFonts w:cs="Calibri"/>
        </w:rPr>
        <w:t>, including on movements of funds, reclassification and operating losses</w:t>
      </w:r>
      <w:r w:rsidR="0017584E" w:rsidRPr="00DD477A">
        <w:rPr>
          <w:rFonts w:cs="Calibri"/>
        </w:rPr>
        <w:t>.</w:t>
      </w:r>
    </w:p>
    <w:p w14:paraId="0CD2F6F0" w14:textId="4008B12D" w:rsidR="00B862FC" w:rsidRPr="00DD477A" w:rsidRDefault="00B862FC" w:rsidP="00157BAB">
      <w:pPr>
        <w:pStyle w:val="Numbered"/>
        <w:rPr>
          <w:rFonts w:cs="Calibri"/>
        </w:rPr>
      </w:pPr>
      <w:r w:rsidRPr="00DD477A">
        <w:rPr>
          <w:rFonts w:cs="Calibri"/>
        </w:rPr>
        <w:t>Section 51 withholding and quarantine processes</w:t>
      </w:r>
      <w:r w:rsidR="0017584E" w:rsidRPr="00DD477A">
        <w:rPr>
          <w:rFonts w:cs="Calibri"/>
        </w:rPr>
        <w:t>.</w:t>
      </w:r>
    </w:p>
    <w:p w14:paraId="63CBC455" w14:textId="59CD6D8F" w:rsidR="0001164D" w:rsidRPr="00DD477A" w:rsidRDefault="004C6813" w:rsidP="00157BAB">
      <w:pPr>
        <w:pStyle w:val="Numbered"/>
        <w:rPr>
          <w:rFonts w:cs="Calibri"/>
        </w:rPr>
      </w:pPr>
      <w:r w:rsidRPr="00DD477A">
        <w:rPr>
          <w:rFonts w:cs="Calibri"/>
        </w:rPr>
        <w:t xml:space="preserve">Budget estimates update round opens in CBMS </w:t>
      </w:r>
      <w:r w:rsidR="00B862FC" w:rsidRPr="00DD477A">
        <w:rPr>
          <w:rFonts w:cs="Calibri"/>
        </w:rPr>
        <w:t xml:space="preserve">– entities to update annual estimates and download relevant </w:t>
      </w:r>
      <w:r w:rsidR="000C7A2B" w:rsidRPr="00DD477A">
        <w:rPr>
          <w:rFonts w:cs="Calibri"/>
        </w:rPr>
        <w:t>PB</w:t>
      </w:r>
      <w:r w:rsidR="007E4A9C" w:rsidRPr="00DD477A">
        <w:rPr>
          <w:rFonts w:cs="Calibri"/>
        </w:rPr>
        <w:t xml:space="preserve"> </w:t>
      </w:r>
      <w:r w:rsidR="000C7A2B" w:rsidRPr="00DD477A">
        <w:rPr>
          <w:rFonts w:cs="Calibri"/>
        </w:rPr>
        <w:t>S</w:t>
      </w:r>
      <w:r w:rsidR="007E4A9C" w:rsidRPr="00DD477A">
        <w:rPr>
          <w:rFonts w:cs="Calibri"/>
        </w:rPr>
        <w:t>tatements</w:t>
      </w:r>
      <w:r w:rsidR="000C7A2B" w:rsidRPr="00DD477A">
        <w:rPr>
          <w:rFonts w:cs="Calibri"/>
        </w:rPr>
        <w:t xml:space="preserve"> </w:t>
      </w:r>
      <w:r w:rsidR="00B862FC" w:rsidRPr="00DD477A">
        <w:rPr>
          <w:rFonts w:cs="Calibri"/>
        </w:rPr>
        <w:t xml:space="preserve">reports </w:t>
      </w:r>
      <w:r w:rsidR="000C7A2B" w:rsidRPr="00DD477A">
        <w:rPr>
          <w:rFonts w:cs="Calibri"/>
        </w:rPr>
        <w:t>data</w:t>
      </w:r>
      <w:r w:rsidR="0017584E" w:rsidRPr="00DD477A">
        <w:rPr>
          <w:rFonts w:cs="Calibri"/>
        </w:rPr>
        <w:t>.</w:t>
      </w:r>
    </w:p>
    <w:p w14:paraId="1BA2F161" w14:textId="5A9E98E5" w:rsidR="00B862FC" w:rsidRPr="00DD477A" w:rsidRDefault="00B862FC" w:rsidP="00157BAB">
      <w:pPr>
        <w:pStyle w:val="Numbered"/>
        <w:rPr>
          <w:rFonts w:cs="Calibri"/>
        </w:rPr>
      </w:pPr>
      <w:r w:rsidRPr="00DD477A">
        <w:rPr>
          <w:rFonts w:cs="Calibri"/>
        </w:rPr>
        <w:t>Portfolios to seek quotes and sign contracts with relevant printing provider, such as Canprint</w:t>
      </w:r>
      <w:r w:rsidR="004E39B3" w:rsidRPr="00DD477A">
        <w:rPr>
          <w:rFonts w:cs="Calibri"/>
        </w:rPr>
        <w:t xml:space="preserve"> </w:t>
      </w:r>
      <w:r w:rsidR="0017584E" w:rsidRPr="00DD477A">
        <w:rPr>
          <w:rFonts w:cs="Calibri"/>
        </w:rPr>
        <w:t>.</w:t>
      </w:r>
      <w:r w:rsidR="004E39B3" w:rsidRPr="00DD477A">
        <w:rPr>
          <w:rFonts w:cs="Calibri"/>
        </w:rPr>
        <w:br/>
      </w:r>
      <w:r w:rsidR="004E39B3" w:rsidRPr="00DD477A">
        <w:rPr>
          <w:rFonts w:cs="Calibri"/>
          <w:color w:val="FF0000"/>
        </w:rPr>
        <w:t>[</w:t>
      </w:r>
      <w:r w:rsidR="004E39B3" w:rsidRPr="00DD477A">
        <w:rPr>
          <w:rFonts w:cs="Calibri"/>
          <w:i/>
          <w:iCs/>
          <w:color w:val="FF0000"/>
        </w:rPr>
        <w:t>note:</w:t>
      </w:r>
      <w:r w:rsidR="00994760" w:rsidRPr="00DD477A">
        <w:rPr>
          <w:rFonts w:cs="Calibri"/>
          <w:i/>
          <w:iCs/>
          <w:color w:val="FF0000"/>
        </w:rPr>
        <w:t xml:space="preserve"> </w:t>
      </w:r>
      <w:r w:rsidR="00523D13" w:rsidRPr="00DD477A">
        <w:rPr>
          <w:rFonts w:cs="Calibri"/>
          <w:i/>
          <w:iCs/>
          <w:color w:val="FF0000"/>
        </w:rPr>
        <w:t xml:space="preserve">the Department of the </w:t>
      </w:r>
      <w:r w:rsidR="004E39B3" w:rsidRPr="00DD477A">
        <w:rPr>
          <w:rFonts w:cs="Calibri"/>
          <w:i/>
          <w:iCs/>
          <w:color w:val="FF0000"/>
        </w:rPr>
        <w:t xml:space="preserve">Treasury </w:t>
      </w:r>
      <w:r w:rsidR="00523D13" w:rsidRPr="00DD477A">
        <w:rPr>
          <w:rFonts w:cs="Calibri"/>
          <w:i/>
          <w:iCs/>
          <w:color w:val="FF0000"/>
        </w:rPr>
        <w:t xml:space="preserve">(Treasury) </w:t>
      </w:r>
      <w:r w:rsidR="004E39B3" w:rsidRPr="00DD477A">
        <w:rPr>
          <w:rFonts w:cs="Calibri"/>
          <w:i/>
          <w:iCs/>
          <w:color w:val="FF0000"/>
        </w:rPr>
        <w:t xml:space="preserve">will provide their required book numbers </w:t>
      </w:r>
      <w:r w:rsidR="00F11A78" w:rsidRPr="00DD477A">
        <w:rPr>
          <w:rFonts w:cs="Calibri"/>
          <w:i/>
          <w:iCs/>
          <w:color w:val="FF0000"/>
        </w:rPr>
        <w:t xml:space="preserve">to Portfolio Coordinators </w:t>
      </w:r>
      <w:r w:rsidR="004E39B3" w:rsidRPr="00DD477A">
        <w:rPr>
          <w:rFonts w:cs="Calibri"/>
          <w:i/>
          <w:iCs/>
          <w:color w:val="FF0000"/>
        </w:rPr>
        <w:t>for lockup separate to this EM</w:t>
      </w:r>
      <w:r w:rsidR="004E39B3" w:rsidRPr="00DD477A">
        <w:rPr>
          <w:rFonts w:cs="Calibri"/>
          <w:color w:val="FF0000"/>
        </w:rPr>
        <w:t>]</w:t>
      </w:r>
    </w:p>
    <w:p w14:paraId="6755C336" w14:textId="01C69BFF" w:rsidR="00F11A78" w:rsidRPr="00DD477A" w:rsidRDefault="00B862FC" w:rsidP="00157BAB">
      <w:pPr>
        <w:pStyle w:val="Numbered"/>
        <w:rPr>
          <w:rFonts w:cs="Calibri"/>
        </w:rPr>
      </w:pPr>
      <w:r w:rsidRPr="00DD477A">
        <w:rPr>
          <w:rFonts w:cs="Calibri"/>
        </w:rPr>
        <w:t>Portfolios to request Minister’s signature on the letter of transmittal</w:t>
      </w:r>
      <w:r w:rsidR="0017584E" w:rsidRPr="00DD477A">
        <w:rPr>
          <w:rFonts w:cs="Calibri"/>
        </w:rPr>
        <w:t>.</w:t>
      </w:r>
    </w:p>
    <w:p w14:paraId="2B408B30" w14:textId="0A9E0B37" w:rsidR="00B862FC" w:rsidRPr="00DD477A" w:rsidRDefault="00B862FC" w:rsidP="00157BAB">
      <w:pPr>
        <w:pStyle w:val="Numbered"/>
        <w:rPr>
          <w:rFonts w:cs="Calibri"/>
        </w:rPr>
      </w:pPr>
      <w:r w:rsidRPr="00DD477A">
        <w:rPr>
          <w:rFonts w:cs="Calibri"/>
        </w:rPr>
        <w:t xml:space="preserve">Portfolios to seek chapter </w:t>
      </w:r>
      <w:r w:rsidR="007F0366" w:rsidRPr="00DD477A">
        <w:rPr>
          <w:rFonts w:cs="Calibri"/>
        </w:rPr>
        <w:t xml:space="preserve">input </w:t>
      </w:r>
      <w:r w:rsidRPr="00DD477A">
        <w:rPr>
          <w:rFonts w:cs="Calibri"/>
        </w:rPr>
        <w:t>from portfolio entities</w:t>
      </w:r>
      <w:r w:rsidR="0017584E" w:rsidRPr="00DD477A">
        <w:rPr>
          <w:rFonts w:cs="Calibri"/>
        </w:rPr>
        <w:t>.</w:t>
      </w:r>
    </w:p>
    <w:p w14:paraId="28660266" w14:textId="4726A25C" w:rsidR="00B862FC" w:rsidRPr="00DD477A" w:rsidRDefault="00B862FC" w:rsidP="00157BAB">
      <w:pPr>
        <w:pStyle w:val="Numbered"/>
        <w:rPr>
          <w:rFonts w:cs="Calibri"/>
        </w:rPr>
      </w:pPr>
      <w:r w:rsidRPr="00DD477A">
        <w:rPr>
          <w:rFonts w:cs="Calibri"/>
        </w:rPr>
        <w:t>Portfolios to seek program and performance information from relevant program/policy areas</w:t>
      </w:r>
      <w:r w:rsidR="0017584E" w:rsidRPr="00DD477A">
        <w:rPr>
          <w:rFonts w:cs="Calibri"/>
        </w:rPr>
        <w:t>.</w:t>
      </w:r>
    </w:p>
    <w:p w14:paraId="1F32B580" w14:textId="78926812" w:rsidR="000C7A2B" w:rsidRPr="00DD477A" w:rsidRDefault="00B862FC" w:rsidP="00157BAB">
      <w:pPr>
        <w:pStyle w:val="Numbered"/>
        <w:rPr>
          <w:rFonts w:cs="Calibri"/>
        </w:rPr>
      </w:pPr>
      <w:r w:rsidRPr="00DD477A">
        <w:rPr>
          <w:rFonts w:cs="Calibri"/>
        </w:rPr>
        <w:t xml:space="preserve">Internal </w:t>
      </w:r>
      <w:r w:rsidR="006B29C8" w:rsidRPr="00DD477A">
        <w:rPr>
          <w:rFonts w:cs="Calibri"/>
        </w:rPr>
        <w:t>Portfolio</w:t>
      </w:r>
      <w:r w:rsidR="00B46CD3" w:rsidRPr="00DD477A">
        <w:rPr>
          <w:rFonts w:cs="Calibri"/>
        </w:rPr>
        <w:t xml:space="preserve"> clearances</w:t>
      </w:r>
      <w:r w:rsidRPr="00DD477A">
        <w:rPr>
          <w:rFonts w:cs="Calibri"/>
        </w:rPr>
        <w:t xml:space="preserve"> of </w:t>
      </w:r>
      <w:r w:rsidR="004A0126" w:rsidRPr="00DD477A">
        <w:rPr>
          <w:rFonts w:cs="Calibri"/>
        </w:rPr>
        <w:t xml:space="preserve">PB Statement </w:t>
      </w:r>
      <w:r w:rsidRPr="00DD477A">
        <w:rPr>
          <w:rFonts w:cs="Calibri"/>
        </w:rPr>
        <w:t>text</w:t>
      </w:r>
      <w:r w:rsidR="004A0126" w:rsidRPr="00DD477A">
        <w:rPr>
          <w:rFonts w:cs="Calibri"/>
        </w:rPr>
        <w:t xml:space="preserve"> (and if required associated draft media releases)</w:t>
      </w:r>
      <w:r w:rsidR="0017584E" w:rsidRPr="00DD477A">
        <w:rPr>
          <w:rFonts w:cs="Calibri"/>
        </w:rPr>
        <w:t>.</w:t>
      </w:r>
    </w:p>
    <w:p w14:paraId="54F2728E" w14:textId="12564F78" w:rsidR="007F0366" w:rsidRPr="00DD477A" w:rsidRDefault="007F0366" w:rsidP="00157BAB">
      <w:pPr>
        <w:pStyle w:val="Numbered"/>
        <w:rPr>
          <w:rFonts w:cs="Calibri"/>
        </w:rPr>
      </w:pPr>
      <w:r w:rsidRPr="00DD477A">
        <w:rPr>
          <w:rFonts w:cs="Calibri"/>
        </w:rPr>
        <w:t>If required, Portfolios provide preliminary</w:t>
      </w:r>
      <w:r w:rsidR="00EB7710" w:rsidRPr="00DD477A">
        <w:rPr>
          <w:rFonts w:cs="Calibri"/>
        </w:rPr>
        <w:t>/</w:t>
      </w:r>
      <w:r w:rsidRPr="00DD477A">
        <w:rPr>
          <w:rFonts w:cs="Calibri"/>
        </w:rPr>
        <w:t xml:space="preserve">draft </w:t>
      </w:r>
      <w:r w:rsidR="00EB7710" w:rsidRPr="00DD477A">
        <w:rPr>
          <w:rFonts w:cs="Calibri"/>
        </w:rPr>
        <w:t>PB Statement text</w:t>
      </w:r>
      <w:r w:rsidRPr="00DD477A">
        <w:rPr>
          <w:rFonts w:cs="Calibri"/>
        </w:rPr>
        <w:t xml:space="preserve"> to their Minister’s office for review/clearance</w:t>
      </w:r>
      <w:r w:rsidR="0017584E" w:rsidRPr="00DD477A">
        <w:rPr>
          <w:rFonts w:cs="Calibri"/>
        </w:rPr>
        <w:t>.</w:t>
      </w:r>
    </w:p>
    <w:p w14:paraId="329E9C3C" w14:textId="61F42702" w:rsidR="002A0F02" w:rsidRPr="00DD477A" w:rsidRDefault="001A5EEB" w:rsidP="00157BAB">
      <w:pPr>
        <w:pStyle w:val="Numbered"/>
        <w:rPr>
          <w:rFonts w:cs="Calibri"/>
        </w:rPr>
      </w:pPr>
      <w:r w:rsidRPr="00DD477A">
        <w:rPr>
          <w:rFonts w:cs="Calibri"/>
        </w:rPr>
        <w:t xml:space="preserve">CBMS closes </w:t>
      </w:r>
      <w:r w:rsidR="003430F1" w:rsidRPr="00DD477A">
        <w:rPr>
          <w:rFonts w:cs="Calibri"/>
        </w:rPr>
        <w:t>to entities</w:t>
      </w:r>
      <w:r w:rsidR="00B862FC" w:rsidRPr="00DD477A">
        <w:rPr>
          <w:rFonts w:cs="Calibri"/>
        </w:rPr>
        <w:t xml:space="preserve">, with Chief Financial Officers to sign off on Appropriation Bills and Budget Paper No. 4 figures. </w:t>
      </w:r>
    </w:p>
    <w:p w14:paraId="21CC8F90" w14:textId="5F264247" w:rsidR="00F11A78" w:rsidRPr="00DD477A" w:rsidRDefault="00F11A78" w:rsidP="00157BAB">
      <w:pPr>
        <w:pStyle w:val="Numbered"/>
        <w:rPr>
          <w:rFonts w:cs="Calibri"/>
        </w:rPr>
      </w:pPr>
      <w:r w:rsidRPr="00DD477A">
        <w:rPr>
          <w:rFonts w:cs="Calibri"/>
        </w:rPr>
        <w:t>Portfolios finalise PB Statements hard cover proofs with printing provider</w:t>
      </w:r>
      <w:r w:rsidR="0017584E" w:rsidRPr="00DD477A">
        <w:rPr>
          <w:rFonts w:cs="Calibri"/>
        </w:rPr>
        <w:t>.</w:t>
      </w:r>
    </w:p>
    <w:p w14:paraId="6147270C" w14:textId="2740667F" w:rsidR="00B862FC" w:rsidRPr="00DD477A" w:rsidRDefault="00B862FC" w:rsidP="00157BAB">
      <w:pPr>
        <w:pStyle w:val="Numbered"/>
        <w:rPr>
          <w:rFonts w:cs="Calibri"/>
        </w:rPr>
      </w:pPr>
      <w:r w:rsidRPr="00DD477A">
        <w:rPr>
          <w:rFonts w:cs="Calibri"/>
        </w:rPr>
        <w:t>Portfolios prepare PB Statement</w:t>
      </w:r>
      <w:r w:rsidR="00F11A78" w:rsidRPr="00DD477A">
        <w:rPr>
          <w:rFonts w:cs="Calibri"/>
        </w:rPr>
        <w:t>s</w:t>
      </w:r>
      <w:r w:rsidRPr="00DD477A">
        <w:rPr>
          <w:rFonts w:cs="Calibri"/>
        </w:rPr>
        <w:t xml:space="preserve"> financial tables, consistent with CBMS, Appropriation Bills and Budget Paper No. 4.</w:t>
      </w:r>
    </w:p>
    <w:p w14:paraId="53BA3360" w14:textId="09C787E0" w:rsidR="007F0366" w:rsidRPr="00DD477A" w:rsidRDefault="007F0366" w:rsidP="00157BAB">
      <w:pPr>
        <w:pStyle w:val="Numbered"/>
        <w:rPr>
          <w:rFonts w:cs="Calibri"/>
        </w:rPr>
      </w:pPr>
      <w:r w:rsidRPr="00DD477A">
        <w:rPr>
          <w:rFonts w:cs="Calibri"/>
        </w:rPr>
        <w:t xml:space="preserve">Portfolios compile the final </w:t>
      </w:r>
      <w:r w:rsidR="00F11A78" w:rsidRPr="00DD477A">
        <w:rPr>
          <w:rFonts w:cs="Calibri"/>
        </w:rPr>
        <w:t>P</w:t>
      </w:r>
      <w:r w:rsidRPr="00DD477A">
        <w:rPr>
          <w:rFonts w:cs="Calibri"/>
        </w:rPr>
        <w:t>B Statement</w:t>
      </w:r>
      <w:r w:rsidR="00F11A78" w:rsidRPr="00DD477A">
        <w:rPr>
          <w:rFonts w:cs="Calibri"/>
        </w:rPr>
        <w:t>s</w:t>
      </w:r>
      <w:r w:rsidRPr="00DD477A">
        <w:rPr>
          <w:rFonts w:cs="Calibri"/>
        </w:rPr>
        <w:t xml:space="preserve"> book and perform proofing checks</w:t>
      </w:r>
      <w:r w:rsidR="0017584E" w:rsidRPr="00DD477A">
        <w:rPr>
          <w:rFonts w:cs="Calibri"/>
        </w:rPr>
        <w:t>.</w:t>
      </w:r>
    </w:p>
    <w:p w14:paraId="078ECE91" w14:textId="481209C5" w:rsidR="007F0366" w:rsidRPr="00DD477A" w:rsidRDefault="007F0366" w:rsidP="00157BAB">
      <w:pPr>
        <w:pStyle w:val="Numbered"/>
        <w:rPr>
          <w:rFonts w:cs="Calibri"/>
        </w:rPr>
      </w:pPr>
      <w:r w:rsidRPr="00DD477A">
        <w:rPr>
          <w:rFonts w:cs="Calibri"/>
        </w:rPr>
        <w:t>Portfolios to check all measure titles and figures through match the final list provided by their Finance Agency Advice Unit (AAU)</w:t>
      </w:r>
      <w:r w:rsidR="0017584E" w:rsidRPr="00DD477A">
        <w:rPr>
          <w:rFonts w:cs="Calibri"/>
        </w:rPr>
        <w:t>.</w:t>
      </w:r>
    </w:p>
    <w:p w14:paraId="7CCFBD2C" w14:textId="2B24E3EA" w:rsidR="007F0366" w:rsidRPr="00DD477A" w:rsidRDefault="007F0366" w:rsidP="00157BAB">
      <w:pPr>
        <w:pStyle w:val="Numbered"/>
        <w:rPr>
          <w:rFonts w:cs="Calibri"/>
        </w:rPr>
      </w:pPr>
      <w:r w:rsidRPr="00DD477A">
        <w:rPr>
          <w:rFonts w:cs="Calibri"/>
        </w:rPr>
        <w:t>If required, Portfolios provide final PB Statements to their Minister’s office for review/clearance</w:t>
      </w:r>
      <w:r w:rsidR="0017584E" w:rsidRPr="00DD477A">
        <w:rPr>
          <w:rFonts w:cs="Calibri"/>
        </w:rPr>
        <w:t>.</w:t>
      </w:r>
    </w:p>
    <w:p w14:paraId="0FDD52A0" w14:textId="7523F7F9" w:rsidR="007F0366" w:rsidRPr="00DD477A" w:rsidRDefault="007F0366" w:rsidP="00157BAB">
      <w:pPr>
        <w:pStyle w:val="Numbered"/>
        <w:rPr>
          <w:rFonts w:cs="Calibri"/>
        </w:rPr>
      </w:pPr>
      <w:r w:rsidRPr="00DD477A">
        <w:rPr>
          <w:rFonts w:cs="Calibri"/>
        </w:rPr>
        <w:t>Following clearance, Portfolios provide final PB</w:t>
      </w:r>
      <w:r w:rsidR="00EB7710" w:rsidRPr="00DD477A">
        <w:rPr>
          <w:rFonts w:cs="Calibri"/>
        </w:rPr>
        <w:t> </w:t>
      </w:r>
      <w:r w:rsidRPr="00DD477A">
        <w:rPr>
          <w:rFonts w:cs="Calibri"/>
        </w:rPr>
        <w:t>Statements to printing provider</w:t>
      </w:r>
      <w:r w:rsidR="0017584E" w:rsidRPr="00DD477A">
        <w:rPr>
          <w:rFonts w:cs="Calibri"/>
        </w:rPr>
        <w:t>.</w:t>
      </w:r>
    </w:p>
    <w:p w14:paraId="5A15B1D4" w14:textId="66F76FAA" w:rsidR="007F0366" w:rsidRPr="00DD477A" w:rsidRDefault="007F0366" w:rsidP="00157BAB">
      <w:pPr>
        <w:pStyle w:val="Numbered"/>
        <w:rPr>
          <w:rFonts w:cs="Calibri"/>
        </w:rPr>
      </w:pPr>
      <w:r w:rsidRPr="00DD477A">
        <w:rPr>
          <w:rFonts w:cs="Calibri"/>
        </w:rPr>
        <w:t>Portfolios complete review of final printing proof</w:t>
      </w:r>
      <w:r w:rsidR="00F11A78" w:rsidRPr="00DD477A">
        <w:rPr>
          <w:rFonts w:cs="Calibri"/>
        </w:rPr>
        <w:t xml:space="preserve"> and PB Statements printed</w:t>
      </w:r>
      <w:r w:rsidR="0017584E" w:rsidRPr="00DD477A">
        <w:rPr>
          <w:rFonts w:cs="Calibri"/>
        </w:rPr>
        <w:t>.</w:t>
      </w:r>
    </w:p>
    <w:p w14:paraId="7892E0FF" w14:textId="04DA29C2" w:rsidR="00B862FC" w:rsidRPr="00DD477A" w:rsidRDefault="00B862FC" w:rsidP="00157BAB">
      <w:pPr>
        <w:pStyle w:val="Numbered"/>
        <w:rPr>
          <w:rFonts w:cs="Calibri"/>
        </w:rPr>
      </w:pPr>
      <w:r w:rsidRPr="00DD477A">
        <w:rPr>
          <w:rFonts w:cs="Calibri"/>
        </w:rPr>
        <w:t>Portfolios to provide final PB Statements to Finance (hard and soft copies</w:t>
      </w:r>
      <w:r w:rsidR="00F11A78" w:rsidRPr="00DD477A">
        <w:rPr>
          <w:rFonts w:cs="Calibri"/>
        </w:rPr>
        <w:t xml:space="preserve"> and Excel tables</w:t>
      </w:r>
      <w:r w:rsidRPr="00DD477A">
        <w:rPr>
          <w:rFonts w:cs="Calibri"/>
        </w:rPr>
        <w:t xml:space="preserve">) and </w:t>
      </w:r>
      <w:r w:rsidRPr="00DD477A">
        <w:rPr>
          <w:rFonts w:cs="Calibri"/>
        </w:rPr>
        <w:lastRenderedPageBreak/>
        <w:t>Department of the Senate (hard copies) to coordinate tabling</w:t>
      </w:r>
      <w:r w:rsidR="0017584E" w:rsidRPr="00DD477A">
        <w:rPr>
          <w:rFonts w:cs="Calibri"/>
        </w:rPr>
        <w:t>.</w:t>
      </w:r>
    </w:p>
    <w:p w14:paraId="542F23A6" w14:textId="0ACC6F7A" w:rsidR="00B862FC" w:rsidRPr="00DD477A" w:rsidRDefault="00B862FC" w:rsidP="00157BAB">
      <w:pPr>
        <w:pStyle w:val="Numbered"/>
      </w:pPr>
      <w:r w:rsidRPr="00DD477A">
        <w:rPr>
          <w:rFonts w:cs="Calibri"/>
        </w:rPr>
        <w:t xml:space="preserve">Portfolios to provide input to </w:t>
      </w:r>
      <w:r w:rsidR="00784268" w:rsidRPr="00DD477A">
        <w:rPr>
          <w:rFonts w:cs="Calibri"/>
        </w:rPr>
        <w:t xml:space="preserve">Treasury </w:t>
      </w:r>
      <w:r w:rsidRPr="00DD477A">
        <w:rPr>
          <w:rFonts w:cs="Calibri"/>
        </w:rPr>
        <w:t xml:space="preserve">for the </w:t>
      </w:r>
      <w:r w:rsidR="00784268" w:rsidRPr="00DD477A">
        <w:rPr>
          <w:rFonts w:cs="Calibri"/>
        </w:rPr>
        <w:t>media and stakeholder Budget lockups</w:t>
      </w:r>
    </w:p>
    <w:p w14:paraId="6B7436CD" w14:textId="686C3E56" w:rsidR="000C7A2B" w:rsidRPr="00DD477A" w:rsidRDefault="00CC144A" w:rsidP="00157BAB">
      <w:pPr>
        <w:pStyle w:val="Numbered"/>
        <w:rPr>
          <w:rFonts w:cs="Calibri"/>
        </w:rPr>
      </w:pPr>
      <w:r w:rsidRPr="00DD477A">
        <w:rPr>
          <w:rFonts w:cs="Calibri"/>
        </w:rPr>
        <w:t>Final PB</w:t>
      </w:r>
      <w:r w:rsidR="00B862FC" w:rsidRPr="00DD477A">
        <w:rPr>
          <w:rFonts w:cs="Calibri"/>
        </w:rPr>
        <w:t xml:space="preserve"> </w:t>
      </w:r>
      <w:r w:rsidRPr="00DD477A">
        <w:rPr>
          <w:rFonts w:cs="Calibri"/>
        </w:rPr>
        <w:t>S</w:t>
      </w:r>
      <w:r w:rsidR="00B862FC" w:rsidRPr="00DD477A">
        <w:rPr>
          <w:rFonts w:cs="Calibri"/>
        </w:rPr>
        <w:t>tatements</w:t>
      </w:r>
      <w:r w:rsidRPr="00DD477A">
        <w:rPr>
          <w:rFonts w:cs="Calibri"/>
        </w:rPr>
        <w:t xml:space="preserve"> </w:t>
      </w:r>
      <w:r w:rsidR="00B862FC" w:rsidRPr="00DD477A">
        <w:rPr>
          <w:rFonts w:cs="Calibri"/>
        </w:rPr>
        <w:t>published on websites following tabled in Parliament.</w:t>
      </w:r>
    </w:p>
    <w:p w14:paraId="7206D3A3" w14:textId="1BA05D02" w:rsidR="001D5A6E" w:rsidRPr="00DD477A" w:rsidRDefault="001D5A6E" w:rsidP="002A08E2">
      <w:r w:rsidRPr="00DD477A">
        <w:t xml:space="preserve">It is also suggested that </w:t>
      </w:r>
      <w:r w:rsidR="007F0366" w:rsidRPr="00DD477A">
        <w:t xml:space="preserve">entities </w:t>
      </w:r>
      <w:r w:rsidRPr="00DD477A">
        <w:t xml:space="preserve">contact the relevant printing provider early in the process to </w:t>
      </w:r>
      <w:r w:rsidR="008660DA" w:rsidRPr="00DD477A">
        <w:t>m</w:t>
      </w:r>
      <w:r w:rsidR="004574A9" w:rsidRPr="00DD477A">
        <w:t>anage printing timelines.</w:t>
      </w:r>
    </w:p>
    <w:p w14:paraId="1A39BE91" w14:textId="1F44D514" w:rsidR="002621F2" w:rsidRPr="00DD477A" w:rsidRDefault="00A62964" w:rsidP="00E548A0">
      <w:pPr>
        <w:pStyle w:val="Heading2"/>
      </w:pPr>
      <w:bookmarkStart w:id="29" w:name="_Toc160715514"/>
      <w:r w:rsidRPr="00DD477A">
        <w:t xml:space="preserve">PB Statements – Templates and </w:t>
      </w:r>
      <w:r w:rsidR="00211471" w:rsidRPr="00DD477A">
        <w:t>Data Sources</w:t>
      </w:r>
      <w:bookmarkEnd w:id="29"/>
      <w:r w:rsidR="00211471" w:rsidRPr="00DD477A">
        <w:t xml:space="preserve"> </w:t>
      </w:r>
    </w:p>
    <w:p w14:paraId="5BFC8954" w14:textId="64FDC89E" w:rsidR="00E551A7" w:rsidRPr="00DD477A" w:rsidRDefault="00E551A7" w:rsidP="00DB70D2">
      <w:pPr>
        <w:pStyle w:val="Numbered"/>
        <w:numPr>
          <w:ilvl w:val="0"/>
          <w:numId w:val="50"/>
        </w:numPr>
      </w:pPr>
      <w:bookmarkStart w:id="30" w:name="_Ref32914694"/>
      <w:r w:rsidRPr="00DD477A" w:rsidDel="00DA5C2D">
        <w:t xml:space="preserve">Entities </w:t>
      </w:r>
      <w:r w:rsidRPr="00DB70D2" w:rsidDel="00DA5C2D">
        <w:rPr>
          <w:b/>
        </w:rPr>
        <w:t>must</w:t>
      </w:r>
      <w:r w:rsidRPr="00DD477A" w:rsidDel="00DA5C2D">
        <w:t xml:space="preserve"> use the templates at </w:t>
      </w:r>
      <w:r w:rsidRPr="00DB70D2" w:rsidDel="00DA5C2D">
        <w:rPr>
          <w:u w:val="single"/>
        </w:rPr>
        <w:t>Attachments B</w:t>
      </w:r>
      <w:r w:rsidRPr="00DD477A" w:rsidDel="00DA5C2D">
        <w:t xml:space="preserve">, </w:t>
      </w:r>
      <w:r w:rsidRPr="00DB70D2" w:rsidDel="00DA5C2D">
        <w:rPr>
          <w:u w:val="single"/>
        </w:rPr>
        <w:t>C</w:t>
      </w:r>
      <w:r w:rsidRPr="00DD477A" w:rsidDel="00DA5C2D">
        <w:t xml:space="preserve"> and </w:t>
      </w:r>
      <w:r w:rsidRPr="00DB70D2" w:rsidDel="00DA5C2D">
        <w:rPr>
          <w:u w:val="single"/>
        </w:rPr>
        <w:t>E</w:t>
      </w:r>
      <w:r w:rsidRPr="00DD477A" w:rsidDel="00DA5C2D">
        <w:t xml:space="preserve"> to prepare their PB Statements, </w:t>
      </w:r>
      <w:r w:rsidRPr="00DD477A">
        <w:t>to provide consistency with</w:t>
      </w:r>
      <w:r w:rsidRPr="00DD477A" w:rsidDel="00DA5C2D">
        <w:t xml:space="preserve"> the Budget Papers (BPs)</w:t>
      </w:r>
      <w:r w:rsidR="00FC0BC2" w:rsidRPr="00DD477A">
        <w:t xml:space="preserve"> and ensure transparency and accountability to the Parliament over the use of public resources</w:t>
      </w:r>
      <w:r w:rsidRPr="00DD477A" w:rsidDel="00DA5C2D">
        <w:t>.</w:t>
      </w:r>
      <w:r w:rsidR="005E7BE4" w:rsidRPr="00DD477A">
        <w:t xml:space="preserve"> These attachments are available through CBMS. Refer to </w:t>
      </w:r>
      <w:r w:rsidR="005E780B" w:rsidRPr="00DD477A">
        <w:t>Appendix C</w:t>
      </w:r>
      <w:r w:rsidR="005E7BE4" w:rsidRPr="00DB70D2">
        <w:rPr>
          <w:i/>
          <w:iCs/>
        </w:rPr>
        <w:t xml:space="preserve"> </w:t>
      </w:r>
      <w:r w:rsidR="005E7BE4" w:rsidRPr="00DD477A">
        <w:t>in this guide on how to access these templates.</w:t>
      </w:r>
    </w:p>
    <w:p w14:paraId="11D0FF3B" w14:textId="77ABB337" w:rsidR="006E6370" w:rsidRPr="00DD477A" w:rsidRDefault="002A5177" w:rsidP="00157BAB">
      <w:pPr>
        <w:pStyle w:val="Numbered"/>
      </w:pPr>
      <w:r w:rsidRPr="00DD477A">
        <w:rPr>
          <w:u w:val="single"/>
        </w:rPr>
        <w:t>Attachments B</w:t>
      </w:r>
      <w:r w:rsidRPr="00DD477A">
        <w:t> and </w:t>
      </w:r>
      <w:r w:rsidR="001B350F" w:rsidRPr="00DD477A">
        <w:rPr>
          <w:u w:val="single"/>
        </w:rPr>
        <w:t>C</w:t>
      </w:r>
      <w:r w:rsidR="001B350F" w:rsidRPr="00DD477A">
        <w:t xml:space="preserve"> to</w:t>
      </w:r>
      <w:r w:rsidR="00597937" w:rsidRPr="00DD477A">
        <w:t xml:space="preserve"> the EM provide the mandatory </w:t>
      </w:r>
      <w:r w:rsidR="00D134C2" w:rsidRPr="00DD477A">
        <w:t xml:space="preserve">Microsoft Excel </w:t>
      </w:r>
      <w:r w:rsidR="00197E7A" w:rsidRPr="00DD477A">
        <w:t>(</w:t>
      </w:r>
      <w:r w:rsidR="65AC33CB" w:rsidRPr="00DD477A">
        <w:t>Excel</w:t>
      </w:r>
      <w:r w:rsidR="00197E7A" w:rsidRPr="00DD477A">
        <w:t>)</w:t>
      </w:r>
      <w:r w:rsidR="65AC33CB" w:rsidRPr="00DD477A">
        <w:t xml:space="preserve"> and </w:t>
      </w:r>
      <w:r w:rsidR="00197E7A" w:rsidRPr="00DD477A">
        <w:t xml:space="preserve">Microsoft Word </w:t>
      </w:r>
      <w:r w:rsidR="00535A65" w:rsidRPr="00DD477A">
        <w:t>(</w:t>
      </w:r>
      <w:r w:rsidR="65AC33CB" w:rsidRPr="00DD477A">
        <w:t>Word</w:t>
      </w:r>
      <w:r w:rsidR="00535A65" w:rsidRPr="00DD477A">
        <w:t>)</w:t>
      </w:r>
      <w:r w:rsidR="65AC33CB" w:rsidRPr="00DD477A">
        <w:t xml:space="preserve"> templates </w:t>
      </w:r>
      <w:r w:rsidR="002F723B" w:rsidRPr="00DD477A">
        <w:t>for use in the PB Statements.</w:t>
      </w:r>
    </w:p>
    <w:p w14:paraId="57829845" w14:textId="2BB58B36" w:rsidR="00C57088" w:rsidRPr="00DD477A" w:rsidRDefault="00C57088" w:rsidP="00157BAB">
      <w:pPr>
        <w:pStyle w:val="Numbered"/>
      </w:pPr>
      <w:r w:rsidRPr="00DD477A">
        <w:rPr>
          <w:u w:val="single"/>
        </w:rPr>
        <w:t>Attachment D</w:t>
      </w:r>
      <w:r w:rsidRPr="00DD477A">
        <w:t xml:space="preserve"> to the EM provides a checklist for preparing files for online publication</w:t>
      </w:r>
      <w:r w:rsidR="00C23A91" w:rsidRPr="00DD477A">
        <w:t>.</w:t>
      </w:r>
    </w:p>
    <w:p w14:paraId="16E9CE37" w14:textId="502A593E" w:rsidR="002234EA" w:rsidRPr="00DD477A" w:rsidRDefault="002234EA" w:rsidP="00157BAB">
      <w:pPr>
        <w:pStyle w:val="Numbered"/>
      </w:pPr>
      <w:r w:rsidRPr="00DD477A">
        <w:rPr>
          <w:u w:val="single"/>
        </w:rPr>
        <w:t>Attachment E</w:t>
      </w:r>
      <w:r w:rsidRPr="00DD477A">
        <w:t xml:space="preserve"> to this EM provides the covers for the 2024-25 PB Statements, which will be sent by email from </w:t>
      </w:r>
      <w:hyperlink r:id="rId21">
        <w:r w:rsidRPr="00DD477A">
          <w:rPr>
            <w:rStyle w:val="Hyperlink"/>
          </w:rPr>
          <w:t>budget_framework@finance.gov.au</w:t>
        </w:r>
      </w:hyperlink>
      <w:r w:rsidR="00B33E3F" w:rsidRPr="00DD477A">
        <w:rPr>
          <w:rStyle w:val="Hyperlink"/>
        </w:rPr>
        <w:t xml:space="preserve"> </w:t>
      </w:r>
      <w:r w:rsidRPr="00DD477A">
        <w:t xml:space="preserve">to all PB Statement Portfolio Coordinators once </w:t>
      </w:r>
      <w:r w:rsidR="00B33E3F" w:rsidRPr="00DD477A">
        <w:t xml:space="preserve">finalised </w:t>
      </w:r>
      <w:r w:rsidRPr="00DD477A">
        <w:t>by the Treasury for official use.</w:t>
      </w:r>
    </w:p>
    <w:p w14:paraId="1DF1D546" w14:textId="77777777" w:rsidR="007C63F4" w:rsidRPr="00DD477A" w:rsidRDefault="007C63F4" w:rsidP="00157BAB">
      <w:pPr>
        <w:pStyle w:val="Numbered"/>
      </w:pPr>
      <w:r w:rsidRPr="00DD477A">
        <w:t>Supplementary to the advice provided in this guide, the Treasury will separately advise portfolio departments on the format of the government’s media and stakeholder Budget lockups, including confirmation of the number of books required and their delivery arrangements.</w:t>
      </w:r>
    </w:p>
    <w:p w14:paraId="19FE5A86" w14:textId="57C052F7" w:rsidR="007A0E16" w:rsidRPr="00DD477A" w:rsidRDefault="00542B0E" w:rsidP="00157BAB">
      <w:pPr>
        <w:pStyle w:val="Numbered"/>
      </w:pPr>
      <w:r w:rsidRPr="00DD477A">
        <w:t>I</w:t>
      </w:r>
      <w:r w:rsidR="53BF0693" w:rsidRPr="00DD477A">
        <w:t xml:space="preserve">nformation on the printing and online publication requirements, </w:t>
      </w:r>
      <w:r w:rsidR="000E386D" w:rsidRPr="00DD477A">
        <w:t>working with</w:t>
      </w:r>
      <w:r w:rsidR="00FF33AB" w:rsidRPr="00DD477A">
        <w:t>, and sourcing data for,</w:t>
      </w:r>
      <w:r w:rsidR="000E386D" w:rsidRPr="00DD477A">
        <w:t xml:space="preserve"> </w:t>
      </w:r>
      <w:r w:rsidR="001952BB" w:rsidRPr="00DD477A">
        <w:t xml:space="preserve">the </w:t>
      </w:r>
      <w:r w:rsidR="000E386D" w:rsidRPr="00DD477A">
        <w:t>templates,</w:t>
      </w:r>
      <w:r w:rsidR="53BF0693" w:rsidRPr="00DD477A">
        <w:t xml:space="preserve"> and key contacts</w:t>
      </w:r>
      <w:r w:rsidRPr="00DD477A">
        <w:t xml:space="preserve"> is provided in </w:t>
      </w:r>
      <w:r w:rsidRPr="00DD477A">
        <w:rPr>
          <w:u w:val="single"/>
        </w:rPr>
        <w:t xml:space="preserve">Appendix </w:t>
      </w:r>
      <w:r w:rsidR="00647117" w:rsidRPr="00DD477A">
        <w:rPr>
          <w:u w:val="single"/>
        </w:rPr>
        <w:t>1</w:t>
      </w:r>
      <w:r w:rsidR="00DF0B07" w:rsidRPr="00DD477A">
        <w:t xml:space="preserve"> to </w:t>
      </w:r>
      <w:r w:rsidR="00E14CC5" w:rsidRPr="00DD477A">
        <w:rPr>
          <w:u w:val="single"/>
        </w:rPr>
        <w:t>3</w:t>
      </w:r>
      <w:r w:rsidRPr="00DD477A">
        <w:t xml:space="preserve"> of this guide</w:t>
      </w:r>
      <w:r w:rsidR="53BF0693" w:rsidRPr="00DD477A">
        <w:t>.</w:t>
      </w:r>
    </w:p>
    <w:p w14:paraId="398AE802" w14:textId="77AABC21" w:rsidR="00C71EEE" w:rsidRPr="00DD477A" w:rsidRDefault="00681634" w:rsidP="00157BAB">
      <w:pPr>
        <w:pStyle w:val="Numbered"/>
      </w:pPr>
      <w:r w:rsidRPr="00DD477A">
        <w:t xml:space="preserve">CBMS is the central source of published budget information and whole of government budget reporting, the Appropriation Bills, financial data and BPs. As such, </w:t>
      </w:r>
      <w:r w:rsidR="0069738E" w:rsidRPr="00DD477A">
        <w:t xml:space="preserve">PB Statement </w:t>
      </w:r>
      <w:r w:rsidRPr="00DD477A">
        <w:t>appropriation figures must be sourced from</w:t>
      </w:r>
      <w:r w:rsidR="00C934AD" w:rsidRPr="00DD477A">
        <w:t>, and match,</w:t>
      </w:r>
      <w:r w:rsidRPr="00DD477A">
        <w:t xml:space="preserve"> CBMS to ensure consistency </w:t>
      </w:r>
      <w:r w:rsidR="00C166F1" w:rsidRPr="00DD477A">
        <w:t xml:space="preserve">to </w:t>
      </w:r>
      <w:r w:rsidRPr="00DD477A">
        <w:t>the Appropriation Bills and BPs.</w:t>
      </w:r>
    </w:p>
    <w:p w14:paraId="5E72F6DD" w14:textId="19B08597" w:rsidR="00255D66" w:rsidRPr="00DD477A" w:rsidRDefault="00255D66" w:rsidP="00157BAB">
      <w:pPr>
        <w:pStyle w:val="Numbered"/>
      </w:pPr>
      <w:r w:rsidRPr="00DD477A">
        <w:t xml:space="preserve">When obtaining CBMS information, entities should use data from the Budget Estimates update round labelled </w:t>
      </w:r>
      <w:r w:rsidRPr="00DD477A">
        <w:rPr>
          <w:b/>
          <w:bCs/>
        </w:rPr>
        <w:t>‘2025.</w:t>
      </w:r>
      <w:r w:rsidR="00CB4065" w:rsidRPr="00DD477A">
        <w:rPr>
          <w:b/>
          <w:bCs/>
        </w:rPr>
        <w:t xml:space="preserve">03 </w:t>
      </w:r>
      <w:r w:rsidRPr="00DD477A">
        <w:rPr>
          <w:b/>
          <w:bCs/>
        </w:rPr>
        <w:t>– 2024/25 Budget’</w:t>
      </w:r>
      <w:r w:rsidR="003A6D9C" w:rsidRPr="00DD477A">
        <w:rPr>
          <w:b/>
          <w:bCs/>
        </w:rPr>
        <w:t xml:space="preserve"> </w:t>
      </w:r>
      <w:r w:rsidR="003A6D9C" w:rsidRPr="00DD477A">
        <w:t xml:space="preserve">and select the “Validated” </w:t>
      </w:r>
      <w:r w:rsidR="00C6083B" w:rsidRPr="00DD477A">
        <w:t>budget stage</w:t>
      </w:r>
      <w:r w:rsidRPr="00DD477A">
        <w:t>.</w:t>
      </w:r>
    </w:p>
    <w:p w14:paraId="2572E535" w14:textId="650052BD" w:rsidR="00681634" w:rsidRPr="00DD477A" w:rsidRDefault="00C166F1" w:rsidP="00157BAB">
      <w:pPr>
        <w:pStyle w:val="Numbered"/>
      </w:pPr>
      <w:r w:rsidRPr="00DD477A">
        <w:t>Where information published in a PB Statement is reported at a finer level of granularity, a</w:t>
      </w:r>
      <w:r w:rsidR="00681634" w:rsidRPr="00DD477A">
        <w:t>n entity’s FMIS may be used to supplement information in CBMS.</w:t>
      </w:r>
    </w:p>
    <w:p w14:paraId="151DEEE7" w14:textId="2401AABA" w:rsidR="00B12A77" w:rsidRPr="00DD477A" w:rsidRDefault="00B12A77" w:rsidP="00157BAB">
      <w:pPr>
        <w:pStyle w:val="Numbered"/>
      </w:pPr>
      <w:r w:rsidRPr="00DD477A">
        <w:t xml:space="preserve">Where </w:t>
      </w:r>
      <w:r w:rsidR="00105712" w:rsidRPr="00DD477A">
        <w:t xml:space="preserve">details of entity </w:t>
      </w:r>
      <w:r w:rsidR="005A0505" w:rsidRPr="00DD477A">
        <w:t>Average Staffing Levels (</w:t>
      </w:r>
      <w:r w:rsidR="00105712" w:rsidRPr="00DD477A">
        <w:t>ASL</w:t>
      </w:r>
      <w:r w:rsidR="005A0505" w:rsidRPr="00DD477A">
        <w:t>)</w:t>
      </w:r>
      <w:r w:rsidR="00105712" w:rsidRPr="00DD477A">
        <w:t xml:space="preserve"> is required, p</w:t>
      </w:r>
      <w:r w:rsidRPr="00DD477A">
        <w:t xml:space="preserve">lease refer to the latest Finance guidance. For more information on ASL reporting, contacts are provided in Appendix </w:t>
      </w:r>
      <w:r w:rsidR="00E14CC5" w:rsidRPr="00DD477A">
        <w:t>4</w:t>
      </w:r>
      <w:r w:rsidRPr="00DD477A">
        <w:t xml:space="preserve"> - Contacts.</w:t>
      </w:r>
    </w:p>
    <w:p w14:paraId="2E6FB890" w14:textId="5967E5BD" w:rsidR="007868A4" w:rsidRPr="00DD477A" w:rsidRDefault="53BF0693" w:rsidP="00157BAB">
      <w:pPr>
        <w:pStyle w:val="Numbered"/>
      </w:pPr>
      <w:r w:rsidRPr="00DD477A">
        <w:t xml:space="preserve">Portfolio </w:t>
      </w:r>
      <w:r w:rsidR="0075590B" w:rsidRPr="00DD477A">
        <w:t xml:space="preserve">departments </w:t>
      </w:r>
      <w:r w:rsidRPr="00DD477A">
        <w:t>are responsible for ensuring the consistency, accuracy and completeness of information presented in the PB Statements.</w:t>
      </w:r>
    </w:p>
    <w:p w14:paraId="52C878AF" w14:textId="489CAFDF" w:rsidR="00E76623" w:rsidRPr="00DD477A" w:rsidRDefault="00D06868" w:rsidP="00157BAB">
      <w:pPr>
        <w:pStyle w:val="Numbered"/>
      </w:pPr>
      <w:r w:rsidRPr="00DD477A">
        <w:t xml:space="preserve">To allow for </w:t>
      </w:r>
      <w:r w:rsidR="002977D2" w:rsidRPr="00DD477A">
        <w:t xml:space="preserve">centrally </w:t>
      </w:r>
      <w:r w:rsidR="00676584" w:rsidRPr="00DD477A">
        <w:t>coordinated online publication</w:t>
      </w:r>
      <w:r w:rsidR="007F43A4" w:rsidRPr="00DD477A">
        <w:t xml:space="preserve"> to </w:t>
      </w:r>
      <w:hyperlink r:id="rId22" w:history="1">
        <w:r w:rsidR="007F43A4" w:rsidRPr="00DD477A">
          <w:rPr>
            <w:rStyle w:val="Hyperlink"/>
          </w:rPr>
          <w:t>data.gov.au</w:t>
        </w:r>
      </w:hyperlink>
      <w:r w:rsidR="007F43A4" w:rsidRPr="00DD477A">
        <w:t xml:space="preserve"> on Budget night</w:t>
      </w:r>
      <w:r w:rsidR="00676584" w:rsidRPr="00DD477A">
        <w:t xml:space="preserve">, </w:t>
      </w:r>
      <w:r w:rsidR="00A60633" w:rsidRPr="00DD477A">
        <w:t>p</w:t>
      </w:r>
      <w:r w:rsidR="53BF0693" w:rsidRPr="00DD477A">
        <w:t xml:space="preserve">ortfolios are to provide </w:t>
      </w:r>
      <w:r w:rsidR="2673F7B6" w:rsidRPr="00DD477A">
        <w:t>a</w:t>
      </w:r>
      <w:r w:rsidR="00726970" w:rsidRPr="00DD477A">
        <w:t>n Excel</w:t>
      </w:r>
      <w:r w:rsidR="2673F7B6" w:rsidRPr="00DD477A">
        <w:t xml:space="preserve"> </w:t>
      </w:r>
      <w:r w:rsidR="53BF0693" w:rsidRPr="00DD477A">
        <w:t xml:space="preserve">version of </w:t>
      </w:r>
      <w:r w:rsidR="00A60633" w:rsidRPr="00DD477A">
        <w:t>PB Statement financial tables</w:t>
      </w:r>
      <w:r w:rsidR="00A240F7" w:rsidRPr="00DD477A">
        <w:t xml:space="preserve">, </w:t>
      </w:r>
      <w:r w:rsidR="00A36DBA" w:rsidRPr="00DD477A">
        <w:t xml:space="preserve">in line with the format requirements </w:t>
      </w:r>
      <w:r w:rsidR="00B92B3A" w:rsidRPr="00DD477A">
        <w:t xml:space="preserve">noted at </w:t>
      </w:r>
      <w:r w:rsidR="005A0505" w:rsidRPr="00DD477A">
        <w:t>Attachment C</w:t>
      </w:r>
      <w:r w:rsidR="00B92B3A" w:rsidRPr="00DD477A">
        <w:t xml:space="preserve">, </w:t>
      </w:r>
      <w:r w:rsidR="53BF0693" w:rsidRPr="00DD477A">
        <w:t xml:space="preserve">to </w:t>
      </w:r>
      <w:hyperlink r:id="rId23">
        <w:r w:rsidR="53BF0693" w:rsidRPr="00DD477A">
          <w:rPr>
            <w:rStyle w:val="Hyperlink"/>
          </w:rPr>
          <w:t>budget_framework@finance.gov.au</w:t>
        </w:r>
      </w:hyperlink>
      <w:r w:rsidR="14FFBCDD" w:rsidRPr="00DD477A">
        <w:rPr>
          <w:rStyle w:val="Hyperlink"/>
          <w:rFonts w:cs="Calibri"/>
          <w:color w:val="0070C0"/>
          <w:u w:val="none"/>
        </w:rPr>
        <w:t xml:space="preserve"> </w:t>
      </w:r>
      <w:r w:rsidR="14FFBCDD" w:rsidRPr="00DD477A">
        <w:rPr>
          <w:rStyle w:val="Hyperlink"/>
          <w:rFonts w:cs="Calibri"/>
          <w:u w:val="none"/>
        </w:rPr>
        <w:t xml:space="preserve">by </w:t>
      </w:r>
      <w:r w:rsidR="35A4DAD2" w:rsidRPr="00DD477A">
        <w:rPr>
          <w:rStyle w:val="Hyperlink"/>
          <w:rFonts w:cs="Calibri"/>
          <w:u w:val="none"/>
        </w:rPr>
        <w:t xml:space="preserve">Monday, </w:t>
      </w:r>
      <w:r w:rsidR="005A0505" w:rsidRPr="00DD477A">
        <w:rPr>
          <w:rStyle w:val="Hyperlink"/>
          <w:rFonts w:cs="Calibri"/>
          <w:u w:val="none"/>
        </w:rPr>
        <w:t>13</w:t>
      </w:r>
      <w:r w:rsidR="6ABA4547" w:rsidRPr="00DD477A">
        <w:rPr>
          <w:rStyle w:val="Hyperlink"/>
          <w:rFonts w:cs="Calibri"/>
          <w:u w:val="none"/>
        </w:rPr>
        <w:t xml:space="preserve"> May</w:t>
      </w:r>
      <w:r w:rsidR="14FFBCDD" w:rsidRPr="00DD477A">
        <w:rPr>
          <w:rStyle w:val="Hyperlink"/>
          <w:rFonts w:cs="Calibri"/>
          <w:u w:val="none"/>
        </w:rPr>
        <w:t xml:space="preserve"> 202</w:t>
      </w:r>
      <w:r w:rsidR="00956785" w:rsidRPr="00DD477A">
        <w:rPr>
          <w:rStyle w:val="Hyperlink"/>
          <w:rFonts w:cs="Calibri"/>
          <w:u w:val="none"/>
        </w:rPr>
        <w:t>4</w:t>
      </w:r>
      <w:r w:rsidR="004F0F04" w:rsidRPr="00DD477A">
        <w:rPr>
          <w:rStyle w:val="Hyperlink"/>
          <w:rFonts w:cs="Calibri"/>
          <w:u w:val="none"/>
        </w:rPr>
        <w:t>.</w:t>
      </w:r>
    </w:p>
    <w:p w14:paraId="467993E9" w14:textId="3E13EA82" w:rsidR="0042016D" w:rsidRPr="00DD477A" w:rsidRDefault="00BA482B" w:rsidP="00157BAB">
      <w:pPr>
        <w:pStyle w:val="Numbered"/>
      </w:pPr>
      <w:r w:rsidRPr="00DD477A">
        <w:t>S</w:t>
      </w:r>
      <w:r w:rsidR="53BF0693" w:rsidRPr="00DD477A">
        <w:t xml:space="preserve">ome information contained in the </w:t>
      </w:r>
      <w:r w:rsidR="00681C3A" w:rsidRPr="00DD477A">
        <w:t>PB </w:t>
      </w:r>
      <w:r w:rsidR="00C779E6" w:rsidRPr="00DD477A">
        <w:t xml:space="preserve">Statements tables </w:t>
      </w:r>
      <w:r w:rsidR="00997686" w:rsidRPr="00DD477A">
        <w:t>within</w:t>
      </w:r>
      <w:r w:rsidR="00C779E6" w:rsidRPr="00DD477A">
        <w:t xml:space="preserve"> </w:t>
      </w:r>
      <w:r w:rsidR="00C779E6" w:rsidRPr="00DD477A">
        <w:rPr>
          <w:i/>
          <w:iCs/>
        </w:rPr>
        <w:t xml:space="preserve">Section 2 </w:t>
      </w:r>
      <w:r w:rsidR="53BF0693" w:rsidRPr="00DD477A">
        <w:t xml:space="preserve">and </w:t>
      </w:r>
      <w:r w:rsidR="00CB37D4" w:rsidRPr="00DD477A">
        <w:rPr>
          <w:i/>
          <w:iCs/>
        </w:rPr>
        <w:t>Section </w:t>
      </w:r>
      <w:r w:rsidR="53BF0693" w:rsidRPr="00DD477A">
        <w:rPr>
          <w:i/>
          <w:iCs/>
        </w:rPr>
        <w:t>3</w:t>
      </w:r>
      <w:r w:rsidR="004D335E" w:rsidRPr="00DD477A">
        <w:t xml:space="preserve"> can be pre</w:t>
      </w:r>
      <w:r w:rsidR="00E87C23" w:rsidRPr="00DD477A">
        <w:noBreakHyphen/>
      </w:r>
      <w:r w:rsidR="004D335E" w:rsidRPr="00DD477A">
        <w:t>populated from CBMS</w:t>
      </w:r>
      <w:r w:rsidR="53BF0693" w:rsidRPr="00DD477A">
        <w:t>.</w:t>
      </w:r>
      <w:r w:rsidR="006037A5" w:rsidRPr="00DD477A">
        <w:t xml:space="preserve"> </w:t>
      </w:r>
      <w:r w:rsidR="0006304D" w:rsidRPr="00DD477A">
        <w:t>F</w:t>
      </w:r>
      <w:r w:rsidR="53BF0693" w:rsidRPr="00DD477A">
        <w:t xml:space="preserve">urther information </w:t>
      </w:r>
      <w:r w:rsidR="00DA3338" w:rsidRPr="00DD477A">
        <w:t xml:space="preserve">on </w:t>
      </w:r>
      <w:r w:rsidR="004A60C9" w:rsidRPr="00DD477A">
        <w:t xml:space="preserve">how </w:t>
      </w:r>
      <w:r w:rsidR="00B16C5E" w:rsidRPr="00DD477A">
        <w:t xml:space="preserve">CBMS </w:t>
      </w:r>
      <w:r w:rsidR="00EF153E" w:rsidRPr="00DD477A">
        <w:t xml:space="preserve">table </w:t>
      </w:r>
      <w:r w:rsidR="00D5041C" w:rsidRPr="00DD477A">
        <w:t xml:space="preserve">figures are derived </w:t>
      </w:r>
      <w:r w:rsidR="53BF0693" w:rsidRPr="00DD477A">
        <w:t xml:space="preserve">can be found </w:t>
      </w:r>
      <w:r w:rsidR="002C0C38" w:rsidRPr="00DD477A">
        <w:t>in</w:t>
      </w:r>
      <w:r w:rsidR="00784554" w:rsidRPr="00DD477A">
        <w:t xml:space="preserve"> the </w:t>
      </w:r>
      <w:hyperlink w:anchor="_CBMS_Chart_of" w:history="1">
        <w:r w:rsidR="00784554" w:rsidRPr="00DD477A">
          <w:rPr>
            <w:rStyle w:val="Hyperlink"/>
            <w:rFonts w:cstheme="minorHAnsi"/>
          </w:rPr>
          <w:t>chart of account mappings</w:t>
        </w:r>
      </w:hyperlink>
      <w:r w:rsidR="00051A38" w:rsidRPr="00DD477A">
        <w:t>.</w:t>
      </w:r>
    </w:p>
    <w:p w14:paraId="3E7A0145" w14:textId="5AA2EC5E" w:rsidR="0099740A" w:rsidRPr="00DD477A" w:rsidRDefault="008C6B4F" w:rsidP="00157BAB">
      <w:pPr>
        <w:pStyle w:val="Numbered"/>
      </w:pPr>
      <w:r w:rsidRPr="00DD477A">
        <w:t>For the purposes</w:t>
      </w:r>
      <w:r w:rsidR="00BF12A8" w:rsidRPr="00DD477A">
        <w:t xml:space="preserve"> of</w:t>
      </w:r>
      <w:r w:rsidRPr="00DD477A">
        <w:t xml:space="preserve"> accounting standard </w:t>
      </w:r>
      <w:hyperlink r:id="rId24" w:history="1">
        <w:r w:rsidRPr="00DD477A">
          <w:rPr>
            <w:rStyle w:val="Hyperlink"/>
            <w:rFonts w:cs="Calibri"/>
          </w:rPr>
          <w:t>AASB 1055</w:t>
        </w:r>
        <w:r w:rsidRPr="00DD477A">
          <w:rPr>
            <w:rStyle w:val="Hyperlink"/>
            <w:rFonts w:cs="Calibri"/>
            <w:i/>
            <w:iCs/>
          </w:rPr>
          <w:t xml:space="preserve"> Budgetary Reporting</w:t>
        </w:r>
      </w:hyperlink>
      <w:r w:rsidRPr="00DD477A">
        <w:rPr>
          <w:i/>
          <w:iCs/>
        </w:rPr>
        <w:t xml:space="preserve"> </w:t>
      </w:r>
      <w:r w:rsidRPr="00DD477A">
        <w:t>(AASB 1055)</w:t>
      </w:r>
      <w:r w:rsidR="005B25A7" w:rsidRPr="00DD477A">
        <w:t>,</w:t>
      </w:r>
      <w:r w:rsidRPr="00DD477A">
        <w:t xml:space="preserve"> disclosure in entities</w:t>
      </w:r>
      <w:r w:rsidR="00E87C23" w:rsidRPr="00DD477A">
        <w:t>’</w:t>
      </w:r>
      <w:r w:rsidRPr="00DD477A">
        <w:t xml:space="preserve"> 202</w:t>
      </w:r>
      <w:r w:rsidR="00245921" w:rsidRPr="00DD477A">
        <w:t>3</w:t>
      </w:r>
      <w:r w:rsidRPr="00DD477A">
        <w:t>-2</w:t>
      </w:r>
      <w:r w:rsidR="00245921" w:rsidRPr="00DD477A">
        <w:t>4</w:t>
      </w:r>
      <w:r w:rsidRPr="00DD477A">
        <w:t xml:space="preserve"> financial statements to be published at the end of the financial year, entities are </w:t>
      </w:r>
      <w:r w:rsidRPr="00DD477A">
        <w:lastRenderedPageBreak/>
        <w:t xml:space="preserve">reminded that the ‘original budget’ refers to the </w:t>
      </w:r>
      <w:r w:rsidR="00E87C23" w:rsidRPr="00DD477A">
        <w:t>‘Next Budget’ column in the 2023-24 PB Statements financial tables.</w:t>
      </w:r>
    </w:p>
    <w:p w14:paraId="3C6F7371" w14:textId="0336B006" w:rsidR="004F64AF" w:rsidRPr="00DD477A" w:rsidRDefault="004F64AF" w:rsidP="00157BAB">
      <w:pPr>
        <w:pStyle w:val="Numbered"/>
      </w:pPr>
      <w:r w:rsidRPr="00DD477A">
        <w:t xml:space="preserve">Signing arrangements for PB Statements should be determined by the senior Portfolio Minister (first minister </w:t>
      </w:r>
      <w:r w:rsidR="002448FF" w:rsidRPr="00DD477A">
        <w:t xml:space="preserve">noted </w:t>
      </w:r>
      <w:r w:rsidR="00BA3F5F" w:rsidRPr="00DD477A">
        <w:t xml:space="preserve">on </w:t>
      </w:r>
      <w:r w:rsidRPr="00DD477A">
        <w:t xml:space="preserve">the current </w:t>
      </w:r>
      <w:hyperlink r:id="rId25" w:history="1">
        <w:r w:rsidRPr="00DD477A">
          <w:rPr>
            <w:rStyle w:val="Hyperlink"/>
            <w:rFonts w:cstheme="minorHAnsi"/>
          </w:rPr>
          <w:t>Ministry List</w:t>
        </w:r>
      </w:hyperlink>
      <w:r w:rsidRPr="00DD477A">
        <w:t xml:space="preserve">). The senior Portfolio Minister may delegate the signing of the document to an </w:t>
      </w:r>
      <w:r w:rsidR="00FF72DF">
        <w:t>A</w:t>
      </w:r>
      <w:r w:rsidRPr="00DD477A">
        <w:t xml:space="preserve">ssistant </w:t>
      </w:r>
      <w:r w:rsidR="00FF72DF">
        <w:t>M</w:t>
      </w:r>
      <w:r w:rsidRPr="00DD477A">
        <w:t>inister.</w:t>
      </w:r>
    </w:p>
    <w:p w14:paraId="05C01782" w14:textId="29092F79" w:rsidR="00B751D1" w:rsidRPr="00DD477A" w:rsidRDefault="53BF0693" w:rsidP="00E548A0">
      <w:pPr>
        <w:pStyle w:val="Heading2"/>
      </w:pPr>
      <w:bookmarkStart w:id="31" w:name="_Toc86764894"/>
      <w:bookmarkStart w:id="32" w:name="_Toc87979813"/>
      <w:bookmarkStart w:id="33" w:name="_Toc86764895"/>
      <w:bookmarkStart w:id="34" w:name="_Toc87979814"/>
      <w:bookmarkStart w:id="35" w:name="_Toc86764896"/>
      <w:bookmarkStart w:id="36" w:name="_Toc87979815"/>
      <w:bookmarkStart w:id="37" w:name="_Toc86764897"/>
      <w:bookmarkStart w:id="38" w:name="_Toc87979816"/>
      <w:bookmarkStart w:id="39" w:name="_Toc61874954"/>
      <w:bookmarkStart w:id="40" w:name="_Toc62648805"/>
      <w:bookmarkStart w:id="41" w:name="_Toc61874955"/>
      <w:bookmarkStart w:id="42" w:name="_Toc62648806"/>
      <w:bookmarkStart w:id="43" w:name="_Toc61874956"/>
      <w:bookmarkStart w:id="44" w:name="_Toc62648807"/>
      <w:bookmarkStart w:id="45" w:name="_Toc61874957"/>
      <w:bookmarkStart w:id="46" w:name="_Toc62648808"/>
      <w:bookmarkStart w:id="47" w:name="1.2_Who_should_prepare_PB_Statements"/>
      <w:bookmarkStart w:id="48" w:name="_Toc29980636"/>
      <w:bookmarkStart w:id="49" w:name="_Toc30405511"/>
      <w:bookmarkStart w:id="50" w:name="_Toc30581252"/>
      <w:bookmarkStart w:id="51" w:name="_Toc32829914"/>
      <w:bookmarkStart w:id="52" w:name="_Toc32917416"/>
      <w:bookmarkStart w:id="53" w:name="_Toc32918222"/>
      <w:bookmarkStart w:id="54" w:name="_Toc32999605"/>
      <w:bookmarkStart w:id="55" w:name="_Toc33099324"/>
      <w:bookmarkStart w:id="56" w:name="_Toc33195954"/>
      <w:bookmarkStart w:id="57" w:name="_Toc33196256"/>
      <w:bookmarkStart w:id="58" w:name="_Toc29394517"/>
      <w:bookmarkStart w:id="59" w:name="_Toc29394815"/>
      <w:bookmarkStart w:id="60" w:name="_Toc29394946"/>
      <w:bookmarkStart w:id="61" w:name="_Toc29395342"/>
      <w:bookmarkStart w:id="62" w:name="_Toc29395428"/>
      <w:bookmarkStart w:id="63" w:name="_Toc29396859"/>
      <w:bookmarkStart w:id="64" w:name="_Toc29478096"/>
      <w:bookmarkStart w:id="65" w:name="_Toc29481833"/>
      <w:bookmarkStart w:id="66" w:name="_Toc29544135"/>
      <w:bookmarkStart w:id="67" w:name="_Toc29544722"/>
      <w:bookmarkStart w:id="68" w:name="_Toc29544797"/>
      <w:bookmarkStart w:id="69" w:name="_Toc29546661"/>
      <w:bookmarkStart w:id="70" w:name="_Toc29980637"/>
      <w:bookmarkStart w:id="71" w:name="_Toc30405512"/>
      <w:bookmarkStart w:id="72" w:name="_Toc30581253"/>
      <w:bookmarkStart w:id="73" w:name="_Toc32829915"/>
      <w:bookmarkStart w:id="74" w:name="_Toc32917417"/>
      <w:bookmarkStart w:id="75" w:name="_Toc32918223"/>
      <w:bookmarkStart w:id="76" w:name="_Toc32999606"/>
      <w:bookmarkStart w:id="77" w:name="_Toc33099325"/>
      <w:bookmarkStart w:id="78" w:name="_Toc33195955"/>
      <w:bookmarkStart w:id="79" w:name="_Toc33196257"/>
      <w:bookmarkStart w:id="80" w:name="_Toc29980638"/>
      <w:bookmarkStart w:id="81" w:name="_Toc30405513"/>
      <w:bookmarkStart w:id="82" w:name="_Toc30581254"/>
      <w:bookmarkStart w:id="83" w:name="_Toc32829916"/>
      <w:bookmarkStart w:id="84" w:name="_Toc32917418"/>
      <w:bookmarkStart w:id="85" w:name="_Toc32918224"/>
      <w:bookmarkStart w:id="86" w:name="_Toc32999607"/>
      <w:bookmarkStart w:id="87" w:name="_Toc33099326"/>
      <w:bookmarkStart w:id="88" w:name="_Toc33195956"/>
      <w:bookmarkStart w:id="89" w:name="_Toc33196258"/>
      <w:bookmarkStart w:id="90" w:name="_Toc124341933"/>
      <w:bookmarkStart w:id="91" w:name="_Toc125104161"/>
      <w:bookmarkStart w:id="92" w:name="_Toc125104326"/>
      <w:bookmarkStart w:id="93" w:name="_Toc125108272"/>
      <w:bookmarkStart w:id="94" w:name="_Toc125108389"/>
      <w:bookmarkStart w:id="95" w:name="_Toc125108506"/>
      <w:bookmarkStart w:id="96" w:name="_Toc125108623"/>
      <w:bookmarkStart w:id="97" w:name="_Toc125126153"/>
      <w:bookmarkStart w:id="98" w:name="_Toc126678443"/>
      <w:bookmarkStart w:id="99" w:name="_Toc126772018"/>
      <w:bookmarkStart w:id="100" w:name="_Toc128665424"/>
      <w:bookmarkStart w:id="101" w:name="_Toc129015660"/>
      <w:bookmarkStart w:id="102" w:name="_Toc129017815"/>
      <w:bookmarkStart w:id="103" w:name="_Toc129163624"/>
      <w:bookmarkStart w:id="104" w:name="_Toc129166867"/>
      <w:bookmarkStart w:id="105" w:name="_Toc124341934"/>
      <w:bookmarkStart w:id="106" w:name="_Toc125104162"/>
      <w:bookmarkStart w:id="107" w:name="_Toc125104327"/>
      <w:bookmarkStart w:id="108" w:name="_Toc125108273"/>
      <w:bookmarkStart w:id="109" w:name="_Toc125108390"/>
      <w:bookmarkStart w:id="110" w:name="_Toc125108507"/>
      <w:bookmarkStart w:id="111" w:name="_Toc125108624"/>
      <w:bookmarkStart w:id="112" w:name="_Toc125126154"/>
      <w:bookmarkStart w:id="113" w:name="_Toc126678444"/>
      <w:bookmarkStart w:id="114" w:name="_Toc126772019"/>
      <w:bookmarkStart w:id="115" w:name="_Toc128665425"/>
      <w:bookmarkStart w:id="116" w:name="_Toc129015661"/>
      <w:bookmarkStart w:id="117" w:name="_Toc129017816"/>
      <w:bookmarkStart w:id="118" w:name="_Toc129163625"/>
      <w:bookmarkStart w:id="119" w:name="_Toc129166868"/>
      <w:bookmarkStart w:id="120" w:name="_Toc124341935"/>
      <w:bookmarkStart w:id="121" w:name="_Toc125104163"/>
      <w:bookmarkStart w:id="122" w:name="_Toc125104328"/>
      <w:bookmarkStart w:id="123" w:name="_Toc125108274"/>
      <w:bookmarkStart w:id="124" w:name="_Toc125108391"/>
      <w:bookmarkStart w:id="125" w:name="_Toc125108508"/>
      <w:bookmarkStart w:id="126" w:name="_Toc125108625"/>
      <w:bookmarkStart w:id="127" w:name="_Toc125126155"/>
      <w:bookmarkStart w:id="128" w:name="_Toc126678445"/>
      <w:bookmarkStart w:id="129" w:name="_Toc126772020"/>
      <w:bookmarkStart w:id="130" w:name="_Toc128665426"/>
      <w:bookmarkStart w:id="131" w:name="_Toc129015662"/>
      <w:bookmarkStart w:id="132" w:name="_Toc129017817"/>
      <w:bookmarkStart w:id="133" w:name="_Toc129163626"/>
      <w:bookmarkStart w:id="134" w:name="_Toc129166869"/>
      <w:bookmarkStart w:id="135" w:name="_Toc124341936"/>
      <w:bookmarkStart w:id="136" w:name="_Toc125104164"/>
      <w:bookmarkStart w:id="137" w:name="_Toc125104329"/>
      <w:bookmarkStart w:id="138" w:name="_Toc125108275"/>
      <w:bookmarkStart w:id="139" w:name="_Toc125108392"/>
      <w:bookmarkStart w:id="140" w:name="_Toc125108509"/>
      <w:bookmarkStart w:id="141" w:name="_Toc125108626"/>
      <w:bookmarkStart w:id="142" w:name="_Toc125126156"/>
      <w:bookmarkStart w:id="143" w:name="_Toc126678446"/>
      <w:bookmarkStart w:id="144" w:name="_Toc126772021"/>
      <w:bookmarkStart w:id="145" w:name="_Toc128665427"/>
      <w:bookmarkStart w:id="146" w:name="_Toc129015663"/>
      <w:bookmarkStart w:id="147" w:name="_Toc129017818"/>
      <w:bookmarkStart w:id="148" w:name="_Toc129163627"/>
      <w:bookmarkStart w:id="149" w:name="_Toc129166870"/>
      <w:bookmarkStart w:id="150" w:name="_Toc124341937"/>
      <w:bookmarkStart w:id="151" w:name="_Toc125104165"/>
      <w:bookmarkStart w:id="152" w:name="_Toc125104330"/>
      <w:bookmarkStart w:id="153" w:name="_Toc125108276"/>
      <w:bookmarkStart w:id="154" w:name="_Toc125108393"/>
      <w:bookmarkStart w:id="155" w:name="_Toc125108510"/>
      <w:bookmarkStart w:id="156" w:name="_Toc125108627"/>
      <w:bookmarkStart w:id="157" w:name="_Toc125126157"/>
      <w:bookmarkStart w:id="158" w:name="_Toc126678447"/>
      <w:bookmarkStart w:id="159" w:name="_Toc126772022"/>
      <w:bookmarkStart w:id="160" w:name="_Toc128665428"/>
      <w:bookmarkStart w:id="161" w:name="_Toc129015664"/>
      <w:bookmarkStart w:id="162" w:name="_Toc129017819"/>
      <w:bookmarkStart w:id="163" w:name="_Toc129163628"/>
      <w:bookmarkStart w:id="164" w:name="_Toc129166871"/>
      <w:bookmarkStart w:id="165" w:name="_Toc124341938"/>
      <w:bookmarkStart w:id="166" w:name="_Toc125104166"/>
      <w:bookmarkStart w:id="167" w:name="_Toc125104331"/>
      <w:bookmarkStart w:id="168" w:name="_Toc125108277"/>
      <w:bookmarkStart w:id="169" w:name="_Toc125108394"/>
      <w:bookmarkStart w:id="170" w:name="_Toc125108511"/>
      <w:bookmarkStart w:id="171" w:name="_Toc125108628"/>
      <w:bookmarkStart w:id="172" w:name="_Toc125126158"/>
      <w:bookmarkStart w:id="173" w:name="_Toc126678448"/>
      <w:bookmarkStart w:id="174" w:name="_Toc126772023"/>
      <w:bookmarkStart w:id="175" w:name="_Toc128665429"/>
      <w:bookmarkStart w:id="176" w:name="_Toc129015665"/>
      <w:bookmarkStart w:id="177" w:name="_Toc129017820"/>
      <w:bookmarkStart w:id="178" w:name="_Toc129163629"/>
      <w:bookmarkStart w:id="179" w:name="_Toc129166872"/>
      <w:bookmarkStart w:id="180" w:name="_Toc124341939"/>
      <w:bookmarkStart w:id="181" w:name="_Toc125104167"/>
      <w:bookmarkStart w:id="182" w:name="_Toc125104332"/>
      <w:bookmarkStart w:id="183" w:name="_Toc125108278"/>
      <w:bookmarkStart w:id="184" w:name="_Toc125108395"/>
      <w:bookmarkStart w:id="185" w:name="_Toc125108512"/>
      <w:bookmarkStart w:id="186" w:name="_Toc125108629"/>
      <w:bookmarkStart w:id="187" w:name="_Toc125126159"/>
      <w:bookmarkStart w:id="188" w:name="_Toc126678449"/>
      <w:bookmarkStart w:id="189" w:name="_Toc126772024"/>
      <w:bookmarkStart w:id="190" w:name="_Toc128665430"/>
      <w:bookmarkStart w:id="191" w:name="_Toc129015666"/>
      <w:bookmarkStart w:id="192" w:name="_Toc129017821"/>
      <w:bookmarkStart w:id="193" w:name="_Toc129163630"/>
      <w:bookmarkStart w:id="194" w:name="_Toc129166873"/>
      <w:bookmarkStart w:id="195" w:name="_Toc124341940"/>
      <w:bookmarkStart w:id="196" w:name="_Toc125104168"/>
      <w:bookmarkStart w:id="197" w:name="_Toc125104333"/>
      <w:bookmarkStart w:id="198" w:name="_Toc125108279"/>
      <w:bookmarkStart w:id="199" w:name="_Toc125108396"/>
      <w:bookmarkStart w:id="200" w:name="_Toc125108513"/>
      <w:bookmarkStart w:id="201" w:name="_Toc125108630"/>
      <w:bookmarkStart w:id="202" w:name="_Toc125126160"/>
      <w:bookmarkStart w:id="203" w:name="_Toc126678450"/>
      <w:bookmarkStart w:id="204" w:name="_Toc126772025"/>
      <w:bookmarkStart w:id="205" w:name="_Toc128665431"/>
      <w:bookmarkStart w:id="206" w:name="_Toc129015667"/>
      <w:bookmarkStart w:id="207" w:name="_Toc129017822"/>
      <w:bookmarkStart w:id="208" w:name="_Toc129163631"/>
      <w:bookmarkStart w:id="209" w:name="_Toc129166874"/>
      <w:bookmarkStart w:id="210" w:name="_Toc124341941"/>
      <w:bookmarkStart w:id="211" w:name="_Toc125104169"/>
      <w:bookmarkStart w:id="212" w:name="_Toc125104334"/>
      <w:bookmarkStart w:id="213" w:name="_Toc125108280"/>
      <w:bookmarkStart w:id="214" w:name="_Toc125108397"/>
      <w:bookmarkStart w:id="215" w:name="_Toc125108514"/>
      <w:bookmarkStart w:id="216" w:name="_Toc125108631"/>
      <w:bookmarkStart w:id="217" w:name="_Toc125126161"/>
      <w:bookmarkStart w:id="218" w:name="_Toc126678451"/>
      <w:bookmarkStart w:id="219" w:name="_Toc126772026"/>
      <w:bookmarkStart w:id="220" w:name="_Toc128665432"/>
      <w:bookmarkStart w:id="221" w:name="_Toc129015668"/>
      <w:bookmarkStart w:id="222" w:name="_Toc129017823"/>
      <w:bookmarkStart w:id="223" w:name="_Toc129163632"/>
      <w:bookmarkStart w:id="224" w:name="_Toc129166875"/>
      <w:bookmarkStart w:id="225" w:name="_Toc124341942"/>
      <w:bookmarkStart w:id="226" w:name="_Toc125104170"/>
      <w:bookmarkStart w:id="227" w:name="_Toc125104335"/>
      <w:bookmarkStart w:id="228" w:name="_Toc125108281"/>
      <w:bookmarkStart w:id="229" w:name="_Toc125108398"/>
      <w:bookmarkStart w:id="230" w:name="_Toc125108515"/>
      <w:bookmarkStart w:id="231" w:name="_Toc125108632"/>
      <w:bookmarkStart w:id="232" w:name="_Toc125126162"/>
      <w:bookmarkStart w:id="233" w:name="_Toc126678452"/>
      <w:bookmarkStart w:id="234" w:name="_Toc126772027"/>
      <w:bookmarkStart w:id="235" w:name="_Toc128665433"/>
      <w:bookmarkStart w:id="236" w:name="_Toc129015669"/>
      <w:bookmarkStart w:id="237" w:name="_Toc129017824"/>
      <w:bookmarkStart w:id="238" w:name="_Toc129163633"/>
      <w:bookmarkStart w:id="239" w:name="_Toc129166876"/>
      <w:bookmarkStart w:id="240" w:name="_Toc124341943"/>
      <w:bookmarkStart w:id="241" w:name="_Toc125104171"/>
      <w:bookmarkStart w:id="242" w:name="_Toc125104336"/>
      <w:bookmarkStart w:id="243" w:name="_Toc125108282"/>
      <w:bookmarkStart w:id="244" w:name="_Toc125108399"/>
      <w:bookmarkStart w:id="245" w:name="_Toc125108516"/>
      <w:bookmarkStart w:id="246" w:name="_Toc125108633"/>
      <w:bookmarkStart w:id="247" w:name="_Toc125126163"/>
      <w:bookmarkStart w:id="248" w:name="_Toc126678453"/>
      <w:bookmarkStart w:id="249" w:name="_Toc126772028"/>
      <w:bookmarkStart w:id="250" w:name="_Toc128665434"/>
      <w:bookmarkStart w:id="251" w:name="_Toc129015670"/>
      <w:bookmarkStart w:id="252" w:name="_Toc129017825"/>
      <w:bookmarkStart w:id="253" w:name="_Toc129163634"/>
      <w:bookmarkStart w:id="254" w:name="_Toc129166877"/>
      <w:bookmarkStart w:id="255" w:name="_Toc124341944"/>
      <w:bookmarkStart w:id="256" w:name="_Toc125104172"/>
      <w:bookmarkStart w:id="257" w:name="_Toc125104337"/>
      <w:bookmarkStart w:id="258" w:name="_Toc125108283"/>
      <w:bookmarkStart w:id="259" w:name="_Toc125108400"/>
      <w:bookmarkStart w:id="260" w:name="_Toc125108517"/>
      <w:bookmarkStart w:id="261" w:name="_Toc125108634"/>
      <w:bookmarkStart w:id="262" w:name="_Toc125126164"/>
      <w:bookmarkStart w:id="263" w:name="_Toc126678454"/>
      <w:bookmarkStart w:id="264" w:name="_Toc126772029"/>
      <w:bookmarkStart w:id="265" w:name="_Toc128665435"/>
      <w:bookmarkStart w:id="266" w:name="_Toc129015671"/>
      <w:bookmarkStart w:id="267" w:name="_Toc129017826"/>
      <w:bookmarkStart w:id="268" w:name="_Toc129163635"/>
      <w:bookmarkStart w:id="269" w:name="_Toc129166878"/>
      <w:bookmarkStart w:id="270" w:name="_Toc124341945"/>
      <w:bookmarkStart w:id="271" w:name="_Toc125104173"/>
      <w:bookmarkStart w:id="272" w:name="_Toc125104338"/>
      <w:bookmarkStart w:id="273" w:name="_Toc125108284"/>
      <w:bookmarkStart w:id="274" w:name="_Toc125108401"/>
      <w:bookmarkStart w:id="275" w:name="_Toc125108518"/>
      <w:bookmarkStart w:id="276" w:name="_Toc125108635"/>
      <w:bookmarkStart w:id="277" w:name="_Toc125126165"/>
      <w:bookmarkStart w:id="278" w:name="_Toc126678455"/>
      <w:bookmarkStart w:id="279" w:name="_Toc126772030"/>
      <w:bookmarkStart w:id="280" w:name="_Toc128665436"/>
      <w:bookmarkStart w:id="281" w:name="_Toc129015672"/>
      <w:bookmarkStart w:id="282" w:name="_Toc129017827"/>
      <w:bookmarkStart w:id="283" w:name="_Toc129163636"/>
      <w:bookmarkStart w:id="284" w:name="_Toc129166879"/>
      <w:bookmarkStart w:id="285" w:name="_Toc124341946"/>
      <w:bookmarkStart w:id="286" w:name="_Toc125104174"/>
      <w:bookmarkStart w:id="287" w:name="_Toc125104339"/>
      <w:bookmarkStart w:id="288" w:name="_Toc125108285"/>
      <w:bookmarkStart w:id="289" w:name="_Toc125108402"/>
      <w:bookmarkStart w:id="290" w:name="_Toc125108519"/>
      <w:bookmarkStart w:id="291" w:name="_Toc125108636"/>
      <w:bookmarkStart w:id="292" w:name="_Toc125126166"/>
      <w:bookmarkStart w:id="293" w:name="_Toc126678456"/>
      <w:bookmarkStart w:id="294" w:name="_Toc126772031"/>
      <w:bookmarkStart w:id="295" w:name="_Toc128665437"/>
      <w:bookmarkStart w:id="296" w:name="_Toc129015673"/>
      <w:bookmarkStart w:id="297" w:name="_Toc129017828"/>
      <w:bookmarkStart w:id="298" w:name="_Toc129163637"/>
      <w:bookmarkStart w:id="299" w:name="_Toc129166880"/>
      <w:bookmarkStart w:id="300" w:name="_Toc124341947"/>
      <w:bookmarkStart w:id="301" w:name="_Toc125104175"/>
      <w:bookmarkStart w:id="302" w:name="_Toc125104340"/>
      <w:bookmarkStart w:id="303" w:name="_Toc125108286"/>
      <w:bookmarkStart w:id="304" w:name="_Toc125108403"/>
      <w:bookmarkStart w:id="305" w:name="_Toc125108520"/>
      <w:bookmarkStart w:id="306" w:name="_Toc125108637"/>
      <w:bookmarkStart w:id="307" w:name="_Toc125126167"/>
      <w:bookmarkStart w:id="308" w:name="_Toc126678457"/>
      <w:bookmarkStart w:id="309" w:name="_Toc126772032"/>
      <w:bookmarkStart w:id="310" w:name="_Toc128665438"/>
      <w:bookmarkStart w:id="311" w:name="_Toc129015674"/>
      <w:bookmarkStart w:id="312" w:name="_Toc129017829"/>
      <w:bookmarkStart w:id="313" w:name="_Toc129163638"/>
      <w:bookmarkStart w:id="314" w:name="_Toc129166881"/>
      <w:bookmarkStart w:id="315" w:name="_Toc124341948"/>
      <w:bookmarkStart w:id="316" w:name="_Toc125104176"/>
      <w:bookmarkStart w:id="317" w:name="_Toc125104341"/>
      <w:bookmarkStart w:id="318" w:name="_Toc125108287"/>
      <w:bookmarkStart w:id="319" w:name="_Toc125108404"/>
      <w:bookmarkStart w:id="320" w:name="_Toc125108521"/>
      <w:bookmarkStart w:id="321" w:name="_Toc125108638"/>
      <w:bookmarkStart w:id="322" w:name="_Toc125126168"/>
      <w:bookmarkStart w:id="323" w:name="_Toc126678458"/>
      <w:bookmarkStart w:id="324" w:name="_Toc126772033"/>
      <w:bookmarkStart w:id="325" w:name="_Toc128665439"/>
      <w:bookmarkStart w:id="326" w:name="_Toc129015675"/>
      <w:bookmarkStart w:id="327" w:name="_Toc129017830"/>
      <w:bookmarkStart w:id="328" w:name="_Toc129163639"/>
      <w:bookmarkStart w:id="329" w:name="_Toc129166882"/>
      <w:bookmarkStart w:id="330" w:name="_Toc124341949"/>
      <w:bookmarkStart w:id="331" w:name="_Toc125104177"/>
      <w:bookmarkStart w:id="332" w:name="_Toc125104342"/>
      <w:bookmarkStart w:id="333" w:name="_Toc125108288"/>
      <w:bookmarkStart w:id="334" w:name="_Toc125108405"/>
      <w:bookmarkStart w:id="335" w:name="_Toc125108522"/>
      <w:bookmarkStart w:id="336" w:name="_Toc125108639"/>
      <w:bookmarkStart w:id="337" w:name="_Toc125126169"/>
      <w:bookmarkStart w:id="338" w:name="_Toc126678459"/>
      <w:bookmarkStart w:id="339" w:name="_Toc126772034"/>
      <w:bookmarkStart w:id="340" w:name="_Toc128665440"/>
      <w:bookmarkStart w:id="341" w:name="_Toc129015676"/>
      <w:bookmarkStart w:id="342" w:name="_Toc129017831"/>
      <w:bookmarkStart w:id="343" w:name="_Toc129163640"/>
      <w:bookmarkStart w:id="344" w:name="_Toc129166883"/>
      <w:bookmarkStart w:id="345" w:name="_Toc124341950"/>
      <w:bookmarkStart w:id="346" w:name="_Toc125104178"/>
      <w:bookmarkStart w:id="347" w:name="_Toc125104343"/>
      <w:bookmarkStart w:id="348" w:name="_Toc125108289"/>
      <w:bookmarkStart w:id="349" w:name="_Toc125108406"/>
      <w:bookmarkStart w:id="350" w:name="_Toc125108523"/>
      <w:bookmarkStart w:id="351" w:name="_Toc125108640"/>
      <w:bookmarkStart w:id="352" w:name="_Toc125126170"/>
      <w:bookmarkStart w:id="353" w:name="_Toc126678460"/>
      <w:bookmarkStart w:id="354" w:name="_Toc126772035"/>
      <w:bookmarkStart w:id="355" w:name="_Toc128665441"/>
      <w:bookmarkStart w:id="356" w:name="_Toc129015677"/>
      <w:bookmarkStart w:id="357" w:name="_Toc129017832"/>
      <w:bookmarkStart w:id="358" w:name="_Toc129163641"/>
      <w:bookmarkStart w:id="359" w:name="_Toc129166884"/>
      <w:bookmarkStart w:id="360" w:name="_Toc124341951"/>
      <w:bookmarkStart w:id="361" w:name="_Toc125104179"/>
      <w:bookmarkStart w:id="362" w:name="_Toc125104344"/>
      <w:bookmarkStart w:id="363" w:name="_Toc125108290"/>
      <w:bookmarkStart w:id="364" w:name="_Toc125108407"/>
      <w:bookmarkStart w:id="365" w:name="_Toc125108524"/>
      <w:bookmarkStart w:id="366" w:name="_Toc125108641"/>
      <w:bookmarkStart w:id="367" w:name="_Toc125126171"/>
      <w:bookmarkStart w:id="368" w:name="_Toc126678461"/>
      <w:bookmarkStart w:id="369" w:name="_Toc126772036"/>
      <w:bookmarkStart w:id="370" w:name="_Toc128665442"/>
      <w:bookmarkStart w:id="371" w:name="_Toc129015678"/>
      <w:bookmarkStart w:id="372" w:name="_Toc129017833"/>
      <w:bookmarkStart w:id="373" w:name="_Toc129163642"/>
      <w:bookmarkStart w:id="374" w:name="_Toc129166885"/>
      <w:bookmarkStart w:id="375" w:name="_Toc124341952"/>
      <w:bookmarkStart w:id="376" w:name="_Toc125104180"/>
      <w:bookmarkStart w:id="377" w:name="_Toc125104345"/>
      <w:bookmarkStart w:id="378" w:name="_Toc125108291"/>
      <w:bookmarkStart w:id="379" w:name="_Toc125108408"/>
      <w:bookmarkStart w:id="380" w:name="_Toc125108525"/>
      <w:bookmarkStart w:id="381" w:name="_Toc125108642"/>
      <w:bookmarkStart w:id="382" w:name="_Toc125126172"/>
      <w:bookmarkStart w:id="383" w:name="_Toc126678462"/>
      <w:bookmarkStart w:id="384" w:name="_Toc126772037"/>
      <w:bookmarkStart w:id="385" w:name="_Toc128665443"/>
      <w:bookmarkStart w:id="386" w:name="_Toc129015679"/>
      <w:bookmarkStart w:id="387" w:name="_Toc129017834"/>
      <w:bookmarkStart w:id="388" w:name="_Toc129163643"/>
      <w:bookmarkStart w:id="389" w:name="_Toc129166886"/>
      <w:bookmarkStart w:id="390" w:name="_Toc124341953"/>
      <w:bookmarkStart w:id="391" w:name="_Toc125104181"/>
      <w:bookmarkStart w:id="392" w:name="_Toc125104346"/>
      <w:bookmarkStart w:id="393" w:name="_Toc125108292"/>
      <w:bookmarkStart w:id="394" w:name="_Toc125108409"/>
      <w:bookmarkStart w:id="395" w:name="_Toc125108526"/>
      <w:bookmarkStart w:id="396" w:name="_Toc125108643"/>
      <w:bookmarkStart w:id="397" w:name="_Toc125126173"/>
      <w:bookmarkStart w:id="398" w:name="_Toc126678463"/>
      <w:bookmarkStart w:id="399" w:name="_Toc126772038"/>
      <w:bookmarkStart w:id="400" w:name="_Toc128665444"/>
      <w:bookmarkStart w:id="401" w:name="_Toc129015680"/>
      <w:bookmarkStart w:id="402" w:name="_Toc129017835"/>
      <w:bookmarkStart w:id="403" w:name="_Toc129163644"/>
      <w:bookmarkStart w:id="404" w:name="_Toc129166887"/>
      <w:bookmarkStart w:id="405" w:name="_Toc124341954"/>
      <w:bookmarkStart w:id="406" w:name="_Toc125104182"/>
      <w:bookmarkStart w:id="407" w:name="_Toc125104347"/>
      <w:bookmarkStart w:id="408" w:name="_Toc125108293"/>
      <w:bookmarkStart w:id="409" w:name="_Toc125108410"/>
      <w:bookmarkStart w:id="410" w:name="_Toc125108527"/>
      <w:bookmarkStart w:id="411" w:name="_Toc125108644"/>
      <w:bookmarkStart w:id="412" w:name="_Toc125126174"/>
      <w:bookmarkStart w:id="413" w:name="_Toc126678464"/>
      <w:bookmarkStart w:id="414" w:name="_Toc126772039"/>
      <w:bookmarkStart w:id="415" w:name="_Toc128665445"/>
      <w:bookmarkStart w:id="416" w:name="_Toc129015681"/>
      <w:bookmarkStart w:id="417" w:name="_Toc129017836"/>
      <w:bookmarkStart w:id="418" w:name="_Toc129163645"/>
      <w:bookmarkStart w:id="419" w:name="_Toc129166888"/>
      <w:bookmarkStart w:id="420" w:name="_Toc86764900"/>
      <w:bookmarkStart w:id="421" w:name="_Toc87979819"/>
      <w:bookmarkStart w:id="422" w:name="_Toc86764902"/>
      <w:bookmarkStart w:id="423" w:name="_Toc87979821"/>
      <w:bookmarkStart w:id="424" w:name="_Toc61874960"/>
      <w:bookmarkStart w:id="425" w:name="_Toc62648811"/>
      <w:bookmarkStart w:id="426" w:name="_Toc61874961"/>
      <w:bookmarkStart w:id="427" w:name="_Toc62648812"/>
      <w:bookmarkStart w:id="428" w:name="_Toc61874962"/>
      <w:bookmarkStart w:id="429" w:name="_Toc62648813"/>
      <w:bookmarkStart w:id="430" w:name="_Toc61874963"/>
      <w:bookmarkStart w:id="431" w:name="_Toc62648814"/>
      <w:bookmarkStart w:id="432" w:name="_Toc61874964"/>
      <w:bookmarkStart w:id="433" w:name="_Toc62648815"/>
      <w:bookmarkStart w:id="434" w:name="_Toc61874965"/>
      <w:bookmarkStart w:id="435" w:name="_Toc62648816"/>
      <w:bookmarkStart w:id="436" w:name="_Toc61874966"/>
      <w:bookmarkStart w:id="437" w:name="_Toc62648817"/>
      <w:bookmarkStart w:id="438" w:name="_Toc61874967"/>
      <w:bookmarkStart w:id="439" w:name="_Toc62648818"/>
      <w:bookmarkStart w:id="440" w:name="_Toc61874968"/>
      <w:bookmarkStart w:id="441" w:name="_Toc62648819"/>
      <w:bookmarkStart w:id="442" w:name="_Toc61874969"/>
      <w:bookmarkStart w:id="443" w:name="_Toc62648820"/>
      <w:bookmarkStart w:id="444" w:name="_Toc61874970"/>
      <w:bookmarkStart w:id="445" w:name="_Toc62648821"/>
      <w:bookmarkStart w:id="446" w:name="_Toc46327301"/>
      <w:bookmarkStart w:id="447" w:name="_Toc46327302"/>
      <w:bookmarkStart w:id="448" w:name="_Toc46327303"/>
      <w:bookmarkStart w:id="449" w:name="_Toc46327304"/>
      <w:bookmarkStart w:id="450" w:name="_Toc45801376"/>
      <w:bookmarkStart w:id="451" w:name="_Toc46241737"/>
      <w:bookmarkStart w:id="452" w:name="_Toc46248940"/>
      <w:bookmarkStart w:id="453" w:name="_Toc46249048"/>
      <w:bookmarkStart w:id="454" w:name="_Toc46250829"/>
      <w:bookmarkStart w:id="455" w:name="_Toc46311364"/>
      <w:bookmarkStart w:id="456" w:name="_Toc46311556"/>
      <w:bookmarkStart w:id="457" w:name="_Toc46311667"/>
      <w:bookmarkStart w:id="458" w:name="_Toc46327305"/>
      <w:bookmarkStart w:id="459" w:name="_Toc46929149"/>
      <w:bookmarkStart w:id="460" w:name="_Toc46327306"/>
      <w:bookmarkStart w:id="461" w:name="_Toc45801378"/>
      <w:bookmarkStart w:id="462" w:name="_Toc46241739"/>
      <w:bookmarkStart w:id="463" w:name="_Toc46248942"/>
      <w:bookmarkStart w:id="464" w:name="_Toc46249050"/>
      <w:bookmarkStart w:id="465" w:name="_Toc46250831"/>
      <w:bookmarkStart w:id="466" w:name="_Toc46311366"/>
      <w:bookmarkStart w:id="467" w:name="_Toc46311558"/>
      <w:bookmarkStart w:id="468" w:name="_Toc46311669"/>
      <w:bookmarkStart w:id="469" w:name="_Toc46327307"/>
      <w:bookmarkStart w:id="470" w:name="_Toc46929151"/>
      <w:bookmarkStart w:id="471" w:name="_Toc45801379"/>
      <w:bookmarkStart w:id="472" w:name="_Toc46241740"/>
      <w:bookmarkStart w:id="473" w:name="_Toc46248943"/>
      <w:bookmarkStart w:id="474" w:name="_Toc46249051"/>
      <w:bookmarkStart w:id="475" w:name="_Toc46250832"/>
      <w:bookmarkStart w:id="476" w:name="_Toc46311367"/>
      <w:bookmarkStart w:id="477" w:name="_Toc46311559"/>
      <w:bookmarkStart w:id="478" w:name="_Toc46311670"/>
      <w:bookmarkStart w:id="479" w:name="_Toc46327308"/>
      <w:bookmarkStart w:id="480" w:name="_Toc46929152"/>
      <w:bookmarkStart w:id="481" w:name="_Toc45801380"/>
      <w:bookmarkStart w:id="482" w:name="_Toc46241741"/>
      <w:bookmarkStart w:id="483" w:name="_Toc46248944"/>
      <w:bookmarkStart w:id="484" w:name="_Toc46249052"/>
      <w:bookmarkStart w:id="485" w:name="_Toc46250833"/>
      <w:bookmarkStart w:id="486" w:name="_Toc46311368"/>
      <w:bookmarkStart w:id="487" w:name="_Toc46311560"/>
      <w:bookmarkStart w:id="488" w:name="_Toc46311671"/>
      <w:bookmarkStart w:id="489" w:name="_Toc46327309"/>
      <w:bookmarkStart w:id="490" w:name="_Toc46929153"/>
      <w:bookmarkStart w:id="491" w:name="_Toc86764903"/>
      <w:bookmarkStart w:id="492" w:name="_Toc87979822"/>
      <w:bookmarkStart w:id="493" w:name="_Toc86764904"/>
      <w:bookmarkStart w:id="494" w:name="_Toc87979823"/>
      <w:bookmarkStart w:id="495" w:name="_Toc29980641"/>
      <w:bookmarkStart w:id="496" w:name="_Toc30405516"/>
      <w:bookmarkStart w:id="497" w:name="_Toc30581257"/>
      <w:bookmarkStart w:id="498" w:name="_Toc32829919"/>
      <w:bookmarkStart w:id="499" w:name="_Toc32917421"/>
      <w:bookmarkStart w:id="500" w:name="_Toc32918227"/>
      <w:bookmarkStart w:id="501" w:name="_Toc32999610"/>
      <w:bookmarkStart w:id="502" w:name="_Toc33099329"/>
      <w:bookmarkStart w:id="503" w:name="_Toc33195959"/>
      <w:bookmarkStart w:id="504" w:name="_Toc33196261"/>
      <w:bookmarkStart w:id="505" w:name="_Toc29980642"/>
      <w:bookmarkStart w:id="506" w:name="_Toc30405517"/>
      <w:bookmarkStart w:id="507" w:name="_Toc30581258"/>
      <w:bookmarkStart w:id="508" w:name="_Toc32829920"/>
      <w:bookmarkStart w:id="509" w:name="_Toc32917422"/>
      <w:bookmarkStart w:id="510" w:name="_Toc32918228"/>
      <w:bookmarkStart w:id="511" w:name="_Toc32999611"/>
      <w:bookmarkStart w:id="512" w:name="_Toc33099330"/>
      <w:bookmarkStart w:id="513" w:name="_Toc33195960"/>
      <w:bookmarkStart w:id="514" w:name="_Toc33196262"/>
      <w:bookmarkStart w:id="515" w:name="_Toc29980643"/>
      <w:bookmarkStart w:id="516" w:name="_Toc30405518"/>
      <w:bookmarkStart w:id="517" w:name="_Toc30581259"/>
      <w:bookmarkStart w:id="518" w:name="_Toc32829921"/>
      <w:bookmarkStart w:id="519" w:name="_Toc32917423"/>
      <w:bookmarkStart w:id="520" w:name="_Toc32918229"/>
      <w:bookmarkStart w:id="521" w:name="_Toc32999612"/>
      <w:bookmarkStart w:id="522" w:name="_Toc33099331"/>
      <w:bookmarkStart w:id="523" w:name="_Toc33195961"/>
      <w:bookmarkStart w:id="524" w:name="_Toc33196263"/>
      <w:bookmarkStart w:id="525" w:name="_Toc29980644"/>
      <w:bookmarkStart w:id="526" w:name="_Toc30405519"/>
      <w:bookmarkStart w:id="527" w:name="_Toc30581260"/>
      <w:bookmarkStart w:id="528" w:name="_Toc32829922"/>
      <w:bookmarkStart w:id="529" w:name="_Toc32917424"/>
      <w:bookmarkStart w:id="530" w:name="_Toc32918230"/>
      <w:bookmarkStart w:id="531" w:name="_Toc32999613"/>
      <w:bookmarkStart w:id="532" w:name="_Toc33099332"/>
      <w:bookmarkStart w:id="533" w:name="_Toc33195962"/>
      <w:bookmarkStart w:id="534" w:name="_Toc33196264"/>
      <w:bookmarkStart w:id="535" w:name="_Toc504468808"/>
      <w:bookmarkStart w:id="536" w:name="_Toc63347670"/>
      <w:bookmarkStart w:id="537" w:name="_Toc16071551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DD477A">
        <w:t>W</w:t>
      </w:r>
      <w:r w:rsidR="00945487" w:rsidRPr="00DD477A">
        <w:t xml:space="preserve">hich entities </w:t>
      </w:r>
      <w:r w:rsidRPr="00DD477A">
        <w:t>should prepare</w:t>
      </w:r>
      <w:r w:rsidR="00DF4F95" w:rsidRPr="00DD477A">
        <w:t xml:space="preserve"> </w:t>
      </w:r>
      <w:r w:rsidRPr="00DD477A">
        <w:t>P</w:t>
      </w:r>
      <w:r w:rsidR="00E87C23" w:rsidRPr="00DD477A">
        <w:t xml:space="preserve">B </w:t>
      </w:r>
      <w:r w:rsidRPr="00DD477A">
        <w:t>Statements?</w:t>
      </w:r>
      <w:bookmarkEnd w:id="535"/>
      <w:bookmarkEnd w:id="536"/>
      <w:bookmarkEnd w:id="537"/>
    </w:p>
    <w:p w14:paraId="3D55A259" w14:textId="77777777" w:rsidR="00C1673C" w:rsidRPr="00DD477A" w:rsidRDefault="53BF0693" w:rsidP="000A7DEC">
      <w:pPr>
        <w:rPr>
          <w:rFonts w:cs="Calibri"/>
        </w:rPr>
      </w:pPr>
      <w:r w:rsidRPr="00DD477A">
        <w:rPr>
          <w:rFonts w:cs="Calibri"/>
        </w:rPr>
        <w:t xml:space="preserve">All Commonwealth entities </w:t>
      </w:r>
      <w:r w:rsidR="00945487" w:rsidRPr="00DD477A">
        <w:rPr>
          <w:rFonts w:cs="Calibri"/>
        </w:rPr>
        <w:t>that</w:t>
      </w:r>
      <w:r w:rsidRPr="00DD477A">
        <w:rPr>
          <w:rFonts w:cs="Calibri"/>
        </w:rPr>
        <w:t xml:space="preserve"> receive </w:t>
      </w:r>
      <w:r w:rsidR="00D06563" w:rsidRPr="00DD477A">
        <w:rPr>
          <w:rFonts w:cs="Calibri"/>
        </w:rPr>
        <w:t xml:space="preserve">an </w:t>
      </w:r>
      <w:r w:rsidR="00991A79" w:rsidRPr="00DD477A">
        <w:rPr>
          <w:rFonts w:cs="Calibri"/>
        </w:rPr>
        <w:t>a</w:t>
      </w:r>
      <w:r w:rsidRPr="00DD477A">
        <w:rPr>
          <w:rFonts w:cs="Calibri"/>
        </w:rPr>
        <w:t xml:space="preserve">ppropriation (whether directly or through a </w:t>
      </w:r>
      <w:r w:rsidR="00396887" w:rsidRPr="00DD477A">
        <w:rPr>
          <w:rFonts w:cs="Calibri"/>
        </w:rPr>
        <w:t>portfolio department</w:t>
      </w:r>
      <w:r w:rsidRPr="00DD477A">
        <w:rPr>
          <w:rFonts w:cs="Calibri"/>
        </w:rPr>
        <w:t xml:space="preserve">) </w:t>
      </w:r>
      <w:r w:rsidR="00D06563" w:rsidRPr="00DD477A">
        <w:rPr>
          <w:rFonts w:cs="Calibri"/>
        </w:rPr>
        <w:t>through</w:t>
      </w:r>
      <w:r w:rsidRPr="00DD477A">
        <w:rPr>
          <w:rFonts w:cs="Calibri"/>
        </w:rPr>
        <w:t xml:space="preserve"> </w:t>
      </w:r>
      <w:r w:rsidR="009B7FA8" w:rsidRPr="00DD477A">
        <w:rPr>
          <w:rFonts w:cs="Calibri"/>
        </w:rPr>
        <w:t xml:space="preserve">an </w:t>
      </w:r>
      <w:r w:rsidRPr="00DD477A">
        <w:rPr>
          <w:rFonts w:cs="Calibri"/>
        </w:rPr>
        <w:t xml:space="preserve">Appropriation Bill are </w:t>
      </w:r>
      <w:r w:rsidRPr="00DD477A">
        <w:rPr>
          <w:rFonts w:cs="Calibri"/>
          <w:b/>
          <w:bCs/>
        </w:rPr>
        <w:t>required</w:t>
      </w:r>
      <w:r w:rsidRPr="00DD477A">
        <w:rPr>
          <w:rFonts w:cs="Calibri"/>
        </w:rPr>
        <w:t xml:space="preserve"> to produce a </w:t>
      </w:r>
      <w:r w:rsidR="003A29BC" w:rsidRPr="00DD477A">
        <w:rPr>
          <w:rFonts w:cs="Calibri"/>
        </w:rPr>
        <w:t>PB </w:t>
      </w:r>
      <w:r w:rsidRPr="00DD477A">
        <w:rPr>
          <w:rFonts w:cs="Calibri"/>
        </w:rPr>
        <w:t>Statement</w:t>
      </w:r>
      <w:r w:rsidR="00DB782A" w:rsidRPr="00DD477A">
        <w:rPr>
          <w:rFonts w:cs="Calibri"/>
        </w:rPr>
        <w:t xml:space="preserve"> (or a chapter in a PB Statement)</w:t>
      </w:r>
      <w:r w:rsidRPr="00DD477A">
        <w:rPr>
          <w:rFonts w:cs="Calibri"/>
        </w:rPr>
        <w:t>.</w:t>
      </w:r>
      <w:r w:rsidR="00E26D25" w:rsidRPr="00DD477A">
        <w:rPr>
          <w:rFonts w:cs="Calibri"/>
        </w:rPr>
        <w:t xml:space="preserve"> </w:t>
      </w:r>
    </w:p>
    <w:p w14:paraId="64988F33" w14:textId="6CF63B81" w:rsidR="009D4EB9" w:rsidRPr="00DD477A" w:rsidRDefault="53BF0693" w:rsidP="000A7DEC">
      <w:pPr>
        <w:rPr>
          <w:rFonts w:cs="Calibri"/>
        </w:rPr>
      </w:pPr>
      <w:r w:rsidRPr="00DD477A">
        <w:rPr>
          <w:rFonts w:cs="Calibri"/>
        </w:rPr>
        <w:t xml:space="preserve">Entities will normally be shown as separate chapters in the PB </w:t>
      </w:r>
      <w:r w:rsidR="007626FD" w:rsidRPr="00DD477A">
        <w:rPr>
          <w:rFonts w:cs="Calibri"/>
        </w:rPr>
        <w:t>Statements unless</w:t>
      </w:r>
      <w:r w:rsidRPr="00DD477A">
        <w:rPr>
          <w:rFonts w:cs="Calibri"/>
        </w:rPr>
        <w:t xml:space="preserve"> they are in the process of being merged or consolidated into another </w:t>
      </w:r>
      <w:r w:rsidR="00B856C9" w:rsidRPr="00DD477A">
        <w:rPr>
          <w:rFonts w:cs="Calibri"/>
        </w:rPr>
        <w:t>d</w:t>
      </w:r>
      <w:r w:rsidRPr="00DD477A">
        <w:rPr>
          <w:rFonts w:cs="Calibri"/>
        </w:rPr>
        <w:t>epartment or entity at the start of the Budget year.</w:t>
      </w:r>
    </w:p>
    <w:p w14:paraId="4BBA8C1E" w14:textId="07EEC791" w:rsidR="00895FC3" w:rsidRPr="00DD477A" w:rsidRDefault="00592A04" w:rsidP="001D30A2">
      <w:pPr>
        <w:rPr>
          <w:rFonts w:cs="Calibri"/>
        </w:rPr>
      </w:pPr>
      <w:r w:rsidRPr="00DD477A">
        <w:rPr>
          <w:rFonts w:cs="Calibri"/>
        </w:rPr>
        <w:t xml:space="preserve">For </w:t>
      </w:r>
      <w:r w:rsidR="003E0908" w:rsidRPr="00DD477A">
        <w:rPr>
          <w:rFonts w:cs="Calibri"/>
        </w:rPr>
        <w:t xml:space="preserve">multiple </w:t>
      </w:r>
      <w:r w:rsidR="00AF3BE5" w:rsidRPr="00DD477A">
        <w:rPr>
          <w:rFonts w:cs="Calibri"/>
        </w:rPr>
        <w:t xml:space="preserve">department </w:t>
      </w:r>
      <w:r w:rsidR="53BF0693" w:rsidRPr="00DD477A">
        <w:rPr>
          <w:rFonts w:cs="Calibri"/>
        </w:rPr>
        <w:t>portfolio</w:t>
      </w:r>
      <w:r w:rsidR="003E0908" w:rsidRPr="00DD477A">
        <w:rPr>
          <w:rFonts w:cs="Calibri"/>
        </w:rPr>
        <w:t>s</w:t>
      </w:r>
      <w:r w:rsidR="53BF0693" w:rsidRPr="00DD477A">
        <w:rPr>
          <w:rFonts w:cs="Calibri"/>
        </w:rPr>
        <w:t>, the senio</w:t>
      </w:r>
      <w:r w:rsidR="04B123B9" w:rsidRPr="00DD477A">
        <w:rPr>
          <w:rFonts w:cs="Calibri"/>
        </w:rPr>
        <w:t xml:space="preserve">r </w:t>
      </w:r>
      <w:r w:rsidR="008D1D5F" w:rsidRPr="00DD477A">
        <w:rPr>
          <w:rFonts w:cs="Calibri"/>
        </w:rPr>
        <w:t xml:space="preserve">Portfolio Minister </w:t>
      </w:r>
      <w:r w:rsidR="53BF0693" w:rsidRPr="00DD477A">
        <w:rPr>
          <w:rFonts w:cs="Calibri"/>
        </w:rPr>
        <w:t xml:space="preserve">should determine how the portfolio </w:t>
      </w:r>
      <w:r w:rsidR="132B1A63" w:rsidRPr="00DD477A">
        <w:rPr>
          <w:rFonts w:cs="Calibri"/>
        </w:rPr>
        <w:t>is</w:t>
      </w:r>
      <w:r w:rsidR="53BF0693" w:rsidRPr="00DD477A">
        <w:rPr>
          <w:rFonts w:cs="Calibri"/>
        </w:rPr>
        <w:t xml:space="preserve"> represented (i.e.</w:t>
      </w:r>
      <w:r w:rsidR="512BD746" w:rsidRPr="00DD477A">
        <w:rPr>
          <w:rFonts w:cs="Calibri"/>
        </w:rPr>
        <w:t>,</w:t>
      </w:r>
      <w:r w:rsidR="53BF0693" w:rsidRPr="00DD477A">
        <w:rPr>
          <w:rFonts w:cs="Calibri"/>
        </w:rPr>
        <w:t xml:space="preserve"> whether there is to be a separate book for each department, or one consolidated book for the portfolio).</w:t>
      </w:r>
    </w:p>
    <w:p w14:paraId="70299A0C" w14:textId="021760FE" w:rsidR="00FE534B" w:rsidRPr="00DD477A" w:rsidRDefault="00917F4A" w:rsidP="000A7DEC">
      <w:pPr>
        <w:rPr>
          <w:rFonts w:cs="Calibri"/>
        </w:rPr>
      </w:pPr>
      <w:r w:rsidRPr="00DD477A">
        <w:rPr>
          <w:rFonts w:cs="Calibri"/>
        </w:rPr>
        <w:t xml:space="preserve">In some instances, a non-Budget appropriated entity </w:t>
      </w:r>
      <w:r w:rsidR="00E064F4" w:rsidRPr="00DD477A">
        <w:rPr>
          <w:rFonts w:cs="Calibri"/>
        </w:rPr>
        <w:t xml:space="preserve">may be required </w:t>
      </w:r>
      <w:r w:rsidR="00C1673C" w:rsidRPr="00DD477A">
        <w:rPr>
          <w:rFonts w:cs="Calibri"/>
        </w:rPr>
        <w:t xml:space="preserve">by their Portfolio Minister </w:t>
      </w:r>
      <w:r w:rsidRPr="00DD477A">
        <w:rPr>
          <w:rFonts w:cs="Calibri"/>
        </w:rPr>
        <w:t>to produce PB Statements whe</w:t>
      </w:r>
      <w:r w:rsidR="00174DA3" w:rsidRPr="00DD477A">
        <w:rPr>
          <w:rFonts w:cs="Calibri"/>
        </w:rPr>
        <w:t>re</w:t>
      </w:r>
      <w:r w:rsidRPr="00DD477A">
        <w:rPr>
          <w:rFonts w:cs="Calibri"/>
        </w:rPr>
        <w:t xml:space="preserve"> there is greater scrutiny on its operations or Budget and forward estimates.</w:t>
      </w:r>
    </w:p>
    <w:p w14:paraId="4E9E26A6" w14:textId="5FDFC61B" w:rsidR="001923C9" w:rsidRPr="00DD477A" w:rsidRDefault="53BF0693" w:rsidP="0095142C">
      <w:pPr>
        <w:suppressAutoHyphens w:val="0"/>
        <w:spacing w:before="0" w:after="120" w:line="440" w:lineRule="atLeast"/>
        <w:rPr>
          <w:rFonts w:cs="Calibri"/>
        </w:rPr>
      </w:pPr>
      <w:r w:rsidRPr="00DD477A">
        <w:rPr>
          <w:rFonts w:cs="Calibri"/>
        </w:rPr>
        <w:t xml:space="preserve">Entities </w:t>
      </w:r>
      <w:r w:rsidR="00B71287" w:rsidRPr="00DD477A">
        <w:rPr>
          <w:rFonts w:cs="Calibri"/>
        </w:rPr>
        <w:t xml:space="preserve">must </w:t>
      </w:r>
      <w:r w:rsidRPr="00DD477A">
        <w:rPr>
          <w:rFonts w:cs="Calibri"/>
        </w:rPr>
        <w:t xml:space="preserve">use the following </w:t>
      </w:r>
      <w:r w:rsidR="00396887" w:rsidRPr="00DD477A">
        <w:rPr>
          <w:rFonts w:cs="Calibri"/>
        </w:rPr>
        <w:t>portfolio</w:t>
      </w:r>
      <w:r w:rsidRPr="00DD477A">
        <w:rPr>
          <w:rFonts w:cs="Calibri"/>
        </w:rPr>
        <w:t xml:space="preserve"> numbers for the covers of their PB Statements:</w:t>
      </w:r>
    </w:p>
    <w:tbl>
      <w:tblPr>
        <w:tblStyle w:val="TableGrid"/>
        <w:tblW w:w="0" w:type="auto"/>
        <w:shd w:val="clear" w:color="auto" w:fill="D9D9D9" w:themeFill="background1" w:themeFillShade="D9"/>
        <w:tblLook w:val="04A0" w:firstRow="1" w:lastRow="0" w:firstColumn="1" w:lastColumn="0" w:noHBand="0" w:noVBand="1"/>
      </w:tblPr>
      <w:tblGrid>
        <w:gridCol w:w="8063"/>
      </w:tblGrid>
      <w:tr w:rsidR="00DC2750" w:rsidRPr="00DD477A" w14:paraId="35C61DF2" w14:textId="77777777" w:rsidTr="0095142C">
        <w:trPr>
          <w:trHeight w:val="410"/>
        </w:trPr>
        <w:tc>
          <w:tcPr>
            <w:tcW w:w="8063" w:type="dxa"/>
            <w:shd w:val="clear" w:color="auto" w:fill="D9D9D9" w:themeFill="background1" w:themeFillShade="D9"/>
          </w:tcPr>
          <w:p w14:paraId="243DA0A6" w14:textId="733B362D"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033997" w:rsidRPr="00DD477A">
              <w:rPr>
                <w:rFonts w:cs="Calibri"/>
                <w:sz w:val="20"/>
                <w:szCs w:val="20"/>
              </w:rPr>
              <w:t>1</w:t>
            </w:r>
            <w:r w:rsidRPr="00DD477A">
              <w:rPr>
                <w:rFonts w:cs="Calibri"/>
                <w:sz w:val="20"/>
                <w:szCs w:val="20"/>
              </w:rPr>
              <w:tab/>
            </w:r>
            <w:r w:rsidR="00CC6BB0" w:rsidRPr="00DD477A">
              <w:rPr>
                <w:rFonts w:cs="Calibri"/>
                <w:sz w:val="20"/>
                <w:szCs w:val="20"/>
              </w:rPr>
              <w:t xml:space="preserve">Agriculture, </w:t>
            </w:r>
            <w:r w:rsidR="00577E79" w:rsidRPr="00DD477A">
              <w:rPr>
                <w:rFonts w:cs="Calibri"/>
                <w:sz w:val="20"/>
                <w:szCs w:val="20"/>
              </w:rPr>
              <w:t>Fisheries and Forestry</w:t>
            </w:r>
            <w:r w:rsidR="00162A21" w:rsidRPr="00DD477A">
              <w:rPr>
                <w:rFonts w:cs="Calibri"/>
                <w:sz w:val="20"/>
                <w:szCs w:val="20"/>
              </w:rPr>
              <w:t xml:space="preserve"> Portfolio</w:t>
            </w:r>
          </w:p>
          <w:p w14:paraId="6B48BAD2" w14:textId="6CFD6565" w:rsidR="00033997" w:rsidRPr="00DD477A" w:rsidRDefault="00033997" w:rsidP="00DB70D2">
            <w:pPr>
              <w:pStyle w:val="PortfolioNumberingText"/>
              <w:spacing w:before="20" w:after="20"/>
              <w:rPr>
                <w:rFonts w:cs="Calibri"/>
                <w:sz w:val="20"/>
                <w:szCs w:val="20"/>
              </w:rPr>
            </w:pPr>
            <w:r w:rsidRPr="00DD477A">
              <w:rPr>
                <w:rFonts w:cs="Calibri"/>
                <w:sz w:val="20"/>
                <w:szCs w:val="20"/>
              </w:rPr>
              <w:t>1.2</w:t>
            </w:r>
            <w:r w:rsidR="0017521A" w:rsidRPr="00DD477A">
              <w:rPr>
                <w:rFonts w:cs="Calibri"/>
                <w:sz w:val="20"/>
                <w:szCs w:val="20"/>
              </w:rPr>
              <w:tab/>
            </w:r>
            <w:r w:rsidR="00CC6BB0" w:rsidRPr="00DD477A">
              <w:rPr>
                <w:rFonts w:cs="Calibri"/>
                <w:sz w:val="20"/>
                <w:szCs w:val="20"/>
              </w:rPr>
              <w:t>Attorney-General’s Portfolio</w:t>
            </w:r>
          </w:p>
          <w:p w14:paraId="5027BBB1" w14:textId="01995F74" w:rsidR="00577E79" w:rsidRPr="00DD477A" w:rsidRDefault="002362A7" w:rsidP="00DB70D2">
            <w:pPr>
              <w:pStyle w:val="PortfolioNumberingText"/>
              <w:spacing w:before="20" w:after="20"/>
              <w:rPr>
                <w:rFonts w:cs="Calibri"/>
                <w:sz w:val="20"/>
                <w:szCs w:val="20"/>
              </w:rPr>
            </w:pPr>
            <w:r w:rsidRPr="00DD477A">
              <w:rPr>
                <w:rFonts w:cs="Calibri"/>
                <w:sz w:val="20"/>
                <w:szCs w:val="20"/>
              </w:rPr>
              <w:t>1.3</w:t>
            </w:r>
            <w:r w:rsidR="00577E79" w:rsidRPr="00DD477A">
              <w:rPr>
                <w:rFonts w:cs="Calibri"/>
                <w:sz w:val="20"/>
                <w:szCs w:val="20"/>
              </w:rPr>
              <w:tab/>
              <w:t>Climate Change, Energy, the Environment and Water</w:t>
            </w:r>
            <w:r w:rsidR="00162A21" w:rsidRPr="00DD477A">
              <w:rPr>
                <w:rFonts w:cs="Calibri"/>
                <w:sz w:val="20"/>
                <w:szCs w:val="20"/>
              </w:rPr>
              <w:t xml:space="preserve"> Portfolio</w:t>
            </w:r>
          </w:p>
          <w:p w14:paraId="6034052B" w14:textId="419A646B"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4</w:t>
            </w:r>
            <w:r w:rsidRPr="00DD477A">
              <w:rPr>
                <w:rFonts w:cs="Calibri"/>
                <w:sz w:val="20"/>
                <w:szCs w:val="20"/>
              </w:rPr>
              <w:t>A</w:t>
            </w:r>
            <w:r w:rsidRPr="00DD477A">
              <w:rPr>
                <w:rFonts w:cs="Calibri"/>
                <w:sz w:val="20"/>
                <w:szCs w:val="20"/>
              </w:rPr>
              <w:tab/>
              <w:t>Defence Portfolio</w:t>
            </w:r>
          </w:p>
          <w:p w14:paraId="46B73EA1" w14:textId="208D0BB9"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4</w:t>
            </w:r>
            <w:r w:rsidRPr="00DD477A">
              <w:rPr>
                <w:rFonts w:cs="Calibri"/>
                <w:sz w:val="20"/>
                <w:szCs w:val="20"/>
              </w:rPr>
              <w:t>B</w:t>
            </w:r>
            <w:r w:rsidRPr="00DD477A">
              <w:rPr>
                <w:rFonts w:cs="Calibri"/>
                <w:sz w:val="20"/>
                <w:szCs w:val="20"/>
              </w:rPr>
              <w:tab/>
              <w:t>Defence Portfolio (Department of Veterans’ Affairs)</w:t>
            </w:r>
            <w:r w:rsidR="009F20EC" w:rsidRPr="00DD477A">
              <w:rPr>
                <w:rFonts w:cs="Calibri"/>
                <w:sz w:val="20"/>
                <w:szCs w:val="20"/>
              </w:rPr>
              <w:br/>
            </w:r>
            <w:r w:rsidR="009F20EC" w:rsidRPr="00DD477A">
              <w:rPr>
                <w:rFonts w:cs="Calibri"/>
                <w:color w:val="C00000"/>
                <w:sz w:val="20"/>
                <w:szCs w:val="20"/>
              </w:rPr>
              <w:t>(</w:t>
            </w:r>
            <w:r w:rsidRPr="00DD477A">
              <w:rPr>
                <w:rFonts w:cs="Calibri"/>
                <w:color w:val="C00000"/>
                <w:sz w:val="20"/>
                <w:szCs w:val="20"/>
              </w:rPr>
              <w:t>subject to confirmation b</w:t>
            </w:r>
            <w:r w:rsidR="000C18CF" w:rsidRPr="00DD477A">
              <w:rPr>
                <w:rFonts w:cs="Calibri"/>
                <w:color w:val="C00000"/>
                <w:sz w:val="20"/>
                <w:szCs w:val="20"/>
              </w:rPr>
              <w:t xml:space="preserve">y their senior </w:t>
            </w:r>
            <w:r w:rsidR="00D33A43" w:rsidRPr="00DD477A">
              <w:rPr>
                <w:rFonts w:cs="Calibri"/>
                <w:color w:val="C00000"/>
                <w:sz w:val="20"/>
                <w:szCs w:val="20"/>
              </w:rPr>
              <w:t>Portfolio Minister</w:t>
            </w:r>
            <w:r w:rsidR="000C18CF" w:rsidRPr="00DD477A">
              <w:rPr>
                <w:rFonts w:cs="Calibri"/>
                <w:color w:val="C00000"/>
                <w:sz w:val="20"/>
                <w:szCs w:val="20"/>
              </w:rPr>
              <w:t>)</w:t>
            </w:r>
          </w:p>
          <w:p w14:paraId="059FFCAB" w14:textId="576FBF19" w:rsidR="00577E79"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5</w:t>
            </w:r>
            <w:r w:rsidRPr="00DD477A">
              <w:rPr>
                <w:rFonts w:cs="Calibri"/>
                <w:sz w:val="20"/>
                <w:szCs w:val="20"/>
              </w:rPr>
              <w:tab/>
            </w:r>
            <w:r w:rsidR="0017521A" w:rsidRPr="00DD477A">
              <w:rPr>
                <w:rFonts w:cs="Calibri"/>
                <w:sz w:val="20"/>
                <w:szCs w:val="20"/>
              </w:rPr>
              <w:t>Education</w:t>
            </w:r>
            <w:r w:rsidR="00162A21" w:rsidRPr="00DD477A">
              <w:rPr>
                <w:rFonts w:cs="Calibri"/>
                <w:sz w:val="20"/>
                <w:szCs w:val="20"/>
              </w:rPr>
              <w:t xml:space="preserve"> Portfolio</w:t>
            </w:r>
          </w:p>
          <w:p w14:paraId="7EEA7190" w14:textId="750317A4" w:rsidR="00DC2750" w:rsidRPr="00DD477A" w:rsidRDefault="002362A7" w:rsidP="00DB70D2">
            <w:pPr>
              <w:pStyle w:val="PortfolioNumberingText"/>
              <w:spacing w:before="20" w:after="20"/>
              <w:rPr>
                <w:rFonts w:cs="Calibri"/>
                <w:sz w:val="20"/>
                <w:szCs w:val="20"/>
              </w:rPr>
            </w:pPr>
            <w:r w:rsidRPr="00DD477A">
              <w:rPr>
                <w:rFonts w:cs="Calibri"/>
                <w:sz w:val="20"/>
                <w:szCs w:val="20"/>
              </w:rPr>
              <w:t>1.6</w:t>
            </w:r>
            <w:r w:rsidR="00577E79" w:rsidRPr="00DD477A">
              <w:rPr>
                <w:rFonts w:cs="Calibri"/>
                <w:sz w:val="20"/>
                <w:szCs w:val="20"/>
              </w:rPr>
              <w:tab/>
              <w:t>Employment and Workplace Relations</w:t>
            </w:r>
            <w:r w:rsidR="00162A21" w:rsidRPr="00DD477A">
              <w:rPr>
                <w:rFonts w:cs="Calibri"/>
                <w:sz w:val="20"/>
                <w:szCs w:val="20"/>
              </w:rPr>
              <w:t xml:space="preserve"> Portfolio</w:t>
            </w:r>
          </w:p>
          <w:p w14:paraId="0313A1AB" w14:textId="12AEEE8F"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7</w:t>
            </w:r>
            <w:r w:rsidRPr="00DD477A">
              <w:rPr>
                <w:rFonts w:cs="Calibri"/>
                <w:sz w:val="20"/>
                <w:szCs w:val="20"/>
              </w:rPr>
              <w:tab/>
              <w:t>Finance Portfolio</w:t>
            </w:r>
          </w:p>
          <w:p w14:paraId="232DD671" w14:textId="5C02A0B7"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8</w:t>
            </w:r>
            <w:r w:rsidRPr="00DD477A">
              <w:rPr>
                <w:rFonts w:cs="Calibri"/>
                <w:sz w:val="20"/>
                <w:szCs w:val="20"/>
              </w:rPr>
              <w:tab/>
              <w:t>Foreign Affairs and Trade Portfolio</w:t>
            </w:r>
          </w:p>
          <w:p w14:paraId="3088852C" w14:textId="6BDC723B"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9</w:t>
            </w:r>
            <w:r w:rsidRPr="00DD477A">
              <w:rPr>
                <w:rFonts w:cs="Calibri"/>
                <w:sz w:val="20"/>
                <w:szCs w:val="20"/>
              </w:rPr>
              <w:tab/>
              <w:t>Health</w:t>
            </w:r>
            <w:r w:rsidR="002362A7" w:rsidRPr="00DD477A">
              <w:rPr>
                <w:rFonts w:cs="Calibri"/>
                <w:sz w:val="20"/>
                <w:szCs w:val="20"/>
              </w:rPr>
              <w:t xml:space="preserve"> and Aged Care</w:t>
            </w:r>
            <w:r w:rsidRPr="00DD477A">
              <w:rPr>
                <w:rFonts w:cs="Calibri"/>
                <w:sz w:val="20"/>
                <w:szCs w:val="20"/>
              </w:rPr>
              <w:t xml:space="preserve"> Portfolio</w:t>
            </w:r>
          </w:p>
          <w:p w14:paraId="0069A47B" w14:textId="031734E7"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10</w:t>
            </w:r>
            <w:r w:rsidRPr="00DD477A">
              <w:rPr>
                <w:rFonts w:cs="Calibri"/>
                <w:sz w:val="20"/>
                <w:szCs w:val="20"/>
              </w:rPr>
              <w:tab/>
              <w:t>Home Affairs Portfolio</w:t>
            </w:r>
          </w:p>
          <w:p w14:paraId="6FD7BEB3" w14:textId="5FB7BEDB"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2362A7" w:rsidRPr="00DD477A">
              <w:rPr>
                <w:rFonts w:cs="Calibri"/>
                <w:sz w:val="20"/>
                <w:szCs w:val="20"/>
              </w:rPr>
              <w:t>11</w:t>
            </w:r>
            <w:r w:rsidRPr="00DD477A">
              <w:rPr>
                <w:rFonts w:cs="Calibri"/>
                <w:sz w:val="20"/>
                <w:szCs w:val="20"/>
              </w:rPr>
              <w:tab/>
            </w:r>
            <w:r w:rsidR="0017521A" w:rsidRPr="00DD477A">
              <w:rPr>
                <w:rFonts w:cs="Calibri"/>
                <w:sz w:val="20"/>
                <w:szCs w:val="20"/>
              </w:rPr>
              <w:t>Industry, Science and Resources Portfolio</w:t>
            </w:r>
          </w:p>
          <w:p w14:paraId="42BBC5D3" w14:textId="2721BF1D"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CC6BB0" w:rsidRPr="00DD477A">
              <w:rPr>
                <w:rFonts w:cs="Calibri"/>
                <w:sz w:val="20"/>
                <w:szCs w:val="20"/>
              </w:rPr>
              <w:t>1</w:t>
            </w:r>
            <w:r w:rsidR="002362A7" w:rsidRPr="00DD477A">
              <w:rPr>
                <w:rFonts w:cs="Calibri"/>
                <w:sz w:val="20"/>
                <w:szCs w:val="20"/>
              </w:rPr>
              <w:t>2</w:t>
            </w:r>
            <w:r w:rsidRPr="00DD477A">
              <w:rPr>
                <w:rFonts w:cs="Calibri"/>
                <w:sz w:val="20"/>
                <w:szCs w:val="20"/>
              </w:rPr>
              <w:tab/>
            </w:r>
            <w:r w:rsidR="0017521A" w:rsidRPr="00DD477A">
              <w:rPr>
                <w:rFonts w:cs="Calibri"/>
                <w:sz w:val="20"/>
                <w:szCs w:val="20"/>
              </w:rPr>
              <w:t>Infrastructure, Transport, Regional Development</w:t>
            </w:r>
            <w:r w:rsidR="00B41C46" w:rsidRPr="00DD477A">
              <w:rPr>
                <w:rFonts w:cs="Calibri"/>
                <w:sz w:val="20"/>
                <w:szCs w:val="20"/>
              </w:rPr>
              <w:t>,</w:t>
            </w:r>
            <w:r w:rsidR="0017521A" w:rsidRPr="00DD477A">
              <w:rPr>
                <w:rFonts w:cs="Calibri"/>
                <w:sz w:val="20"/>
                <w:szCs w:val="20"/>
              </w:rPr>
              <w:t xml:space="preserve"> Communications </w:t>
            </w:r>
            <w:r w:rsidR="002362A7" w:rsidRPr="00DD477A">
              <w:rPr>
                <w:rFonts w:cs="Calibri"/>
                <w:sz w:val="20"/>
                <w:szCs w:val="20"/>
              </w:rPr>
              <w:t xml:space="preserve">and the Arts </w:t>
            </w:r>
            <w:r w:rsidR="0017521A" w:rsidRPr="00DD477A">
              <w:rPr>
                <w:rFonts w:cs="Calibri"/>
                <w:sz w:val="20"/>
                <w:szCs w:val="20"/>
              </w:rPr>
              <w:t>Portfolio</w:t>
            </w:r>
          </w:p>
          <w:p w14:paraId="38A10DFD" w14:textId="0BDB1A36" w:rsidR="00DC2750" w:rsidRPr="00DD477A" w:rsidRDefault="00DC2750" w:rsidP="00DB70D2">
            <w:pPr>
              <w:pStyle w:val="PortfolioNumberingText"/>
              <w:spacing w:before="20" w:after="20"/>
              <w:rPr>
                <w:rFonts w:cs="Calibri"/>
                <w:sz w:val="20"/>
                <w:szCs w:val="20"/>
              </w:rPr>
            </w:pPr>
            <w:r w:rsidRPr="00DD477A">
              <w:rPr>
                <w:rFonts w:cs="Calibri"/>
                <w:sz w:val="20"/>
                <w:szCs w:val="20"/>
              </w:rPr>
              <w:t>1.1</w:t>
            </w:r>
            <w:r w:rsidR="002362A7" w:rsidRPr="00DD477A">
              <w:rPr>
                <w:rFonts w:cs="Calibri"/>
                <w:sz w:val="20"/>
                <w:szCs w:val="20"/>
              </w:rPr>
              <w:t>3</w:t>
            </w:r>
            <w:r w:rsidRPr="00DD477A">
              <w:rPr>
                <w:rFonts w:cs="Calibri"/>
                <w:sz w:val="20"/>
                <w:szCs w:val="20"/>
              </w:rPr>
              <w:tab/>
              <w:t>Prime Minister and Cabinet Portfolio</w:t>
            </w:r>
          </w:p>
          <w:p w14:paraId="15A270B0" w14:textId="6F893D8A" w:rsidR="00DC2750" w:rsidRPr="00DD477A" w:rsidRDefault="00DC2750" w:rsidP="00DB70D2">
            <w:pPr>
              <w:pStyle w:val="PortfolioNumberingText"/>
              <w:spacing w:before="20" w:after="20"/>
              <w:rPr>
                <w:rFonts w:cs="Calibri"/>
                <w:sz w:val="20"/>
                <w:szCs w:val="20"/>
              </w:rPr>
            </w:pPr>
            <w:r w:rsidRPr="00DD477A">
              <w:rPr>
                <w:rFonts w:cs="Calibri"/>
                <w:sz w:val="20"/>
                <w:szCs w:val="20"/>
              </w:rPr>
              <w:t>1.1</w:t>
            </w:r>
            <w:r w:rsidR="002362A7" w:rsidRPr="00DD477A">
              <w:rPr>
                <w:rFonts w:cs="Calibri"/>
                <w:sz w:val="20"/>
                <w:szCs w:val="20"/>
              </w:rPr>
              <w:t>4</w:t>
            </w:r>
            <w:r w:rsidRPr="00DD477A">
              <w:rPr>
                <w:rFonts w:cs="Calibri"/>
                <w:sz w:val="20"/>
                <w:szCs w:val="20"/>
              </w:rPr>
              <w:tab/>
              <w:t>Social Services Portfolio</w:t>
            </w:r>
          </w:p>
          <w:p w14:paraId="13C9D83F" w14:textId="7F0AD29C" w:rsidR="00DC2750" w:rsidRPr="00DD477A" w:rsidRDefault="00DC2750" w:rsidP="00DB70D2">
            <w:pPr>
              <w:pStyle w:val="PortfolioNumberingText"/>
              <w:spacing w:before="20" w:after="20"/>
              <w:rPr>
                <w:rFonts w:cs="Calibri"/>
                <w:sz w:val="20"/>
                <w:szCs w:val="20"/>
              </w:rPr>
            </w:pPr>
            <w:r w:rsidRPr="00DD477A">
              <w:rPr>
                <w:rFonts w:cs="Calibri"/>
                <w:sz w:val="20"/>
                <w:szCs w:val="20"/>
              </w:rPr>
              <w:t>1.1</w:t>
            </w:r>
            <w:r w:rsidR="002362A7" w:rsidRPr="00DD477A">
              <w:rPr>
                <w:rFonts w:cs="Calibri"/>
                <w:sz w:val="20"/>
                <w:szCs w:val="20"/>
              </w:rPr>
              <w:t>5</w:t>
            </w:r>
            <w:r w:rsidRPr="00DD477A">
              <w:rPr>
                <w:rFonts w:cs="Calibri"/>
                <w:sz w:val="20"/>
                <w:szCs w:val="20"/>
              </w:rPr>
              <w:tab/>
              <w:t>Treasury Portfolio</w:t>
            </w:r>
          </w:p>
          <w:p w14:paraId="4179A73A" w14:textId="09F7B7DA"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F2465E" w:rsidRPr="00DD477A">
              <w:rPr>
                <w:rFonts w:cs="Calibri"/>
                <w:sz w:val="20"/>
                <w:szCs w:val="20"/>
              </w:rPr>
              <w:t xml:space="preserve">16A </w:t>
            </w:r>
            <w:r w:rsidRPr="00DD477A">
              <w:rPr>
                <w:rFonts w:cs="Calibri"/>
                <w:sz w:val="20"/>
                <w:szCs w:val="20"/>
              </w:rPr>
              <w:tab/>
              <w:t>Department of the House of Representatives</w:t>
            </w:r>
          </w:p>
          <w:p w14:paraId="73113AB4" w14:textId="53722A11"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F2465E" w:rsidRPr="00DD477A">
              <w:rPr>
                <w:rFonts w:cs="Calibri"/>
                <w:sz w:val="20"/>
                <w:szCs w:val="20"/>
              </w:rPr>
              <w:t>16B</w:t>
            </w:r>
            <w:r w:rsidRPr="00DD477A">
              <w:rPr>
                <w:rFonts w:cs="Calibri"/>
                <w:sz w:val="20"/>
                <w:szCs w:val="20"/>
              </w:rPr>
              <w:tab/>
              <w:t>Department of the Senate</w:t>
            </w:r>
          </w:p>
          <w:p w14:paraId="7705F509" w14:textId="72F55E12" w:rsidR="00DC2750" w:rsidRPr="00DD477A" w:rsidRDefault="00DC2750" w:rsidP="00DB70D2">
            <w:pPr>
              <w:pStyle w:val="PortfolioNumberingText"/>
              <w:spacing w:before="20" w:after="20"/>
              <w:rPr>
                <w:rFonts w:cs="Calibri"/>
                <w:sz w:val="20"/>
                <w:szCs w:val="20"/>
              </w:rPr>
            </w:pPr>
            <w:r w:rsidRPr="00DD477A">
              <w:rPr>
                <w:rFonts w:cs="Calibri"/>
                <w:sz w:val="20"/>
                <w:szCs w:val="20"/>
              </w:rPr>
              <w:t>1.</w:t>
            </w:r>
            <w:r w:rsidR="00F2465E" w:rsidRPr="00DD477A">
              <w:rPr>
                <w:rFonts w:cs="Calibri"/>
                <w:sz w:val="20"/>
                <w:szCs w:val="20"/>
              </w:rPr>
              <w:t>16C</w:t>
            </w:r>
            <w:r w:rsidRPr="00DD477A">
              <w:rPr>
                <w:rFonts w:cs="Calibri"/>
                <w:sz w:val="20"/>
                <w:szCs w:val="20"/>
              </w:rPr>
              <w:tab/>
              <w:t xml:space="preserve">Department of Parliamentary Services </w:t>
            </w:r>
          </w:p>
          <w:p w14:paraId="3A965EF8" w14:textId="49C66551" w:rsidR="00DC2750" w:rsidRPr="00DD477A" w:rsidRDefault="00DC2750" w:rsidP="00DB70D2">
            <w:pPr>
              <w:pStyle w:val="PortfolioNumberingText"/>
              <w:spacing w:before="20" w:after="20"/>
              <w:rPr>
                <w:rFonts w:cs="Calibri"/>
              </w:rPr>
            </w:pPr>
            <w:r w:rsidRPr="00DD477A">
              <w:rPr>
                <w:rFonts w:cs="Calibri"/>
                <w:sz w:val="20"/>
                <w:szCs w:val="20"/>
              </w:rPr>
              <w:t>1.</w:t>
            </w:r>
            <w:r w:rsidR="00F2465E" w:rsidRPr="00DD477A">
              <w:rPr>
                <w:rFonts w:cs="Calibri"/>
                <w:sz w:val="20"/>
                <w:szCs w:val="20"/>
              </w:rPr>
              <w:t xml:space="preserve">16D </w:t>
            </w:r>
            <w:r w:rsidRPr="00DD477A">
              <w:rPr>
                <w:rFonts w:cs="Calibri"/>
                <w:sz w:val="20"/>
                <w:szCs w:val="20"/>
              </w:rPr>
              <w:tab/>
              <w:t>Parliamentary Budget Office</w:t>
            </w:r>
          </w:p>
        </w:tc>
      </w:tr>
    </w:tbl>
    <w:p w14:paraId="199A7149" w14:textId="71BBA41F" w:rsidR="005D654D" w:rsidRPr="00DD477A" w:rsidRDefault="00090962" w:rsidP="00C65686">
      <w:pPr>
        <w:pStyle w:val="NormalIndented"/>
        <w:spacing w:before="0"/>
        <w:ind w:left="0"/>
        <w:rPr>
          <w:rFonts w:cs="Calibri"/>
          <w:sz w:val="18"/>
          <w:szCs w:val="18"/>
        </w:rPr>
      </w:pPr>
      <w:bookmarkStart w:id="538" w:name="_Toc411852663"/>
      <w:r w:rsidRPr="00DD477A">
        <w:rPr>
          <w:rStyle w:val="FootnoteTextChar"/>
        </w:rPr>
        <w:t>T</w:t>
      </w:r>
      <w:r w:rsidR="53BF0693" w:rsidRPr="00DD477A">
        <w:rPr>
          <w:rStyle w:val="FootnoteTextChar"/>
        </w:rPr>
        <w:t>he portfolio numbers and names may change from time to time as a result of Administrative Arrangement</w:t>
      </w:r>
      <w:r w:rsidR="00767433" w:rsidRPr="00DD477A">
        <w:rPr>
          <w:rStyle w:val="FootnoteTextChar"/>
        </w:rPr>
        <w:t>s</w:t>
      </w:r>
      <w:r w:rsidR="53BF0693" w:rsidRPr="00DD477A">
        <w:rPr>
          <w:rStyle w:val="FootnoteTextChar"/>
        </w:rPr>
        <w:t xml:space="preserve"> Orders</w:t>
      </w:r>
      <w:r w:rsidR="53BF0693" w:rsidRPr="00DD477A">
        <w:rPr>
          <w:rFonts w:cs="Calibri"/>
          <w:sz w:val="19"/>
          <w:szCs w:val="19"/>
        </w:rPr>
        <w:t>.</w:t>
      </w:r>
    </w:p>
    <w:p w14:paraId="6819A4D3" w14:textId="0EFA8298" w:rsidR="00B751D1" w:rsidRPr="00DD477A" w:rsidRDefault="53BF0693" w:rsidP="00E548A0">
      <w:pPr>
        <w:pStyle w:val="Heading2"/>
      </w:pPr>
      <w:bookmarkStart w:id="539" w:name="_Toc534385662"/>
      <w:bookmarkStart w:id="540" w:name="_Toc534385802"/>
      <w:bookmarkStart w:id="541" w:name="_Toc534386354"/>
      <w:bookmarkStart w:id="542" w:name="_Toc534386561"/>
      <w:bookmarkStart w:id="543" w:name="_Toc534389760"/>
      <w:bookmarkStart w:id="544" w:name="_Toc534389901"/>
      <w:bookmarkStart w:id="545" w:name="_Toc534406197"/>
      <w:bookmarkStart w:id="546" w:name="_Toc534441474"/>
      <w:bookmarkStart w:id="547" w:name="_Toc534442815"/>
      <w:bookmarkStart w:id="548" w:name="_Toc534442956"/>
      <w:bookmarkStart w:id="549" w:name="_Toc534443097"/>
      <w:bookmarkStart w:id="550" w:name="_Toc534458852"/>
      <w:bookmarkStart w:id="551" w:name="_Toc534459641"/>
      <w:bookmarkStart w:id="552" w:name="_Toc534519136"/>
      <w:bookmarkStart w:id="553" w:name="_Toc534520046"/>
      <w:bookmarkStart w:id="554" w:name="_Toc534520316"/>
      <w:bookmarkStart w:id="555" w:name="_Toc534527528"/>
      <w:bookmarkStart w:id="556" w:name="_Toc534528258"/>
      <w:bookmarkStart w:id="557" w:name="_Toc534803476"/>
      <w:bookmarkStart w:id="558" w:name="_Toc534814167"/>
      <w:bookmarkStart w:id="559" w:name="_Toc536108537"/>
      <w:bookmarkStart w:id="560" w:name="_Toc536802088"/>
      <w:bookmarkStart w:id="561" w:name="_Toc422692"/>
      <w:bookmarkStart w:id="562" w:name="_Toc63347671"/>
      <w:bookmarkStart w:id="563" w:name="_Toc160715516"/>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00DD477A">
        <w:lastRenderedPageBreak/>
        <w:t>Structure</w:t>
      </w:r>
      <w:bookmarkEnd w:id="562"/>
      <w:r w:rsidR="00BE1C61" w:rsidRPr="00DD477A">
        <w:t xml:space="preserve"> of </w:t>
      </w:r>
      <w:r w:rsidR="00C24B99" w:rsidRPr="00DD477A">
        <w:t>a</w:t>
      </w:r>
      <w:r w:rsidR="00BE1C61" w:rsidRPr="00DD477A">
        <w:t xml:space="preserve"> P</w:t>
      </w:r>
      <w:r w:rsidR="003F2C98" w:rsidRPr="00DD477A">
        <w:t>B</w:t>
      </w:r>
      <w:r w:rsidR="00C24B99" w:rsidRPr="00DD477A">
        <w:t xml:space="preserve"> Statement</w:t>
      </w:r>
      <w:bookmarkEnd w:id="563"/>
    </w:p>
    <w:p w14:paraId="3AD518C8" w14:textId="354FFD48" w:rsidR="00FA0945" w:rsidRPr="00DD477A" w:rsidRDefault="0051349A" w:rsidP="000A7DEC">
      <w:pPr>
        <w:rPr>
          <w:rFonts w:cs="Calibri"/>
        </w:rPr>
      </w:pPr>
      <w:r w:rsidRPr="00DD477A">
        <w:rPr>
          <w:rFonts w:cs="Calibri"/>
        </w:rPr>
        <w:t>Each</w:t>
      </w:r>
      <w:r w:rsidR="53BF0693" w:rsidRPr="00DD477A">
        <w:rPr>
          <w:rFonts w:cs="Calibri"/>
        </w:rPr>
        <w:t xml:space="preserve"> PB Statement contain</w:t>
      </w:r>
      <w:r w:rsidRPr="00DD477A">
        <w:rPr>
          <w:rFonts w:cs="Calibri"/>
        </w:rPr>
        <w:t>s</w:t>
      </w:r>
      <w:r w:rsidR="53BF0693" w:rsidRPr="00DD477A">
        <w:rPr>
          <w:rFonts w:cs="Calibri"/>
        </w:rPr>
        <w:t xml:space="preserve"> four levels of information: </w:t>
      </w:r>
      <w:r w:rsidR="00396887" w:rsidRPr="00DD477A">
        <w:rPr>
          <w:rFonts w:cs="Calibri"/>
        </w:rPr>
        <w:t>portfolio, e</w:t>
      </w:r>
      <w:r w:rsidR="53BF0693" w:rsidRPr="00DD477A">
        <w:rPr>
          <w:rFonts w:cs="Calibri"/>
        </w:rPr>
        <w:t xml:space="preserve">ntity, </w:t>
      </w:r>
      <w:r w:rsidR="00396887" w:rsidRPr="00DD477A">
        <w:rPr>
          <w:rFonts w:cs="Calibri"/>
        </w:rPr>
        <w:t>o</w:t>
      </w:r>
      <w:r w:rsidR="53BF0693" w:rsidRPr="00DD477A">
        <w:rPr>
          <w:rFonts w:cs="Calibri"/>
        </w:rPr>
        <w:t xml:space="preserve">utcome and </w:t>
      </w:r>
      <w:r w:rsidR="00396887" w:rsidRPr="00DD477A">
        <w:rPr>
          <w:rFonts w:cs="Calibri"/>
        </w:rPr>
        <w:t>p</w:t>
      </w:r>
      <w:r w:rsidR="53BF0693" w:rsidRPr="00DD477A">
        <w:rPr>
          <w:rFonts w:cs="Calibri"/>
        </w:rPr>
        <w:t>rogram. To ensure cl</w:t>
      </w:r>
      <w:r w:rsidR="001873F6" w:rsidRPr="00DD477A">
        <w:rPr>
          <w:rFonts w:cs="Calibri"/>
        </w:rPr>
        <w:t>arity</w:t>
      </w:r>
      <w:r w:rsidR="53BF0693" w:rsidRPr="00DD477A">
        <w:rPr>
          <w:rFonts w:cs="Calibri"/>
        </w:rPr>
        <w:t xml:space="preserve"> and concise</w:t>
      </w:r>
      <w:r w:rsidR="000B6E36" w:rsidRPr="00DD477A">
        <w:rPr>
          <w:rFonts w:cs="Calibri"/>
        </w:rPr>
        <w:t>ness</w:t>
      </w:r>
      <w:r w:rsidR="53BF0693" w:rsidRPr="00DD477A">
        <w:rPr>
          <w:rFonts w:cs="Calibri"/>
        </w:rPr>
        <w:t xml:space="preserve">, </w:t>
      </w:r>
      <w:r w:rsidR="001873F6" w:rsidRPr="00DD477A">
        <w:rPr>
          <w:rFonts w:cs="Calibri"/>
        </w:rPr>
        <w:t xml:space="preserve">a PB Statement </w:t>
      </w:r>
      <w:r w:rsidR="53BF0693" w:rsidRPr="00DD477A">
        <w:rPr>
          <w:rFonts w:cs="Calibri"/>
        </w:rPr>
        <w:t>should include information where it is most relevant.</w:t>
      </w:r>
    </w:p>
    <w:p w14:paraId="1C247A3D" w14:textId="77777777" w:rsidR="00FA0945" w:rsidRPr="00DD477A" w:rsidRDefault="53BF0693" w:rsidP="000A7DEC">
      <w:pPr>
        <w:rPr>
          <w:rFonts w:cs="Calibri"/>
        </w:rPr>
      </w:pPr>
      <w:r w:rsidRPr="00DD477A">
        <w:rPr>
          <w:rFonts w:cs="Calibri"/>
        </w:rPr>
        <w:t>Entities should produce PB Statements that present three key messages:</w:t>
      </w:r>
    </w:p>
    <w:p w14:paraId="3E7237DF" w14:textId="58B495D6" w:rsidR="00FA0945" w:rsidRPr="00DD477A" w:rsidRDefault="53BF0693" w:rsidP="00A7381C">
      <w:pPr>
        <w:pStyle w:val="Bullet1"/>
      </w:pPr>
      <w:r w:rsidRPr="00DD477A">
        <w:t xml:space="preserve">What does the </w:t>
      </w:r>
      <w:r w:rsidR="006418EA" w:rsidRPr="00DD477A">
        <w:t>government</w:t>
      </w:r>
      <w:r w:rsidRPr="00DD477A">
        <w:t xml:space="preserve"> want to achieve?</w:t>
      </w:r>
    </w:p>
    <w:p w14:paraId="3ED64B51" w14:textId="22E5150D" w:rsidR="00FA0945" w:rsidRPr="00DD477A" w:rsidRDefault="002A3B9A" w:rsidP="00A7381C">
      <w:pPr>
        <w:pStyle w:val="Bullet1"/>
      </w:pPr>
      <w:r w:rsidRPr="00DD477A">
        <w:t>How</w:t>
      </w:r>
      <w:r w:rsidR="53BF0693" w:rsidRPr="00DD477A">
        <w:t xml:space="preserve"> does it propose to achieve this?</w:t>
      </w:r>
    </w:p>
    <w:p w14:paraId="3E142C15" w14:textId="77777777" w:rsidR="00FA0945" w:rsidRPr="00DD477A" w:rsidRDefault="53BF0693" w:rsidP="00A7381C">
      <w:pPr>
        <w:pStyle w:val="Bullet1"/>
      </w:pPr>
      <w:r w:rsidRPr="00DD477A">
        <w:t>How will progress be measured?</w:t>
      </w:r>
    </w:p>
    <w:p w14:paraId="26EBEA50" w14:textId="26C82133" w:rsidR="004728A6" w:rsidRPr="00DD477A" w:rsidRDefault="53BF0693" w:rsidP="000A7DEC">
      <w:pPr>
        <w:rPr>
          <w:rFonts w:cs="Calibri"/>
        </w:rPr>
      </w:pPr>
      <w:r w:rsidRPr="00DD477A">
        <w:rPr>
          <w:rFonts w:cs="Calibri"/>
        </w:rPr>
        <w:t>Entities may publish additional information beyond the requirements of the PB Statements on their websites.</w:t>
      </w:r>
    </w:p>
    <w:p w14:paraId="4388B9E2" w14:textId="4D503682" w:rsidR="00DC2750" w:rsidRPr="00DD477A" w:rsidRDefault="00C10D9F" w:rsidP="000A7DEC">
      <w:pPr>
        <w:rPr>
          <w:rFonts w:cs="Calibri"/>
        </w:rPr>
      </w:pPr>
      <w:r w:rsidRPr="00DD477A">
        <w:rPr>
          <w:rFonts w:cs="Calibri"/>
        </w:rPr>
        <w:t>A</w:t>
      </w:r>
      <w:r w:rsidR="53BF0693" w:rsidRPr="00DD477A">
        <w:rPr>
          <w:rFonts w:cs="Calibri"/>
        </w:rPr>
        <w:t xml:space="preserve"> cross-reference </w:t>
      </w:r>
      <w:r w:rsidRPr="00DD477A">
        <w:rPr>
          <w:rFonts w:cs="Calibri"/>
        </w:rPr>
        <w:t xml:space="preserve">to </w:t>
      </w:r>
      <w:r w:rsidR="00A07AE3" w:rsidRPr="00DD477A">
        <w:rPr>
          <w:rFonts w:cs="Calibri"/>
        </w:rPr>
        <w:t>your entities</w:t>
      </w:r>
      <w:r w:rsidR="003F2C98" w:rsidRPr="00DD477A">
        <w:rPr>
          <w:rFonts w:cs="Calibri"/>
        </w:rPr>
        <w:t>’</w:t>
      </w:r>
      <w:r w:rsidR="00A07AE3" w:rsidRPr="00DD477A">
        <w:rPr>
          <w:rFonts w:cs="Calibri"/>
        </w:rPr>
        <w:t xml:space="preserve"> </w:t>
      </w:r>
      <w:r w:rsidRPr="00DD477A">
        <w:rPr>
          <w:rFonts w:cs="Calibri"/>
        </w:rPr>
        <w:t>corporate plan</w:t>
      </w:r>
      <w:r w:rsidR="00A07AE3" w:rsidRPr="00DD477A">
        <w:rPr>
          <w:rFonts w:cs="Calibri"/>
        </w:rPr>
        <w:t xml:space="preserve"> should be</w:t>
      </w:r>
      <w:r w:rsidR="005A0CE0" w:rsidRPr="00DD477A">
        <w:rPr>
          <w:rFonts w:cs="Calibri"/>
        </w:rPr>
        <w:t xml:space="preserve"> included</w:t>
      </w:r>
      <w:r w:rsidRPr="00DD477A">
        <w:rPr>
          <w:rFonts w:cs="Calibri"/>
        </w:rPr>
        <w:t xml:space="preserve"> </w:t>
      </w:r>
      <w:r w:rsidR="53BF0693" w:rsidRPr="00DD477A">
        <w:rPr>
          <w:rFonts w:cs="Calibri"/>
        </w:rPr>
        <w:t>at the start of the PB Statements chapter to provide a more granular, operational level of detail.</w:t>
      </w:r>
    </w:p>
    <w:p w14:paraId="556CF170" w14:textId="518ECCD4" w:rsidR="00A7653C" w:rsidRPr="00DD477A" w:rsidRDefault="53BF0693" w:rsidP="000A7DEC">
      <w:pPr>
        <w:rPr>
          <w:rFonts w:cs="Calibri"/>
        </w:rPr>
      </w:pPr>
      <w:r w:rsidRPr="00DD477A">
        <w:rPr>
          <w:rFonts w:cs="Calibri"/>
        </w:rPr>
        <w:t xml:space="preserve">The </w:t>
      </w:r>
      <w:r w:rsidR="00B35C17" w:rsidRPr="00DD477A">
        <w:rPr>
          <w:rFonts w:cs="Calibri"/>
        </w:rPr>
        <w:t xml:space="preserve">structure of the </w:t>
      </w:r>
      <w:r w:rsidR="00B11749" w:rsidRPr="00DD477A">
        <w:rPr>
          <w:rFonts w:cs="Calibri"/>
        </w:rPr>
        <w:t>202</w:t>
      </w:r>
      <w:r w:rsidR="005E0F21" w:rsidRPr="00DD477A">
        <w:rPr>
          <w:rFonts w:cs="Calibri"/>
        </w:rPr>
        <w:t>4</w:t>
      </w:r>
      <w:r w:rsidR="00B11749" w:rsidRPr="00DD477A">
        <w:rPr>
          <w:rFonts w:cs="Calibri"/>
        </w:rPr>
        <w:t>-2</w:t>
      </w:r>
      <w:r w:rsidR="005E0F21" w:rsidRPr="00DD477A">
        <w:rPr>
          <w:rFonts w:cs="Calibri"/>
        </w:rPr>
        <w:t>5</w:t>
      </w:r>
      <w:r w:rsidR="00197D38" w:rsidRPr="00DD477A">
        <w:rPr>
          <w:rFonts w:cs="Calibri"/>
        </w:rPr>
        <w:t xml:space="preserve"> </w:t>
      </w:r>
      <w:r w:rsidRPr="00DD477A">
        <w:rPr>
          <w:rFonts w:cs="Calibri"/>
        </w:rPr>
        <w:t xml:space="preserve">PB Statements </w:t>
      </w:r>
      <w:r w:rsidR="00B35C17" w:rsidRPr="00DD477A">
        <w:rPr>
          <w:rFonts w:cs="Calibri"/>
        </w:rPr>
        <w:t>is</w:t>
      </w:r>
      <w:r w:rsidRPr="00DD477A">
        <w:rPr>
          <w:rFonts w:cs="Calibri"/>
        </w:rPr>
        <w:t xml:space="preserve"> </w:t>
      </w:r>
      <w:r w:rsidR="00126A9D" w:rsidRPr="00DD477A">
        <w:rPr>
          <w:rFonts w:cs="Calibri"/>
        </w:rPr>
        <w:t>below</w:t>
      </w:r>
      <w:r w:rsidR="003A016E" w:rsidRPr="00DD477A">
        <w:rPr>
          <w:rFonts w:cs="Calibri"/>
        </w:rPr>
        <w:t>.</w:t>
      </w:r>
    </w:p>
    <w:tbl>
      <w:tblPr>
        <w:tblpPr w:leftFromText="180" w:rightFromText="180" w:vertAnchor="text" w:horzAnchor="margin" w:tblpY="177"/>
        <w:tblW w:w="878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784"/>
      </w:tblGrid>
      <w:tr w:rsidR="00A7653C" w:rsidRPr="00DD477A" w14:paraId="70ED365F" w14:textId="77777777" w:rsidTr="00A7653C">
        <w:tc>
          <w:tcPr>
            <w:tcW w:w="8784" w:type="dxa"/>
            <w:shd w:val="clear" w:color="auto" w:fill="D9D9D9" w:themeFill="background1" w:themeFillShade="D9"/>
          </w:tcPr>
          <w:p w14:paraId="4C0E7248" w14:textId="77777777" w:rsidR="00A7653C" w:rsidRPr="00DD477A" w:rsidRDefault="00A7653C" w:rsidP="0095142C">
            <w:pPr>
              <w:pStyle w:val="TableText-Normal"/>
              <w:spacing w:before="0" w:after="60"/>
              <w:ind w:left="0"/>
              <w:rPr>
                <w:rFonts w:cs="Calibri"/>
              </w:rPr>
            </w:pPr>
            <w:r w:rsidRPr="00DD477A">
              <w:rPr>
                <w:rFonts w:cs="Calibri"/>
              </w:rPr>
              <w:t>User Guide to the Portfolio Budget Statements</w:t>
            </w:r>
          </w:p>
          <w:p w14:paraId="614318A2" w14:textId="77777777" w:rsidR="00A7653C" w:rsidRPr="00DD477A" w:rsidRDefault="00A7653C" w:rsidP="0095142C">
            <w:pPr>
              <w:pStyle w:val="TableText-Normal"/>
              <w:spacing w:before="0" w:after="60"/>
              <w:ind w:left="0"/>
              <w:rPr>
                <w:rFonts w:cs="Calibri"/>
              </w:rPr>
            </w:pPr>
            <w:r w:rsidRPr="00DD477A">
              <w:rPr>
                <w:rFonts w:cs="Calibri"/>
              </w:rPr>
              <w:t>Portfolio overview</w:t>
            </w:r>
          </w:p>
          <w:p w14:paraId="6614EEF1" w14:textId="77777777" w:rsidR="00A7653C" w:rsidRPr="00DD477A" w:rsidRDefault="00A7653C" w:rsidP="00A7653C">
            <w:pPr>
              <w:pStyle w:val="Bullet2"/>
            </w:pPr>
            <w:r w:rsidRPr="00DD477A">
              <w:t>Minister(s) and portfolio responsibilities</w:t>
            </w:r>
          </w:p>
          <w:p w14:paraId="4C1F8990" w14:textId="77777777" w:rsidR="00A7653C" w:rsidRPr="00DD477A" w:rsidRDefault="00A7653C" w:rsidP="00A7653C">
            <w:pPr>
              <w:pStyle w:val="Bullet2"/>
            </w:pPr>
            <w:r w:rsidRPr="00DD477A">
              <w:t>Portfolio structure and outcomes</w:t>
            </w:r>
          </w:p>
        </w:tc>
      </w:tr>
      <w:tr w:rsidR="00A7653C" w:rsidRPr="00DD477A" w14:paraId="27612017" w14:textId="77777777" w:rsidTr="00A7653C">
        <w:tc>
          <w:tcPr>
            <w:tcW w:w="8784" w:type="dxa"/>
            <w:shd w:val="clear" w:color="auto" w:fill="D9D9D9" w:themeFill="background1" w:themeFillShade="D9"/>
          </w:tcPr>
          <w:p w14:paraId="11C24ADF" w14:textId="77777777" w:rsidR="00A7653C" w:rsidRPr="00DD477A" w:rsidRDefault="00A7653C" w:rsidP="0095142C">
            <w:pPr>
              <w:pStyle w:val="TableText-Normal"/>
              <w:spacing w:before="0" w:after="60"/>
              <w:ind w:left="0"/>
              <w:rPr>
                <w:rFonts w:cs="Calibri"/>
              </w:rPr>
            </w:pPr>
            <w:r w:rsidRPr="00DD477A">
              <w:rPr>
                <w:rFonts w:cs="Calibri"/>
              </w:rPr>
              <w:t>Entity resources and planned performance</w:t>
            </w:r>
          </w:p>
          <w:p w14:paraId="65BF0BF3" w14:textId="0D61625A" w:rsidR="00A7653C" w:rsidRPr="00DD477A" w:rsidRDefault="00A7653C" w:rsidP="00A7653C">
            <w:pPr>
              <w:pStyle w:val="Bullet2"/>
            </w:pPr>
            <w:r w:rsidRPr="00DD477A">
              <w:rPr>
                <w:u w:val="single"/>
              </w:rPr>
              <w:t xml:space="preserve">Section </w:t>
            </w:r>
            <w:r w:rsidR="00FE2542" w:rsidRPr="00DD477A">
              <w:rPr>
                <w:u w:val="single"/>
              </w:rPr>
              <w:t>1</w:t>
            </w:r>
            <w:r w:rsidRPr="00DD477A">
              <w:t>: Entity overview and resources</w:t>
            </w:r>
          </w:p>
          <w:p w14:paraId="6D3A594B" w14:textId="0837C849" w:rsidR="00A7653C" w:rsidRPr="00DD477A" w:rsidRDefault="00C3661E" w:rsidP="00074797">
            <w:pPr>
              <w:pStyle w:val="Bullet3"/>
            </w:pPr>
            <w:r w:rsidRPr="00DD477A">
              <w:t xml:space="preserve">1.1 </w:t>
            </w:r>
            <w:r w:rsidR="00A7653C" w:rsidRPr="00DD477A">
              <w:t>Strategic direction statement</w:t>
            </w:r>
          </w:p>
          <w:p w14:paraId="72808149" w14:textId="03F355B0" w:rsidR="00A7653C" w:rsidRPr="00DD477A" w:rsidRDefault="00C3661E" w:rsidP="00074797">
            <w:pPr>
              <w:pStyle w:val="Bullet3"/>
            </w:pPr>
            <w:r w:rsidRPr="00DD477A">
              <w:t xml:space="preserve">1.2 </w:t>
            </w:r>
            <w:r w:rsidR="00A7653C" w:rsidRPr="00DD477A">
              <w:t>Entity resource statement</w:t>
            </w:r>
          </w:p>
          <w:p w14:paraId="46ECD537" w14:textId="1BB6D02E" w:rsidR="00A7653C" w:rsidRPr="00DD477A" w:rsidRDefault="00517DB6" w:rsidP="00074797">
            <w:pPr>
              <w:pStyle w:val="Bullet3"/>
            </w:pPr>
            <w:r w:rsidRPr="00DD477A">
              <w:t xml:space="preserve">1.3 </w:t>
            </w:r>
            <w:r w:rsidR="00A7653C" w:rsidRPr="00DD477A">
              <w:t>Budget measures</w:t>
            </w:r>
          </w:p>
          <w:p w14:paraId="06BC7706" w14:textId="77777777" w:rsidR="00A7653C" w:rsidRPr="00DD477A" w:rsidRDefault="00A7653C" w:rsidP="00074797">
            <w:pPr>
              <w:pStyle w:val="Bullet3"/>
            </w:pPr>
            <w:r w:rsidRPr="00DD477A">
              <w:t>Changes in entity outcomes and programs (where applicable)</w:t>
            </w:r>
          </w:p>
          <w:p w14:paraId="072EE512" w14:textId="544358AF" w:rsidR="00A7653C" w:rsidRPr="00DD477A" w:rsidRDefault="00A7653C" w:rsidP="00A7653C">
            <w:pPr>
              <w:pStyle w:val="Bullet2"/>
            </w:pPr>
            <w:r w:rsidRPr="00DD477A">
              <w:rPr>
                <w:u w:val="single"/>
              </w:rPr>
              <w:t xml:space="preserve">Section </w:t>
            </w:r>
            <w:r w:rsidR="00FE2542" w:rsidRPr="00DD477A">
              <w:rPr>
                <w:u w:val="single"/>
              </w:rPr>
              <w:t>2</w:t>
            </w:r>
            <w:r w:rsidRPr="00DD477A">
              <w:t>: Outcomes and planned performance</w:t>
            </w:r>
          </w:p>
          <w:p w14:paraId="2D168662" w14:textId="77777777" w:rsidR="00A7653C" w:rsidRPr="00DD477A" w:rsidRDefault="00A7653C" w:rsidP="00074797">
            <w:pPr>
              <w:pStyle w:val="Bullet3"/>
            </w:pPr>
            <w:r w:rsidRPr="00DD477A">
              <w:t>Budgeted expenses and performance for Outcome X</w:t>
            </w:r>
          </w:p>
          <w:p w14:paraId="542E22D6" w14:textId="77777777" w:rsidR="00A7653C" w:rsidRPr="00DD477A" w:rsidRDefault="00A7653C" w:rsidP="00A7653C">
            <w:pPr>
              <w:pStyle w:val="Bullet4"/>
              <w:spacing w:before="0" w:after="60" w:line="240" w:lineRule="auto"/>
              <w:rPr>
                <w:rFonts w:cs="Calibri"/>
              </w:rPr>
            </w:pPr>
            <w:r w:rsidRPr="00DD477A">
              <w:rPr>
                <w:rFonts w:cs="Calibri"/>
              </w:rPr>
              <w:t>Linked programs</w:t>
            </w:r>
          </w:p>
          <w:p w14:paraId="08FB3F4A" w14:textId="77777777" w:rsidR="00A7653C" w:rsidRPr="00DD477A" w:rsidRDefault="00A7653C" w:rsidP="00A7653C">
            <w:pPr>
              <w:pStyle w:val="Bullet4"/>
              <w:spacing w:before="0" w:after="60" w:line="240" w:lineRule="auto"/>
              <w:rPr>
                <w:rFonts w:cs="Calibri"/>
              </w:rPr>
            </w:pPr>
            <w:r w:rsidRPr="00DD477A">
              <w:rPr>
                <w:rFonts w:cs="Calibri"/>
              </w:rPr>
              <w:t>Budgeted expenses for Outcome X</w:t>
            </w:r>
          </w:p>
          <w:p w14:paraId="29B7C1AA" w14:textId="77777777" w:rsidR="00A7653C" w:rsidRPr="00DD477A" w:rsidRDefault="00A7653C" w:rsidP="00A7653C">
            <w:pPr>
              <w:pStyle w:val="Bullet5"/>
              <w:spacing w:before="0" w:after="60" w:line="240" w:lineRule="auto"/>
              <w:rPr>
                <w:rFonts w:cs="Calibri"/>
              </w:rPr>
            </w:pPr>
            <w:r w:rsidRPr="00DD477A">
              <w:rPr>
                <w:rFonts w:cs="Calibri"/>
              </w:rPr>
              <w:t>Program components of Outcome X (optional)</w:t>
            </w:r>
          </w:p>
          <w:p w14:paraId="098D710D" w14:textId="603A7CA1" w:rsidR="00A7653C" w:rsidRPr="00DD477A" w:rsidRDefault="003F2C98" w:rsidP="00A7653C">
            <w:pPr>
              <w:pStyle w:val="Bullet4"/>
              <w:spacing w:before="0" w:after="60" w:line="240" w:lineRule="auto"/>
              <w:rPr>
                <w:rFonts w:cs="Calibri"/>
              </w:rPr>
            </w:pPr>
            <w:r w:rsidRPr="00DD477A">
              <w:rPr>
                <w:rFonts w:cs="Calibri"/>
              </w:rPr>
              <w:t>P</w:t>
            </w:r>
            <w:r w:rsidR="00A7653C" w:rsidRPr="00DD477A">
              <w:rPr>
                <w:rFonts w:cs="Calibri"/>
              </w:rPr>
              <w:t>erformance measures for Outcome X</w:t>
            </w:r>
          </w:p>
          <w:p w14:paraId="1236AE7B" w14:textId="4F583BE4" w:rsidR="00A7653C" w:rsidRPr="00DD477A" w:rsidRDefault="00A7653C" w:rsidP="00A7653C">
            <w:pPr>
              <w:pStyle w:val="Bullet2"/>
            </w:pPr>
            <w:r w:rsidRPr="00DD477A">
              <w:rPr>
                <w:u w:val="single"/>
              </w:rPr>
              <w:t xml:space="preserve">Section </w:t>
            </w:r>
            <w:r w:rsidR="00FE2542" w:rsidRPr="00DD477A">
              <w:rPr>
                <w:u w:val="single"/>
              </w:rPr>
              <w:t>3</w:t>
            </w:r>
            <w:r w:rsidRPr="00DD477A">
              <w:t>: Budgeted financial statements</w:t>
            </w:r>
          </w:p>
          <w:p w14:paraId="56D06558" w14:textId="77777777" w:rsidR="00A7653C" w:rsidRPr="00DD477A" w:rsidRDefault="00A7653C" w:rsidP="00074797">
            <w:pPr>
              <w:pStyle w:val="Bullet3"/>
            </w:pPr>
            <w:r w:rsidRPr="00DD477A">
              <w:t>Differences between entity resourcing and financial statements (optional)</w:t>
            </w:r>
          </w:p>
          <w:p w14:paraId="13CCD7CF" w14:textId="77777777" w:rsidR="00A7653C" w:rsidRPr="00DD477A" w:rsidRDefault="00A7653C" w:rsidP="00074797">
            <w:pPr>
              <w:pStyle w:val="Bullet3"/>
            </w:pPr>
            <w:r w:rsidRPr="00DD477A">
              <w:t>Explanatory notes and analysis of financial statements</w:t>
            </w:r>
          </w:p>
          <w:p w14:paraId="347FD6D3" w14:textId="32BCA978" w:rsidR="00A7653C" w:rsidRPr="00DD477A" w:rsidRDefault="00A7653C" w:rsidP="00074797">
            <w:pPr>
              <w:pStyle w:val="Bullet3"/>
            </w:pPr>
            <w:r w:rsidRPr="00DD477A">
              <w:t>Budgeted financial statement</w:t>
            </w:r>
            <w:r w:rsidR="003F2C98" w:rsidRPr="00DD477A">
              <w:t>s</w:t>
            </w:r>
            <w:r w:rsidRPr="00DD477A">
              <w:t xml:space="preserve"> tables</w:t>
            </w:r>
          </w:p>
        </w:tc>
      </w:tr>
      <w:tr w:rsidR="00A7653C" w:rsidRPr="00DD477A" w14:paraId="055E0F70" w14:textId="77777777" w:rsidTr="00A7653C">
        <w:tc>
          <w:tcPr>
            <w:tcW w:w="8784" w:type="dxa"/>
            <w:shd w:val="clear" w:color="auto" w:fill="D9D9D9" w:themeFill="background1" w:themeFillShade="D9"/>
          </w:tcPr>
          <w:p w14:paraId="5418D81D" w14:textId="77777777" w:rsidR="00A7653C" w:rsidRPr="00DD477A" w:rsidRDefault="00A7653C" w:rsidP="00A7653C">
            <w:pPr>
              <w:pStyle w:val="TableText-Normal"/>
              <w:spacing w:before="0" w:after="60"/>
              <w:rPr>
                <w:rFonts w:cs="Calibri"/>
              </w:rPr>
            </w:pPr>
            <w:r w:rsidRPr="00DD477A">
              <w:rPr>
                <w:rFonts w:cs="Calibri"/>
              </w:rPr>
              <w:t>Portfolio glossary</w:t>
            </w:r>
          </w:p>
          <w:p w14:paraId="5827AE7E" w14:textId="0058FB5B" w:rsidR="00A7653C" w:rsidRPr="00DD477A" w:rsidRDefault="00A7653C" w:rsidP="00A7653C">
            <w:pPr>
              <w:pStyle w:val="TableText-Normal"/>
              <w:spacing w:before="0" w:after="60"/>
              <w:rPr>
                <w:rFonts w:cs="Calibri"/>
              </w:rPr>
            </w:pPr>
            <w:r w:rsidRPr="00DD477A">
              <w:rPr>
                <w:rFonts w:cs="Calibri"/>
              </w:rPr>
              <w:t>Index</w:t>
            </w:r>
            <w:r w:rsidR="003F2C98" w:rsidRPr="00DD477A">
              <w:rPr>
                <w:rFonts w:cs="Calibri"/>
              </w:rPr>
              <w:t xml:space="preserve"> (optional)</w:t>
            </w:r>
          </w:p>
        </w:tc>
      </w:tr>
    </w:tbl>
    <w:p w14:paraId="46745F71" w14:textId="77777777" w:rsidR="00A7653C" w:rsidRPr="00DD477A" w:rsidRDefault="00A7653C" w:rsidP="000A7DEC">
      <w:pPr>
        <w:rPr>
          <w:rFonts w:cs="Calibri"/>
        </w:rPr>
      </w:pPr>
    </w:p>
    <w:p w14:paraId="06CECE86" w14:textId="77777777" w:rsidR="00A7653C" w:rsidRPr="00DD477A" w:rsidRDefault="00A7653C" w:rsidP="000A7DEC">
      <w:pPr>
        <w:rPr>
          <w:rFonts w:cs="Calibri"/>
        </w:rPr>
      </w:pPr>
    </w:p>
    <w:p w14:paraId="6D100FD0" w14:textId="77777777" w:rsidR="00E63188" w:rsidRPr="00DD477A" w:rsidRDefault="00E63188">
      <w:pPr>
        <w:suppressAutoHyphens w:val="0"/>
        <w:spacing w:before="0" w:after="120" w:line="440" w:lineRule="atLeast"/>
        <w:rPr>
          <w:rFonts w:asciiTheme="majorHAnsi" w:eastAsiaTheme="majorEastAsia" w:hAnsiTheme="majorHAnsi" w:cstheme="majorBidi"/>
          <w:bCs/>
          <w:color w:val="1C1C1C" w:themeColor="text2"/>
          <w:sz w:val="48"/>
          <w:szCs w:val="48"/>
        </w:rPr>
      </w:pPr>
      <w:r w:rsidRPr="00DD477A">
        <w:rPr>
          <w:sz w:val="48"/>
          <w:szCs w:val="48"/>
        </w:rPr>
        <w:br w:type="page"/>
      </w:r>
    </w:p>
    <w:p w14:paraId="53A9BCA6" w14:textId="2691BD06" w:rsidR="00A33FE8" w:rsidRPr="00DD477A" w:rsidRDefault="00A33FE8" w:rsidP="00166A5E">
      <w:pPr>
        <w:pStyle w:val="Heading1"/>
        <w:numPr>
          <w:ilvl w:val="0"/>
          <w:numId w:val="0"/>
        </w:numPr>
        <w:ind w:left="1134" w:hanging="1134"/>
      </w:pPr>
      <w:bookmarkStart w:id="564" w:name="_Toc160715517"/>
      <w:r w:rsidRPr="00DD477A">
        <w:lastRenderedPageBreak/>
        <w:t>Publication of Hard and Soft Copy Deliverables</w:t>
      </w:r>
      <w:bookmarkEnd w:id="564"/>
    </w:p>
    <w:p w14:paraId="60D8496B" w14:textId="77777777" w:rsidR="00A33FE8" w:rsidRPr="00DD477A" w:rsidRDefault="00A33FE8" w:rsidP="00A85E0D"/>
    <w:p w14:paraId="2A70F9C8" w14:textId="77777777" w:rsidR="00A14EAF" w:rsidRPr="00DD477A" w:rsidRDefault="00A14EAF" w:rsidP="00E548A0">
      <w:pPr>
        <w:pStyle w:val="Heading1"/>
      </w:pPr>
      <w:bookmarkStart w:id="565" w:name="_Toc160715518"/>
      <w:r w:rsidRPr="00DD477A">
        <w:t>Publication Requirements</w:t>
      </w:r>
      <w:bookmarkEnd w:id="565"/>
    </w:p>
    <w:p w14:paraId="14D000D5" w14:textId="139BBF88" w:rsidR="00A14EAF" w:rsidRPr="00DD477A" w:rsidRDefault="00A14EAF" w:rsidP="00E548A0">
      <w:pPr>
        <w:pStyle w:val="Heading2"/>
      </w:pPr>
      <w:bookmarkStart w:id="566" w:name="_Toc160715519"/>
      <w:r w:rsidRPr="00DD477A">
        <w:t>Security requirements</w:t>
      </w:r>
      <w:bookmarkEnd w:id="566"/>
    </w:p>
    <w:p w14:paraId="466511F7" w14:textId="77BA8AAA" w:rsidR="00A14EAF" w:rsidRPr="00DD477A" w:rsidRDefault="00A14EAF" w:rsidP="00A14EAF">
      <w:pPr>
        <w:rPr>
          <w:rFonts w:cs="Calibri"/>
        </w:rPr>
      </w:pPr>
      <w:r w:rsidRPr="00DD477A">
        <w:rPr>
          <w:rFonts w:cs="Calibri"/>
        </w:rPr>
        <w:t xml:space="preserve">The PB Statements are classified as </w:t>
      </w:r>
      <w:r w:rsidRPr="00DD477A">
        <w:rPr>
          <w:rFonts w:cs="Calibri"/>
          <w:b/>
          <w:bCs/>
        </w:rPr>
        <w:t xml:space="preserve">Protected </w:t>
      </w:r>
      <w:r w:rsidRPr="00DD477A">
        <w:rPr>
          <w:rFonts w:cs="Calibri"/>
        </w:rPr>
        <w:t>and are</w:t>
      </w:r>
      <w:r w:rsidRPr="00DD477A">
        <w:rPr>
          <w:rFonts w:cs="Calibri"/>
          <w:b/>
          <w:bCs/>
        </w:rPr>
        <w:t xml:space="preserve"> under embargo</w:t>
      </w:r>
      <w:r w:rsidRPr="00DD477A">
        <w:rPr>
          <w:rFonts w:cs="Calibri"/>
        </w:rPr>
        <w:t xml:space="preserve"> until they are tabled in Parliament. Each portfolio </w:t>
      </w:r>
      <w:r w:rsidRPr="00DD477A">
        <w:rPr>
          <w:rFonts w:cs="Calibri"/>
          <w:u w:val="single"/>
        </w:rPr>
        <w:t>must</w:t>
      </w:r>
      <w:r w:rsidRPr="00DD477A">
        <w:rPr>
          <w:rFonts w:cs="Calibri"/>
        </w:rPr>
        <w:t xml:space="preserve"> ensure appropriate security arrangements are made and should contact their entity’s security adviser for guidance if required.</w:t>
      </w:r>
    </w:p>
    <w:p w14:paraId="2E6F0F84" w14:textId="77777777" w:rsidR="00A14EAF" w:rsidRPr="00DD477A" w:rsidRDefault="00A14EAF" w:rsidP="00A14EAF">
      <w:pPr>
        <w:rPr>
          <w:rFonts w:cs="Calibri"/>
        </w:rPr>
      </w:pPr>
      <w:r w:rsidRPr="00DD477A">
        <w:rPr>
          <w:rFonts w:cs="Calibri"/>
        </w:rPr>
        <w:t>Items to consider:</w:t>
      </w:r>
    </w:p>
    <w:p w14:paraId="46625311" w14:textId="77777777" w:rsidR="00A14EAF" w:rsidRPr="00DD477A" w:rsidRDefault="00A14EAF">
      <w:pPr>
        <w:pStyle w:val="Bullet1"/>
      </w:pPr>
      <w:r w:rsidRPr="00DD477A">
        <w:t>PB Statements should be prepared in a secure area of the entity</w:t>
      </w:r>
    </w:p>
    <w:p w14:paraId="451984EC" w14:textId="77777777" w:rsidR="00A14EAF" w:rsidRPr="00DD477A" w:rsidRDefault="00A14EAF">
      <w:pPr>
        <w:pStyle w:val="Bullet1"/>
      </w:pPr>
      <w:r w:rsidRPr="00DD477A">
        <w:t>under no circumstances should PB Statements or excerpts from PB Statements be distributed via unsecure electronic mail</w:t>
      </w:r>
    </w:p>
    <w:p w14:paraId="7F0D3217" w14:textId="77777777" w:rsidR="00A14EAF" w:rsidRPr="00DD477A" w:rsidRDefault="00A14EAF">
      <w:pPr>
        <w:pStyle w:val="Bullet1"/>
      </w:pPr>
      <w:r w:rsidRPr="00DD477A">
        <w:t>the ‘need to know’ principle applies in the distribution of all material</w:t>
      </w:r>
    </w:p>
    <w:p w14:paraId="38478CD3" w14:textId="13924BE0" w:rsidR="00A14EAF" w:rsidRPr="00DD477A" w:rsidRDefault="00A14EAF">
      <w:pPr>
        <w:pStyle w:val="Bullet1"/>
      </w:pPr>
      <w:r w:rsidRPr="00DD477A">
        <w:t xml:space="preserve">PB Statements should not be prepared by external companies or contractors who cannot demonstrate that their premises meet the security standards for protected information as provided by the Protective Security Policy Framework </w:t>
      </w:r>
      <w:hyperlink r:id="rId26">
        <w:r w:rsidRPr="00DD477A">
          <w:rPr>
            <w:rStyle w:val="Hyperlink"/>
          </w:rPr>
          <w:t>www.protectivesecurity.gov.au</w:t>
        </w:r>
      </w:hyperlink>
      <w:r w:rsidRPr="00DD477A">
        <w:rPr>
          <w:rStyle w:val="Hyperlink"/>
          <w:rFonts w:cs="Calibri"/>
          <w:u w:val="none"/>
        </w:rPr>
        <w:t>.</w:t>
      </w:r>
    </w:p>
    <w:p w14:paraId="4A50F328" w14:textId="77777777" w:rsidR="00A14EAF" w:rsidRPr="00DD477A" w:rsidRDefault="00A14EAF" w:rsidP="00E548A0">
      <w:pPr>
        <w:pStyle w:val="Heading2"/>
      </w:pPr>
      <w:bookmarkStart w:id="567" w:name="_Toc160715520"/>
      <w:r w:rsidRPr="00DD477A">
        <w:t>Printing specifications</w:t>
      </w:r>
      <w:bookmarkEnd w:id="567"/>
    </w:p>
    <w:p w14:paraId="01D9B822" w14:textId="77777777" w:rsidR="00A14EAF" w:rsidRPr="00DD477A" w:rsidRDefault="00A14EAF" w:rsidP="00A14EAF">
      <w:pPr>
        <w:rPr>
          <w:rFonts w:cs="Calibri"/>
        </w:rPr>
      </w:pPr>
      <w:r w:rsidRPr="00DD477A">
        <w:rPr>
          <w:rFonts w:cs="Calibri"/>
        </w:rPr>
        <w:t xml:space="preserve">If these printing requirements are revised, </w:t>
      </w:r>
      <w:r w:rsidRPr="00DD477A">
        <w:t>Finance will provide separat</w:t>
      </w:r>
      <w:r w:rsidRPr="00DD477A">
        <w:rPr>
          <w:rFonts w:cs="Calibri"/>
        </w:rPr>
        <w:t>e advice to the entities’ PB Statement Portfolio Coordinators and to CanPrint Communications Pty Ltd (CanPrint).</w:t>
      </w:r>
    </w:p>
    <w:p w14:paraId="64D50B43" w14:textId="77777777" w:rsidR="00A14EAF" w:rsidRPr="00DD477A" w:rsidRDefault="00A14EAF" w:rsidP="00E548A0">
      <w:pPr>
        <w:pStyle w:val="Heading3"/>
      </w:pPr>
      <w:bookmarkStart w:id="568" w:name="_Toc160715521"/>
      <w:r w:rsidRPr="00DD477A">
        <w:t>Paper and format specifications</w:t>
      </w:r>
      <w:bookmarkEnd w:id="568"/>
    </w:p>
    <w:p w14:paraId="0A431BC6" w14:textId="77777777" w:rsidR="00A14EAF" w:rsidRPr="00DD477A" w:rsidRDefault="00A14EAF" w:rsidP="00A14EAF">
      <w:pPr>
        <w:rPr>
          <w:rFonts w:cs="Calibri"/>
        </w:rPr>
      </w:pPr>
      <w:r w:rsidRPr="00DD477A">
        <w:rPr>
          <w:rFonts w:cs="Calibri"/>
        </w:rPr>
        <w:t xml:space="preserve">Hard copies of the PB Statements </w:t>
      </w:r>
      <w:r w:rsidRPr="00DD477A">
        <w:rPr>
          <w:rFonts w:cs="Calibri"/>
          <w:b/>
          <w:bCs/>
        </w:rPr>
        <w:t>must</w:t>
      </w:r>
      <w:r w:rsidRPr="00DD477A">
        <w:rPr>
          <w:rFonts w:cs="Calibri"/>
        </w:rPr>
        <w:t xml:space="preserve"> be produced on </w:t>
      </w:r>
      <w:r w:rsidRPr="00DD477A">
        <w:rPr>
          <w:rFonts w:cs="Calibri"/>
          <w:u w:val="single"/>
        </w:rPr>
        <w:t>standard B5 size paper (17.6 cm x 25 cm)</w:t>
      </w:r>
      <w:r w:rsidRPr="00DD477A">
        <w:rPr>
          <w:rFonts w:cs="Calibri"/>
        </w:rPr>
        <w:t xml:space="preserve"> with the following font requirements:</w:t>
      </w:r>
    </w:p>
    <w:p w14:paraId="4B8D33CD" w14:textId="77777777" w:rsidR="00A14EAF" w:rsidRPr="00DD477A" w:rsidRDefault="00A14EAF" w:rsidP="00A14EAF">
      <w:pPr>
        <w:pStyle w:val="Bullet1"/>
      </w:pPr>
      <w:r w:rsidRPr="00DD477A">
        <w:t>for tables (including those in the Excel workbook), Arial and 8 point (minimum font size 7.5 point)</w:t>
      </w:r>
    </w:p>
    <w:p w14:paraId="03091425" w14:textId="77777777" w:rsidR="00A14EAF" w:rsidRPr="00DD477A" w:rsidRDefault="00A14EAF" w:rsidP="00A14EAF">
      <w:pPr>
        <w:pStyle w:val="Bullet1"/>
      </w:pPr>
      <w:r w:rsidRPr="00DD477A">
        <w:t>for other text (in the Word template), Book Antiqua and 10 point.</w:t>
      </w:r>
    </w:p>
    <w:p w14:paraId="0E568CA9" w14:textId="77777777" w:rsidR="00A14EAF" w:rsidRPr="00DD477A" w:rsidRDefault="00A14EAF" w:rsidP="00A14EAF">
      <w:pPr>
        <w:rPr>
          <w:rFonts w:cs="Calibri"/>
        </w:rPr>
      </w:pPr>
      <w:r w:rsidRPr="00DD477A">
        <w:rPr>
          <w:rFonts w:cs="Calibri"/>
        </w:rPr>
        <w:t>Adherence to the fonts and styles provided in the templates (available from CBMS User Reference Material in CBMS) ensures consistency with other Budget documents and related papers.</w:t>
      </w:r>
    </w:p>
    <w:p w14:paraId="295EF23C" w14:textId="77777777" w:rsidR="00A14EAF" w:rsidRPr="00DD477A" w:rsidRDefault="00A14EAF" w:rsidP="00A14EAF">
      <w:pPr>
        <w:rPr>
          <w:rFonts w:cs="Calibri"/>
        </w:rPr>
      </w:pPr>
      <w:r w:rsidRPr="00DD477A">
        <w:rPr>
          <w:rFonts w:cs="Calibri"/>
        </w:rPr>
        <w:t xml:space="preserve">For the </w:t>
      </w:r>
      <w:r w:rsidRPr="00DD477A">
        <w:rPr>
          <w:rFonts w:cs="Calibri"/>
          <w:b/>
        </w:rPr>
        <w:t>covers</w:t>
      </w:r>
      <w:r w:rsidRPr="00DD477A">
        <w:rPr>
          <w:rFonts w:cs="Calibri"/>
        </w:rPr>
        <w:t xml:space="preserve">, entities </w:t>
      </w:r>
      <w:r w:rsidRPr="00DD477A">
        <w:rPr>
          <w:rFonts w:cs="Calibri"/>
          <w:u w:val="single"/>
        </w:rPr>
        <w:t>must</w:t>
      </w:r>
      <w:r w:rsidRPr="00DD477A">
        <w:rPr>
          <w:rFonts w:cs="Calibri"/>
        </w:rPr>
        <w:t xml:space="preserve"> use ‘Tablex System Board 250gsm – White Offset’ paper with the cover text in black.</w:t>
      </w:r>
    </w:p>
    <w:p w14:paraId="3A7FB32D" w14:textId="77777777" w:rsidR="00A14EAF" w:rsidRPr="00DD477A" w:rsidRDefault="00A14EAF" w:rsidP="00A14EAF">
      <w:pPr>
        <w:rPr>
          <w:rFonts w:cs="Calibri"/>
        </w:rPr>
      </w:pPr>
      <w:r w:rsidRPr="00DD477A">
        <w:rPr>
          <w:rFonts w:cs="Calibri"/>
        </w:rPr>
        <w:t xml:space="preserve">For consistency, all portfolios must have the portfolio name clearly visible on the spine of the documents. Please refer to the </w:t>
      </w:r>
      <w:hyperlink w:anchor="1.2_Who_should_prepare_PB_Statements" w:history="1">
        <w:r w:rsidRPr="00DD477A">
          <w:rPr>
            <w:rStyle w:val="Hyperlink"/>
            <w:rFonts w:cs="Calibri"/>
          </w:rPr>
          <w:t>‘Which entities should prepare PB Statements?’</w:t>
        </w:r>
      </w:hyperlink>
      <w:r w:rsidRPr="00DD477A">
        <w:rPr>
          <w:rFonts w:cs="Calibri"/>
        </w:rPr>
        <w:t xml:space="preserve"> section for portfolio names and numbers for the PB Statements covers. </w:t>
      </w:r>
    </w:p>
    <w:p w14:paraId="258A2F8C" w14:textId="77777777" w:rsidR="00A14EAF" w:rsidRPr="00DD477A" w:rsidRDefault="00A14EAF" w:rsidP="00E548A0">
      <w:pPr>
        <w:pStyle w:val="Heading3"/>
      </w:pPr>
      <w:bookmarkStart w:id="569" w:name="_Toc160715522"/>
      <w:r w:rsidRPr="00DD477A">
        <w:t>Printing Services</w:t>
      </w:r>
      <w:bookmarkEnd w:id="569"/>
    </w:p>
    <w:p w14:paraId="1A840743" w14:textId="77777777" w:rsidR="00A14EAF" w:rsidRPr="00DD477A" w:rsidRDefault="00A14EAF" w:rsidP="00A14EAF">
      <w:r w:rsidRPr="00DD477A">
        <w:t>It is the responsibility of each portfolio department to arrange the printing and secure freighting of their PB Statements. The contact officers for CanPrint are listed in Appendix 4.</w:t>
      </w:r>
    </w:p>
    <w:p w14:paraId="56174E82" w14:textId="77777777" w:rsidR="00A14EAF" w:rsidRPr="00DD477A" w:rsidRDefault="00A14EAF" w:rsidP="00A14EAF">
      <w:pPr>
        <w:rPr>
          <w:rFonts w:cs="Calibri"/>
        </w:rPr>
      </w:pPr>
      <w:r w:rsidRPr="00DD477A">
        <w:rPr>
          <w:rFonts w:cs="Calibri"/>
        </w:rPr>
        <w:lastRenderedPageBreak/>
        <w:t>It is recommended that the portfolio departments contact CanPrint to arrange printing of their PB Statements.</w:t>
      </w:r>
    </w:p>
    <w:p w14:paraId="572BC1C5" w14:textId="77777777" w:rsidR="00A14EAF" w:rsidRPr="00DD477A" w:rsidRDefault="00A14EAF" w:rsidP="00A14EAF">
      <w:pPr>
        <w:rPr>
          <w:rFonts w:cs="Calibri"/>
        </w:rPr>
      </w:pPr>
      <w:r w:rsidRPr="00DD477A">
        <w:rPr>
          <w:rFonts w:cs="Calibri"/>
        </w:rPr>
        <w:t>If printing is carried out ‘in-house’ or using another printer, entities must liaise with Finance to ensure that cover stock, colour and text is consistent with other portfolios’ PB Statements.</w:t>
      </w:r>
    </w:p>
    <w:p w14:paraId="44B575A9" w14:textId="77777777" w:rsidR="00A14EAF" w:rsidRPr="00DD477A" w:rsidRDefault="00A14EAF" w:rsidP="00A14EAF">
      <w:pPr>
        <w:rPr>
          <w:rFonts w:cs="Calibri"/>
        </w:rPr>
      </w:pPr>
      <w:r w:rsidRPr="00DD477A">
        <w:rPr>
          <w:rFonts w:cs="Calibri"/>
        </w:rPr>
        <w:t>Portfolios should ensure sufficient hard copies of their PB Statements are available for:</w:t>
      </w:r>
    </w:p>
    <w:p w14:paraId="006FBF19" w14:textId="77777777" w:rsidR="00A14EAF" w:rsidRPr="00DD477A" w:rsidRDefault="00A14EAF" w:rsidP="00A14EAF">
      <w:pPr>
        <w:pStyle w:val="Bullet1"/>
      </w:pPr>
      <w:r w:rsidRPr="00DD477A">
        <w:t>Budget lockup arrangements, as separately advised by the Treasury</w:t>
      </w:r>
    </w:p>
    <w:p w14:paraId="5A02C85E" w14:textId="77777777" w:rsidR="00A14EAF" w:rsidRPr="00DD477A" w:rsidRDefault="00A14EAF" w:rsidP="00A14EAF">
      <w:pPr>
        <w:pStyle w:val="Bullet1"/>
      </w:pPr>
      <w:r w:rsidRPr="00DD477A">
        <w:t>internal stakeholders</w:t>
      </w:r>
    </w:p>
    <w:p w14:paraId="37CDB762" w14:textId="77777777" w:rsidR="00A14EAF" w:rsidRPr="00DD477A" w:rsidRDefault="00A14EAF" w:rsidP="00A14EAF">
      <w:pPr>
        <w:pStyle w:val="Bullet1"/>
      </w:pPr>
      <w:r w:rsidRPr="00DD477A">
        <w:t xml:space="preserve">external stakeholders by request </w:t>
      </w:r>
    </w:p>
    <w:p w14:paraId="6A010BDB" w14:textId="77777777" w:rsidR="00A14EAF" w:rsidRPr="00DD477A" w:rsidRDefault="00A14EAF" w:rsidP="00A14EAF">
      <w:pPr>
        <w:pStyle w:val="Bullet1"/>
      </w:pPr>
      <w:r w:rsidRPr="00DD477A">
        <w:t>other departments and relevant entities</w:t>
      </w:r>
    </w:p>
    <w:p w14:paraId="4530C7EB" w14:textId="77777777" w:rsidR="00A14EAF" w:rsidRPr="00DD477A" w:rsidRDefault="00A14EAF" w:rsidP="00A14EAF">
      <w:pPr>
        <w:pStyle w:val="Bullet1"/>
      </w:pPr>
      <w:r w:rsidRPr="00DD477A">
        <w:t>major client organisations</w:t>
      </w:r>
    </w:p>
    <w:p w14:paraId="7B7269C5" w14:textId="77777777" w:rsidR="00A14EAF" w:rsidRPr="00DD477A" w:rsidRDefault="00A14EAF" w:rsidP="00A14EAF">
      <w:pPr>
        <w:pStyle w:val="Bullet1"/>
      </w:pPr>
      <w:r w:rsidRPr="00DD477A">
        <w:t>the libraries of tertiary institutions.</w:t>
      </w:r>
    </w:p>
    <w:p w14:paraId="732996EC" w14:textId="77777777" w:rsidR="00A14EAF" w:rsidRPr="00DD477A" w:rsidRDefault="00A14EAF" w:rsidP="00E548A0">
      <w:pPr>
        <w:pStyle w:val="Heading2"/>
      </w:pPr>
      <w:bookmarkStart w:id="570" w:name="_Toc160715523"/>
      <w:r w:rsidRPr="00DD477A">
        <w:t>Classification</w:t>
      </w:r>
      <w:bookmarkEnd w:id="570"/>
    </w:p>
    <w:p w14:paraId="6791D0A3" w14:textId="77777777" w:rsidR="00A14EAF" w:rsidRPr="00DD477A" w:rsidRDefault="00A14EAF" w:rsidP="00A14EAF">
      <w:pPr>
        <w:rPr>
          <w:rFonts w:cs="Calibri"/>
        </w:rPr>
      </w:pPr>
      <w:r w:rsidRPr="00DD477A">
        <w:rPr>
          <w:rFonts w:cs="Calibri"/>
        </w:rPr>
        <w:t>Packaging for the PB Statements should be labelled as follows:</w:t>
      </w:r>
    </w:p>
    <w:p w14:paraId="5FFDF925" w14:textId="77777777" w:rsidR="00A14EAF" w:rsidRPr="00DD477A" w:rsidRDefault="00A14EAF" w:rsidP="00A14EAF">
      <w:pPr>
        <w:pStyle w:val="Boxed2Text"/>
        <w:rPr>
          <w:rFonts w:cs="Calibri"/>
        </w:rPr>
      </w:pPr>
      <w:r w:rsidRPr="00DD477A">
        <w:rPr>
          <w:rFonts w:cs="Calibri"/>
        </w:rPr>
        <w:t xml:space="preserve">PB Statements are </w:t>
      </w:r>
      <w:r w:rsidRPr="00DD477A">
        <w:rPr>
          <w:rFonts w:cs="Calibri"/>
          <w:b/>
          <w:bCs/>
        </w:rPr>
        <w:t>Protected</w:t>
      </w:r>
      <w:r w:rsidRPr="00DD477A">
        <w:rPr>
          <w:rFonts w:cs="Calibri"/>
        </w:rPr>
        <w:t xml:space="preserve"> and </w:t>
      </w:r>
      <w:r w:rsidRPr="00DD477A">
        <w:rPr>
          <w:rFonts w:cs="Calibri"/>
          <w:b/>
          <w:bCs/>
        </w:rPr>
        <w:t>under embargo</w:t>
      </w:r>
      <w:r w:rsidRPr="00DD477A">
        <w:rPr>
          <w:rFonts w:cs="Calibri"/>
        </w:rPr>
        <w:t xml:space="preserve"> until they are tabled in Parliament through the Senate, anticipated after </w:t>
      </w:r>
      <w:r w:rsidRPr="00DD477A">
        <w:rPr>
          <w:rFonts w:cs="Calibri"/>
          <w:b/>
          <w:bCs/>
        </w:rPr>
        <w:t>20:15 pm Tuesday, 14 May 2024</w:t>
      </w:r>
      <w:r w:rsidRPr="00DD477A">
        <w:rPr>
          <w:rFonts w:cs="Calibri"/>
        </w:rPr>
        <w:t xml:space="preserve">. </w:t>
      </w:r>
    </w:p>
    <w:p w14:paraId="18F0AD18" w14:textId="77777777" w:rsidR="00A14EAF" w:rsidRPr="00DD477A" w:rsidRDefault="00A14EAF" w:rsidP="00E548A0">
      <w:pPr>
        <w:pStyle w:val="Heading2"/>
      </w:pPr>
      <w:bookmarkStart w:id="571" w:name="_Toc160715524"/>
      <w:r w:rsidRPr="00DD477A">
        <w:t>Delivery to Parliament House and Finance</w:t>
      </w:r>
      <w:bookmarkEnd w:id="571"/>
    </w:p>
    <w:p w14:paraId="642D2352" w14:textId="77777777" w:rsidR="00A14EAF" w:rsidRPr="00DD477A" w:rsidRDefault="00A14EAF" w:rsidP="00A14EAF">
      <w:pPr>
        <w:rPr>
          <w:rFonts w:cs="Calibri"/>
        </w:rPr>
      </w:pPr>
      <w:r w:rsidRPr="00DD477A">
        <w:rPr>
          <w:rFonts w:cs="Calibri"/>
        </w:rPr>
        <w:t>All PB Statement deliveries to Parliament House (regardless of deliverer) should occur through the Parliament House loading dock (accessible via Brisbane Avenue).</w:t>
      </w:r>
    </w:p>
    <w:p w14:paraId="32B0E412" w14:textId="3384139C" w:rsidR="00A14EAF" w:rsidRPr="00DD477A" w:rsidRDefault="00A14EAF" w:rsidP="00A14EAF">
      <w:pPr>
        <w:pStyle w:val="Bullet1"/>
      </w:pPr>
      <w:r w:rsidRPr="00DD477A">
        <w:t xml:space="preserve">For all other deliverers other than CanPrint, please contact the Accounting Framework and Capability Support Team in Finance by </w:t>
      </w:r>
      <w:r w:rsidR="000972B0">
        <w:rPr>
          <w:b/>
          <w:bCs/>
        </w:rPr>
        <w:t>Mon</w:t>
      </w:r>
      <w:r w:rsidRPr="00DD477A">
        <w:rPr>
          <w:b/>
          <w:bCs/>
        </w:rPr>
        <w:t>day, </w:t>
      </w:r>
      <w:r w:rsidR="000972B0">
        <w:rPr>
          <w:b/>
          <w:bCs/>
        </w:rPr>
        <w:t>6</w:t>
      </w:r>
      <w:r w:rsidRPr="00DD477A">
        <w:rPr>
          <w:b/>
          <w:bCs/>
        </w:rPr>
        <w:t> May 202</w:t>
      </w:r>
      <w:r w:rsidR="00450ECE">
        <w:rPr>
          <w:b/>
          <w:bCs/>
        </w:rPr>
        <w:t>4</w:t>
      </w:r>
      <w:r w:rsidRPr="00DD477A">
        <w:t xml:space="preserve"> </w:t>
      </w:r>
      <w:hyperlink r:id="rId27">
        <w:r w:rsidRPr="00DD477A">
          <w:rPr>
            <w:rStyle w:val="Hyperlink"/>
          </w:rPr>
          <w:t>budget_framework@finance.gov.au</w:t>
        </w:r>
      </w:hyperlink>
      <w:r w:rsidRPr="00DD477A">
        <w:t xml:space="preserve"> for further delivery procedures.</w:t>
      </w:r>
    </w:p>
    <w:p w14:paraId="472A53DD" w14:textId="77777777" w:rsidR="00A14EAF" w:rsidRPr="00DD477A" w:rsidRDefault="00A14EAF" w:rsidP="00A14EAF">
      <w:pPr>
        <w:pStyle w:val="Bullet1"/>
      </w:pPr>
      <w:r w:rsidRPr="00DD477A">
        <w:t>Should you have any questions or difficulties with these arrangements, please contact the Documents Officer, Senate Table Office on (02) 6277 3010.</w:t>
      </w:r>
    </w:p>
    <w:p w14:paraId="1EBB7BE9" w14:textId="77777777" w:rsidR="00A14EAF" w:rsidRPr="00DD477A" w:rsidRDefault="00A14EAF" w:rsidP="00E548A0">
      <w:pPr>
        <w:pStyle w:val="Heading2"/>
      </w:pPr>
      <w:bookmarkStart w:id="572" w:name="_Toc160715525"/>
      <w:r w:rsidRPr="00DD477A">
        <w:t>Protected-rated email/electronic transmission requirements</w:t>
      </w:r>
      <w:bookmarkEnd w:id="572"/>
    </w:p>
    <w:p w14:paraId="198D5AAF" w14:textId="77777777" w:rsidR="00A14EAF" w:rsidRPr="00DD477A" w:rsidRDefault="00A14EAF" w:rsidP="00A14EAF">
      <w:pPr>
        <w:rPr>
          <w:rFonts w:cs="Calibri"/>
        </w:rPr>
      </w:pPr>
      <w:r w:rsidRPr="00DD477A">
        <w:rPr>
          <w:rFonts w:cs="Calibri"/>
        </w:rPr>
        <w:t>As PB Statements are under embargo until tabling in Parliament through the Senate, portfolios are required to send electronic copies of their Adobe PDFs and financial tables to Finance via Protected-rated email or other secure means rated to the Protected level.</w:t>
      </w:r>
    </w:p>
    <w:p w14:paraId="5EDCB886" w14:textId="77777777" w:rsidR="00A14EAF" w:rsidRPr="00DD477A" w:rsidRDefault="00A14EAF" w:rsidP="00A14EAF">
      <w:pPr>
        <w:pStyle w:val="Bullet1"/>
        <w:rPr>
          <w:rFonts w:eastAsiaTheme="minorEastAsia" w:cs="MuseoSans-500"/>
          <w:u w:val="single" w:color="0070C0"/>
        </w:rPr>
      </w:pPr>
      <w:r w:rsidRPr="00DD477A">
        <w:t xml:space="preserve">To check whether your entity has Protected-rated email, please refer to the </w:t>
      </w:r>
      <w:hyperlink r:id="rId28" w:history="1">
        <w:r w:rsidRPr="00DD477A">
          <w:rPr>
            <w:rFonts w:cs="MuseoSans-500"/>
            <w:u w:val="single" w:color="0070C0"/>
          </w:rPr>
          <w:t>GovLink user list</w:t>
        </w:r>
      </w:hyperlink>
      <w:r w:rsidRPr="00DD477A">
        <w:t>.</w:t>
      </w:r>
    </w:p>
    <w:p w14:paraId="549FDB6C" w14:textId="048054EF" w:rsidR="00A14EAF" w:rsidRPr="00DD477A" w:rsidRDefault="00A14EAF" w:rsidP="00A14EAF">
      <w:pPr>
        <w:pStyle w:val="Bullet1"/>
      </w:pPr>
      <w:r w:rsidRPr="00DD477A">
        <w:t xml:space="preserve">Should you wish to use SigBox to transfer the files to Finance, please contact the Accounting Framework and Capability Support Team in Finance by </w:t>
      </w:r>
      <w:r w:rsidR="000972B0">
        <w:rPr>
          <w:b/>
          <w:bCs/>
        </w:rPr>
        <w:t>Mon</w:t>
      </w:r>
      <w:r w:rsidRPr="00DD477A">
        <w:rPr>
          <w:b/>
          <w:bCs/>
        </w:rPr>
        <w:t>day, </w:t>
      </w:r>
      <w:r w:rsidR="000972B0">
        <w:rPr>
          <w:b/>
          <w:bCs/>
        </w:rPr>
        <w:t>6</w:t>
      </w:r>
      <w:r w:rsidRPr="00DD477A">
        <w:rPr>
          <w:b/>
          <w:bCs/>
        </w:rPr>
        <w:t> May 202</w:t>
      </w:r>
      <w:r w:rsidR="00450ECE">
        <w:rPr>
          <w:b/>
          <w:bCs/>
        </w:rPr>
        <w:t>4</w:t>
      </w:r>
      <w:r w:rsidRPr="00DD477A">
        <w:t xml:space="preserve"> </w:t>
      </w:r>
      <w:hyperlink r:id="rId29">
        <w:r w:rsidRPr="00DD477A">
          <w:rPr>
            <w:rStyle w:val="Hyperlink"/>
          </w:rPr>
          <w:t>budget_framework@finance.gov.au</w:t>
        </w:r>
      </w:hyperlink>
      <w:r w:rsidRPr="00DD477A">
        <w:t xml:space="preserve"> to discuss.</w:t>
      </w:r>
    </w:p>
    <w:p w14:paraId="287A9AA8" w14:textId="77777777" w:rsidR="00A14EAF" w:rsidRPr="00DD477A" w:rsidRDefault="00A14EAF">
      <w:pPr>
        <w:suppressAutoHyphens w:val="0"/>
        <w:spacing w:before="0" w:after="120" w:line="440" w:lineRule="atLeast"/>
        <w:rPr>
          <w:rFonts w:asciiTheme="majorHAnsi" w:eastAsiaTheme="majorEastAsia" w:hAnsiTheme="majorHAnsi" w:cs="Calibri"/>
          <w:bCs/>
          <w:color w:val="1C1C1C" w:themeColor="text2"/>
          <w:sz w:val="30"/>
          <w:szCs w:val="26"/>
        </w:rPr>
      </w:pPr>
      <w:r w:rsidRPr="00DD477A">
        <w:br w:type="page"/>
      </w:r>
    </w:p>
    <w:p w14:paraId="13B1A9E9" w14:textId="3AC81280" w:rsidR="00A14EAF" w:rsidRPr="00DD477A" w:rsidRDefault="00A14EAF" w:rsidP="00E548A0">
      <w:pPr>
        <w:pStyle w:val="Heading2"/>
      </w:pPr>
      <w:bookmarkStart w:id="573" w:name="_Toc160715526"/>
      <w:r w:rsidRPr="00DD477A">
        <w:lastRenderedPageBreak/>
        <w:t>Budget media lockup hard copy and PDF requirements</w:t>
      </w:r>
      <w:bookmarkEnd w:id="573"/>
    </w:p>
    <w:p w14:paraId="21D003CC" w14:textId="77777777" w:rsidR="00A14EAF" w:rsidRPr="00DD477A" w:rsidRDefault="00A14EAF" w:rsidP="00A14EAF">
      <w:pPr>
        <w:rPr>
          <w:rFonts w:cs="Calibri"/>
        </w:rPr>
      </w:pPr>
      <w:r w:rsidRPr="00DD477A">
        <w:rPr>
          <w:rFonts w:cs="Calibri"/>
        </w:rPr>
        <w:t>Portfolios are to supply both printed and PDF copies of their PB Statements for media access in the Budget lockup.</w:t>
      </w:r>
    </w:p>
    <w:p w14:paraId="442E6CC5" w14:textId="5CD7BDC6" w:rsidR="00A14EAF" w:rsidRPr="00DD477A" w:rsidRDefault="00A14EAF" w:rsidP="00A14EAF">
      <w:pPr>
        <w:suppressAutoHyphens w:val="0"/>
        <w:spacing w:before="120" w:after="120" w:line="264" w:lineRule="auto"/>
        <w:ind w:right="272"/>
        <w:rPr>
          <w:rFonts w:eastAsia="Cambria" w:cs="Calibri"/>
        </w:rPr>
      </w:pPr>
      <w:r w:rsidRPr="00DD477A">
        <w:rPr>
          <w:rFonts w:eastAsia="Cambria" w:cs="Calibri"/>
        </w:rPr>
        <w:t xml:space="preserve">Portfolios </w:t>
      </w:r>
      <w:r w:rsidR="0088199F">
        <w:rPr>
          <w:rFonts w:eastAsia="Cambria" w:cs="Calibri"/>
        </w:rPr>
        <w:t>must</w:t>
      </w:r>
      <w:r w:rsidRPr="00DD477A">
        <w:rPr>
          <w:rFonts w:eastAsia="Cambria" w:cs="Calibri"/>
        </w:rPr>
        <w:t xml:space="preserve"> email PDF copies of their full PB Statements by </w:t>
      </w:r>
      <w:r w:rsidRPr="00DD477A">
        <w:rPr>
          <w:rFonts w:eastAsia="Cambria" w:cs="Calibri"/>
          <w:b/>
          <w:bCs/>
        </w:rPr>
        <w:t xml:space="preserve">4:30pm </w:t>
      </w:r>
      <w:r w:rsidRPr="00DD477A">
        <w:rPr>
          <w:rFonts w:eastAsia="Cambria" w:cs="Calibri"/>
          <w:b/>
        </w:rPr>
        <w:t>Monday,</w:t>
      </w:r>
      <w:r w:rsidRPr="00DD477A">
        <w:rPr>
          <w:rFonts w:eastAsia="Cambria" w:cs="Calibri"/>
          <w:b/>
          <w:bCs/>
        </w:rPr>
        <w:t xml:space="preserve"> 13</w:t>
      </w:r>
      <w:r w:rsidRPr="00DD477A">
        <w:rPr>
          <w:rFonts w:eastAsia="Cambria" w:cs="Calibri"/>
          <w:b/>
        </w:rPr>
        <w:t> May 2024</w:t>
      </w:r>
      <w:r w:rsidRPr="00DD477A">
        <w:rPr>
          <w:rFonts w:eastAsia="Cambria" w:cs="Calibri"/>
          <w:b/>
          <w:bCs/>
        </w:rPr>
        <w:t xml:space="preserve"> </w:t>
      </w:r>
      <w:r w:rsidRPr="00DD477A">
        <w:rPr>
          <w:rFonts w:eastAsia="Cambria" w:cs="Calibri"/>
        </w:rPr>
        <w:t xml:space="preserve">via </w:t>
      </w:r>
      <w:r w:rsidRPr="00DD477A">
        <w:rPr>
          <w:rFonts w:eastAsia="Cambria" w:cs="Calibri"/>
          <w:b/>
          <w:bCs/>
        </w:rPr>
        <w:t>Protected-rated email</w:t>
      </w:r>
      <w:r w:rsidRPr="00DD477A">
        <w:rPr>
          <w:rFonts w:eastAsia="Cambria" w:cs="Calibri"/>
        </w:rPr>
        <w:t xml:space="preserve"> to:</w:t>
      </w:r>
    </w:p>
    <w:p w14:paraId="440F9C3B" w14:textId="0249D714" w:rsidR="00A14EAF" w:rsidRPr="00DD477A" w:rsidRDefault="00A14EAF" w:rsidP="00AA1E87">
      <w:pPr>
        <w:numPr>
          <w:ilvl w:val="0"/>
          <w:numId w:val="38"/>
        </w:numPr>
        <w:suppressAutoHyphens w:val="0"/>
        <w:spacing w:before="100" w:after="100" w:line="264" w:lineRule="auto"/>
        <w:rPr>
          <w:rFonts w:eastAsia="Cambria" w:cs="Calibri"/>
        </w:rPr>
      </w:pPr>
      <w:r w:rsidRPr="00DD477A">
        <w:rPr>
          <w:rFonts w:eastAsia="Cambria" w:cs="Calibri"/>
        </w:rPr>
        <w:t xml:space="preserve">Finance by emailing the </w:t>
      </w:r>
      <w:hyperlink r:id="rId30">
        <w:r w:rsidRPr="00DD477A">
          <w:rPr>
            <w:rFonts w:eastAsia="Cambria" w:cs="MuseoSans-500"/>
            <w:u w:val="single" w:color="0070C0"/>
          </w:rPr>
          <w:t>budget_framework@finance.gov.au</w:t>
        </w:r>
      </w:hyperlink>
      <w:r w:rsidRPr="00DD477A">
        <w:rPr>
          <w:rFonts w:eastAsia="Cambria" w:cs="Calibri"/>
        </w:rPr>
        <w:t xml:space="preserve"> mailbox</w:t>
      </w:r>
    </w:p>
    <w:p w14:paraId="335F373B" w14:textId="77777777" w:rsidR="00A14EAF" w:rsidRPr="00DD477A" w:rsidRDefault="00A14EAF" w:rsidP="00A85E0D">
      <w:r w:rsidRPr="00DD477A">
        <w:t xml:space="preserve">Please contact </w:t>
      </w:r>
      <w:hyperlink r:id="rId31">
        <w:r w:rsidRPr="00DD477A">
          <w:rPr>
            <w:rStyle w:val="Hyperlink"/>
          </w:rPr>
          <w:t>budget_framework@finance.gov.au</w:t>
        </w:r>
      </w:hyperlink>
      <w:r w:rsidRPr="00DD477A">
        <w:t xml:space="preserve"> should your Portfolio not have Protected-rated email.</w:t>
      </w:r>
    </w:p>
    <w:p w14:paraId="2F9CC2B8" w14:textId="62134C84" w:rsidR="00A14EAF" w:rsidRPr="00DD477A" w:rsidRDefault="00A14EAF" w:rsidP="00D87F7C">
      <w:r w:rsidRPr="00DD477A">
        <w:t>Finance will provide these PDF files to the Senate Tabling Office.</w:t>
      </w:r>
      <w:r w:rsidRPr="00DD477A">
        <w:br w:type="page"/>
      </w:r>
    </w:p>
    <w:p w14:paraId="6522C327" w14:textId="77777777" w:rsidR="006F5B7C" w:rsidRPr="00DD477A" w:rsidRDefault="006F5B7C" w:rsidP="00E548A0">
      <w:pPr>
        <w:pStyle w:val="Heading2"/>
      </w:pPr>
      <w:bookmarkStart w:id="574" w:name="_Toc160715527"/>
      <w:r w:rsidRPr="00DD477A">
        <w:lastRenderedPageBreak/>
        <w:t>Number of books</w:t>
      </w:r>
      <w:bookmarkEnd w:id="574"/>
    </w:p>
    <w:tbl>
      <w:tblPr>
        <w:tblW w:w="9918"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7498"/>
        <w:gridCol w:w="2420"/>
      </w:tblGrid>
      <w:tr w:rsidR="006F5B7C" w:rsidRPr="00DD477A" w14:paraId="24DAF1D5" w14:textId="77777777" w:rsidTr="000A77C7">
        <w:tc>
          <w:tcPr>
            <w:tcW w:w="9918" w:type="dxa"/>
            <w:gridSpan w:val="2"/>
            <w:shd w:val="clear" w:color="auto" w:fill="DDF3FA"/>
          </w:tcPr>
          <w:p w14:paraId="01A59932" w14:textId="77777777" w:rsidR="006F5B7C" w:rsidRPr="00DD477A" w:rsidRDefault="006F5B7C" w:rsidP="000A77C7">
            <w:pPr>
              <w:pStyle w:val="TableText-Normal"/>
              <w:rPr>
                <w:rFonts w:cs="Calibri"/>
                <w:b/>
                <w:bCs/>
              </w:rPr>
            </w:pPr>
            <w:r w:rsidRPr="00DD477A">
              <w:rPr>
                <w:rFonts w:cs="Calibri"/>
                <w:b/>
                <w:bCs/>
              </w:rPr>
              <w:t>For delivery by 4:30pm Monday, 1</w:t>
            </w:r>
            <w:r w:rsidRPr="00DD477A">
              <w:rPr>
                <w:b/>
                <w:bCs/>
              </w:rPr>
              <w:t>3</w:t>
            </w:r>
            <w:r w:rsidRPr="00DD477A">
              <w:rPr>
                <w:rFonts w:cs="Calibri"/>
                <w:b/>
                <w:bCs/>
              </w:rPr>
              <w:t xml:space="preserve"> May 2024 (</w:t>
            </w:r>
            <w:r w:rsidRPr="00B968DC">
              <w:rPr>
                <w:rFonts w:cs="Calibri"/>
                <w:b/>
                <w:bCs/>
              </w:rPr>
              <w:t>minimum 116 copies</w:t>
            </w:r>
            <w:r w:rsidRPr="00DD477A">
              <w:rPr>
                <w:rFonts w:cs="Calibri"/>
                <w:b/>
                <w:bCs/>
              </w:rPr>
              <w:t>)</w:t>
            </w:r>
          </w:p>
          <w:p w14:paraId="48F2C777" w14:textId="42FA1F80" w:rsidR="006F5B7C" w:rsidRPr="00DD477A" w:rsidRDefault="006F5B7C" w:rsidP="000A77C7">
            <w:pPr>
              <w:pStyle w:val="TableText-Normal"/>
              <w:rPr>
                <w:rFonts w:cs="Calibri"/>
              </w:rPr>
            </w:pPr>
            <w:r w:rsidRPr="00DD477A">
              <w:rPr>
                <w:rFonts w:cs="Calibri"/>
                <w:b/>
                <w:bCs/>
              </w:rPr>
              <w:t>Treasury will separately advise</w:t>
            </w:r>
            <w:r w:rsidRPr="00DD477A">
              <w:rPr>
                <w:rFonts w:cs="Calibri"/>
              </w:rPr>
              <w:t xml:space="preserve"> portfolio departments on the delivery arrangements (including book number required) for the Treasury</w:t>
            </w:r>
            <w:r w:rsidRPr="00DD477A">
              <w:rPr>
                <w:rFonts w:cs="Calibri"/>
                <w:b/>
                <w:bCs/>
              </w:rPr>
              <w:t xml:space="preserve"> media</w:t>
            </w:r>
            <w:r w:rsidRPr="00DD477A">
              <w:rPr>
                <w:rFonts w:cs="Calibri"/>
              </w:rPr>
              <w:t xml:space="preserve"> and </w:t>
            </w:r>
            <w:r w:rsidRPr="00DD477A">
              <w:rPr>
                <w:rFonts w:cs="Calibri"/>
                <w:b/>
                <w:bCs/>
              </w:rPr>
              <w:t>stakeholder</w:t>
            </w:r>
            <w:r w:rsidRPr="00DD477A">
              <w:rPr>
                <w:rFonts w:cs="Calibri"/>
              </w:rPr>
              <w:t xml:space="preserve"> budget lockups once the format for the 2024</w:t>
            </w:r>
            <w:r w:rsidRPr="00DD477A">
              <w:rPr>
                <w:rFonts w:cs="Calibri"/>
              </w:rPr>
              <w:noBreakHyphen/>
              <w:t>25 Budget</w:t>
            </w:r>
            <w:r w:rsidR="00F25C75" w:rsidRPr="00DD477A">
              <w:rPr>
                <w:rFonts w:cs="Calibri"/>
              </w:rPr>
              <w:t>’s presentation</w:t>
            </w:r>
            <w:r w:rsidRPr="00DD477A">
              <w:rPr>
                <w:rFonts w:cs="Calibri"/>
              </w:rPr>
              <w:t xml:space="preserve"> </w:t>
            </w:r>
            <w:r w:rsidR="00F25C75" w:rsidRPr="00DD477A">
              <w:rPr>
                <w:rFonts w:cs="Calibri"/>
              </w:rPr>
              <w:t>has been</w:t>
            </w:r>
            <w:r w:rsidRPr="00DD477A">
              <w:rPr>
                <w:rFonts w:cs="Calibri"/>
              </w:rPr>
              <w:t xml:space="preserve"> </w:t>
            </w:r>
            <w:r w:rsidR="00F25C75" w:rsidRPr="00DD477A">
              <w:rPr>
                <w:rFonts w:cs="Calibri"/>
              </w:rPr>
              <w:t>determined</w:t>
            </w:r>
          </w:p>
        </w:tc>
      </w:tr>
      <w:tr w:rsidR="006F5B7C" w:rsidRPr="00DD477A" w14:paraId="52EB21CD" w14:textId="77777777" w:rsidTr="000A77C7">
        <w:tc>
          <w:tcPr>
            <w:tcW w:w="7498" w:type="dxa"/>
          </w:tcPr>
          <w:p w14:paraId="7E7C2FE6" w14:textId="77777777" w:rsidR="006F5B7C" w:rsidRPr="00DD477A" w:rsidRDefault="006F5B7C" w:rsidP="000A77C7">
            <w:pPr>
              <w:pStyle w:val="TableText-Normal"/>
              <w:rPr>
                <w:rFonts w:cs="Calibri"/>
              </w:rPr>
            </w:pPr>
            <w:r w:rsidRPr="00DD477A">
              <w:rPr>
                <w:rFonts w:cs="Calibri"/>
              </w:rPr>
              <w:t>Parliament House:</w:t>
            </w:r>
          </w:p>
          <w:p w14:paraId="7D467B3E" w14:textId="77777777" w:rsidR="006F5B7C" w:rsidRPr="00DD477A" w:rsidRDefault="006F5B7C" w:rsidP="000A77C7">
            <w:pPr>
              <w:pStyle w:val="TableText-Normal"/>
              <w:tabs>
                <w:tab w:val="left" w:pos="709"/>
              </w:tabs>
              <w:ind w:left="851"/>
              <w:contextualSpacing/>
              <w:rPr>
                <w:rFonts w:cs="Calibri"/>
              </w:rPr>
            </w:pPr>
            <w:r w:rsidRPr="00DD477A">
              <w:rPr>
                <w:rFonts w:cs="Calibri"/>
              </w:rPr>
              <w:t>Documents Officer – Senate Table Office, Room SG 25</w:t>
            </w:r>
            <w:r w:rsidRPr="00DD477A">
              <w:rPr>
                <w:rFonts w:cs="Calibri"/>
              </w:rPr>
              <w:br/>
              <w:t>Department of the Senate</w:t>
            </w:r>
            <w:r w:rsidRPr="00DD477A">
              <w:rPr>
                <w:rFonts w:cs="Calibri"/>
              </w:rPr>
              <w:br/>
              <w:t>Parliament House</w:t>
            </w:r>
            <w:r w:rsidRPr="00DD477A">
              <w:rPr>
                <w:rFonts w:cs="Calibri"/>
              </w:rPr>
              <w:br/>
              <w:t>CANBERRA ACT 2600</w:t>
            </w:r>
            <w:r w:rsidRPr="00DD477A">
              <w:rPr>
                <w:rFonts w:cs="Calibri"/>
              </w:rPr>
              <w:br/>
              <w:t>ph: (02) 6277 3010</w:t>
            </w:r>
          </w:p>
          <w:p w14:paraId="13F300EC" w14:textId="77777777" w:rsidR="006F5B7C" w:rsidRPr="00DD477A" w:rsidRDefault="006F5B7C" w:rsidP="000A77C7">
            <w:pPr>
              <w:pStyle w:val="TableText-Normal"/>
              <w:rPr>
                <w:rFonts w:cs="Calibri"/>
              </w:rPr>
            </w:pPr>
            <w:r w:rsidRPr="00DD477A">
              <w:rPr>
                <w:rFonts w:cs="Calibri"/>
              </w:rPr>
              <w:t xml:space="preserve">The books </w:t>
            </w:r>
            <w:r w:rsidRPr="00DD477A">
              <w:rPr>
                <w:rFonts w:cs="Calibri"/>
                <w:u w:val="single"/>
              </w:rPr>
              <w:t>must</w:t>
            </w:r>
            <w:r w:rsidRPr="00DD477A">
              <w:rPr>
                <w:rFonts w:cs="Calibri"/>
              </w:rPr>
              <w:t xml:space="preserve"> be separately boxed as follows:</w:t>
            </w:r>
          </w:p>
          <w:p w14:paraId="6C7719E6" w14:textId="77777777" w:rsidR="006F5B7C" w:rsidRPr="00DD477A" w:rsidRDefault="006F5B7C" w:rsidP="00A85E0D">
            <w:pPr>
              <w:pStyle w:val="Bullet2"/>
              <w:ind w:left="782" w:hanging="357"/>
              <w:contextualSpacing/>
            </w:pPr>
            <w:r w:rsidRPr="00DD477A">
              <w:t>40 copies – Senate</w:t>
            </w:r>
          </w:p>
          <w:p w14:paraId="3029874A" w14:textId="77777777" w:rsidR="006F5B7C" w:rsidRPr="00DD477A" w:rsidRDefault="006F5B7C" w:rsidP="00A85E0D">
            <w:pPr>
              <w:pStyle w:val="Bullet2"/>
              <w:ind w:left="782" w:hanging="357"/>
              <w:contextualSpacing/>
            </w:pPr>
            <w:r w:rsidRPr="00DD477A">
              <w:t>15 copies – House of Representatives</w:t>
            </w:r>
          </w:p>
          <w:p w14:paraId="4437E9BD" w14:textId="77777777" w:rsidR="006F5B7C" w:rsidRPr="00DD477A" w:rsidRDefault="006F5B7C" w:rsidP="00A85E0D">
            <w:pPr>
              <w:pStyle w:val="Bullet2"/>
              <w:ind w:left="782" w:hanging="357"/>
              <w:contextualSpacing/>
            </w:pPr>
            <w:r w:rsidRPr="00DD477A">
              <w:t>25 copies – Parliamentary Library.</w:t>
            </w:r>
          </w:p>
          <w:p w14:paraId="300ED8EB" w14:textId="77777777" w:rsidR="006F5B7C" w:rsidRPr="00DD477A" w:rsidRDefault="006F5B7C" w:rsidP="000A77C7">
            <w:pPr>
              <w:pStyle w:val="TableText-Normal"/>
              <w:rPr>
                <w:rFonts w:cs="Calibri"/>
              </w:rPr>
            </w:pPr>
            <w:r w:rsidRPr="00DD477A">
              <w:rPr>
                <w:rFonts w:cs="Calibri"/>
              </w:rPr>
              <w:t>Note:</w:t>
            </w:r>
          </w:p>
          <w:p w14:paraId="44A4805E" w14:textId="77777777" w:rsidR="006F5B7C" w:rsidRPr="00DD477A" w:rsidRDefault="006F5B7C" w:rsidP="000A77C7">
            <w:pPr>
              <w:pStyle w:val="Bullet2"/>
            </w:pPr>
            <w:r w:rsidRPr="00DD477A">
              <w:t xml:space="preserve">Books for Parliament House are to be delivered to a single location – the </w:t>
            </w:r>
            <w:r w:rsidRPr="00DD477A">
              <w:rPr>
                <w:b/>
                <w:bCs/>
              </w:rPr>
              <w:t>Senate Table Office</w:t>
            </w:r>
            <w:r w:rsidRPr="00DD477A">
              <w:t>,</w:t>
            </w:r>
            <w:r w:rsidRPr="00DD477A">
              <w:rPr>
                <w:b/>
                <w:bCs/>
              </w:rPr>
              <w:t xml:space="preserve"> </w:t>
            </w:r>
            <w:r w:rsidRPr="00DD477A">
              <w:t>which will arrange distribution to recipients. Please do not leave the books at the loading dock. Remain with the books until the Senate Tabling Office physically picks them up.</w:t>
            </w:r>
          </w:p>
          <w:p w14:paraId="75DD7D8C" w14:textId="77777777" w:rsidR="006F5B7C" w:rsidRPr="00DD477A" w:rsidRDefault="006F5B7C" w:rsidP="000A77C7">
            <w:pPr>
              <w:pStyle w:val="Bullet2"/>
            </w:pPr>
            <w:r w:rsidRPr="00DD477A">
              <w:t>If utilising CanPrint, they will deliver these copies to Parliament House on the portfolio’s behalf.</w:t>
            </w:r>
          </w:p>
        </w:tc>
        <w:tc>
          <w:tcPr>
            <w:tcW w:w="2420" w:type="dxa"/>
          </w:tcPr>
          <w:p w14:paraId="4D26572C" w14:textId="163F30E3" w:rsidR="006F5B7C" w:rsidRPr="00DD477A" w:rsidRDefault="006F5B7C" w:rsidP="000A77C7">
            <w:pPr>
              <w:pStyle w:val="TableText-Normal"/>
              <w:rPr>
                <w:rFonts w:cs="Calibri"/>
              </w:rPr>
            </w:pPr>
            <w:r w:rsidRPr="00DD477A">
              <w:rPr>
                <w:rFonts w:cs="Calibri"/>
              </w:rPr>
              <w:t>80 copies</w:t>
            </w:r>
            <w:r w:rsidRPr="00DD477A">
              <w:rPr>
                <w:rFonts w:cs="Calibri"/>
              </w:rPr>
              <w:br/>
            </w:r>
            <w:r w:rsidRPr="00DD477A">
              <w:rPr>
                <w:rFonts w:cs="Calibri"/>
              </w:rPr>
              <w:br/>
            </w:r>
            <w:r w:rsidRPr="00DD477A">
              <w:rPr>
                <w:rFonts w:cs="Calibri"/>
                <w:u w:val="single"/>
              </w:rPr>
              <w:t>Plus</w:t>
            </w:r>
            <w:r w:rsidRPr="00DD477A">
              <w:rPr>
                <w:rFonts w:cs="Calibri"/>
              </w:rPr>
              <w:br/>
            </w:r>
            <w:r w:rsidRPr="00DD477A">
              <w:rPr>
                <w:rFonts w:cs="Calibri"/>
              </w:rPr>
              <w:br/>
              <w:t xml:space="preserve">Books required for both the </w:t>
            </w:r>
            <w:r w:rsidRPr="00DD477A">
              <w:rPr>
                <w:rFonts w:cs="Calibri"/>
                <w:i/>
                <w:iCs/>
              </w:rPr>
              <w:t>Treasury media lockup</w:t>
            </w:r>
            <w:r w:rsidRPr="00DD477A">
              <w:rPr>
                <w:rFonts w:cs="Calibri"/>
              </w:rPr>
              <w:t xml:space="preserve"> and </w:t>
            </w:r>
            <w:r w:rsidRPr="00DD477A">
              <w:rPr>
                <w:rFonts w:cs="Calibri"/>
                <w:i/>
                <w:iCs/>
              </w:rPr>
              <w:t xml:space="preserve">Treasury stakeholder </w:t>
            </w:r>
            <w:r w:rsidRPr="00DD477A">
              <w:rPr>
                <w:rFonts w:cs="Calibri"/>
              </w:rPr>
              <w:t>lockup as advised by the Treasury</w:t>
            </w:r>
          </w:p>
        </w:tc>
      </w:tr>
      <w:tr w:rsidR="006F5B7C" w:rsidRPr="00DD477A" w14:paraId="4DE0C80C" w14:textId="77777777" w:rsidTr="000A77C7">
        <w:tc>
          <w:tcPr>
            <w:tcW w:w="7498" w:type="dxa"/>
          </w:tcPr>
          <w:p w14:paraId="217CA81D" w14:textId="77777777" w:rsidR="006F5B7C" w:rsidRPr="00DD477A" w:rsidRDefault="006F5B7C" w:rsidP="000A77C7">
            <w:pPr>
              <w:pStyle w:val="TableText-Normal"/>
              <w:rPr>
                <w:rFonts w:cs="Calibri"/>
              </w:rPr>
            </w:pPr>
            <w:r w:rsidRPr="00DD477A">
              <w:rPr>
                <w:rFonts w:cs="Calibri"/>
              </w:rPr>
              <w:t>Department of Finance:</w:t>
            </w:r>
          </w:p>
          <w:p w14:paraId="464A36ED" w14:textId="77777777" w:rsidR="006F5B7C" w:rsidRPr="00DD477A" w:rsidRDefault="006F5B7C" w:rsidP="000A77C7">
            <w:pPr>
              <w:pStyle w:val="TableText-Normal"/>
              <w:ind w:left="851"/>
              <w:contextualSpacing/>
              <w:rPr>
                <w:rFonts w:cs="Calibri"/>
              </w:rPr>
            </w:pPr>
            <w:r w:rsidRPr="00DD477A">
              <w:rPr>
                <w:rFonts w:cs="Calibri"/>
              </w:rPr>
              <w:t>Accounting Framework and Capability Support Team</w:t>
            </w:r>
            <w:r w:rsidRPr="00DD477A">
              <w:rPr>
                <w:rFonts w:cs="Calibri"/>
              </w:rPr>
              <w:tab/>
            </w:r>
          </w:p>
          <w:p w14:paraId="282A0C7F" w14:textId="77777777" w:rsidR="006F5B7C" w:rsidRPr="00DD477A" w:rsidRDefault="006F5B7C" w:rsidP="000A77C7">
            <w:pPr>
              <w:pStyle w:val="TableText-Normal"/>
              <w:ind w:left="851"/>
              <w:contextualSpacing/>
              <w:rPr>
                <w:rFonts w:cs="Calibri"/>
              </w:rPr>
            </w:pPr>
            <w:r w:rsidRPr="00DD477A">
              <w:rPr>
                <w:rFonts w:cs="Calibri"/>
              </w:rPr>
              <w:t>c/o Alex Berry</w:t>
            </w:r>
          </w:p>
          <w:p w14:paraId="702E3B47" w14:textId="77777777" w:rsidR="006F5B7C" w:rsidRPr="00DD477A" w:rsidRDefault="006F5B7C" w:rsidP="000A77C7">
            <w:pPr>
              <w:pStyle w:val="TableText-Normal"/>
              <w:ind w:left="851"/>
              <w:contextualSpacing/>
              <w:rPr>
                <w:rFonts w:cs="Calibri"/>
              </w:rPr>
            </w:pPr>
            <w:r w:rsidRPr="00DD477A">
              <w:rPr>
                <w:rFonts w:cs="Calibri"/>
              </w:rPr>
              <w:t>Financial Analysis, Reporting and Management</w:t>
            </w:r>
          </w:p>
          <w:p w14:paraId="38A4F626" w14:textId="77777777" w:rsidR="006F5B7C" w:rsidRPr="00DD477A" w:rsidRDefault="006F5B7C" w:rsidP="000A77C7">
            <w:pPr>
              <w:pStyle w:val="TableText-Normal"/>
              <w:ind w:left="851"/>
              <w:contextualSpacing/>
              <w:rPr>
                <w:rFonts w:cs="Calibri"/>
              </w:rPr>
            </w:pPr>
            <w:r w:rsidRPr="00DD477A">
              <w:rPr>
                <w:rFonts w:cs="Calibri"/>
              </w:rPr>
              <w:t>Department of Finance</w:t>
            </w:r>
          </w:p>
          <w:p w14:paraId="2B83E440" w14:textId="77777777" w:rsidR="006F5B7C" w:rsidRPr="00DD477A" w:rsidRDefault="006F5B7C" w:rsidP="000A77C7">
            <w:pPr>
              <w:pStyle w:val="TableText-Normal"/>
              <w:ind w:left="851"/>
              <w:contextualSpacing/>
              <w:rPr>
                <w:rFonts w:cs="Calibri"/>
              </w:rPr>
            </w:pPr>
            <w:r w:rsidRPr="00DD477A">
              <w:rPr>
                <w:rFonts w:cs="Calibri"/>
              </w:rPr>
              <w:t>One Canberra Avenue</w:t>
            </w:r>
          </w:p>
          <w:p w14:paraId="7DD839EC" w14:textId="77777777" w:rsidR="006F5B7C" w:rsidRPr="00DD477A" w:rsidRDefault="006F5B7C" w:rsidP="000A77C7">
            <w:pPr>
              <w:pStyle w:val="TableText-Normal"/>
              <w:ind w:left="851"/>
              <w:contextualSpacing/>
              <w:rPr>
                <w:rFonts w:cs="Calibri"/>
              </w:rPr>
            </w:pPr>
            <w:r w:rsidRPr="00DD477A">
              <w:rPr>
                <w:rFonts w:cs="Calibri"/>
              </w:rPr>
              <w:t>FORREST ACT 2600</w:t>
            </w:r>
          </w:p>
          <w:p w14:paraId="6B33084B" w14:textId="77777777" w:rsidR="006F5B7C" w:rsidRPr="00DD477A" w:rsidRDefault="006F5B7C" w:rsidP="000A77C7">
            <w:pPr>
              <w:pStyle w:val="TableText-Normal"/>
              <w:rPr>
                <w:rFonts w:cs="Calibri"/>
              </w:rPr>
            </w:pPr>
            <w:r w:rsidRPr="00DD477A">
              <w:rPr>
                <w:rFonts w:cs="Calibri"/>
              </w:rPr>
              <w:t>Note:</w:t>
            </w:r>
          </w:p>
          <w:p w14:paraId="1FD2254D" w14:textId="77777777" w:rsidR="006F5B7C" w:rsidRPr="00DD477A" w:rsidRDefault="006F5B7C" w:rsidP="000A77C7">
            <w:pPr>
              <w:pStyle w:val="Bullet2"/>
            </w:pPr>
            <w:r w:rsidRPr="00DD477A">
              <w:t>If utilising CanPrint, they will deliver copies to Finance on the portfolios’ behalf.</w:t>
            </w:r>
          </w:p>
          <w:p w14:paraId="5BEDBEC8" w14:textId="77777777" w:rsidR="006F5B7C" w:rsidRPr="00DD477A" w:rsidRDefault="006F5B7C" w:rsidP="000A77C7">
            <w:pPr>
              <w:pStyle w:val="Bullet2"/>
            </w:pPr>
            <w:r w:rsidRPr="00DD477A">
              <w:t>This allocation includes the Finance Secretary copy, meeting requirements under the Finance Secretary Direction (under section 36(3) of the PGPA Act).</w:t>
            </w:r>
          </w:p>
          <w:p w14:paraId="4ABCE741" w14:textId="77777777" w:rsidR="006F5B7C" w:rsidRPr="00DD477A" w:rsidRDefault="006F5B7C" w:rsidP="000A77C7">
            <w:pPr>
              <w:pStyle w:val="Bullet2"/>
            </w:pPr>
            <w:r w:rsidRPr="00DD477A">
              <w:t>Do not deliver PB Statement books that are under embargo to your AAU. Finance is pre</w:t>
            </w:r>
            <w:r w:rsidRPr="00DD477A">
              <w:noBreakHyphen/>
              <w:t xml:space="preserve">allocated copies for provision to your AAU. </w:t>
            </w:r>
          </w:p>
        </w:tc>
        <w:tc>
          <w:tcPr>
            <w:tcW w:w="2420" w:type="dxa"/>
            <w:shd w:val="clear" w:color="auto" w:fill="auto"/>
          </w:tcPr>
          <w:p w14:paraId="4C009855" w14:textId="23CBD285" w:rsidR="006F5B7C" w:rsidRPr="00DD477A" w:rsidRDefault="006F5B7C" w:rsidP="000A77C7">
            <w:pPr>
              <w:pStyle w:val="TableText-Normal"/>
              <w:rPr>
                <w:rFonts w:cs="Calibri"/>
              </w:rPr>
            </w:pPr>
            <w:r w:rsidRPr="00DD477A">
              <w:rPr>
                <w:rFonts w:cs="Calibri"/>
              </w:rPr>
              <w:t>36 copies</w:t>
            </w:r>
          </w:p>
        </w:tc>
      </w:tr>
      <w:tr w:rsidR="006F5B7C" w:rsidRPr="00DD477A" w14:paraId="59312325" w14:textId="77777777" w:rsidTr="000A77C7">
        <w:tc>
          <w:tcPr>
            <w:tcW w:w="7498" w:type="dxa"/>
          </w:tcPr>
          <w:p w14:paraId="43676607" w14:textId="77777777" w:rsidR="006F5B7C" w:rsidRPr="00DD477A" w:rsidRDefault="006F5B7C" w:rsidP="000A77C7">
            <w:pPr>
              <w:pStyle w:val="TableText-Normal"/>
              <w:rPr>
                <w:rFonts w:cs="Calibri"/>
              </w:rPr>
            </w:pPr>
            <w:r w:rsidRPr="00DD477A">
              <w:rPr>
                <w:rFonts w:cs="Calibri"/>
              </w:rPr>
              <w:t>Your Portfolio Minister and advisors (following the minister’s sign-off on the final PB Statement)</w:t>
            </w:r>
          </w:p>
        </w:tc>
        <w:tc>
          <w:tcPr>
            <w:tcW w:w="2420" w:type="dxa"/>
            <w:vMerge w:val="restart"/>
          </w:tcPr>
          <w:p w14:paraId="70C1E312" w14:textId="77777777" w:rsidR="006F5B7C" w:rsidRPr="00DD477A" w:rsidRDefault="006F5B7C" w:rsidP="000A77C7">
            <w:pPr>
              <w:pStyle w:val="TableText-Normal"/>
              <w:rPr>
                <w:rFonts w:cs="Calibri"/>
              </w:rPr>
            </w:pPr>
            <w:r w:rsidRPr="00DD477A">
              <w:rPr>
                <w:rFonts w:cs="Calibri"/>
              </w:rPr>
              <w:t>Portfolios are responsible for confirming required numbers and the delivery of the books with their minister’s office.</w:t>
            </w:r>
          </w:p>
        </w:tc>
      </w:tr>
      <w:tr w:rsidR="006F5B7C" w:rsidRPr="00DD477A" w14:paraId="1864545C" w14:textId="77777777" w:rsidTr="000A77C7">
        <w:tc>
          <w:tcPr>
            <w:tcW w:w="7498" w:type="dxa"/>
          </w:tcPr>
          <w:p w14:paraId="4D1E3B27" w14:textId="77777777" w:rsidR="006F5B7C" w:rsidRPr="00DD477A" w:rsidRDefault="006F5B7C" w:rsidP="000A77C7">
            <w:pPr>
              <w:pStyle w:val="TableText-Normal"/>
              <w:rPr>
                <w:rFonts w:cs="Calibri"/>
              </w:rPr>
            </w:pPr>
            <w:r w:rsidRPr="00DD477A">
              <w:rPr>
                <w:rFonts w:cs="Calibri"/>
              </w:rPr>
              <w:t>The minister representing the portfolio in the other Chamber</w:t>
            </w:r>
          </w:p>
        </w:tc>
        <w:tc>
          <w:tcPr>
            <w:tcW w:w="2420" w:type="dxa"/>
            <w:vMerge/>
          </w:tcPr>
          <w:p w14:paraId="1BD0128C" w14:textId="77777777" w:rsidR="006F5B7C" w:rsidRPr="00DD477A" w:rsidRDefault="006F5B7C" w:rsidP="000A77C7">
            <w:pPr>
              <w:pStyle w:val="TableText-Normal"/>
              <w:rPr>
                <w:rFonts w:cs="Calibri"/>
              </w:rPr>
            </w:pPr>
          </w:p>
        </w:tc>
      </w:tr>
    </w:tbl>
    <w:p w14:paraId="5C051C8B" w14:textId="77777777" w:rsidR="006F5B7C" w:rsidRPr="00DD477A" w:rsidRDefault="006F5B7C" w:rsidP="006F5B7C">
      <w:pPr>
        <w:pStyle w:val="TableText-Normal"/>
        <w:rPr>
          <w:rFonts w:cs="Calibri"/>
        </w:rPr>
        <w:sectPr w:rsidR="006F5B7C" w:rsidRPr="00DD477A" w:rsidSect="00E73E0E">
          <w:headerReference w:type="even" r:id="rId32"/>
          <w:headerReference w:type="default" r:id="rId33"/>
          <w:footerReference w:type="default" r:id="rId34"/>
          <w:headerReference w:type="first" r:id="rId35"/>
          <w:pgSz w:w="11900" w:h="16840" w:code="9"/>
          <w:pgMar w:top="1418" w:right="851" w:bottom="1418" w:left="1418" w:header="624" w:footer="624" w:gutter="0"/>
          <w:cols w:space="708"/>
          <w:docGrid w:linePitch="360"/>
        </w:sectPr>
      </w:pPr>
    </w:p>
    <w:tbl>
      <w:tblPr>
        <w:tblW w:w="9923" w:type="dxa"/>
        <w:tblInd w:w="-5" w:type="dxa"/>
        <w:tblBorders>
          <w:top w:val="single" w:sz="4" w:space="0" w:color="auto"/>
          <w:left w:val="single" w:sz="4" w:space="0" w:color="auto"/>
          <w:bottom w:val="single" w:sz="4" w:space="0" w:color="auto"/>
          <w:right w:val="single" w:sz="4" w:space="0" w:color="auto"/>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8068"/>
        <w:gridCol w:w="1855"/>
      </w:tblGrid>
      <w:tr w:rsidR="006F5B7C" w:rsidRPr="00DD477A" w14:paraId="6484B11D" w14:textId="77777777" w:rsidTr="000A77C7">
        <w:tc>
          <w:tcPr>
            <w:tcW w:w="9918" w:type="dxa"/>
            <w:gridSpan w:val="2"/>
            <w:shd w:val="clear" w:color="auto" w:fill="DDF3FA"/>
          </w:tcPr>
          <w:p w14:paraId="3681AB7E" w14:textId="5B5A4677" w:rsidR="006F5B7C" w:rsidRPr="00DD477A" w:rsidRDefault="006F5B7C" w:rsidP="000A77C7">
            <w:pPr>
              <w:pStyle w:val="TableText-Normal"/>
              <w:rPr>
                <w:rFonts w:cs="Calibri"/>
                <w:b/>
              </w:rPr>
            </w:pPr>
            <w:r w:rsidRPr="00DD477A">
              <w:rPr>
                <w:rFonts w:cs="Calibri"/>
              </w:rPr>
              <w:lastRenderedPageBreak/>
              <w:br w:type="page"/>
            </w:r>
            <w:r w:rsidRPr="00DD477A">
              <w:rPr>
                <w:rFonts w:cs="Calibri"/>
              </w:rPr>
              <w:br w:type="page"/>
            </w:r>
            <w:r w:rsidRPr="00DD477A">
              <w:rPr>
                <w:rFonts w:cs="Calibri"/>
              </w:rPr>
              <w:br w:type="page"/>
            </w:r>
            <w:r w:rsidRPr="00DD477A">
              <w:rPr>
                <w:rFonts w:cs="Calibri"/>
              </w:rPr>
              <w:br w:type="page"/>
            </w:r>
            <w:r w:rsidRPr="00DD477A">
              <w:rPr>
                <w:rFonts w:cs="Calibri"/>
                <w:b/>
              </w:rPr>
              <w:t xml:space="preserve">For delivery to Parliamentary Committees and the Commonwealth Library Deposit Free Issue Scheme </w:t>
            </w:r>
            <w:r w:rsidRPr="00DD477A">
              <w:rPr>
                <w:rFonts w:cs="Calibri"/>
                <w:b/>
                <w:u w:val="single"/>
              </w:rPr>
              <w:t>after tabling on Budget night</w:t>
            </w:r>
          </w:p>
          <w:p w14:paraId="4B24F981" w14:textId="23B4CF89" w:rsidR="006F5B7C" w:rsidRPr="00DD477A" w:rsidRDefault="006F5B7C" w:rsidP="006F5B7C">
            <w:pPr>
              <w:pStyle w:val="TableText-Normal"/>
              <w:rPr>
                <w:rFonts w:cs="Calibri"/>
                <w:b/>
                <w:bCs/>
              </w:rPr>
            </w:pPr>
            <w:r w:rsidRPr="00DD477A">
              <w:rPr>
                <w:rFonts w:cs="Calibri"/>
                <w:b/>
                <w:bCs/>
              </w:rPr>
              <w:t>Library deposit scheme + additional copies required for your committee</w:t>
            </w:r>
          </w:p>
        </w:tc>
      </w:tr>
      <w:tr w:rsidR="006F5B7C" w:rsidRPr="00DD477A" w14:paraId="6C3B5AC4" w14:textId="77777777" w:rsidTr="000A77C7">
        <w:tc>
          <w:tcPr>
            <w:tcW w:w="9918" w:type="dxa"/>
            <w:gridSpan w:val="2"/>
          </w:tcPr>
          <w:p w14:paraId="518B8AEA" w14:textId="77777777" w:rsidR="006F5B7C" w:rsidRPr="00DD477A" w:rsidRDefault="006F5B7C" w:rsidP="000A77C7">
            <w:pPr>
              <w:pStyle w:val="TableText-Normal"/>
              <w:rPr>
                <w:rFonts w:cs="Calibri"/>
              </w:rPr>
            </w:pPr>
            <w:r w:rsidRPr="00DD477A">
              <w:rPr>
                <w:rFonts w:cs="Calibri"/>
              </w:rPr>
              <w:t>Parliamentary Committees</w:t>
            </w:r>
          </w:p>
          <w:p w14:paraId="715D03A1" w14:textId="77777777" w:rsidR="006F5B7C" w:rsidRPr="00DD477A" w:rsidRDefault="006F5B7C" w:rsidP="000A77C7">
            <w:pPr>
              <w:pStyle w:val="TableText-Normal"/>
              <w:rPr>
                <w:rFonts w:cs="Calibri"/>
              </w:rPr>
            </w:pPr>
            <w:r w:rsidRPr="00DD477A">
              <w:rPr>
                <w:rFonts w:cs="Calibri"/>
              </w:rPr>
              <w:t xml:space="preserve">PB Statements only need to be sent to </w:t>
            </w:r>
            <w:r w:rsidRPr="00DD477A">
              <w:rPr>
                <w:rFonts w:cs="Calibri"/>
                <w:u w:val="single"/>
              </w:rPr>
              <w:t>your</w:t>
            </w:r>
            <w:r w:rsidRPr="00DD477A">
              <w:rPr>
                <w:rFonts w:cs="Calibri"/>
              </w:rPr>
              <w:t xml:space="preserve"> portfolio’s relevant parliamentary committee(s) noting below contacts and requirements.</w:t>
            </w:r>
          </w:p>
          <w:p w14:paraId="1861226A" w14:textId="77777777" w:rsidR="006F5B7C" w:rsidRPr="00DD477A" w:rsidRDefault="006F5B7C" w:rsidP="000A77C7">
            <w:pPr>
              <w:pStyle w:val="TableText-Normal"/>
              <w:rPr>
                <w:rFonts w:cs="Calibri"/>
              </w:rPr>
            </w:pPr>
            <w:r w:rsidRPr="00DD477A">
              <w:rPr>
                <w:rFonts w:cs="Calibri"/>
              </w:rPr>
              <w:t>PB Statements should be mailed to the following Committee address:</w:t>
            </w:r>
          </w:p>
          <w:p w14:paraId="6171F7C6" w14:textId="77777777" w:rsidR="006F5B7C" w:rsidRPr="00DD477A" w:rsidRDefault="006F5B7C" w:rsidP="000A77C7">
            <w:pPr>
              <w:pStyle w:val="TableText-Normal"/>
              <w:tabs>
                <w:tab w:val="left" w:pos="709"/>
              </w:tabs>
              <w:rPr>
                <w:rFonts w:cs="Calibri"/>
              </w:rPr>
            </w:pPr>
            <w:r w:rsidRPr="00DD477A">
              <w:rPr>
                <w:rFonts w:cs="Calibri"/>
              </w:rPr>
              <w:tab/>
            </w:r>
            <w:r w:rsidRPr="00DD477A">
              <w:rPr>
                <w:rFonts w:cs="Calibri"/>
                <w:sz w:val="20"/>
                <w:szCs w:val="24"/>
              </w:rPr>
              <w:t>[Name of Committee]</w:t>
            </w:r>
            <w:r w:rsidRPr="00DD477A">
              <w:rPr>
                <w:rFonts w:cs="Calibri"/>
                <w:sz w:val="20"/>
                <w:szCs w:val="24"/>
              </w:rPr>
              <w:br/>
            </w:r>
            <w:r w:rsidRPr="00DD477A">
              <w:rPr>
                <w:rFonts w:cs="Calibri"/>
                <w:sz w:val="20"/>
                <w:szCs w:val="24"/>
              </w:rPr>
              <w:tab/>
              <w:t>PO Box 6100</w:t>
            </w:r>
            <w:r w:rsidRPr="00DD477A">
              <w:rPr>
                <w:rFonts w:cs="Calibri"/>
                <w:sz w:val="20"/>
                <w:szCs w:val="24"/>
              </w:rPr>
              <w:br/>
            </w:r>
            <w:r w:rsidRPr="00DD477A">
              <w:rPr>
                <w:rFonts w:cs="Calibri"/>
                <w:sz w:val="20"/>
                <w:szCs w:val="24"/>
              </w:rPr>
              <w:tab/>
              <w:t>Parliament House</w:t>
            </w:r>
            <w:r w:rsidRPr="00DD477A">
              <w:rPr>
                <w:rFonts w:cs="Calibri"/>
                <w:sz w:val="20"/>
                <w:szCs w:val="24"/>
              </w:rPr>
              <w:br/>
            </w:r>
            <w:r w:rsidRPr="00DD477A">
              <w:rPr>
                <w:rFonts w:cs="Calibri"/>
                <w:sz w:val="20"/>
                <w:szCs w:val="24"/>
              </w:rPr>
              <w:tab/>
              <w:t>Canberra ACT 2600</w:t>
            </w:r>
            <w:r w:rsidRPr="00DD477A">
              <w:rPr>
                <w:rFonts w:cs="Calibri"/>
                <w:sz w:val="20"/>
                <w:szCs w:val="24"/>
              </w:rPr>
              <w:br/>
            </w:r>
            <w:r w:rsidRPr="00DD477A">
              <w:rPr>
                <w:rFonts w:cs="Calibri"/>
                <w:sz w:val="20"/>
                <w:szCs w:val="24"/>
              </w:rPr>
              <w:tab/>
              <w:t>Australia</w:t>
            </w:r>
          </w:p>
        </w:tc>
      </w:tr>
      <w:tr w:rsidR="006F5B7C" w:rsidRPr="00DD477A" w14:paraId="4496981F" w14:textId="77777777" w:rsidTr="000A77C7">
        <w:tc>
          <w:tcPr>
            <w:tcW w:w="8064" w:type="dxa"/>
          </w:tcPr>
          <w:p w14:paraId="3C160A5D" w14:textId="77777777" w:rsidR="006F5B7C" w:rsidRPr="00DD477A" w:rsidRDefault="006F5B7C" w:rsidP="00A85E0D">
            <w:pPr>
              <w:pStyle w:val="TableText-Normal"/>
              <w:ind w:left="425"/>
              <w:contextualSpacing/>
              <w:rPr>
                <w:rFonts w:cs="Calibri"/>
              </w:rPr>
            </w:pPr>
            <w:r w:rsidRPr="00DD477A">
              <w:rPr>
                <w:rFonts w:cs="Calibri"/>
              </w:rPr>
              <w:t>Community Affairs</w:t>
            </w:r>
            <w:r w:rsidRPr="00DD477A">
              <w:rPr>
                <w:rFonts w:cs="Calibri"/>
              </w:rPr>
              <w:softHyphen/>
              <w:t xml:space="preserve"> (Health and Aged Care, and Social Services)</w:t>
            </w:r>
          </w:p>
          <w:p w14:paraId="349860B0" w14:textId="77777777" w:rsidR="006F5B7C" w:rsidRPr="00DD477A" w:rsidRDefault="006F5B7C" w:rsidP="00A85E0D">
            <w:pPr>
              <w:pStyle w:val="TableText-NormalIndented"/>
              <w:tabs>
                <w:tab w:val="left" w:pos="2813"/>
              </w:tabs>
              <w:ind w:left="425"/>
              <w:contextualSpacing/>
              <w:rPr>
                <w:rFonts w:cs="Calibri"/>
                <w:sz w:val="20"/>
              </w:rPr>
            </w:pPr>
            <w:r w:rsidRPr="00DD477A">
              <w:rPr>
                <w:rFonts w:cs="Calibri"/>
                <w:sz w:val="20"/>
              </w:rPr>
              <w:t>Estimates Officer</w:t>
            </w:r>
            <w:r w:rsidRPr="00DD477A">
              <w:tab/>
            </w:r>
            <w:r w:rsidRPr="00DD477A">
              <w:rPr>
                <w:rFonts w:cs="Calibri"/>
                <w:sz w:val="20"/>
              </w:rPr>
              <w:t>ph: (02) 6277 3515</w:t>
            </w:r>
          </w:p>
          <w:p w14:paraId="54C1FDAD" w14:textId="77777777" w:rsidR="006F5B7C" w:rsidRPr="00DD477A" w:rsidRDefault="006F5B7C" w:rsidP="00A85E0D">
            <w:pPr>
              <w:pStyle w:val="TableText-NormalIndented"/>
              <w:ind w:left="425"/>
              <w:contextualSpacing/>
              <w:rPr>
                <w:rStyle w:val="Hyperlink"/>
                <w:rFonts w:cs="Calibri"/>
              </w:rPr>
            </w:pPr>
            <w:r w:rsidRPr="00DD477A">
              <w:rPr>
                <w:rFonts w:cs="Calibri"/>
                <w:sz w:val="20"/>
              </w:rPr>
              <w:t xml:space="preserve">email: </w:t>
            </w:r>
            <w:hyperlink r:id="rId36">
              <w:r w:rsidRPr="00DD477A">
                <w:rPr>
                  <w:rStyle w:val="Hyperlink"/>
                  <w:sz w:val="20"/>
                </w:rPr>
                <w:t>community.affairs.sen@aph.gov.au</w:t>
              </w:r>
            </w:hyperlink>
          </w:p>
        </w:tc>
        <w:tc>
          <w:tcPr>
            <w:tcW w:w="1854" w:type="dxa"/>
          </w:tcPr>
          <w:p w14:paraId="312DC977" w14:textId="77777777" w:rsidR="006F5B7C" w:rsidRPr="00DD477A" w:rsidRDefault="006F5B7C" w:rsidP="00A85E0D">
            <w:pPr>
              <w:pStyle w:val="TableText-Normal"/>
              <w:contextualSpacing/>
              <w:rPr>
                <w:rFonts w:cs="Calibri"/>
              </w:rPr>
            </w:pPr>
            <w:r w:rsidRPr="00DD477A">
              <w:rPr>
                <w:rFonts w:cs="Calibri"/>
              </w:rPr>
              <w:t>5 copies</w:t>
            </w:r>
          </w:p>
        </w:tc>
      </w:tr>
      <w:tr w:rsidR="006F5B7C" w:rsidRPr="00DD477A" w14:paraId="025D4571" w14:textId="77777777" w:rsidTr="000A77C7">
        <w:tc>
          <w:tcPr>
            <w:tcW w:w="8064" w:type="dxa"/>
          </w:tcPr>
          <w:p w14:paraId="6056B873" w14:textId="77777777" w:rsidR="006F5B7C" w:rsidRPr="00DD477A" w:rsidRDefault="006F5B7C" w:rsidP="00A85E0D">
            <w:pPr>
              <w:pStyle w:val="TableText-Normal"/>
              <w:ind w:left="425"/>
              <w:contextualSpacing/>
              <w:rPr>
                <w:rFonts w:cs="Calibri"/>
              </w:rPr>
            </w:pPr>
            <w:r w:rsidRPr="00DD477A">
              <w:rPr>
                <w:rFonts w:cs="Calibri"/>
              </w:rPr>
              <w:t>Economics</w:t>
            </w:r>
            <w:r w:rsidRPr="00DD477A">
              <w:rPr>
                <w:rFonts w:cs="Calibri"/>
              </w:rPr>
              <w:softHyphen/>
              <w:t xml:space="preserve"> (Industry, Science and Resources, and Treasury)</w:t>
            </w:r>
          </w:p>
          <w:p w14:paraId="79EEEFC9" w14:textId="77777777" w:rsidR="006F5B7C" w:rsidRPr="00DD477A" w:rsidRDefault="006F5B7C" w:rsidP="00A85E0D">
            <w:pPr>
              <w:pStyle w:val="TableText-NormalIndented"/>
              <w:tabs>
                <w:tab w:val="left" w:pos="2847"/>
              </w:tabs>
              <w:ind w:left="425"/>
              <w:contextualSpacing/>
              <w:rPr>
                <w:rFonts w:cs="Calibri"/>
                <w:sz w:val="20"/>
              </w:rPr>
            </w:pPr>
            <w:r w:rsidRPr="00DD477A">
              <w:rPr>
                <w:rFonts w:cs="Calibri"/>
                <w:sz w:val="20"/>
              </w:rPr>
              <w:t>Estimates Officer</w:t>
            </w:r>
            <w:r w:rsidRPr="00DD477A">
              <w:tab/>
            </w:r>
            <w:r w:rsidRPr="00DD477A">
              <w:rPr>
                <w:rFonts w:cs="Calibri"/>
                <w:sz w:val="20"/>
              </w:rPr>
              <w:t>ph: (02) 6277 3540</w:t>
            </w:r>
          </w:p>
          <w:p w14:paraId="5E71F451" w14:textId="77777777" w:rsidR="006F5B7C" w:rsidRPr="00DD477A" w:rsidRDefault="006F5B7C" w:rsidP="00A85E0D">
            <w:pPr>
              <w:pStyle w:val="TableText-NormalIndented"/>
              <w:ind w:left="425"/>
              <w:contextualSpacing/>
              <w:rPr>
                <w:rStyle w:val="Hyperlink"/>
                <w:rFonts w:cs="Calibri"/>
              </w:rPr>
            </w:pPr>
            <w:r w:rsidRPr="00DD477A">
              <w:rPr>
                <w:rFonts w:cs="Calibri"/>
                <w:sz w:val="20"/>
              </w:rPr>
              <w:t xml:space="preserve">email: </w:t>
            </w:r>
            <w:hyperlink r:id="rId37">
              <w:r w:rsidRPr="00DD477A">
                <w:rPr>
                  <w:rStyle w:val="Hyperlink"/>
                  <w:sz w:val="20"/>
                </w:rPr>
                <w:t>economics.sen@aph.gov.au</w:t>
              </w:r>
            </w:hyperlink>
          </w:p>
        </w:tc>
        <w:tc>
          <w:tcPr>
            <w:tcW w:w="1854" w:type="dxa"/>
          </w:tcPr>
          <w:p w14:paraId="54B6C2D5" w14:textId="77777777" w:rsidR="006F5B7C" w:rsidRPr="00DD477A" w:rsidRDefault="006F5B7C" w:rsidP="00A85E0D">
            <w:pPr>
              <w:pStyle w:val="TableText-Normal"/>
              <w:contextualSpacing/>
              <w:rPr>
                <w:rFonts w:cs="Calibri"/>
              </w:rPr>
            </w:pPr>
            <w:r w:rsidRPr="00DD477A">
              <w:rPr>
                <w:rFonts w:cs="Calibri"/>
              </w:rPr>
              <w:t>3 copies</w:t>
            </w:r>
          </w:p>
        </w:tc>
      </w:tr>
      <w:tr w:rsidR="006F5B7C" w:rsidRPr="00DD477A" w14:paraId="6FC54984" w14:textId="77777777" w:rsidTr="000A77C7">
        <w:tc>
          <w:tcPr>
            <w:tcW w:w="8064" w:type="dxa"/>
          </w:tcPr>
          <w:p w14:paraId="4F3DAE48" w14:textId="77777777" w:rsidR="006F5B7C" w:rsidRPr="00DD477A" w:rsidRDefault="006F5B7C" w:rsidP="00A85E0D">
            <w:pPr>
              <w:pStyle w:val="TableText-Normal"/>
              <w:ind w:left="425"/>
              <w:contextualSpacing/>
              <w:rPr>
                <w:rFonts w:cs="Calibri"/>
              </w:rPr>
            </w:pPr>
            <w:r w:rsidRPr="00DD477A">
              <w:rPr>
                <w:rFonts w:cs="Calibri"/>
              </w:rPr>
              <w:t>Education and Employment</w:t>
            </w:r>
            <w:r w:rsidRPr="00DD477A">
              <w:rPr>
                <w:rFonts w:cs="Calibri"/>
              </w:rPr>
              <w:softHyphen/>
              <w:t xml:space="preserve"> (Education, and Employment and Workplace Relations)</w:t>
            </w:r>
          </w:p>
          <w:p w14:paraId="0C53DCC6" w14:textId="77777777" w:rsidR="006F5B7C" w:rsidRPr="00DD477A" w:rsidRDefault="006F5B7C" w:rsidP="00A85E0D">
            <w:pPr>
              <w:pStyle w:val="TableText-NormalIndented"/>
              <w:tabs>
                <w:tab w:val="left" w:pos="2835"/>
              </w:tabs>
              <w:ind w:left="425"/>
              <w:contextualSpacing/>
              <w:rPr>
                <w:rFonts w:cs="Calibri"/>
                <w:sz w:val="20"/>
              </w:rPr>
            </w:pPr>
            <w:r w:rsidRPr="00DD477A">
              <w:rPr>
                <w:rFonts w:cs="Calibri"/>
                <w:sz w:val="20"/>
              </w:rPr>
              <w:t>Estimates Officer</w:t>
            </w:r>
            <w:r w:rsidRPr="00DD477A">
              <w:tab/>
            </w:r>
            <w:r w:rsidRPr="00DD477A">
              <w:rPr>
                <w:rFonts w:cs="Calibri"/>
                <w:sz w:val="20"/>
              </w:rPr>
              <w:t>ph: (02) 6277 3521</w:t>
            </w:r>
          </w:p>
          <w:p w14:paraId="08494F88" w14:textId="77777777" w:rsidR="006F5B7C" w:rsidRPr="00DD477A" w:rsidRDefault="006F5B7C" w:rsidP="00A85E0D">
            <w:pPr>
              <w:pStyle w:val="TableText-NormalIndented"/>
              <w:ind w:left="425"/>
              <w:contextualSpacing/>
              <w:jc w:val="both"/>
              <w:rPr>
                <w:rStyle w:val="Hyperlink"/>
                <w:rFonts w:eastAsiaTheme="minorHAnsi" w:cs="Calibri"/>
                <w:szCs w:val="28"/>
              </w:rPr>
            </w:pPr>
            <w:r w:rsidRPr="00DD477A">
              <w:rPr>
                <w:rFonts w:cs="Calibri"/>
                <w:sz w:val="20"/>
              </w:rPr>
              <w:t xml:space="preserve">email: </w:t>
            </w:r>
            <w:hyperlink r:id="rId38">
              <w:r w:rsidRPr="00DD477A">
                <w:rPr>
                  <w:rStyle w:val="Hyperlink"/>
                  <w:sz w:val="20"/>
                </w:rPr>
                <w:t>eec.sen@aph.gov.au</w:t>
              </w:r>
            </w:hyperlink>
          </w:p>
        </w:tc>
        <w:tc>
          <w:tcPr>
            <w:tcW w:w="1854" w:type="dxa"/>
          </w:tcPr>
          <w:p w14:paraId="7F7CBF56" w14:textId="77777777" w:rsidR="006F5B7C" w:rsidRPr="00DD477A" w:rsidRDefault="006F5B7C" w:rsidP="00A85E0D">
            <w:pPr>
              <w:pStyle w:val="TableText-Normal"/>
              <w:contextualSpacing/>
              <w:rPr>
                <w:rFonts w:cs="Calibri"/>
              </w:rPr>
            </w:pPr>
            <w:r w:rsidRPr="00DD477A">
              <w:rPr>
                <w:rFonts w:cs="Calibri"/>
              </w:rPr>
              <w:t>6 copies</w:t>
            </w:r>
          </w:p>
        </w:tc>
      </w:tr>
      <w:tr w:rsidR="006F5B7C" w:rsidRPr="00DD477A" w14:paraId="142955CE" w14:textId="77777777" w:rsidTr="000A77C7">
        <w:tc>
          <w:tcPr>
            <w:tcW w:w="8064" w:type="dxa"/>
          </w:tcPr>
          <w:p w14:paraId="7EA22FC8" w14:textId="77777777" w:rsidR="006F5B7C" w:rsidRPr="00DD477A" w:rsidRDefault="006F5B7C" w:rsidP="00A85E0D">
            <w:pPr>
              <w:pStyle w:val="TableText-Normal"/>
              <w:ind w:left="425"/>
              <w:contextualSpacing/>
              <w:rPr>
                <w:rFonts w:cs="Calibri"/>
              </w:rPr>
            </w:pPr>
            <w:r w:rsidRPr="00DD477A">
              <w:rPr>
                <w:rFonts w:cs="Calibri"/>
              </w:rPr>
              <w:t>Environment and Communications</w:t>
            </w:r>
            <w:r w:rsidRPr="00DD477A">
              <w:rPr>
                <w:rFonts w:cs="Calibri"/>
              </w:rPr>
              <w:softHyphen/>
              <w:t xml:space="preserve"> (Climate Change, Energy, the Environment and Water, and Infrastructure, Transport, Regional Development, Communications and the Arts (Communications and the Arts functions only))</w:t>
            </w:r>
          </w:p>
          <w:p w14:paraId="2F0FFBFA" w14:textId="77777777" w:rsidR="006F5B7C" w:rsidRPr="00DD477A" w:rsidRDefault="006F5B7C" w:rsidP="00A85E0D">
            <w:pPr>
              <w:pStyle w:val="TableText-NormalIndented"/>
              <w:tabs>
                <w:tab w:val="left" w:pos="2835"/>
              </w:tabs>
              <w:ind w:left="425"/>
              <w:contextualSpacing/>
              <w:rPr>
                <w:rFonts w:cs="Calibri"/>
                <w:sz w:val="20"/>
              </w:rPr>
            </w:pPr>
            <w:r w:rsidRPr="00DD477A">
              <w:rPr>
                <w:rFonts w:cs="Calibri"/>
                <w:sz w:val="20"/>
              </w:rPr>
              <w:t>Estimates Officer</w:t>
            </w:r>
            <w:r w:rsidRPr="00DD477A">
              <w:tab/>
            </w:r>
            <w:r w:rsidRPr="00DD477A">
              <w:rPr>
                <w:rFonts w:cs="Calibri"/>
                <w:sz w:val="20"/>
              </w:rPr>
              <w:t>ph: (02) 6277 3526</w:t>
            </w:r>
          </w:p>
          <w:p w14:paraId="13426417" w14:textId="77777777" w:rsidR="006F5B7C" w:rsidRPr="00DD477A" w:rsidRDefault="006F5B7C" w:rsidP="00A85E0D">
            <w:pPr>
              <w:pStyle w:val="TableText-NormalIndented"/>
              <w:ind w:left="425"/>
              <w:contextualSpacing/>
              <w:rPr>
                <w:rStyle w:val="Hyperlink"/>
                <w:rFonts w:cs="Calibri"/>
              </w:rPr>
            </w:pPr>
            <w:r w:rsidRPr="00DD477A">
              <w:rPr>
                <w:rFonts w:cs="Calibri"/>
                <w:sz w:val="20"/>
              </w:rPr>
              <w:t xml:space="preserve">email: </w:t>
            </w:r>
            <w:hyperlink r:id="rId39">
              <w:r w:rsidRPr="00DD477A">
                <w:rPr>
                  <w:rStyle w:val="Hyperlink"/>
                  <w:sz w:val="20"/>
                </w:rPr>
                <w:t>ec.sen@aph.gov.au</w:t>
              </w:r>
            </w:hyperlink>
          </w:p>
        </w:tc>
        <w:tc>
          <w:tcPr>
            <w:tcW w:w="1854" w:type="dxa"/>
          </w:tcPr>
          <w:p w14:paraId="750677A8" w14:textId="77777777" w:rsidR="006F5B7C" w:rsidRPr="00DD477A" w:rsidRDefault="006F5B7C" w:rsidP="00A85E0D">
            <w:pPr>
              <w:pStyle w:val="TableText-Normal"/>
              <w:contextualSpacing/>
              <w:rPr>
                <w:rFonts w:cs="Calibri"/>
              </w:rPr>
            </w:pPr>
            <w:r w:rsidRPr="00DD477A">
              <w:rPr>
                <w:rFonts w:cs="Calibri"/>
              </w:rPr>
              <w:t>5 copies</w:t>
            </w:r>
          </w:p>
        </w:tc>
      </w:tr>
      <w:tr w:rsidR="006F5B7C" w:rsidRPr="00DD477A" w14:paraId="796210EF" w14:textId="77777777" w:rsidTr="000A77C7">
        <w:tc>
          <w:tcPr>
            <w:tcW w:w="8064" w:type="dxa"/>
          </w:tcPr>
          <w:p w14:paraId="10CD775C" w14:textId="77777777" w:rsidR="006F5B7C" w:rsidRPr="00DD477A" w:rsidRDefault="006F5B7C" w:rsidP="00A85E0D">
            <w:pPr>
              <w:pStyle w:val="TableText-Normal"/>
              <w:ind w:left="425"/>
              <w:contextualSpacing/>
              <w:rPr>
                <w:rFonts w:cs="Calibri"/>
              </w:rPr>
            </w:pPr>
            <w:r w:rsidRPr="00DD477A">
              <w:rPr>
                <w:rFonts w:cs="Calibri"/>
              </w:rPr>
              <w:t>Finance and Public Administration</w:t>
            </w:r>
            <w:r w:rsidRPr="00DD477A">
              <w:rPr>
                <w:rFonts w:cs="Calibri"/>
              </w:rPr>
              <w:softHyphen/>
              <w:t xml:space="preserve"> (</w:t>
            </w:r>
            <w:r w:rsidRPr="00DD477A">
              <w:t>Finance, Parliamentary departments, and Prime Minister and Cabinet)</w:t>
            </w:r>
          </w:p>
          <w:p w14:paraId="3568CEC0" w14:textId="77777777" w:rsidR="006F5B7C" w:rsidRPr="00DD477A" w:rsidRDefault="006F5B7C" w:rsidP="00A85E0D">
            <w:pPr>
              <w:pStyle w:val="TableText-NormalIndented"/>
              <w:tabs>
                <w:tab w:val="left" w:pos="2835"/>
              </w:tabs>
              <w:ind w:left="425"/>
              <w:contextualSpacing/>
              <w:rPr>
                <w:rFonts w:cs="Calibri"/>
                <w:sz w:val="20"/>
              </w:rPr>
            </w:pPr>
            <w:r w:rsidRPr="00DD477A">
              <w:rPr>
                <w:rFonts w:cs="Calibri"/>
                <w:sz w:val="20"/>
              </w:rPr>
              <w:t>Estimates Officer</w:t>
            </w:r>
            <w:r w:rsidRPr="00DD477A">
              <w:tab/>
            </w:r>
            <w:r w:rsidRPr="00DD477A">
              <w:rPr>
                <w:rFonts w:cs="Calibri"/>
                <w:sz w:val="20"/>
              </w:rPr>
              <w:t>ph: (02) 6277 3846</w:t>
            </w:r>
          </w:p>
          <w:p w14:paraId="10D07CC9" w14:textId="77777777" w:rsidR="006F5B7C" w:rsidRPr="00DD477A" w:rsidRDefault="006F5B7C" w:rsidP="00A85E0D">
            <w:pPr>
              <w:pStyle w:val="TableText-NormalIndented"/>
              <w:ind w:left="425"/>
              <w:contextualSpacing/>
              <w:rPr>
                <w:rStyle w:val="Hyperlink"/>
                <w:rFonts w:cs="Calibri"/>
              </w:rPr>
            </w:pPr>
            <w:r w:rsidRPr="00DD477A">
              <w:rPr>
                <w:rFonts w:cs="Calibri"/>
                <w:sz w:val="20"/>
              </w:rPr>
              <w:t xml:space="preserve">email: </w:t>
            </w:r>
            <w:hyperlink r:id="rId40">
              <w:r w:rsidRPr="00DD477A">
                <w:rPr>
                  <w:rStyle w:val="Hyperlink"/>
                  <w:sz w:val="20"/>
                </w:rPr>
                <w:t>fpa.sen@aph.gov.au</w:t>
              </w:r>
            </w:hyperlink>
          </w:p>
        </w:tc>
        <w:tc>
          <w:tcPr>
            <w:tcW w:w="1854" w:type="dxa"/>
          </w:tcPr>
          <w:p w14:paraId="294FE71D" w14:textId="77777777" w:rsidR="006F5B7C" w:rsidRPr="00DD477A" w:rsidRDefault="006F5B7C" w:rsidP="00A85E0D">
            <w:pPr>
              <w:pStyle w:val="TableText-Normal"/>
              <w:contextualSpacing/>
              <w:rPr>
                <w:rFonts w:cs="Calibri"/>
              </w:rPr>
            </w:pPr>
            <w:r w:rsidRPr="00DD477A">
              <w:rPr>
                <w:rFonts w:cs="Calibri"/>
              </w:rPr>
              <w:t>8 copies</w:t>
            </w:r>
          </w:p>
        </w:tc>
      </w:tr>
      <w:tr w:rsidR="006F5B7C" w:rsidRPr="00DD477A" w14:paraId="2FB4447D" w14:textId="77777777" w:rsidTr="000A77C7">
        <w:tc>
          <w:tcPr>
            <w:tcW w:w="8064" w:type="dxa"/>
          </w:tcPr>
          <w:p w14:paraId="42309304" w14:textId="77777777" w:rsidR="006F5B7C" w:rsidRPr="00DD477A" w:rsidRDefault="006F5B7C" w:rsidP="00A85E0D">
            <w:pPr>
              <w:pStyle w:val="TableText-Normal"/>
              <w:ind w:left="425"/>
              <w:contextualSpacing/>
              <w:rPr>
                <w:rFonts w:cs="Calibri"/>
              </w:rPr>
            </w:pPr>
            <w:r w:rsidRPr="00DD477A">
              <w:rPr>
                <w:rFonts w:cs="Calibri"/>
              </w:rPr>
              <w:t>Foreign Affairs, Defence and Trade</w:t>
            </w:r>
            <w:r w:rsidRPr="00DD477A">
              <w:rPr>
                <w:rFonts w:cs="Calibri"/>
              </w:rPr>
              <w:softHyphen/>
              <w:t xml:space="preserve"> (Defence (including Veterans' Affairs), Foreign Affairs and Trade)</w:t>
            </w:r>
          </w:p>
          <w:p w14:paraId="5C84D366" w14:textId="77777777" w:rsidR="006F5B7C" w:rsidRPr="00DD477A" w:rsidRDefault="006F5B7C" w:rsidP="00A85E0D">
            <w:pPr>
              <w:pStyle w:val="TableText-NormalIndented"/>
              <w:tabs>
                <w:tab w:val="left" w:pos="2835"/>
              </w:tabs>
              <w:ind w:left="425"/>
              <w:contextualSpacing/>
              <w:rPr>
                <w:rFonts w:cs="Calibri"/>
                <w:sz w:val="20"/>
              </w:rPr>
            </w:pPr>
            <w:r w:rsidRPr="00DD477A">
              <w:rPr>
                <w:rFonts w:cs="Calibri"/>
                <w:sz w:val="20"/>
              </w:rPr>
              <w:t>Estimates Officer</w:t>
            </w:r>
            <w:r w:rsidRPr="00DD477A">
              <w:tab/>
            </w:r>
            <w:r w:rsidRPr="00DD477A">
              <w:rPr>
                <w:rFonts w:cs="Calibri"/>
                <w:sz w:val="20"/>
              </w:rPr>
              <w:t>ph: (02) 6277 3535</w:t>
            </w:r>
          </w:p>
          <w:p w14:paraId="6EAECCD0" w14:textId="77777777" w:rsidR="006F5B7C" w:rsidRPr="00DD477A" w:rsidRDefault="006F5B7C" w:rsidP="00A85E0D">
            <w:pPr>
              <w:pStyle w:val="TableText-NormalIndented"/>
              <w:ind w:left="425"/>
              <w:contextualSpacing/>
              <w:rPr>
                <w:rStyle w:val="Hyperlink"/>
                <w:rFonts w:cs="Calibri"/>
              </w:rPr>
            </w:pPr>
            <w:r w:rsidRPr="00DD477A">
              <w:rPr>
                <w:rFonts w:cs="Calibri"/>
                <w:sz w:val="20"/>
              </w:rPr>
              <w:t xml:space="preserve">email: </w:t>
            </w:r>
            <w:hyperlink r:id="rId41">
              <w:r w:rsidRPr="00DD477A">
                <w:rPr>
                  <w:rStyle w:val="Hyperlink"/>
                  <w:sz w:val="20"/>
                </w:rPr>
                <w:t>fadt.sen@aph.gov.au</w:t>
              </w:r>
            </w:hyperlink>
          </w:p>
        </w:tc>
        <w:tc>
          <w:tcPr>
            <w:tcW w:w="1854" w:type="dxa"/>
          </w:tcPr>
          <w:p w14:paraId="42F442D2" w14:textId="77777777" w:rsidR="006F5B7C" w:rsidRPr="00DD477A" w:rsidRDefault="006F5B7C" w:rsidP="00A85E0D">
            <w:pPr>
              <w:pStyle w:val="TableText-Normal"/>
              <w:contextualSpacing/>
              <w:rPr>
                <w:rFonts w:cs="Calibri"/>
              </w:rPr>
            </w:pPr>
            <w:r w:rsidRPr="00DD477A">
              <w:rPr>
                <w:rFonts w:cs="Calibri"/>
              </w:rPr>
              <w:t>6 copies</w:t>
            </w:r>
          </w:p>
        </w:tc>
      </w:tr>
      <w:tr w:rsidR="006F5B7C" w:rsidRPr="00DD477A" w14:paraId="35DE0319" w14:textId="77777777" w:rsidTr="000A77C7">
        <w:tc>
          <w:tcPr>
            <w:tcW w:w="8064" w:type="dxa"/>
          </w:tcPr>
          <w:p w14:paraId="31B42CDA" w14:textId="77777777" w:rsidR="006F5B7C" w:rsidRPr="00DD477A" w:rsidRDefault="006F5B7C" w:rsidP="00A85E0D">
            <w:pPr>
              <w:pStyle w:val="TableText-Normal"/>
              <w:ind w:left="425"/>
              <w:contextualSpacing/>
              <w:rPr>
                <w:rFonts w:cs="Calibri"/>
              </w:rPr>
            </w:pPr>
            <w:r w:rsidRPr="00DD477A">
              <w:rPr>
                <w:rFonts w:cs="Calibri"/>
              </w:rPr>
              <w:t>Legal and Constitutional Affairs</w:t>
            </w:r>
            <w:r w:rsidRPr="00DD477A">
              <w:rPr>
                <w:rFonts w:cs="Calibri"/>
              </w:rPr>
              <w:softHyphen/>
              <w:t xml:space="preserve"> (Attorney-General’s and Home Affairs)</w:t>
            </w:r>
          </w:p>
          <w:p w14:paraId="68297EEF" w14:textId="77777777" w:rsidR="006F5B7C" w:rsidRPr="00DD477A" w:rsidRDefault="006F5B7C" w:rsidP="00A85E0D">
            <w:pPr>
              <w:pStyle w:val="TableText-NormalIndented"/>
              <w:tabs>
                <w:tab w:val="left" w:pos="2824"/>
              </w:tabs>
              <w:ind w:left="425"/>
              <w:contextualSpacing/>
              <w:rPr>
                <w:rFonts w:cs="Calibri"/>
                <w:sz w:val="20"/>
              </w:rPr>
            </w:pPr>
            <w:r w:rsidRPr="00DD477A">
              <w:rPr>
                <w:rFonts w:cs="Calibri"/>
                <w:sz w:val="20"/>
              </w:rPr>
              <w:t>Estimates Officer</w:t>
            </w:r>
            <w:r w:rsidRPr="00DD477A">
              <w:tab/>
            </w:r>
            <w:r w:rsidRPr="00DD477A">
              <w:rPr>
                <w:rFonts w:cs="Calibri"/>
                <w:sz w:val="20"/>
              </w:rPr>
              <w:t>ph: (02) 6277 3560</w:t>
            </w:r>
          </w:p>
          <w:p w14:paraId="1AF78B91" w14:textId="77777777" w:rsidR="006F5B7C" w:rsidRPr="00DD477A" w:rsidRDefault="006F5B7C" w:rsidP="00A85E0D">
            <w:pPr>
              <w:pStyle w:val="TableText-NormalIndented"/>
              <w:ind w:left="425"/>
              <w:contextualSpacing/>
              <w:rPr>
                <w:rStyle w:val="Hyperlink"/>
                <w:rFonts w:cs="Calibri"/>
              </w:rPr>
            </w:pPr>
            <w:r w:rsidRPr="00DD477A">
              <w:rPr>
                <w:rFonts w:cs="Calibri"/>
                <w:sz w:val="20"/>
              </w:rPr>
              <w:t xml:space="preserve">email: </w:t>
            </w:r>
            <w:hyperlink r:id="rId42" w:history="1">
              <w:r w:rsidRPr="00DD477A">
                <w:rPr>
                  <w:rStyle w:val="Hyperlink"/>
                  <w:sz w:val="20"/>
                </w:rPr>
                <w:t>legcon.sen@aph.gov.au</w:t>
              </w:r>
            </w:hyperlink>
          </w:p>
        </w:tc>
        <w:tc>
          <w:tcPr>
            <w:tcW w:w="1854" w:type="dxa"/>
          </w:tcPr>
          <w:p w14:paraId="25B1ED01" w14:textId="77777777" w:rsidR="006F5B7C" w:rsidRPr="00DD477A" w:rsidRDefault="006F5B7C" w:rsidP="00A85E0D">
            <w:pPr>
              <w:pStyle w:val="TableText-Normal"/>
              <w:contextualSpacing/>
              <w:rPr>
                <w:rFonts w:cs="Calibri"/>
              </w:rPr>
            </w:pPr>
            <w:r w:rsidRPr="00DD477A">
              <w:rPr>
                <w:rFonts w:cs="Calibri"/>
              </w:rPr>
              <w:t>3 copies</w:t>
            </w:r>
          </w:p>
        </w:tc>
      </w:tr>
      <w:tr w:rsidR="006F5B7C" w:rsidRPr="00DD477A" w14:paraId="3DFC60BF" w14:textId="77777777" w:rsidTr="000A77C7">
        <w:tc>
          <w:tcPr>
            <w:tcW w:w="8064" w:type="dxa"/>
          </w:tcPr>
          <w:p w14:paraId="2129B7B7" w14:textId="77777777" w:rsidR="006F5B7C" w:rsidRPr="00DD477A" w:rsidRDefault="006F5B7C" w:rsidP="00A85E0D">
            <w:pPr>
              <w:pStyle w:val="TableText-Normal"/>
              <w:ind w:left="425"/>
              <w:contextualSpacing/>
              <w:rPr>
                <w:rFonts w:cs="Calibri"/>
              </w:rPr>
            </w:pPr>
            <w:r w:rsidRPr="00DD477A">
              <w:rPr>
                <w:rFonts w:cs="Calibri"/>
              </w:rPr>
              <w:t>Rural and Regional Affairs and Transport</w:t>
            </w:r>
            <w:r w:rsidRPr="00DD477A">
              <w:rPr>
                <w:rFonts w:cs="Calibri"/>
              </w:rPr>
              <w:softHyphen/>
              <w:t xml:space="preserve"> (Agriculture, Fisheries and Forestry, and Infrastructure, Transport, Regional Development, Communications and the Arts (Infrastructure, Transport and Regional Development functions only))</w:t>
            </w:r>
          </w:p>
          <w:p w14:paraId="5879B4F5" w14:textId="77777777" w:rsidR="006F5B7C" w:rsidRPr="00DD477A" w:rsidRDefault="006F5B7C" w:rsidP="00A85E0D">
            <w:pPr>
              <w:pStyle w:val="TableText-NormalIndented"/>
              <w:tabs>
                <w:tab w:val="left" w:pos="2847"/>
              </w:tabs>
              <w:ind w:left="425"/>
              <w:contextualSpacing/>
              <w:rPr>
                <w:rFonts w:cs="Calibri"/>
                <w:sz w:val="20"/>
              </w:rPr>
            </w:pPr>
            <w:r w:rsidRPr="00DD477A">
              <w:rPr>
                <w:rFonts w:cs="Calibri"/>
                <w:sz w:val="20"/>
              </w:rPr>
              <w:t>Estimates Officer</w:t>
            </w:r>
            <w:r w:rsidRPr="00DD477A">
              <w:tab/>
            </w:r>
            <w:r w:rsidRPr="00DD477A">
              <w:rPr>
                <w:rFonts w:cs="Calibri"/>
                <w:sz w:val="20"/>
              </w:rPr>
              <w:t>ph: (02) 6277 3511</w:t>
            </w:r>
          </w:p>
          <w:p w14:paraId="501FEDCD" w14:textId="343AC07A" w:rsidR="006F5B7C" w:rsidRPr="00DD477A" w:rsidRDefault="0022056F" w:rsidP="00A85E0D">
            <w:pPr>
              <w:pStyle w:val="TableText-NormalIndented"/>
              <w:ind w:left="425"/>
              <w:contextualSpacing/>
              <w:rPr>
                <w:rFonts w:cs="Calibri"/>
              </w:rPr>
            </w:pPr>
            <w:r w:rsidRPr="00DD477A">
              <w:rPr>
                <w:rFonts w:cs="Calibri"/>
                <w:sz w:val="20"/>
              </w:rPr>
              <w:t>e</w:t>
            </w:r>
            <w:r w:rsidR="006F5B7C" w:rsidRPr="00DD477A">
              <w:rPr>
                <w:rFonts w:cs="Calibri"/>
                <w:sz w:val="20"/>
              </w:rPr>
              <w:t xml:space="preserve">mail: </w:t>
            </w:r>
            <w:hyperlink r:id="rId43" w:history="1">
              <w:r w:rsidR="006F5B7C" w:rsidRPr="00DD477A">
                <w:rPr>
                  <w:rStyle w:val="Hyperlink"/>
                  <w:sz w:val="20"/>
                </w:rPr>
                <w:t>rrat.sen@aph.gov.au</w:t>
              </w:r>
            </w:hyperlink>
          </w:p>
        </w:tc>
        <w:tc>
          <w:tcPr>
            <w:tcW w:w="1854" w:type="dxa"/>
          </w:tcPr>
          <w:p w14:paraId="73F2A04B" w14:textId="77777777" w:rsidR="006F5B7C" w:rsidRPr="00DD477A" w:rsidRDefault="006F5B7C" w:rsidP="00A85E0D">
            <w:pPr>
              <w:pStyle w:val="TableText-Normal"/>
              <w:contextualSpacing/>
              <w:rPr>
                <w:rFonts w:cs="Calibri"/>
              </w:rPr>
            </w:pPr>
            <w:r w:rsidRPr="00DD477A">
              <w:rPr>
                <w:rFonts w:cs="Calibri"/>
              </w:rPr>
              <w:t>3 copies</w:t>
            </w:r>
          </w:p>
        </w:tc>
      </w:tr>
      <w:tr w:rsidR="006F5B7C" w:rsidRPr="00DD477A" w14:paraId="56C0CD9C" w14:textId="77777777" w:rsidTr="000A77C7">
        <w:tc>
          <w:tcPr>
            <w:tcW w:w="8064" w:type="dxa"/>
          </w:tcPr>
          <w:p w14:paraId="161850D6" w14:textId="77777777" w:rsidR="006F5B7C" w:rsidRPr="00DD477A" w:rsidRDefault="006F5B7C" w:rsidP="00A85E0D">
            <w:pPr>
              <w:pStyle w:val="TableText-Normal"/>
              <w:contextualSpacing/>
              <w:rPr>
                <w:rFonts w:cs="Calibri"/>
              </w:rPr>
            </w:pPr>
            <w:r w:rsidRPr="00DD477A">
              <w:rPr>
                <w:rFonts w:cs="Calibri"/>
              </w:rPr>
              <w:t>Commonwealth Library Deposit and Free Issue Schemes (LDS)</w:t>
            </w:r>
          </w:p>
          <w:p w14:paraId="3DE1E63A" w14:textId="1E935C90" w:rsidR="006F5B7C" w:rsidRPr="00DD477A" w:rsidRDefault="0022056F" w:rsidP="006F5B7C">
            <w:pPr>
              <w:pStyle w:val="TableText-Normal"/>
              <w:tabs>
                <w:tab w:val="left" w:pos="709"/>
                <w:tab w:val="left" w:pos="2835"/>
              </w:tabs>
              <w:spacing w:before="0" w:after="0" w:line="300" w:lineRule="exact"/>
              <w:ind w:left="425"/>
              <w:contextualSpacing/>
              <w:rPr>
                <w:rFonts w:cs="Calibri"/>
                <w:sz w:val="20"/>
                <w:szCs w:val="20"/>
              </w:rPr>
            </w:pPr>
            <w:r w:rsidRPr="00DD477A">
              <w:rPr>
                <w:rFonts w:cs="Calibri"/>
                <w:sz w:val="20"/>
                <w:szCs w:val="20"/>
              </w:rPr>
              <w:t>em</w:t>
            </w:r>
            <w:r w:rsidR="006F5B7C" w:rsidRPr="00DD477A">
              <w:rPr>
                <w:rFonts w:cs="Calibri"/>
                <w:sz w:val="20"/>
                <w:szCs w:val="20"/>
              </w:rPr>
              <w:t xml:space="preserve">ail: </w:t>
            </w:r>
            <w:hyperlink r:id="rId44">
              <w:r w:rsidR="006F5B7C" w:rsidRPr="00DD477A">
                <w:rPr>
                  <w:rStyle w:val="Hyperlink"/>
                  <w:sz w:val="20"/>
                  <w:szCs w:val="20"/>
                </w:rPr>
                <w:t>info@dta.gov.au</w:t>
              </w:r>
            </w:hyperlink>
            <w:r w:rsidR="006F5B7C" w:rsidRPr="00DD477A">
              <w:rPr>
                <w:rStyle w:val="Hyperlink"/>
                <w:sz w:val="20"/>
                <w:szCs w:val="20"/>
                <w:u w:val="none"/>
              </w:rPr>
              <w:tab/>
              <w:t>ph: (</w:t>
            </w:r>
            <w:r w:rsidR="006F5B7C" w:rsidRPr="00DD477A">
              <w:rPr>
                <w:rFonts w:cs="Calibri"/>
                <w:sz w:val="20"/>
                <w:szCs w:val="20"/>
              </w:rPr>
              <w:t>02) 6120 8707</w:t>
            </w:r>
          </w:p>
          <w:p w14:paraId="1E4A19A9" w14:textId="1217780A" w:rsidR="006F5B7C" w:rsidRPr="00DD477A" w:rsidRDefault="0022056F" w:rsidP="006F5B7C">
            <w:pPr>
              <w:pStyle w:val="TableText-Normal"/>
              <w:tabs>
                <w:tab w:val="left" w:pos="709"/>
                <w:tab w:val="left" w:pos="2913"/>
              </w:tabs>
              <w:spacing w:before="0" w:after="0" w:line="300" w:lineRule="exact"/>
              <w:ind w:left="425"/>
              <w:contextualSpacing/>
              <w:rPr>
                <w:rFonts w:cs="Calibri"/>
              </w:rPr>
            </w:pPr>
            <w:r w:rsidRPr="00DD477A">
              <w:rPr>
                <w:rFonts w:cs="Calibri"/>
                <w:sz w:val="20"/>
                <w:szCs w:val="20"/>
              </w:rPr>
              <w:t>w</w:t>
            </w:r>
            <w:r w:rsidR="006F5B7C" w:rsidRPr="00DD477A">
              <w:rPr>
                <w:rFonts w:cs="Calibri"/>
                <w:sz w:val="20"/>
                <w:szCs w:val="20"/>
              </w:rPr>
              <w:t xml:space="preserve">ebsite: </w:t>
            </w:r>
            <w:hyperlink r:id="rId45">
              <w:r w:rsidR="006F5B7C" w:rsidRPr="00DD477A">
                <w:rPr>
                  <w:rStyle w:val="Hyperlink"/>
                  <w:sz w:val="20"/>
                  <w:szCs w:val="20"/>
                </w:rPr>
                <w:t>www.dta.gov.au/help-and-advice/guides-and-tools/commonwealth-library-deposit-and-free-issue-schemes</w:t>
              </w:r>
            </w:hyperlink>
          </w:p>
        </w:tc>
        <w:tc>
          <w:tcPr>
            <w:tcW w:w="1854" w:type="dxa"/>
          </w:tcPr>
          <w:p w14:paraId="1BC73307" w14:textId="77777777" w:rsidR="006F5B7C" w:rsidRPr="00DD477A" w:rsidRDefault="006F5B7C" w:rsidP="00A85E0D">
            <w:pPr>
              <w:pStyle w:val="TableText-Normal"/>
              <w:contextualSpacing/>
              <w:rPr>
                <w:rFonts w:cs="Calibri"/>
              </w:rPr>
            </w:pPr>
            <w:r w:rsidRPr="00DD477A">
              <w:rPr>
                <w:rFonts w:cs="Calibri"/>
              </w:rPr>
              <w:t>8 copies</w:t>
            </w:r>
          </w:p>
          <w:p w14:paraId="661BE22D" w14:textId="77777777" w:rsidR="006F5B7C" w:rsidRPr="00DD477A" w:rsidRDefault="006F5B7C" w:rsidP="00A85E0D">
            <w:pPr>
              <w:pStyle w:val="TableText-Normal"/>
              <w:contextualSpacing/>
              <w:rPr>
                <w:rFonts w:cs="Calibri"/>
              </w:rPr>
            </w:pPr>
            <w:r w:rsidRPr="00DD477A">
              <w:rPr>
                <w:rFonts w:cs="Calibri"/>
                <w:sz w:val="20"/>
                <w:szCs w:val="24"/>
              </w:rPr>
              <w:t>(Please check DTA Library Deposit website prior to printing)</w:t>
            </w:r>
          </w:p>
        </w:tc>
      </w:tr>
    </w:tbl>
    <w:p w14:paraId="1B9A191A" w14:textId="37B2EC9C" w:rsidR="00290B0B" w:rsidRPr="00DD477A" w:rsidRDefault="00290B0B" w:rsidP="00A14EAF"/>
    <w:p w14:paraId="58BBF8B2" w14:textId="77777777" w:rsidR="00290B0B" w:rsidRPr="00DD477A" w:rsidRDefault="00290B0B" w:rsidP="00E548A0">
      <w:pPr>
        <w:pStyle w:val="Heading1"/>
      </w:pPr>
      <w:bookmarkStart w:id="575" w:name="_Toc160715528"/>
      <w:r w:rsidRPr="00DD477A">
        <w:lastRenderedPageBreak/>
        <w:t>Online publication</w:t>
      </w:r>
      <w:bookmarkEnd w:id="575"/>
    </w:p>
    <w:p w14:paraId="5D73AE3A" w14:textId="77777777" w:rsidR="00290B0B" w:rsidRPr="00DD477A" w:rsidRDefault="00290B0B" w:rsidP="00E548A0">
      <w:pPr>
        <w:pStyle w:val="Heading2"/>
      </w:pPr>
      <w:bookmarkStart w:id="576" w:name="_Toc160715529"/>
      <w:r w:rsidRPr="00DD477A">
        <w:t>Online publishing of the PB Statements</w:t>
      </w:r>
      <w:bookmarkEnd w:id="576"/>
    </w:p>
    <w:p w14:paraId="281254F1" w14:textId="5A485317" w:rsidR="00290B0B" w:rsidRPr="00DD477A" w:rsidRDefault="00290B0B" w:rsidP="00290B0B">
      <w:pPr>
        <w:rPr>
          <w:rFonts w:cs="Calibri"/>
        </w:rPr>
      </w:pPr>
      <w:r w:rsidRPr="00DD477A">
        <w:rPr>
          <w:rFonts w:cs="Calibri"/>
        </w:rPr>
        <w:t>All Budget documentation will be published online, with hyperlinks to reference associated budget documents to assist reading between these documents. The Australian Government Budget website (</w:t>
      </w:r>
      <w:hyperlink r:id="rId46" w:history="1">
        <w:r w:rsidRPr="00DD477A">
          <w:rPr>
            <w:rFonts w:cs="MuseoSans-500"/>
            <w:u w:val="single" w:color="0070C0"/>
          </w:rPr>
          <w:t>www.budget.gov.au</w:t>
        </w:r>
      </w:hyperlink>
      <w:r w:rsidRPr="00DD477A">
        <w:rPr>
          <w:rFonts w:cs="MuseoSans-500"/>
          <w:u w:val="single" w:color="0070C0"/>
        </w:rPr>
        <w:t>)</w:t>
      </w:r>
      <w:r w:rsidRPr="00DD477A">
        <w:rPr>
          <w:rFonts w:cs="Calibri"/>
        </w:rPr>
        <w:t xml:space="preserve"> will link readers to PB Statements on each portfolio’s website.</w:t>
      </w:r>
    </w:p>
    <w:p w14:paraId="62516D27" w14:textId="174AD441" w:rsidR="00290B0B" w:rsidRPr="00DD477A" w:rsidRDefault="00290B0B" w:rsidP="00290B0B">
      <w:pPr>
        <w:rPr>
          <w:rFonts w:eastAsiaTheme="minorEastAsia" w:cs="Calibri"/>
        </w:rPr>
      </w:pPr>
      <w:r w:rsidRPr="00DD477A">
        <w:rPr>
          <w:rFonts w:cs="Calibri"/>
        </w:rPr>
        <w:t xml:space="preserve">Portfolios </w:t>
      </w:r>
      <w:r w:rsidRPr="00DD477A">
        <w:rPr>
          <w:rFonts w:cs="Calibri"/>
          <w:b/>
          <w:bCs/>
        </w:rPr>
        <w:t>must</w:t>
      </w:r>
      <w:r w:rsidRPr="00DD477A">
        <w:rPr>
          <w:rFonts w:cs="Calibri"/>
        </w:rPr>
        <w:t xml:space="preserve"> provide online access to PB Statements on their portfolio department’s website in accessible formats as required by the </w:t>
      </w:r>
      <w:r w:rsidRPr="00DD477A">
        <w:rPr>
          <w:rFonts w:cs="Calibri"/>
          <w:i/>
        </w:rPr>
        <w:t>Web Content Accessibility Guidelines.</w:t>
      </w:r>
      <w:r w:rsidRPr="00DD477A">
        <w:rPr>
          <w:rFonts w:cs="Calibri"/>
        </w:rPr>
        <w:t xml:space="preserve"> These guidelines and other publishing requirements and guidance are available at</w:t>
      </w:r>
      <w:r w:rsidRPr="00DD477A">
        <w:rPr>
          <w:rFonts w:eastAsiaTheme="minorEastAsia" w:cs="Calibri"/>
        </w:rPr>
        <w:t xml:space="preserve"> </w:t>
      </w:r>
      <w:hyperlink r:id="rId47">
        <w:r w:rsidRPr="00DD477A">
          <w:rPr>
            <w:rFonts w:cs="MuseoSans-500"/>
            <w:u w:val="single" w:color="0070C0"/>
          </w:rPr>
          <w:t>www.stylemanual.gov.au</w:t>
        </w:r>
      </w:hyperlink>
      <w:r w:rsidRPr="00DD477A">
        <w:rPr>
          <w:rFonts w:eastAsiaTheme="minorEastAsia" w:cs="Calibri"/>
        </w:rPr>
        <w:t>.</w:t>
      </w:r>
    </w:p>
    <w:p w14:paraId="68D55592" w14:textId="0F5ABC99" w:rsidR="00290B0B" w:rsidRPr="00DD477A" w:rsidRDefault="00290B0B" w:rsidP="00290B0B">
      <w:pPr>
        <w:rPr>
          <w:rFonts w:cs="Calibri"/>
        </w:rPr>
      </w:pPr>
      <w:r w:rsidRPr="00DD477A">
        <w:rPr>
          <w:rFonts w:cs="Calibri"/>
        </w:rPr>
        <w:t xml:space="preserve">PB Statements </w:t>
      </w:r>
      <w:r w:rsidRPr="00DD477A">
        <w:rPr>
          <w:rFonts w:cs="Calibri"/>
          <w:b/>
          <w:bCs/>
        </w:rPr>
        <w:t>must not</w:t>
      </w:r>
      <w:r w:rsidRPr="00DD477A">
        <w:rPr>
          <w:rFonts w:cs="Calibri"/>
        </w:rPr>
        <w:t xml:space="preserve"> be uploaded onto portfolio department’s websites </w:t>
      </w:r>
      <w:r w:rsidRPr="00DD477A">
        <w:rPr>
          <w:rFonts w:cs="Calibri"/>
          <w:b/>
          <w:bCs/>
        </w:rPr>
        <w:t>until after they are tabled in the Senate</w:t>
      </w:r>
      <w:r w:rsidRPr="00DD477A">
        <w:rPr>
          <w:rFonts w:cs="Calibri"/>
        </w:rPr>
        <w:t xml:space="preserve">. Note: PB Statements are </w:t>
      </w:r>
      <w:r w:rsidRPr="00DD477A">
        <w:rPr>
          <w:rFonts w:cs="Calibri"/>
          <w:b/>
          <w:bCs/>
        </w:rPr>
        <w:t>not</w:t>
      </w:r>
      <w:r w:rsidRPr="00DD477A">
        <w:rPr>
          <w:rFonts w:cs="Calibri"/>
        </w:rPr>
        <w:t xml:space="preserve"> tabled in the House of Representatives.</w:t>
      </w:r>
    </w:p>
    <w:p w14:paraId="5B40AB2A" w14:textId="77777777" w:rsidR="00290B0B" w:rsidRPr="00DD477A" w:rsidRDefault="00290B0B" w:rsidP="00A85E0D">
      <w:pPr>
        <w:pStyle w:val="Bullet1"/>
      </w:pPr>
      <w:r w:rsidRPr="00DD477A">
        <w:t xml:space="preserve">Tabling status is available on the Department of the Senate’s </w:t>
      </w:r>
      <w:hyperlink r:id="rId48" w:history="1">
        <w:r w:rsidRPr="00DD477A">
          <w:rPr>
            <w:rFonts w:cs="MuseoSans-500"/>
            <w:u w:val="single" w:color="0070C0"/>
          </w:rPr>
          <w:t>order of business - dynamic red</w:t>
        </w:r>
      </w:hyperlink>
      <w:r w:rsidRPr="00DD477A">
        <w:t xml:space="preserve"> webpage. If tabled, the time the documents were tabled is provided in the light red column to the right-hand side of the ‘2024-25 Portfolio Budget Statements’ note. Portfolios will not be separately identified.</w:t>
      </w:r>
    </w:p>
    <w:p w14:paraId="5AF33E07" w14:textId="171C9A60" w:rsidR="00290B0B" w:rsidRPr="00DD477A" w:rsidRDefault="00290B0B" w:rsidP="00290B0B">
      <w:pPr>
        <w:rPr>
          <w:rFonts w:eastAsiaTheme="minorEastAsia" w:cs="Calibri"/>
        </w:rPr>
      </w:pPr>
      <w:r w:rsidRPr="00DD477A">
        <w:t xml:space="preserve">It is anticipated that this notice will appear on the </w:t>
      </w:r>
      <w:r w:rsidRPr="00DD477A">
        <w:rPr>
          <w:b/>
          <w:bCs/>
        </w:rPr>
        <w:t>Dynamic Red website</w:t>
      </w:r>
      <w:r w:rsidRPr="00DD477A">
        <w:t xml:space="preserve"> around </w:t>
      </w:r>
      <w:r w:rsidRPr="00DD477A">
        <w:rPr>
          <w:b/>
          <w:bCs/>
        </w:rPr>
        <w:t>20:15pm</w:t>
      </w:r>
      <w:r w:rsidRPr="00DD477A">
        <w:rPr>
          <w:b/>
        </w:rPr>
        <w:t>, Tuesday,</w:t>
      </w:r>
      <w:r w:rsidRPr="00DD477A">
        <w:rPr>
          <w:b/>
          <w:u w:val="single"/>
        </w:rPr>
        <w:t xml:space="preserve"> </w:t>
      </w:r>
      <w:r w:rsidRPr="00DD477A">
        <w:rPr>
          <w:b/>
        </w:rPr>
        <w:t>14 May 2024</w:t>
      </w:r>
      <w:r w:rsidRPr="00DD477A">
        <w:t>. If there is any doubt as to whether the PB Statements have been tabled, please call the Senate enquiries number (on (02) 6277 3010) which will be able to provide the necessary advice.</w:t>
      </w:r>
    </w:p>
    <w:p w14:paraId="409F6F3B" w14:textId="77777777" w:rsidR="00290B0B" w:rsidRPr="00DD477A" w:rsidRDefault="00290B0B" w:rsidP="00290B0B">
      <w:pPr>
        <w:rPr>
          <w:rFonts w:cs="Calibri"/>
        </w:rPr>
      </w:pPr>
      <w:r w:rsidRPr="00DD477A">
        <w:rPr>
          <w:rFonts w:cs="Calibri"/>
        </w:rPr>
        <w:t xml:space="preserve">Portfolios should email the Digital Delivery Team at </w:t>
      </w:r>
      <w:hyperlink r:id="rId49" w:history="1">
        <w:r w:rsidRPr="00DD477A">
          <w:rPr>
            <w:rFonts w:cs="MuseoSans-500"/>
            <w:u w:val="single" w:color="0070C0"/>
          </w:rPr>
          <w:t>budget-website@treasury.gov.au</w:t>
        </w:r>
      </w:hyperlink>
      <w:r w:rsidRPr="00DD477A">
        <w:rPr>
          <w:rFonts w:cs="MuseoSans-500"/>
          <w:u w:val="single" w:color="0070C0"/>
        </w:rPr>
        <w:t xml:space="preserve"> </w:t>
      </w:r>
      <w:r w:rsidRPr="00DD477A">
        <w:rPr>
          <w:rFonts w:cs="Calibri"/>
        </w:rPr>
        <w:t xml:space="preserve">by </w:t>
      </w:r>
      <w:r w:rsidRPr="00DD477A">
        <w:rPr>
          <w:rFonts w:cs="Calibri"/>
          <w:b/>
          <w:bCs/>
        </w:rPr>
        <w:t xml:space="preserve">4.30pm </w:t>
      </w:r>
      <w:r w:rsidRPr="00DD477A">
        <w:rPr>
          <w:rFonts w:cs="Calibri"/>
          <w:b/>
        </w:rPr>
        <w:t>Friday, 10 May 2024,</w:t>
      </w:r>
      <w:r w:rsidRPr="00DD477A">
        <w:rPr>
          <w:rFonts w:cs="Calibri"/>
          <w:b/>
          <w:bCs/>
        </w:rPr>
        <w:t xml:space="preserve"> </w:t>
      </w:r>
      <w:r w:rsidRPr="00DD477A">
        <w:rPr>
          <w:rFonts w:cs="Calibri"/>
        </w:rPr>
        <w:t>the following details:</w:t>
      </w:r>
    </w:p>
    <w:p w14:paraId="3F7AF85C" w14:textId="77777777" w:rsidR="00290B0B" w:rsidRPr="00DD477A" w:rsidRDefault="00290B0B" w:rsidP="00A85E0D">
      <w:pPr>
        <w:pStyle w:val="Bullet1"/>
      </w:pPr>
      <w:r w:rsidRPr="00DD477A">
        <w:t>the URL address relevant to the portfolio PB Statements</w:t>
      </w:r>
    </w:p>
    <w:p w14:paraId="6B96B7A9" w14:textId="77777777" w:rsidR="00290B0B" w:rsidRPr="00DD477A" w:rsidRDefault="00290B0B" w:rsidP="00A85E0D">
      <w:pPr>
        <w:pStyle w:val="Bullet1"/>
      </w:pPr>
      <w:r w:rsidRPr="00DD477A">
        <w:t>portfolio contact details for PB Statements queries</w:t>
      </w:r>
    </w:p>
    <w:p w14:paraId="1010D139" w14:textId="4C61A097" w:rsidR="00290B0B" w:rsidRPr="00DD477A" w:rsidRDefault="00290B0B" w:rsidP="00A85E0D">
      <w:pPr>
        <w:pStyle w:val="Bullet1"/>
      </w:pPr>
      <w:r w:rsidRPr="00DD477A">
        <w:t>contact details for the portfolio’s webmaster.</w:t>
      </w:r>
    </w:p>
    <w:p w14:paraId="703730E0" w14:textId="77777777" w:rsidR="00290B0B" w:rsidRPr="00DD477A" w:rsidRDefault="00290B0B" w:rsidP="00290B0B">
      <w:pPr>
        <w:rPr>
          <w:rFonts w:cs="Calibri"/>
        </w:rPr>
      </w:pPr>
      <w:r w:rsidRPr="00DD477A">
        <w:rPr>
          <w:rFonts w:cs="Calibri"/>
        </w:rPr>
        <w:t>Portfolio departments should seek guidance from their internal Web Publishing area and forward the above information for their action.</w:t>
      </w:r>
    </w:p>
    <w:p w14:paraId="105AF1EC" w14:textId="77777777" w:rsidR="00290B0B" w:rsidRPr="00DD477A" w:rsidRDefault="00290B0B" w:rsidP="00290B0B">
      <w:r w:rsidRPr="00DD477A">
        <w:t xml:space="preserve">The PB Statements </w:t>
      </w:r>
      <w:r w:rsidRPr="00DD477A">
        <w:rPr>
          <w:b/>
          <w:bCs/>
        </w:rPr>
        <w:t>are not</w:t>
      </w:r>
      <w:r w:rsidRPr="00DD477A">
        <w:t xml:space="preserve"> archived on the </w:t>
      </w:r>
      <w:hyperlink r:id="rId50">
        <w:r w:rsidRPr="00DD477A">
          <w:rPr>
            <w:rFonts w:cs="MuseoSans-500"/>
            <w:u w:val="single" w:color="0070C0"/>
          </w:rPr>
          <w:t>www.budget.gov.au</w:t>
        </w:r>
      </w:hyperlink>
      <w:r w:rsidRPr="00DD477A">
        <w:t xml:space="preserve"> website – portfolio departments should ensure electronic copies of past PB Statements remain available on their websites. </w:t>
      </w:r>
    </w:p>
    <w:p w14:paraId="4CE77C25" w14:textId="77777777" w:rsidR="00290B0B" w:rsidRPr="00DD477A" w:rsidRDefault="00290B0B" w:rsidP="00E548A0">
      <w:pPr>
        <w:pStyle w:val="Heading2"/>
      </w:pPr>
      <w:bookmarkStart w:id="577" w:name="_Toc160715530"/>
      <w:r w:rsidRPr="00DD477A">
        <w:t>Standard file-naming convention</w:t>
      </w:r>
      <w:bookmarkEnd w:id="577"/>
    </w:p>
    <w:p w14:paraId="67927BD8" w14:textId="77777777" w:rsidR="00290B0B" w:rsidRPr="00DD477A" w:rsidRDefault="00290B0B" w:rsidP="00290B0B">
      <w:pPr>
        <w:rPr>
          <w:rFonts w:cs="Calibri"/>
        </w:rPr>
      </w:pPr>
      <w:r w:rsidRPr="00DD477A">
        <w:rPr>
          <w:rFonts w:cs="Calibri"/>
        </w:rPr>
        <w:t xml:space="preserve">A consistent file-naming convention for electronic copies of the PB Statements is required to aid readers comprehension, minimise confusion and improve online searchability. </w:t>
      </w:r>
    </w:p>
    <w:p w14:paraId="79A5F697" w14:textId="77777777" w:rsidR="00290B0B" w:rsidRPr="00DD477A" w:rsidRDefault="00290B0B" w:rsidP="00290B0B">
      <w:pPr>
        <w:rPr>
          <w:rFonts w:cs="Calibri"/>
        </w:rPr>
      </w:pPr>
      <w:r w:rsidRPr="00DD477A">
        <w:rPr>
          <w:rFonts w:cs="Calibri"/>
        </w:rPr>
        <w:t xml:space="preserve">An example of the recommended convention is: </w:t>
      </w:r>
    </w:p>
    <w:p w14:paraId="6EF1F8FC" w14:textId="77777777" w:rsidR="00290B0B" w:rsidRPr="00DD477A" w:rsidRDefault="00290B0B" w:rsidP="00290B0B">
      <w:pPr>
        <w:pStyle w:val="IndentBlueText"/>
      </w:pPr>
      <w:r w:rsidRPr="00DD477A">
        <w:t>FinancialYear_Portfolio_PBS_a file sequence number (i.e. 01, 02 etc) Chapter Number (or entity name/acronym, etc)</w:t>
      </w:r>
    </w:p>
    <w:p w14:paraId="53E9DEBF" w14:textId="77777777" w:rsidR="00290B0B" w:rsidRPr="00DD477A" w:rsidRDefault="00290B0B" w:rsidP="00290B0B">
      <w:pPr>
        <w:rPr>
          <w:rFonts w:cs="Calibri"/>
        </w:rPr>
      </w:pPr>
      <w:r w:rsidRPr="00DD477A">
        <w:rPr>
          <w:rFonts w:cs="Calibri"/>
        </w:rPr>
        <w:t>Examples would be:</w:t>
      </w:r>
    </w:p>
    <w:p w14:paraId="4E132153" w14:textId="77777777" w:rsidR="00290B0B" w:rsidRPr="00DD477A" w:rsidRDefault="00290B0B" w:rsidP="00290B0B">
      <w:pPr>
        <w:pStyle w:val="IndentBlueText"/>
      </w:pPr>
      <w:r w:rsidRPr="00DD477A">
        <w:t>2024-25_Finance_PBS_01_Parts_A_and_B</w:t>
      </w:r>
    </w:p>
    <w:p w14:paraId="4EF2421F" w14:textId="77777777" w:rsidR="00290B0B" w:rsidRPr="00DD477A" w:rsidRDefault="00290B0B" w:rsidP="00290B0B">
      <w:pPr>
        <w:pStyle w:val="IndentBlueText"/>
      </w:pPr>
      <w:r w:rsidRPr="00DD477A">
        <w:t>2024-25_Finance_PBS_02_AEC</w:t>
      </w:r>
    </w:p>
    <w:p w14:paraId="3EDF785A" w14:textId="77777777" w:rsidR="00290B0B" w:rsidRPr="00DD477A" w:rsidRDefault="00290B0B" w:rsidP="00290B0B">
      <w:pPr>
        <w:pStyle w:val="IndentBlueText"/>
      </w:pPr>
      <w:r w:rsidRPr="00DD477A">
        <w:t>2024-25_Finance_PBS_03_Outcome1</w:t>
      </w:r>
    </w:p>
    <w:p w14:paraId="1E18ED6A" w14:textId="77777777" w:rsidR="00290B0B" w:rsidRPr="00DD477A" w:rsidRDefault="00290B0B" w:rsidP="00290B0B">
      <w:pPr>
        <w:rPr>
          <w:rFonts w:cs="Calibri"/>
        </w:rPr>
      </w:pPr>
      <w:r w:rsidRPr="00DD477A">
        <w:rPr>
          <w:rFonts w:cs="Calibri"/>
        </w:rPr>
        <w:t>The file sequence number simply indicates which file should be read first, second, third etc.</w:t>
      </w:r>
    </w:p>
    <w:p w14:paraId="3D58B162" w14:textId="40DD7091" w:rsidR="00290B0B" w:rsidRPr="00DD477A" w:rsidRDefault="00290B0B" w:rsidP="00290B0B">
      <w:pPr>
        <w:rPr>
          <w:rFonts w:cs="Calibri"/>
        </w:rPr>
      </w:pPr>
      <w:r w:rsidRPr="00DD477A">
        <w:rPr>
          <w:rFonts w:cs="Calibri"/>
        </w:rPr>
        <w:lastRenderedPageBreak/>
        <w:t>These naming conventions allow file downloading into a sub-directory in the same order as the order of presentation of PB Statements chapters. This results in easier and more intuitive file navigation as the electronic files are listed in the same order as the printed chapters.</w:t>
      </w:r>
    </w:p>
    <w:p w14:paraId="250F19C1" w14:textId="77777777" w:rsidR="00290B0B" w:rsidRPr="00DD477A" w:rsidRDefault="00290B0B" w:rsidP="00E548A0">
      <w:pPr>
        <w:pStyle w:val="Heading3"/>
      </w:pPr>
      <w:bookmarkStart w:id="578" w:name="_Toc160715531"/>
      <w:r w:rsidRPr="00DD477A">
        <w:t>Open government initiative publication on data.gov.au</w:t>
      </w:r>
      <w:bookmarkEnd w:id="578"/>
    </w:p>
    <w:p w14:paraId="0ABC1C2F" w14:textId="77777777" w:rsidR="00290B0B" w:rsidRPr="00DD477A" w:rsidRDefault="00290B0B" w:rsidP="00290B0B">
      <w:pPr>
        <w:rPr>
          <w:rFonts w:cs="Calibri"/>
        </w:rPr>
      </w:pPr>
      <w:r w:rsidRPr="00DD477A">
        <w:rPr>
          <w:rFonts w:cs="Calibri"/>
        </w:rPr>
        <w:t xml:space="preserve">To increase Budget transparency, portfolio departments are required to provide a copy of finalised PB Statements tables for publication on </w:t>
      </w:r>
      <w:hyperlink r:id="rId51" w:history="1">
        <w:r w:rsidRPr="00DD477A">
          <w:rPr>
            <w:rStyle w:val="Hyperlink"/>
          </w:rPr>
          <w:t>data.gov.au</w:t>
        </w:r>
      </w:hyperlink>
      <w:r w:rsidRPr="00DD477A">
        <w:rPr>
          <w:rFonts w:cs="Calibri"/>
        </w:rPr>
        <w:t>. While portfolio departments have the option of using Creative Commons BY 4.0, the Finance templates by default use Creative Commons BY 3.0.</w:t>
      </w:r>
    </w:p>
    <w:p w14:paraId="6D91EE38" w14:textId="77777777" w:rsidR="00290B0B" w:rsidRPr="00DD477A" w:rsidRDefault="00290B0B" w:rsidP="00290B0B">
      <w:pPr>
        <w:rPr>
          <w:rFonts w:cs="Calibri"/>
        </w:rPr>
      </w:pPr>
      <w:r w:rsidRPr="00DD477A">
        <w:rPr>
          <w:rFonts w:cs="Calibri"/>
        </w:rPr>
        <w:t xml:space="preserve">The PB Statements financial tables received from portfolios in Excel workbook format will be published on </w:t>
      </w:r>
      <w:hyperlink r:id="rId52">
        <w:r w:rsidRPr="00DD477A">
          <w:rPr>
            <w:rStyle w:val="Hyperlink"/>
          </w:rPr>
          <w:t>data.gov.au</w:t>
        </w:r>
      </w:hyperlink>
      <w:r w:rsidRPr="00DD477A">
        <w:rPr>
          <w:rFonts w:cs="Calibri"/>
        </w:rPr>
        <w:t xml:space="preserve"> as, with a separate workbook for each entity.</w:t>
      </w:r>
    </w:p>
    <w:p w14:paraId="126CCE90" w14:textId="77777777" w:rsidR="00290B0B" w:rsidRPr="00DD477A" w:rsidRDefault="00290B0B" w:rsidP="00290B0B">
      <w:pPr>
        <w:rPr>
          <w:rFonts w:cs="Calibri"/>
        </w:rPr>
      </w:pPr>
      <w:r w:rsidRPr="00DD477A">
        <w:rPr>
          <w:rFonts w:cs="Calibri"/>
        </w:rPr>
        <w:t>The collection of PB Statements financial tables will be published in machine-readable format to assist analysis of the financial information.</w:t>
      </w:r>
    </w:p>
    <w:p w14:paraId="733D134C" w14:textId="77777777" w:rsidR="00290B0B" w:rsidRPr="00DD477A" w:rsidRDefault="00290B0B" w:rsidP="00290B0B">
      <w:pPr>
        <w:suppressAutoHyphens w:val="0"/>
        <w:rPr>
          <w:rFonts w:cs="Calibri"/>
        </w:rPr>
      </w:pPr>
      <w:r w:rsidRPr="00DD477A">
        <w:rPr>
          <w:rFonts w:cs="Calibri"/>
        </w:rPr>
        <w:t xml:space="preserve">The following financial tables </w:t>
      </w:r>
      <w:r w:rsidRPr="00DD477A">
        <w:rPr>
          <w:rFonts w:cs="Calibri"/>
          <w:b/>
          <w:bCs/>
        </w:rPr>
        <w:t>with headings and footnotes</w:t>
      </w:r>
      <w:r w:rsidRPr="00DD477A">
        <w:rPr>
          <w:rFonts w:cs="Calibri"/>
        </w:rPr>
        <w:t xml:space="preserve"> will be published on </w:t>
      </w:r>
      <w:hyperlink r:id="rId53">
        <w:r w:rsidRPr="00DD477A">
          <w:rPr>
            <w:rStyle w:val="Hyperlink"/>
          </w:rPr>
          <w:t>data.gov.au</w:t>
        </w:r>
      </w:hyperlink>
      <w:r w:rsidRPr="00DD477A">
        <w:rPr>
          <w:rFonts w:cs="Calibri"/>
        </w:rPr>
        <w:t>:</w:t>
      </w:r>
    </w:p>
    <w:p w14:paraId="091A322A" w14:textId="77777777" w:rsidR="00290B0B" w:rsidRPr="00DD477A" w:rsidRDefault="00290B0B" w:rsidP="00290B0B">
      <w:pPr>
        <w:pStyle w:val="Bullet1"/>
      </w:pPr>
      <w:r w:rsidRPr="00DD477A">
        <w:t>Table 1.1: Entity resource statement (Table 1.1)</w:t>
      </w:r>
    </w:p>
    <w:p w14:paraId="4D0329EF" w14:textId="77777777" w:rsidR="00290B0B" w:rsidRPr="00DD477A" w:rsidRDefault="00290B0B" w:rsidP="00290B0B">
      <w:pPr>
        <w:pStyle w:val="Bullet1"/>
      </w:pPr>
      <w:r w:rsidRPr="00DD477A">
        <w:t>Table 1.2: Entity 2024-25 Budget measures</w:t>
      </w:r>
    </w:p>
    <w:p w14:paraId="0D6C83E7" w14:textId="77777777" w:rsidR="00290B0B" w:rsidRPr="00DD477A" w:rsidRDefault="00290B0B" w:rsidP="00290B0B">
      <w:pPr>
        <w:pStyle w:val="Bullet1"/>
      </w:pPr>
      <w:r w:rsidRPr="00DD477A">
        <w:t>Table 2.X.1: Budgeted expenses for Outcome X (Table 2.X.1)</w:t>
      </w:r>
    </w:p>
    <w:p w14:paraId="170CF2BD" w14:textId="77777777" w:rsidR="00290B0B" w:rsidRPr="00DD477A" w:rsidRDefault="00290B0B" w:rsidP="00290B0B">
      <w:pPr>
        <w:pStyle w:val="Bullet1"/>
      </w:pPr>
      <w:r w:rsidRPr="00DD477A">
        <w:t>Table 2.X.2: Program components</w:t>
      </w:r>
    </w:p>
    <w:p w14:paraId="66C8EA84" w14:textId="77777777" w:rsidR="00290B0B" w:rsidRPr="00DD477A" w:rsidRDefault="00290B0B" w:rsidP="00290B0B">
      <w:pPr>
        <w:pStyle w:val="Bullet1"/>
      </w:pPr>
      <w:r w:rsidRPr="00DD477A">
        <w:t>Table 3.1 to 3.6: Departmental budgeted financial statements</w:t>
      </w:r>
    </w:p>
    <w:p w14:paraId="44D9AA16" w14:textId="77777777" w:rsidR="00290B0B" w:rsidRPr="00DD477A" w:rsidRDefault="00290B0B" w:rsidP="00290B0B">
      <w:pPr>
        <w:pStyle w:val="Bullet1"/>
      </w:pPr>
      <w:r w:rsidRPr="00DD477A">
        <w:t>Table 3.7 to 3.11: Administered budgeted financial statements</w:t>
      </w:r>
    </w:p>
    <w:p w14:paraId="6D5EE98D" w14:textId="77777777" w:rsidR="00290B0B" w:rsidRPr="00DD477A" w:rsidRDefault="00290B0B" w:rsidP="00290B0B">
      <w:pPr>
        <w:rPr>
          <w:rFonts w:cs="Calibri"/>
        </w:rPr>
      </w:pPr>
      <w:r w:rsidRPr="00DD477A">
        <w:rPr>
          <w:rFonts w:cs="Calibri"/>
        </w:rPr>
        <w:t>Where an entity prepares two or more sets of tables, (for example Departmental budgeted financial statements consolidated and non-consolidated), these tables should be included and clearly marked.</w:t>
      </w:r>
    </w:p>
    <w:p w14:paraId="6D32C513" w14:textId="5DECED21" w:rsidR="00290B0B" w:rsidRPr="00DD477A" w:rsidRDefault="00290B0B" w:rsidP="00290B0B">
      <w:pPr>
        <w:rPr>
          <w:rFonts w:cs="Calibri"/>
          <w:b/>
          <w:bCs/>
        </w:rPr>
      </w:pPr>
      <w:r w:rsidRPr="00DD477A">
        <w:rPr>
          <w:rFonts w:cs="Calibri"/>
        </w:rPr>
        <w:t xml:space="preserve">As PB Statements information is under embargo until tabled in Parliament, portfolio departments should send PB Statement financial tables to Finance either via Protected-rated email or other secure means to </w:t>
      </w:r>
      <w:hyperlink r:id="rId54" w:history="1">
        <w:r w:rsidRPr="00DD477A">
          <w:rPr>
            <w:rStyle w:val="Hyperlink"/>
            <w:rFonts w:cs="Calibri"/>
            <w:color w:val="000000" w:themeColor="text1"/>
          </w:rPr>
          <w:t>budget_framework@finance.gov.au</w:t>
        </w:r>
      </w:hyperlink>
      <w:r w:rsidRPr="00DD477A">
        <w:rPr>
          <w:rFonts w:cs="Calibri"/>
        </w:rPr>
        <w:t xml:space="preserve"> by </w:t>
      </w:r>
      <w:r w:rsidRPr="00DD477A">
        <w:rPr>
          <w:rFonts w:cs="Calibri"/>
          <w:b/>
          <w:bCs/>
          <w:u w:val="single"/>
        </w:rPr>
        <w:t xml:space="preserve">4:30pm </w:t>
      </w:r>
      <w:r w:rsidRPr="00DD477A">
        <w:rPr>
          <w:rFonts w:cs="Calibri"/>
          <w:b/>
          <w:u w:val="single"/>
        </w:rPr>
        <w:t>Monday, 13 May 202</w:t>
      </w:r>
      <w:r w:rsidRPr="00DD477A">
        <w:rPr>
          <w:rFonts w:cs="Calibri"/>
          <w:b/>
          <w:bCs/>
          <w:u w:val="single"/>
        </w:rPr>
        <w:t>4</w:t>
      </w:r>
      <w:r w:rsidRPr="00DD477A">
        <w:rPr>
          <w:rFonts w:cs="Calibri"/>
        </w:rPr>
        <w:t>.</w:t>
      </w:r>
    </w:p>
    <w:p w14:paraId="4FBF57AC" w14:textId="77777777" w:rsidR="00290B0B" w:rsidRPr="00DD477A" w:rsidRDefault="00290B0B" w:rsidP="00290B0B">
      <w:pPr>
        <w:rPr>
          <w:rFonts w:cs="Calibri"/>
        </w:rPr>
      </w:pPr>
      <w:r w:rsidRPr="00DD477A">
        <w:rPr>
          <w:rFonts w:cs="Calibri"/>
        </w:rPr>
        <w:t xml:space="preserve">Prior to sending the financial tables to Finance, Portfolio departments </w:t>
      </w:r>
      <w:r w:rsidRPr="00DD477A">
        <w:rPr>
          <w:rFonts w:cs="Calibri"/>
          <w:b/>
          <w:bCs/>
        </w:rPr>
        <w:t>must</w:t>
      </w:r>
      <w:r w:rsidRPr="00DD477A">
        <w:rPr>
          <w:rFonts w:cs="Calibri"/>
        </w:rPr>
        <w:t xml:space="preserve"> ensure the following:</w:t>
      </w:r>
    </w:p>
    <w:p w14:paraId="7A933F5E" w14:textId="77777777" w:rsidR="00290B0B" w:rsidRPr="00DD477A" w:rsidRDefault="00290B0B" w:rsidP="00AA1E87">
      <w:pPr>
        <w:pStyle w:val="Numbered"/>
        <w:numPr>
          <w:ilvl w:val="0"/>
          <w:numId w:val="49"/>
        </w:numPr>
      </w:pPr>
      <w:r w:rsidRPr="00DD477A">
        <w:t>tables are in one Excel workbook per entity</w:t>
      </w:r>
    </w:p>
    <w:p w14:paraId="7DF2E9D6" w14:textId="77777777" w:rsidR="00290B0B" w:rsidRPr="00DD477A" w:rsidRDefault="00290B0B" w:rsidP="00157BAB">
      <w:pPr>
        <w:pStyle w:val="Numbered"/>
      </w:pPr>
      <w:r w:rsidRPr="00DD477A">
        <w:t>tables are presented using the wrap-text function</w:t>
      </w:r>
    </w:p>
    <w:p w14:paraId="6B01BE23" w14:textId="77777777" w:rsidR="00290B0B" w:rsidRPr="00DD477A" w:rsidRDefault="00290B0B" w:rsidP="00157BAB">
      <w:pPr>
        <w:pStyle w:val="Numbered"/>
      </w:pPr>
      <w:r w:rsidRPr="00DD477A">
        <w:t>tables are not merged in any way</w:t>
      </w:r>
    </w:p>
    <w:p w14:paraId="3CE8273F" w14:textId="77777777" w:rsidR="00290B0B" w:rsidRPr="00DD477A" w:rsidRDefault="00290B0B" w:rsidP="00157BAB">
      <w:pPr>
        <w:pStyle w:val="Numbered"/>
      </w:pPr>
      <w:r w:rsidRPr="00DD477A">
        <w:t>figures in tables are rounded and presented in thousands</w:t>
      </w:r>
    </w:p>
    <w:p w14:paraId="31367055" w14:textId="77777777" w:rsidR="00290B0B" w:rsidRPr="00DD477A" w:rsidRDefault="00290B0B" w:rsidP="00157BAB">
      <w:pPr>
        <w:pStyle w:val="Numbered"/>
      </w:pPr>
      <w:r w:rsidRPr="00DD477A">
        <w:t>figures in tables are correct and the same as those presented in their PB Statements</w:t>
      </w:r>
    </w:p>
    <w:p w14:paraId="10803B8F" w14:textId="77777777" w:rsidR="00290B0B" w:rsidRPr="00DD477A" w:rsidRDefault="00290B0B" w:rsidP="00157BAB">
      <w:pPr>
        <w:pStyle w:val="Numbered"/>
      </w:pPr>
      <w:r w:rsidRPr="00DD477A">
        <w:t>tables are presented as text and figures</w:t>
      </w:r>
    </w:p>
    <w:p w14:paraId="227985CA" w14:textId="77777777" w:rsidR="00290B0B" w:rsidRPr="00DD477A" w:rsidRDefault="00290B0B" w:rsidP="00157BAB">
      <w:pPr>
        <w:pStyle w:val="Numbered"/>
      </w:pPr>
      <w:r w:rsidRPr="00DD477A">
        <w:t>links to other workbooks are broken/removed</w:t>
      </w:r>
    </w:p>
    <w:p w14:paraId="2B0E49A3" w14:textId="77777777" w:rsidR="00290B0B" w:rsidRPr="00DD477A" w:rsidRDefault="00290B0B" w:rsidP="00157BAB">
      <w:pPr>
        <w:pStyle w:val="Numbered"/>
      </w:pPr>
      <w:r w:rsidRPr="00DD477A">
        <w:t>all hidden and working sheets, as well as cell comments, have been removed</w:t>
      </w:r>
    </w:p>
    <w:p w14:paraId="5E2BAEFB" w14:textId="77777777" w:rsidR="00290B0B" w:rsidRPr="00DD477A" w:rsidRDefault="00290B0B" w:rsidP="00157BAB">
      <w:pPr>
        <w:pStyle w:val="Numbered"/>
      </w:pPr>
      <w:r w:rsidRPr="00DD477A">
        <w:t>all hidden rows, blank rows and blank columns have been removed</w:t>
      </w:r>
    </w:p>
    <w:p w14:paraId="4CE4B8F0" w14:textId="77777777" w:rsidR="00290B0B" w:rsidRPr="00DD477A" w:rsidRDefault="00290B0B" w:rsidP="00157BAB">
      <w:pPr>
        <w:pStyle w:val="Numbered"/>
      </w:pPr>
      <w:r w:rsidRPr="00DD477A">
        <w:t>all passwords have been removed from the files</w:t>
      </w:r>
    </w:p>
    <w:p w14:paraId="7D979C49" w14:textId="77777777" w:rsidR="00290B0B" w:rsidRPr="00DD477A" w:rsidRDefault="00290B0B" w:rsidP="00157BAB">
      <w:pPr>
        <w:pStyle w:val="Numbered"/>
      </w:pPr>
      <w:r w:rsidRPr="00DD477A">
        <w:t>footnotes are in the correct format (one footnote per line)</w:t>
      </w:r>
    </w:p>
    <w:p w14:paraId="3C539933" w14:textId="77777777" w:rsidR="00290B0B" w:rsidRPr="00DD477A" w:rsidRDefault="00290B0B" w:rsidP="00157BAB">
      <w:pPr>
        <w:pStyle w:val="Numbered"/>
      </w:pPr>
      <w:r w:rsidRPr="00DD477A">
        <w:lastRenderedPageBreak/>
        <w:t>footnotes are pasted as text below the relevant tables, not as pictures.</w:t>
      </w:r>
    </w:p>
    <w:p w14:paraId="6E291CF4" w14:textId="77777777" w:rsidR="00290B0B" w:rsidRPr="00DD477A" w:rsidRDefault="00290B0B" w:rsidP="00A85E0D">
      <w:r w:rsidRPr="00DD477A">
        <w:t xml:space="preserve">When portfolios table a corrigendum to the PB Statements (see the Issuing a corrigendum/addendum section below), following tabling, updated tables should be provided to Finance for upload onto </w:t>
      </w:r>
      <w:hyperlink r:id="rId55">
        <w:r w:rsidRPr="00DD477A">
          <w:rPr>
            <w:rStyle w:val="Hyperlink"/>
          </w:rPr>
          <w:t>data.gov.au</w:t>
        </w:r>
      </w:hyperlink>
      <w:r w:rsidRPr="00DD477A">
        <w:t>.</w:t>
      </w:r>
    </w:p>
    <w:p w14:paraId="3A48BE44" w14:textId="77777777" w:rsidR="00290B0B" w:rsidRPr="00DD477A" w:rsidRDefault="00290B0B" w:rsidP="00DC5AB1">
      <w:pPr>
        <w:rPr>
          <w:rStyle w:val="BodyTextChar"/>
          <w:rFonts w:cs="Calibri"/>
        </w:rPr>
      </w:pPr>
      <w:r w:rsidRPr="00DD477A">
        <w:rPr>
          <w:rStyle w:val="BodyTextChar"/>
          <w:rFonts w:cs="Calibri"/>
        </w:rPr>
        <w:t xml:space="preserve">Finance will review the files for adherence to the above requirements. Where discrepancies are found, files will be returned to portfolios for amendment, prior to publication on </w:t>
      </w:r>
      <w:hyperlink r:id="rId56">
        <w:r w:rsidRPr="00DD477A">
          <w:rPr>
            <w:rStyle w:val="Hyperlink"/>
          </w:rPr>
          <w:t>data.gov.au</w:t>
        </w:r>
      </w:hyperlink>
      <w:r w:rsidRPr="00DD477A">
        <w:rPr>
          <w:rStyle w:val="BodyTextChar"/>
          <w:rFonts w:cs="Calibri"/>
        </w:rPr>
        <w:t>:</w:t>
      </w:r>
    </w:p>
    <w:p w14:paraId="13B819D6" w14:textId="77777777" w:rsidR="00290B0B" w:rsidRPr="00DD477A" w:rsidRDefault="00290B0B" w:rsidP="00A85E0D">
      <w:r w:rsidRPr="00DD477A">
        <w:t>It is the portfolio department’s responsibility to check the integrity of the data provided in each table and that it matches the published PB Statements.</w:t>
      </w:r>
    </w:p>
    <w:p w14:paraId="18C3E622" w14:textId="77777777" w:rsidR="00290B0B" w:rsidRPr="00DD477A" w:rsidRDefault="00290B0B" w:rsidP="00DC5AB1">
      <w:pPr>
        <w:rPr>
          <w:rStyle w:val="BodyTextChar"/>
          <w:rFonts w:cs="Calibri"/>
        </w:rPr>
      </w:pPr>
      <w:r w:rsidRPr="00DD477A">
        <w:rPr>
          <w:rStyle w:val="BodyTextChar"/>
          <w:rFonts w:cs="Calibri"/>
        </w:rPr>
        <w:t xml:space="preserve">For information on </w:t>
      </w:r>
      <w:hyperlink r:id="rId57">
        <w:r w:rsidRPr="00DD477A">
          <w:rPr>
            <w:rStyle w:val="Hyperlink"/>
          </w:rPr>
          <w:t>data.gov.au</w:t>
        </w:r>
      </w:hyperlink>
      <w:r w:rsidRPr="00DD477A">
        <w:rPr>
          <w:rStyle w:val="BodyTextChar"/>
          <w:rFonts w:cs="Calibri"/>
        </w:rPr>
        <w:t xml:space="preserve"> please email </w:t>
      </w:r>
      <w:hyperlink r:id="rId58">
        <w:r w:rsidRPr="00DD477A">
          <w:rPr>
            <w:rStyle w:val="Hyperlink"/>
          </w:rPr>
          <w:t>data@digital.gov.au</w:t>
        </w:r>
      </w:hyperlink>
      <w:r w:rsidRPr="00DD477A">
        <w:rPr>
          <w:rStyle w:val="BodyTextChar"/>
          <w:rFonts w:cs="Calibri"/>
        </w:rPr>
        <w:t>.</w:t>
      </w:r>
    </w:p>
    <w:p w14:paraId="282C0DFF" w14:textId="77777777" w:rsidR="00DC5AB1" w:rsidRPr="00DD477A" w:rsidRDefault="00DC5AB1" w:rsidP="00E548A0">
      <w:pPr>
        <w:pStyle w:val="Heading3"/>
      </w:pPr>
      <w:bookmarkStart w:id="579" w:name="_Toc160715532"/>
      <w:r w:rsidRPr="00DD477A">
        <w:t>Checklist for preparing files for online publication on data.gov.au</w:t>
      </w:r>
      <w:bookmarkEnd w:id="579"/>
    </w:p>
    <w:p w14:paraId="3D21BCF7" w14:textId="77777777" w:rsidR="00DC5AB1" w:rsidRPr="00DD477A" w:rsidRDefault="00DC5AB1" w:rsidP="00DC5AB1">
      <w:r w:rsidRPr="00DD477A">
        <w:t xml:space="preserve">Portfolios should refer to </w:t>
      </w:r>
      <w:r w:rsidRPr="00DD477A">
        <w:rPr>
          <w:u w:val="single"/>
        </w:rPr>
        <w:t>Attachment D</w:t>
      </w:r>
      <w:r w:rsidRPr="00DD477A">
        <w:t xml:space="preserve"> Online file publication checklist for data.gov.au</w:t>
      </w:r>
      <w:r w:rsidRPr="00DD477A" w:rsidDel="00B2797F">
        <w:t xml:space="preserve"> </w:t>
      </w:r>
      <w:r w:rsidRPr="00DD477A">
        <w:t>for further instructions on how to prepare their files before submitting to Finance.</w:t>
      </w:r>
    </w:p>
    <w:p w14:paraId="525B1497" w14:textId="77777777" w:rsidR="00DC5AB1" w:rsidRPr="00DD477A" w:rsidRDefault="00DC5AB1" w:rsidP="00E548A0">
      <w:pPr>
        <w:pStyle w:val="Heading1"/>
      </w:pPr>
      <w:bookmarkStart w:id="580" w:name="_Toc160715533"/>
      <w:r w:rsidRPr="00DD477A">
        <w:t>Use of ISBN/ISSN number</w:t>
      </w:r>
      <w:bookmarkEnd w:id="580"/>
    </w:p>
    <w:p w14:paraId="0B31BBED" w14:textId="77777777" w:rsidR="00DC5AB1" w:rsidRPr="00DD477A" w:rsidRDefault="00DC5AB1" w:rsidP="00DC5AB1">
      <w:pPr>
        <w:rPr>
          <w:rFonts w:cs="Calibri"/>
        </w:rPr>
      </w:pPr>
      <w:r w:rsidRPr="00DD477A">
        <w:rPr>
          <w:rFonts w:cs="Calibri"/>
        </w:rPr>
        <w:t>All portfolios require an associated assigned International Standard Serial Number (ISSN) for their PB Statements. Only portfolios being appropriated through the PAES process require a supplementary serial number to be assigned for the PAES, being an International Standard Book Number (ISBN). This is because an ISSN number is assigned for a full set of documents whilst the ISBN is for a partial set of documents.</w:t>
      </w:r>
    </w:p>
    <w:p w14:paraId="0E032920" w14:textId="77777777" w:rsidR="00DC5AB1" w:rsidRPr="00DD477A" w:rsidRDefault="00DC5AB1" w:rsidP="00DC5AB1">
      <w:pPr>
        <w:rPr>
          <w:rFonts w:cs="Calibri"/>
        </w:rPr>
      </w:pPr>
      <w:r w:rsidRPr="00DD477A">
        <w:rPr>
          <w:rFonts w:cs="Calibri"/>
        </w:rPr>
        <w:t xml:space="preserve">Note that PB Statements are considered part of the </w:t>
      </w:r>
      <w:hyperlink r:id="rId59" w:history="1">
        <w:r w:rsidRPr="00DD477A">
          <w:rPr>
            <w:rStyle w:val="Hyperlink"/>
            <w:rFonts w:cs="Calibri"/>
          </w:rPr>
          <w:t>Parliamentary Papers series</w:t>
        </w:r>
      </w:hyperlink>
      <w:r w:rsidRPr="00DD477A">
        <w:rPr>
          <w:rFonts w:cs="Calibri"/>
        </w:rPr>
        <w:t xml:space="preserve">. </w:t>
      </w:r>
    </w:p>
    <w:p w14:paraId="0B0DE967" w14:textId="77777777" w:rsidR="00DC5AB1" w:rsidRPr="00DD477A" w:rsidRDefault="00DC5AB1" w:rsidP="00E548A0">
      <w:pPr>
        <w:pStyle w:val="Heading1"/>
      </w:pPr>
      <w:bookmarkStart w:id="581" w:name="_Toc160715534"/>
      <w:r w:rsidRPr="00DD477A">
        <w:t>Issuing a corrigendum (correction)/addendum</w:t>
      </w:r>
      <w:bookmarkEnd w:id="581"/>
    </w:p>
    <w:p w14:paraId="66FFA5CD" w14:textId="77777777" w:rsidR="00DC5AB1" w:rsidRPr="00DD477A" w:rsidRDefault="00DC5AB1" w:rsidP="00DC5AB1">
      <w:pPr>
        <w:rPr>
          <w:rFonts w:cs="Calibri"/>
        </w:rPr>
      </w:pPr>
      <w:r w:rsidRPr="00DD477A">
        <w:rPr>
          <w:rStyle w:val="BodyTextChar"/>
          <w:rFonts w:cs="Calibri"/>
        </w:rPr>
        <w:t xml:space="preserve">If necessary, refer to </w:t>
      </w:r>
      <w:hyperlink r:id="rId60" w:history="1">
        <w:r w:rsidRPr="00DD477A">
          <w:rPr>
            <w:rStyle w:val="Hyperlink"/>
          </w:rPr>
          <w:t>PM&amp;C’s tabling guidelines</w:t>
        </w:r>
      </w:hyperlink>
      <w:r w:rsidRPr="00DD477A">
        <w:rPr>
          <w:rStyle w:val="BodyTextChar"/>
          <w:rFonts w:cs="Calibri"/>
        </w:rPr>
        <w:t xml:space="preserve"> available from their website.</w:t>
      </w:r>
    </w:p>
    <w:p w14:paraId="7888A207" w14:textId="46A29C78" w:rsidR="00DC5AB1" w:rsidRPr="00DD477A" w:rsidRDefault="00DC5AB1" w:rsidP="00DC5AB1">
      <w:pPr>
        <w:rPr>
          <w:rStyle w:val="BodyTextChar"/>
          <w:rFonts w:cs="Calibri"/>
        </w:rPr>
      </w:pPr>
      <w:r w:rsidRPr="00DD477A">
        <w:rPr>
          <w:rFonts w:cs="Calibri"/>
        </w:rPr>
        <w:t xml:space="preserve">An addendum is required where information has been inadvertently omitted from the PB Statements, such as a table or a footnote. A corrigendum is required where information has been misstated within the PB Statements and requires a correction. When </w:t>
      </w:r>
      <w:r w:rsidRPr="00DD477A">
        <w:rPr>
          <w:rStyle w:val="BodyTextChar"/>
          <w:rFonts w:cs="Calibri"/>
        </w:rPr>
        <w:t>an error in PB Statements, PAES or PSAES has been identified, entities should follow the following process:</w:t>
      </w:r>
    </w:p>
    <w:p w14:paraId="2CBCF0B6" w14:textId="77777777" w:rsidR="00DC5AB1" w:rsidRPr="00DD477A" w:rsidRDefault="00DC5AB1">
      <w:pPr>
        <w:pStyle w:val="Bullet1"/>
        <w:rPr>
          <w:rStyle w:val="BodyTextChar"/>
          <w:rFonts w:cs="Calibri"/>
        </w:rPr>
      </w:pPr>
      <w:r w:rsidRPr="00DD477A">
        <w:rPr>
          <w:rStyle w:val="BodyTextChar"/>
          <w:rFonts w:cs="Calibri"/>
        </w:rPr>
        <w:t>advise your minister’s office of the error and seek approval for the updated PB Statements/PAES tables and pages</w:t>
      </w:r>
    </w:p>
    <w:p w14:paraId="0A2969B4" w14:textId="77777777" w:rsidR="00BD119F" w:rsidRPr="00DD477A" w:rsidRDefault="00DC5AB1" w:rsidP="00BD119F">
      <w:pPr>
        <w:pStyle w:val="Bullet1"/>
        <w:rPr>
          <w:rStyle w:val="BodyTextChar"/>
          <w:rFonts w:cs="Calibri"/>
        </w:rPr>
      </w:pPr>
      <w:r w:rsidRPr="00DD477A">
        <w:rPr>
          <w:rStyle w:val="BodyTextChar"/>
          <w:rFonts w:cs="Calibri"/>
        </w:rPr>
        <w:t>contact the PM&amp;C Tabling Officer to advise that a correction is required:</w:t>
      </w:r>
    </w:p>
    <w:p w14:paraId="2435A04D" w14:textId="13A58AB9" w:rsidR="00DC5AB1" w:rsidRPr="00DD477A" w:rsidRDefault="00BD119F" w:rsidP="00A85E0D">
      <w:pPr>
        <w:pStyle w:val="IndentText1"/>
        <w:ind w:left="850"/>
        <w:rPr>
          <w:rStyle w:val="Hyperlink"/>
          <w:rFonts w:cs="Calibri"/>
          <w:u w:val="none"/>
        </w:rPr>
      </w:pPr>
      <w:r w:rsidRPr="00DD477A">
        <w:rPr>
          <w:rStyle w:val="BodyTextChar"/>
          <w:rFonts w:cs="Calibri"/>
        </w:rPr>
        <w:t xml:space="preserve">P: </w:t>
      </w:r>
      <w:r w:rsidR="00DC5AB1" w:rsidRPr="00DD477A">
        <w:rPr>
          <w:rStyle w:val="BodyTextChar"/>
          <w:rFonts w:cs="Calibri"/>
        </w:rPr>
        <w:t>(02) 6277 3010</w:t>
      </w:r>
      <w:r w:rsidR="00DC5AB1" w:rsidRPr="00DD477A">
        <w:rPr>
          <w:rStyle w:val="BodyTextChar"/>
          <w:rFonts w:cs="Calibri"/>
        </w:rPr>
        <w:br/>
      </w:r>
      <w:r w:rsidRPr="00DD477A">
        <w:rPr>
          <w:u w:color="0070C0"/>
        </w:rPr>
        <w:t xml:space="preserve">E: </w:t>
      </w:r>
      <w:hyperlink r:id="rId61" w:history="1">
        <w:r w:rsidRPr="00DD477A">
          <w:rPr>
            <w:rStyle w:val="Hyperlink"/>
          </w:rPr>
          <w:t>tabling@pmc.gov.au</w:t>
        </w:r>
      </w:hyperlink>
    </w:p>
    <w:p w14:paraId="38536DB5" w14:textId="28E9C01C" w:rsidR="00DC5AB1" w:rsidRPr="00DD477A" w:rsidRDefault="00DC5AB1" w:rsidP="00DC5AB1">
      <w:pPr>
        <w:pStyle w:val="Bullet1"/>
        <w:rPr>
          <w:rStyle w:val="BodyTextChar"/>
          <w:rFonts w:cs="Calibri"/>
        </w:rPr>
      </w:pPr>
      <w:r w:rsidRPr="00DD477A">
        <w:rPr>
          <w:rStyle w:val="BodyTextChar"/>
          <w:rFonts w:cs="Calibri"/>
        </w:rPr>
        <w:t xml:space="preserve">if the error affects published BP and/or Appropriation Bill figures, your minister </w:t>
      </w:r>
      <w:r w:rsidRPr="00DD477A">
        <w:rPr>
          <w:rStyle w:val="BodyTextChar"/>
          <w:rFonts w:cs="Calibri"/>
          <w:u w:val="single"/>
        </w:rPr>
        <w:t xml:space="preserve">must </w:t>
      </w:r>
      <w:r w:rsidRPr="00DD477A">
        <w:rPr>
          <w:rStyle w:val="BodyTextChar"/>
          <w:rFonts w:cs="Calibri"/>
        </w:rPr>
        <w:t xml:space="preserve">submit the corrigendum (and background reports) to the </w:t>
      </w:r>
      <w:r w:rsidR="009C007F" w:rsidRPr="00DD477A">
        <w:rPr>
          <w:rStyle w:val="BodyTextChar"/>
          <w:rFonts w:cs="Calibri"/>
        </w:rPr>
        <w:t>Minister for Finance</w:t>
      </w:r>
      <w:r w:rsidRPr="00DD477A">
        <w:rPr>
          <w:rStyle w:val="BodyTextChar"/>
          <w:rFonts w:cs="Calibri"/>
        </w:rPr>
        <w:t xml:space="preserve"> for approval</w:t>
      </w:r>
    </w:p>
    <w:p w14:paraId="73A49A62" w14:textId="668E4BF4" w:rsidR="00DC5AB1" w:rsidRPr="00DD477A" w:rsidRDefault="00DC5AB1" w:rsidP="00DC5AB1">
      <w:pPr>
        <w:pStyle w:val="Bullet2"/>
      </w:pPr>
      <w:r w:rsidRPr="00DD477A">
        <w:t xml:space="preserve">the relevant portfolio department must also advise your AAU and the Accounting Framework and Capability Support Team </w:t>
      </w:r>
      <w:hyperlink r:id="rId62" w:history="1">
        <w:r w:rsidRPr="00DD477A">
          <w:rPr>
            <w:rStyle w:val="Hyperlink"/>
          </w:rPr>
          <w:t>budget_framework@finance.gov.au</w:t>
        </w:r>
      </w:hyperlink>
      <w:r w:rsidRPr="00DD477A">
        <w:t xml:space="preserve"> prior to submitting the corrigendum to the </w:t>
      </w:r>
      <w:r w:rsidR="009C007F" w:rsidRPr="00DD477A">
        <w:t>Minister for Finance</w:t>
      </w:r>
      <w:r w:rsidRPr="00DD477A">
        <w:t xml:space="preserve"> for approval. </w:t>
      </w:r>
    </w:p>
    <w:p w14:paraId="0CC39572" w14:textId="77777777" w:rsidR="00DC5AB1" w:rsidRPr="00DD477A" w:rsidRDefault="00DC5AB1" w:rsidP="00DC5AB1">
      <w:pPr>
        <w:rPr>
          <w:rStyle w:val="BodyTextChar"/>
          <w:rFonts w:cs="Calibri"/>
        </w:rPr>
      </w:pPr>
      <w:r w:rsidRPr="00DD477A">
        <w:rPr>
          <w:rStyle w:val="BodyTextChar"/>
          <w:rFonts w:cs="Calibri"/>
        </w:rPr>
        <w:t>Corrections will be tabled in the same manner through the Senate and subject to the same copy requirements (including approval by the relevant minister) as the original.</w:t>
      </w:r>
    </w:p>
    <w:p w14:paraId="4648E2FF" w14:textId="5EE2EBEF" w:rsidR="00DC5AB1" w:rsidRPr="00DD477A" w:rsidRDefault="00DC5AB1" w:rsidP="00DC5AB1">
      <w:pPr>
        <w:rPr>
          <w:rStyle w:val="BodyTextChar"/>
          <w:rFonts w:cs="Calibri"/>
        </w:rPr>
      </w:pPr>
      <w:r w:rsidRPr="00DD477A">
        <w:rPr>
          <w:rStyle w:val="BodyTextChar"/>
          <w:rFonts w:cs="Calibri"/>
        </w:rPr>
        <w:lastRenderedPageBreak/>
        <w:t xml:space="preserve">Following approval by your minister (and where required, the </w:t>
      </w:r>
      <w:r w:rsidR="009C007F" w:rsidRPr="00DD477A">
        <w:rPr>
          <w:rStyle w:val="BodyTextChar"/>
          <w:rFonts w:cs="Calibri"/>
        </w:rPr>
        <w:t>Minister for Finance</w:t>
      </w:r>
      <w:r w:rsidRPr="00DD477A">
        <w:rPr>
          <w:rStyle w:val="BodyTextChar"/>
          <w:rFonts w:cs="Calibri"/>
        </w:rPr>
        <w:t>):</w:t>
      </w:r>
    </w:p>
    <w:p w14:paraId="75392D65" w14:textId="6C6F5A8C" w:rsidR="00DC5AB1" w:rsidRPr="00DD477A" w:rsidRDefault="00DC5AB1" w:rsidP="00DC5AB1">
      <w:pPr>
        <w:pStyle w:val="Bullet1"/>
        <w:rPr>
          <w:rStyle w:val="BodyTextChar"/>
          <w:rFonts w:cs="Calibri"/>
        </w:rPr>
      </w:pPr>
      <w:r w:rsidRPr="00DD477A">
        <w:rPr>
          <w:rStyle w:val="BodyTextChar"/>
          <w:rFonts w:cs="Calibri"/>
        </w:rPr>
        <w:t xml:space="preserve">For </w:t>
      </w:r>
      <w:r w:rsidRPr="00DD477A">
        <w:rPr>
          <w:rStyle w:val="BodyTextChar"/>
          <w:rFonts w:cs="Calibri"/>
          <w:b/>
          <w:bCs/>
        </w:rPr>
        <w:t>in</w:t>
      </w:r>
      <w:r w:rsidRPr="00DD477A">
        <w:rPr>
          <w:rStyle w:val="BodyTextChar"/>
          <w:rFonts w:cs="Calibri"/>
          <w:b/>
        </w:rPr>
        <w:noBreakHyphen/>
      </w:r>
      <w:r w:rsidRPr="00DD477A">
        <w:rPr>
          <w:rStyle w:val="BodyTextChar"/>
          <w:rFonts w:cs="Calibri"/>
          <w:b/>
          <w:bCs/>
        </w:rPr>
        <w:t xml:space="preserve">session tabling </w:t>
      </w:r>
      <w:r w:rsidRPr="00DD477A">
        <w:rPr>
          <w:rStyle w:val="BodyTextChar"/>
          <w:rFonts w:cs="Calibri"/>
        </w:rPr>
        <w:t xml:space="preserve">(i.e. when Parliament </w:t>
      </w:r>
      <w:r w:rsidRPr="00DD477A">
        <w:rPr>
          <w:rStyle w:val="BodyTextChar"/>
          <w:rFonts w:cs="Calibri"/>
          <w:u w:val="single"/>
        </w:rPr>
        <w:t>is</w:t>
      </w:r>
      <w:r w:rsidRPr="00DD477A">
        <w:rPr>
          <w:rStyle w:val="BodyTextChar"/>
          <w:rFonts w:cs="Calibri"/>
        </w:rPr>
        <w:t xml:space="preserve"> sitting):</w:t>
      </w:r>
    </w:p>
    <w:p w14:paraId="2D8F76F3" w14:textId="77777777" w:rsidR="00DC5AB1" w:rsidRPr="00DD477A" w:rsidRDefault="00DC5AB1" w:rsidP="00DC5AB1">
      <w:pPr>
        <w:pStyle w:val="Bullet2"/>
        <w:rPr>
          <w:rStyle w:val="BodyTextChar"/>
          <w:rFonts w:cs="Calibri"/>
        </w:rPr>
      </w:pPr>
      <w:r w:rsidRPr="00DD477A">
        <w:rPr>
          <w:rStyle w:val="BodyTextChar"/>
          <w:rFonts w:cs="Calibri"/>
        </w:rPr>
        <w:t xml:space="preserve">a covering memorandum should be provided to the PM&amp;C Tabling Officer. This memorandum does not need to be approved by the minister but does </w:t>
      </w:r>
      <w:r w:rsidRPr="00DD477A">
        <w:rPr>
          <w:rStyle w:val="BodyTextChar"/>
          <w:rFonts w:cs="Calibri"/>
          <w:bCs/>
        </w:rPr>
        <w:t>need</w:t>
      </w:r>
      <w:r w:rsidRPr="00DD477A">
        <w:rPr>
          <w:rStyle w:val="BodyTextChar"/>
          <w:rFonts w:cs="Calibri"/>
        </w:rPr>
        <w:t xml:space="preserve"> to note the </w:t>
      </w:r>
      <w:r w:rsidRPr="00DD477A">
        <w:rPr>
          <w:rStyle w:val="BodyTextChar"/>
          <w:rFonts w:cs="Calibri"/>
          <w:b/>
          <w:bCs/>
        </w:rPr>
        <w:t>minister’s approval</w:t>
      </w:r>
      <w:r w:rsidRPr="00DD477A">
        <w:rPr>
          <w:rStyle w:val="BodyTextChar"/>
          <w:rFonts w:cs="Calibri"/>
        </w:rPr>
        <w:t xml:space="preserve"> of the corrigendum.</w:t>
      </w:r>
    </w:p>
    <w:p w14:paraId="73D31A79" w14:textId="77777777" w:rsidR="00DC5AB1" w:rsidRPr="00DD477A" w:rsidRDefault="00DC5AB1" w:rsidP="00DC5AB1">
      <w:pPr>
        <w:pStyle w:val="Bullet2"/>
        <w:rPr>
          <w:rStyle w:val="BodyTextChar"/>
          <w:rFonts w:cs="Calibri"/>
        </w:rPr>
      </w:pPr>
      <w:r w:rsidRPr="00DD477A">
        <w:rPr>
          <w:rStyle w:val="BodyTextChar"/>
          <w:rFonts w:cs="Calibri"/>
        </w:rPr>
        <w:t>the covering sheet for government documents and copies of the corrigendum should also be provided to the PM&amp;C Tabling Officer.</w:t>
      </w:r>
      <w:r w:rsidRPr="00DD477A">
        <w:br/>
      </w:r>
    </w:p>
    <w:p w14:paraId="04AB77C4" w14:textId="6621B432" w:rsidR="00DC5AB1" w:rsidRPr="00DD477A" w:rsidRDefault="00DC5AB1" w:rsidP="00DC5AB1">
      <w:pPr>
        <w:pStyle w:val="Bullet1"/>
        <w:rPr>
          <w:rStyle w:val="BodyTextChar"/>
          <w:rFonts w:cs="Calibri"/>
        </w:rPr>
      </w:pPr>
      <w:r w:rsidRPr="00DD477A">
        <w:rPr>
          <w:rStyle w:val="BodyTextChar"/>
          <w:rFonts w:cs="Calibri"/>
        </w:rPr>
        <w:t xml:space="preserve">For </w:t>
      </w:r>
      <w:r w:rsidRPr="00DD477A">
        <w:rPr>
          <w:rStyle w:val="BodyTextChar"/>
          <w:rFonts w:cs="Calibri"/>
          <w:b/>
          <w:bCs/>
        </w:rPr>
        <w:t>out</w:t>
      </w:r>
      <w:r w:rsidR="00BD119F" w:rsidRPr="00DD477A">
        <w:rPr>
          <w:rStyle w:val="BodyTextChar"/>
          <w:rFonts w:cs="Calibri"/>
          <w:b/>
          <w:bCs/>
        </w:rPr>
        <w:t>-</w:t>
      </w:r>
      <w:r w:rsidRPr="00DD477A">
        <w:rPr>
          <w:rStyle w:val="BodyTextChar"/>
          <w:rFonts w:cs="Calibri"/>
          <w:b/>
          <w:bCs/>
        </w:rPr>
        <w:t>of</w:t>
      </w:r>
      <w:r w:rsidR="00BD119F" w:rsidRPr="00DD477A">
        <w:rPr>
          <w:rStyle w:val="BodyTextChar"/>
          <w:rFonts w:cs="Calibri"/>
          <w:b/>
          <w:bCs/>
        </w:rPr>
        <w:t>-</w:t>
      </w:r>
      <w:r w:rsidRPr="00DD477A">
        <w:rPr>
          <w:rStyle w:val="BodyTextChar"/>
          <w:rFonts w:cs="Calibri"/>
          <w:b/>
          <w:bCs/>
        </w:rPr>
        <w:t>session tabling</w:t>
      </w:r>
      <w:r w:rsidRPr="00DD477A">
        <w:rPr>
          <w:rStyle w:val="BodyTextChar"/>
          <w:rFonts w:cs="Calibri"/>
        </w:rPr>
        <w:t xml:space="preserve"> (i.e. when Parliament is not sitting):</w:t>
      </w:r>
    </w:p>
    <w:p w14:paraId="411E4B95" w14:textId="77777777" w:rsidR="00DC5AB1" w:rsidRPr="00DD477A" w:rsidRDefault="00DC5AB1" w:rsidP="00DC5AB1">
      <w:pPr>
        <w:pStyle w:val="Bullet2"/>
        <w:rPr>
          <w:rStyle w:val="BodyTextChar"/>
          <w:rFonts w:cs="Calibri"/>
        </w:rPr>
      </w:pPr>
      <w:r w:rsidRPr="00DD477A">
        <w:rPr>
          <w:rStyle w:val="BodyTextChar"/>
          <w:rFonts w:cs="Calibri"/>
        </w:rPr>
        <w:t>the Senate Tabling Office must be advised of the requirement to table the corrigendum out-of-session</w:t>
      </w:r>
    </w:p>
    <w:p w14:paraId="42466181" w14:textId="77777777" w:rsidR="00DC5AB1" w:rsidRPr="00DD477A" w:rsidRDefault="00DC5AB1" w:rsidP="00DC5AB1">
      <w:pPr>
        <w:pStyle w:val="Bullet2"/>
        <w:rPr>
          <w:rStyle w:val="BodyTextChar"/>
          <w:rFonts w:cs="Calibri"/>
        </w:rPr>
      </w:pPr>
      <w:r w:rsidRPr="00DD477A">
        <w:rPr>
          <w:rStyle w:val="BodyTextChar"/>
          <w:rFonts w:cs="Calibri"/>
        </w:rPr>
        <w:t xml:space="preserve">a covering memorandum should be provided to the PM&amp;C Tabling Officer. This memorandum does not need to be approved by the minister, but does </w:t>
      </w:r>
      <w:r w:rsidRPr="00DD477A">
        <w:rPr>
          <w:rStyle w:val="BodyTextChar"/>
          <w:rFonts w:cs="Calibri"/>
          <w:bCs/>
        </w:rPr>
        <w:t>need</w:t>
      </w:r>
      <w:r w:rsidRPr="00DD477A">
        <w:rPr>
          <w:rStyle w:val="BodyTextChar"/>
          <w:rFonts w:cs="Calibri"/>
        </w:rPr>
        <w:t xml:space="preserve"> to note the </w:t>
      </w:r>
      <w:r w:rsidRPr="00DD477A">
        <w:rPr>
          <w:rStyle w:val="BodyTextChar"/>
          <w:rFonts w:cs="Calibri"/>
          <w:b/>
          <w:bCs/>
        </w:rPr>
        <w:t>minister’s approval</w:t>
      </w:r>
      <w:r w:rsidRPr="00DD477A">
        <w:rPr>
          <w:rStyle w:val="BodyTextChar"/>
          <w:rFonts w:cs="Calibri"/>
        </w:rPr>
        <w:t xml:space="preserve"> of the corrigendum:</w:t>
      </w:r>
    </w:p>
    <w:p w14:paraId="21176B8E" w14:textId="77777777" w:rsidR="00DC5AB1" w:rsidRPr="00DD477A" w:rsidRDefault="00DC5AB1" w:rsidP="00074797">
      <w:pPr>
        <w:pStyle w:val="Bullet3"/>
        <w:rPr>
          <w:rStyle w:val="BodyTextChar"/>
          <w:rFonts w:cs="Calibri"/>
        </w:rPr>
      </w:pPr>
      <w:r w:rsidRPr="00DD477A">
        <w:rPr>
          <w:rStyle w:val="BodyTextChar"/>
          <w:rFonts w:cs="Calibri"/>
        </w:rPr>
        <w:t>the covering memorandum for government documents and copies of the corrigendum should also be provided to the PM&amp;C Tabling Officer</w:t>
      </w:r>
    </w:p>
    <w:p w14:paraId="1A85EA53" w14:textId="77777777" w:rsidR="00DC5AB1" w:rsidRPr="00DD477A" w:rsidRDefault="00DC5AB1" w:rsidP="00074797">
      <w:pPr>
        <w:pStyle w:val="Bullet3"/>
        <w:rPr>
          <w:rStyle w:val="BodyTextChar"/>
          <w:rFonts w:cs="Calibri"/>
        </w:rPr>
      </w:pPr>
      <w:r w:rsidRPr="00DD477A">
        <w:rPr>
          <w:rStyle w:val="BodyTextChar"/>
          <w:rFonts w:cs="Calibri"/>
        </w:rPr>
        <w:t>a Transmittal letter is required to be sent by the portfolio minister to the President of the Senate to present a document when the Senate is not sitting.</w:t>
      </w:r>
    </w:p>
    <w:p w14:paraId="314AF1D2" w14:textId="350DE4ED" w:rsidR="00290B0B" w:rsidRPr="00DD477A" w:rsidRDefault="00DC5AB1" w:rsidP="00DC5AB1">
      <w:r w:rsidRPr="00DD477A">
        <w:rPr>
          <w:rStyle w:val="BodyTextChar"/>
          <w:rFonts w:cs="Calibri"/>
        </w:rPr>
        <w:t xml:space="preserve">Following tabling in Parliament, a soft copy of the corrigendum and any updated Excel tables for </w:t>
      </w:r>
      <w:hyperlink r:id="rId63">
        <w:r w:rsidRPr="00DD477A">
          <w:rPr>
            <w:rStyle w:val="Hyperlink"/>
          </w:rPr>
          <w:t>data.gov.au</w:t>
        </w:r>
      </w:hyperlink>
      <w:r w:rsidRPr="00DD477A">
        <w:rPr>
          <w:rStyle w:val="BodyTextChar"/>
          <w:rFonts w:cs="Calibri"/>
        </w:rPr>
        <w:t xml:space="preserve"> </w:t>
      </w:r>
      <w:r w:rsidR="00E152B1">
        <w:rPr>
          <w:rStyle w:val="BodyTextChar"/>
          <w:rFonts w:cs="Calibri"/>
        </w:rPr>
        <w:t>must</w:t>
      </w:r>
      <w:r w:rsidRPr="00DD477A">
        <w:rPr>
          <w:rStyle w:val="BodyTextChar"/>
          <w:rFonts w:cs="Calibri"/>
        </w:rPr>
        <w:t xml:space="preserve"> be emailed to </w:t>
      </w:r>
      <w:hyperlink r:id="rId64">
        <w:r w:rsidRPr="00DD477A">
          <w:rPr>
            <w:rStyle w:val="Hyperlink"/>
          </w:rPr>
          <w:t>budget_framework@finance.gov.au</w:t>
        </w:r>
      </w:hyperlink>
      <w:r w:rsidRPr="00DD477A">
        <w:rPr>
          <w:rStyle w:val="BodyTextChar"/>
          <w:rFonts w:cs="Calibri"/>
        </w:rPr>
        <w:t>.</w:t>
      </w:r>
    </w:p>
    <w:p w14:paraId="4E75F5E9" w14:textId="117AD07B" w:rsidR="00A14EAF" w:rsidRPr="00DD477A" w:rsidRDefault="00A14EAF" w:rsidP="00E548A0">
      <w:pPr>
        <w:pStyle w:val="Heading2"/>
      </w:pPr>
      <w:r w:rsidRPr="00DD477A">
        <w:br w:type="page"/>
      </w:r>
    </w:p>
    <w:p w14:paraId="7291A6BA" w14:textId="2267460D" w:rsidR="00A33FE8" w:rsidRPr="00DD477A" w:rsidRDefault="00A33FE8" w:rsidP="00E548A0">
      <w:pPr>
        <w:pStyle w:val="Heading1"/>
        <w:numPr>
          <w:ilvl w:val="0"/>
          <w:numId w:val="0"/>
        </w:numPr>
      </w:pPr>
      <w:bookmarkStart w:id="582" w:name="_Toc160715535"/>
      <w:r w:rsidRPr="00DD477A">
        <w:lastRenderedPageBreak/>
        <w:t>Detailed Guidance of PB Statement Sections</w:t>
      </w:r>
      <w:bookmarkEnd w:id="582"/>
    </w:p>
    <w:p w14:paraId="73DD8BB4" w14:textId="77777777" w:rsidR="00A33FE8" w:rsidRPr="00DD477A" w:rsidRDefault="00A33FE8" w:rsidP="00A85E0D"/>
    <w:p w14:paraId="02A5CC5A" w14:textId="6791FB4E" w:rsidR="00B54FB3" w:rsidRPr="00DD477A" w:rsidRDefault="00473D66" w:rsidP="00E548A0">
      <w:pPr>
        <w:pStyle w:val="Heading1"/>
      </w:pPr>
      <w:bookmarkStart w:id="583" w:name="_Toc160715536"/>
      <w:r w:rsidRPr="00DD477A">
        <w:t>Performance Framework Diagram, Clear Read Principle and AASB 1055 Link to the Financial Statements</w:t>
      </w:r>
      <w:bookmarkEnd w:id="583"/>
    </w:p>
    <w:p w14:paraId="23AEC6A5" w14:textId="144C691E" w:rsidR="006E2E24" w:rsidRPr="00DD477A" w:rsidRDefault="006E2E24" w:rsidP="00E548A0">
      <w:pPr>
        <w:pStyle w:val="Heading2"/>
      </w:pPr>
      <w:bookmarkStart w:id="584" w:name="_Toc63347672"/>
      <w:bookmarkStart w:id="585" w:name="_Toc160715537"/>
      <w:bookmarkEnd w:id="584"/>
      <w:r w:rsidRPr="00DD477A">
        <w:t>Commonwealth performance framework diagram</w:t>
      </w:r>
      <w:bookmarkEnd w:id="585"/>
    </w:p>
    <w:p w14:paraId="34D5C96F" w14:textId="786F0796" w:rsidR="00F10C66" w:rsidRPr="00DD477A" w:rsidRDefault="00EF4FBA" w:rsidP="000A7DEC">
      <w:pPr>
        <w:pStyle w:val="Boxed2Text"/>
        <w:rPr>
          <w:rFonts w:cs="Calibri"/>
        </w:rPr>
      </w:pPr>
      <w:r w:rsidRPr="00DD477A">
        <w:rPr>
          <w:rFonts w:cs="Calibri"/>
          <w:u w:val="single"/>
        </w:rPr>
        <w:t>Attachment C</w:t>
      </w:r>
      <w:r w:rsidRPr="00DD477A">
        <w:rPr>
          <w:rFonts w:cs="Calibri"/>
        </w:rPr>
        <w:t>, t</w:t>
      </w:r>
      <w:r w:rsidR="53BF0693" w:rsidRPr="00DD477A">
        <w:rPr>
          <w:rFonts w:cs="Calibri"/>
        </w:rPr>
        <w:t xml:space="preserve">he PB Statement template (in Word) includes the </w:t>
      </w:r>
      <w:r w:rsidR="53BF0693" w:rsidRPr="00DD477A">
        <w:rPr>
          <w:rFonts w:cs="Calibri"/>
          <w:i/>
          <w:iCs/>
        </w:rPr>
        <w:t>Commonwealth performance framework diagram</w:t>
      </w:r>
      <w:r w:rsidR="53BF0693" w:rsidRPr="00DD477A">
        <w:rPr>
          <w:rFonts w:cs="Calibri"/>
        </w:rPr>
        <w:t xml:space="preserve">. This diagram identifies the content of each publication and the relationships between them. This diagram </w:t>
      </w:r>
      <w:r w:rsidR="53BF0693" w:rsidRPr="00DD477A">
        <w:rPr>
          <w:rFonts w:cs="Calibri"/>
          <w:b/>
          <w:bCs/>
        </w:rPr>
        <w:t>must</w:t>
      </w:r>
      <w:r w:rsidR="53BF0693" w:rsidRPr="00DD477A">
        <w:rPr>
          <w:rFonts w:cs="Calibri"/>
        </w:rPr>
        <w:t xml:space="preserve"> be included and not be moved, re</w:t>
      </w:r>
      <w:r w:rsidR="00B346E1" w:rsidRPr="00DD477A">
        <w:rPr>
          <w:rFonts w:cs="Calibri"/>
        </w:rPr>
        <w:t>-</w:t>
      </w:r>
      <w:r w:rsidR="53BF0693" w:rsidRPr="00DD477A">
        <w:rPr>
          <w:rFonts w:cs="Calibri"/>
        </w:rPr>
        <w:t>worded or deleted from its position in the PB Statement template.</w:t>
      </w:r>
    </w:p>
    <w:p w14:paraId="089D7614" w14:textId="5BE583E0" w:rsidR="00FA0945" w:rsidRPr="00DD477A" w:rsidRDefault="53BF0693" w:rsidP="00E548A0">
      <w:pPr>
        <w:pStyle w:val="Heading2"/>
      </w:pPr>
      <w:bookmarkStart w:id="586" w:name="_Toc63347673"/>
      <w:bookmarkStart w:id="587" w:name="_Toc160715538"/>
      <w:r w:rsidRPr="00DD477A">
        <w:t xml:space="preserve">Consistency of reporting – the </w:t>
      </w:r>
      <w:r w:rsidR="006714EB" w:rsidRPr="00DD477A">
        <w:t>‘</w:t>
      </w:r>
      <w:r w:rsidRPr="00DD477A">
        <w:t>clear read</w:t>
      </w:r>
      <w:r w:rsidR="006714EB" w:rsidRPr="00DD477A">
        <w:t>’</w:t>
      </w:r>
      <w:r w:rsidRPr="00DD477A">
        <w:t xml:space="preserve"> principle</w:t>
      </w:r>
      <w:bookmarkEnd w:id="586"/>
      <w:bookmarkEnd w:id="587"/>
    </w:p>
    <w:p w14:paraId="1BC78D13" w14:textId="76CD7862" w:rsidR="00FA0945" w:rsidRPr="00DD477A" w:rsidRDefault="53BF0693" w:rsidP="000A7DEC">
      <w:pPr>
        <w:rPr>
          <w:rFonts w:cs="Calibri"/>
        </w:rPr>
      </w:pPr>
      <w:r w:rsidRPr="00DD477A">
        <w:rPr>
          <w:rFonts w:cs="Calibri"/>
        </w:rPr>
        <w:t xml:space="preserve">The Commonwealth </w:t>
      </w:r>
      <w:r w:rsidR="00D33B8E" w:rsidRPr="00DD477A">
        <w:rPr>
          <w:rFonts w:cs="Calibri"/>
        </w:rPr>
        <w:t>resource management framework is de</w:t>
      </w:r>
      <w:r w:rsidRPr="00DD477A">
        <w:rPr>
          <w:rFonts w:cs="Calibri"/>
        </w:rPr>
        <w:t>signed to support accountab</w:t>
      </w:r>
      <w:r w:rsidR="00FD2F43" w:rsidRPr="00DD477A">
        <w:rPr>
          <w:rFonts w:cs="Calibri"/>
        </w:rPr>
        <w:t>ility</w:t>
      </w:r>
      <w:r w:rsidRPr="00DD477A">
        <w:rPr>
          <w:rFonts w:cs="Calibri"/>
        </w:rPr>
        <w:t xml:space="preserve"> and transparen</w:t>
      </w:r>
      <w:r w:rsidR="00FD2F43" w:rsidRPr="00DD477A">
        <w:rPr>
          <w:rFonts w:cs="Calibri"/>
        </w:rPr>
        <w:t>cy</w:t>
      </w:r>
      <w:r w:rsidR="00AF582E" w:rsidRPr="00DD477A">
        <w:rPr>
          <w:rFonts w:cs="Calibri"/>
        </w:rPr>
        <w:t xml:space="preserve"> in the</w:t>
      </w:r>
      <w:r w:rsidRPr="00DD477A">
        <w:rPr>
          <w:rFonts w:cs="Calibri"/>
        </w:rPr>
        <w:t xml:space="preserve"> public sector. </w:t>
      </w:r>
      <w:r w:rsidR="0017365E" w:rsidRPr="00DD477A">
        <w:rPr>
          <w:rFonts w:cs="Calibri"/>
        </w:rPr>
        <w:t>R</w:t>
      </w:r>
      <w:r w:rsidRPr="00DD477A">
        <w:rPr>
          <w:rFonts w:cs="Calibri"/>
        </w:rPr>
        <w:t xml:space="preserve">eporting entities </w:t>
      </w:r>
      <w:r w:rsidR="00EB2D80" w:rsidRPr="00DD477A">
        <w:rPr>
          <w:rFonts w:cs="Calibri"/>
        </w:rPr>
        <w:t xml:space="preserve">are required </w:t>
      </w:r>
      <w:r w:rsidRPr="00DD477A">
        <w:rPr>
          <w:rFonts w:cs="Calibri"/>
        </w:rPr>
        <w:t>to</w:t>
      </w:r>
      <w:r w:rsidR="00EB2D80" w:rsidRPr="00DD477A">
        <w:rPr>
          <w:rFonts w:cs="Calibri"/>
        </w:rPr>
        <w:t xml:space="preserve"> </w:t>
      </w:r>
      <w:r w:rsidR="002D03E5" w:rsidRPr="00DD477A">
        <w:rPr>
          <w:rFonts w:cs="Calibri"/>
        </w:rPr>
        <w:t>detail</w:t>
      </w:r>
      <w:r w:rsidRPr="00DD477A">
        <w:rPr>
          <w:rFonts w:cs="Calibri"/>
        </w:rPr>
        <w:t xml:space="preserve"> a clear linkage (a </w:t>
      </w:r>
      <w:r w:rsidR="006714EB" w:rsidRPr="00DD477A">
        <w:rPr>
          <w:rFonts w:cs="Calibri"/>
        </w:rPr>
        <w:t>‘</w:t>
      </w:r>
      <w:r w:rsidRPr="00DD477A">
        <w:rPr>
          <w:rFonts w:cs="Calibri"/>
        </w:rPr>
        <w:t>clear read</w:t>
      </w:r>
      <w:r w:rsidR="006714EB" w:rsidRPr="00DD477A">
        <w:rPr>
          <w:rFonts w:cs="Calibri"/>
        </w:rPr>
        <w:t>’</w:t>
      </w:r>
      <w:r w:rsidRPr="00DD477A">
        <w:rPr>
          <w:rFonts w:cs="Calibri"/>
        </w:rPr>
        <w:t>) between the allocation and use of public resources</w:t>
      </w:r>
      <w:r w:rsidR="00A668D1" w:rsidRPr="00DD477A">
        <w:rPr>
          <w:rFonts w:cs="Calibri"/>
        </w:rPr>
        <w:t xml:space="preserve"> to</w:t>
      </w:r>
      <w:r w:rsidRPr="00DD477A">
        <w:rPr>
          <w:rFonts w:cs="Calibri"/>
        </w:rPr>
        <w:t xml:space="preserve"> results being achieved.</w:t>
      </w:r>
    </w:p>
    <w:p w14:paraId="517BC108" w14:textId="4EB66196" w:rsidR="00257FB6" w:rsidRPr="00DD477A" w:rsidRDefault="53BF0693" w:rsidP="00257FB6">
      <w:pPr>
        <w:rPr>
          <w:rFonts w:cs="Calibri"/>
        </w:rPr>
      </w:pPr>
      <w:r w:rsidRPr="00DD477A">
        <w:rPr>
          <w:rFonts w:cs="Calibri"/>
        </w:rPr>
        <w:t xml:space="preserve">Entities should present </w:t>
      </w:r>
      <w:r w:rsidR="00035B73" w:rsidRPr="00DD477A">
        <w:rPr>
          <w:rFonts w:cs="Calibri"/>
        </w:rPr>
        <w:t xml:space="preserve">clear, consistent and reconcilable </w:t>
      </w:r>
      <w:r w:rsidRPr="00DD477A">
        <w:rPr>
          <w:rFonts w:cs="Calibri"/>
        </w:rPr>
        <w:t xml:space="preserve">performance </w:t>
      </w:r>
      <w:r w:rsidR="00BF050C" w:rsidRPr="00DD477A">
        <w:rPr>
          <w:rFonts w:cs="Calibri"/>
        </w:rPr>
        <w:t xml:space="preserve">specific </w:t>
      </w:r>
      <w:r w:rsidRPr="00DD477A">
        <w:rPr>
          <w:rFonts w:cs="Calibri"/>
        </w:rPr>
        <w:t>information between publications within and across reporting cycles</w:t>
      </w:r>
      <w:r w:rsidR="00F37F72" w:rsidRPr="00DD477A">
        <w:rPr>
          <w:rFonts w:cs="Calibri"/>
        </w:rPr>
        <w:t xml:space="preserve">, from Appropriation Bills to the PB statements, </w:t>
      </w:r>
      <w:r w:rsidR="00866C7A" w:rsidRPr="00DD477A">
        <w:rPr>
          <w:rFonts w:cs="Calibri"/>
        </w:rPr>
        <w:t xml:space="preserve">through </w:t>
      </w:r>
      <w:r w:rsidR="00F37F72" w:rsidRPr="00DD477A">
        <w:rPr>
          <w:rFonts w:cs="Calibri"/>
        </w:rPr>
        <w:t>to individual entities’ corporate plan and annual report</w:t>
      </w:r>
      <w:r w:rsidRPr="00DD477A">
        <w:rPr>
          <w:rFonts w:cs="Calibri"/>
        </w:rPr>
        <w:t>.</w:t>
      </w:r>
    </w:p>
    <w:p w14:paraId="13A9336A" w14:textId="30E2FC82" w:rsidR="00257FB6" w:rsidRPr="00DD477A" w:rsidRDefault="53BF0693" w:rsidP="00257FB6">
      <w:pPr>
        <w:rPr>
          <w:rFonts w:cs="Calibri"/>
        </w:rPr>
      </w:pPr>
      <w:r w:rsidRPr="00DD477A">
        <w:rPr>
          <w:rFonts w:cs="Calibri"/>
        </w:rPr>
        <w:t xml:space="preserve">The </w:t>
      </w:r>
      <w:r w:rsidR="00B11749" w:rsidRPr="00DD477A">
        <w:rPr>
          <w:rFonts w:cs="Calibri"/>
        </w:rPr>
        <w:t>202</w:t>
      </w:r>
      <w:r w:rsidR="000A4DFC" w:rsidRPr="00DD477A">
        <w:rPr>
          <w:rFonts w:cs="Calibri"/>
        </w:rPr>
        <w:t>4</w:t>
      </w:r>
      <w:r w:rsidR="00B11749" w:rsidRPr="00DD477A">
        <w:rPr>
          <w:rFonts w:cs="Calibri"/>
        </w:rPr>
        <w:t>-2</w:t>
      </w:r>
      <w:r w:rsidR="000A4DFC" w:rsidRPr="00DD477A">
        <w:rPr>
          <w:rFonts w:cs="Calibri"/>
        </w:rPr>
        <w:t>5</w:t>
      </w:r>
      <w:r w:rsidR="00197D38" w:rsidRPr="00DD477A">
        <w:rPr>
          <w:rFonts w:cs="Calibri"/>
        </w:rPr>
        <w:t xml:space="preserve"> </w:t>
      </w:r>
      <w:r w:rsidRPr="00DD477A">
        <w:rPr>
          <w:rFonts w:cs="Calibri"/>
        </w:rPr>
        <w:t>PB Statements will cover the current financial year (</w:t>
      </w:r>
      <w:r w:rsidR="00B11749" w:rsidRPr="00DD477A">
        <w:rPr>
          <w:rFonts w:cs="Calibri"/>
        </w:rPr>
        <w:t>202</w:t>
      </w:r>
      <w:r w:rsidR="000A4DFC" w:rsidRPr="00DD477A">
        <w:rPr>
          <w:rFonts w:cs="Calibri"/>
        </w:rPr>
        <w:t>3</w:t>
      </w:r>
      <w:r w:rsidR="00B11749" w:rsidRPr="00DD477A">
        <w:rPr>
          <w:rFonts w:cs="Calibri"/>
        </w:rPr>
        <w:t>-2</w:t>
      </w:r>
      <w:r w:rsidR="000A4DFC" w:rsidRPr="00DD477A">
        <w:rPr>
          <w:rFonts w:cs="Calibri"/>
        </w:rPr>
        <w:t>4</w:t>
      </w:r>
      <w:r w:rsidRPr="00DD477A">
        <w:rPr>
          <w:rFonts w:cs="Calibri"/>
        </w:rPr>
        <w:t>), the budget year (</w:t>
      </w:r>
      <w:r w:rsidR="00B11749" w:rsidRPr="00DD477A">
        <w:rPr>
          <w:rFonts w:cs="Calibri"/>
        </w:rPr>
        <w:t>202</w:t>
      </w:r>
      <w:r w:rsidR="000A4DFC" w:rsidRPr="00DD477A">
        <w:rPr>
          <w:rFonts w:cs="Calibri"/>
        </w:rPr>
        <w:t>4</w:t>
      </w:r>
      <w:r w:rsidR="00B11749" w:rsidRPr="00DD477A">
        <w:rPr>
          <w:rFonts w:cs="Calibri"/>
        </w:rPr>
        <w:t>-2</w:t>
      </w:r>
      <w:r w:rsidR="000A4DFC" w:rsidRPr="00DD477A">
        <w:rPr>
          <w:rFonts w:cs="Calibri"/>
        </w:rPr>
        <w:t>5</w:t>
      </w:r>
      <w:r w:rsidRPr="00DD477A">
        <w:rPr>
          <w:rFonts w:cs="Calibri"/>
        </w:rPr>
        <w:t>) and the forward estimates years (</w:t>
      </w:r>
      <w:r w:rsidR="00B11749" w:rsidRPr="00DD477A">
        <w:rPr>
          <w:rFonts w:cs="Calibri"/>
        </w:rPr>
        <w:t>202</w:t>
      </w:r>
      <w:r w:rsidR="000A4DFC" w:rsidRPr="00DD477A">
        <w:rPr>
          <w:rFonts w:cs="Calibri"/>
        </w:rPr>
        <w:t>5</w:t>
      </w:r>
      <w:r w:rsidR="00B11749" w:rsidRPr="00DD477A">
        <w:rPr>
          <w:rFonts w:cs="Calibri"/>
        </w:rPr>
        <w:t>-2</w:t>
      </w:r>
      <w:r w:rsidR="000A4DFC" w:rsidRPr="00DD477A">
        <w:rPr>
          <w:rFonts w:cs="Calibri"/>
        </w:rPr>
        <w:t>6</w:t>
      </w:r>
      <w:r w:rsidRPr="00DD477A">
        <w:rPr>
          <w:rFonts w:cs="Calibri"/>
        </w:rPr>
        <w:t xml:space="preserve">, </w:t>
      </w:r>
      <w:r w:rsidR="00B11749" w:rsidRPr="00DD477A">
        <w:rPr>
          <w:rFonts w:cs="Calibri"/>
        </w:rPr>
        <w:t>202</w:t>
      </w:r>
      <w:r w:rsidR="000A4DFC" w:rsidRPr="00DD477A">
        <w:rPr>
          <w:rFonts w:cs="Calibri"/>
        </w:rPr>
        <w:t>6</w:t>
      </w:r>
      <w:r w:rsidR="00B11749" w:rsidRPr="00DD477A">
        <w:rPr>
          <w:rFonts w:cs="Calibri"/>
        </w:rPr>
        <w:t>-2</w:t>
      </w:r>
      <w:r w:rsidR="000A4DFC" w:rsidRPr="00DD477A">
        <w:rPr>
          <w:rFonts w:cs="Calibri"/>
        </w:rPr>
        <w:t>7</w:t>
      </w:r>
      <w:r w:rsidR="00197D38" w:rsidRPr="00DD477A">
        <w:rPr>
          <w:rFonts w:cs="Calibri"/>
        </w:rPr>
        <w:t xml:space="preserve"> </w:t>
      </w:r>
      <w:r w:rsidRPr="00DD477A">
        <w:rPr>
          <w:rFonts w:cs="Calibri"/>
        </w:rPr>
        <w:t xml:space="preserve">and </w:t>
      </w:r>
      <w:r w:rsidR="00B11749" w:rsidRPr="00DD477A">
        <w:rPr>
          <w:rFonts w:cs="Calibri"/>
        </w:rPr>
        <w:t>202</w:t>
      </w:r>
      <w:r w:rsidR="000A4DFC" w:rsidRPr="00DD477A">
        <w:rPr>
          <w:rFonts w:cs="Calibri"/>
        </w:rPr>
        <w:t>7</w:t>
      </w:r>
      <w:r w:rsidR="00B11749" w:rsidRPr="00DD477A">
        <w:rPr>
          <w:rFonts w:cs="Calibri"/>
        </w:rPr>
        <w:t>-2</w:t>
      </w:r>
      <w:r w:rsidR="000A4DFC" w:rsidRPr="00DD477A">
        <w:rPr>
          <w:rFonts w:cs="Calibri"/>
        </w:rPr>
        <w:t>8</w:t>
      </w:r>
      <w:r w:rsidRPr="00DD477A">
        <w:rPr>
          <w:rFonts w:cs="Calibri"/>
        </w:rPr>
        <w:t>).</w:t>
      </w:r>
    </w:p>
    <w:p w14:paraId="00467617" w14:textId="77777777" w:rsidR="008C2329" w:rsidRPr="00DD477A" w:rsidRDefault="008C2329">
      <w:pPr>
        <w:suppressAutoHyphens w:val="0"/>
        <w:spacing w:before="0" w:after="120" w:line="440" w:lineRule="atLeast"/>
        <w:rPr>
          <w:rFonts w:asciiTheme="majorHAnsi" w:eastAsiaTheme="majorEastAsia" w:hAnsiTheme="majorHAnsi" w:cstheme="majorBidi"/>
          <w:color w:val="1C1C1C" w:themeColor="text2"/>
          <w:sz w:val="34"/>
          <w:szCs w:val="26"/>
        </w:rPr>
      </w:pPr>
      <w:bookmarkStart w:id="588" w:name="_Toc65165079"/>
      <w:bookmarkStart w:id="589" w:name="_Toc65230582"/>
      <w:bookmarkStart w:id="590" w:name="_Toc63347674"/>
      <w:bookmarkEnd w:id="588"/>
      <w:bookmarkEnd w:id="589"/>
      <w:r w:rsidRPr="00DD477A">
        <w:br w:type="page"/>
      </w:r>
    </w:p>
    <w:p w14:paraId="5D262560" w14:textId="60D32898" w:rsidR="00E86EC8" w:rsidRPr="00DD477A" w:rsidRDefault="53BF0693" w:rsidP="00E548A0">
      <w:pPr>
        <w:pStyle w:val="Heading2"/>
      </w:pPr>
      <w:bookmarkStart w:id="591" w:name="_Toc160715539"/>
      <w:r w:rsidRPr="00DD477A">
        <w:lastRenderedPageBreak/>
        <w:t>‘Clear read’ linkages</w:t>
      </w:r>
      <w:bookmarkEnd w:id="590"/>
      <w:bookmarkEnd w:id="591"/>
    </w:p>
    <w:p w14:paraId="1B74B2BD" w14:textId="64F3BA10" w:rsidR="00FA0945" w:rsidRPr="00DD477A" w:rsidRDefault="00FA0945" w:rsidP="00E86EC8">
      <w:pPr>
        <w:pStyle w:val="BodyText1"/>
        <w:rPr>
          <w:rFonts w:ascii="Calibri" w:hAnsi="Calibri" w:cs="Calibri"/>
        </w:rPr>
      </w:pPr>
    </w:p>
    <w:p w14:paraId="6CB014C2" w14:textId="31E61826" w:rsidR="00F766E5" w:rsidRPr="00DD477A" w:rsidRDefault="00F766E5" w:rsidP="00E86EC8">
      <w:pPr>
        <w:pStyle w:val="BodyText1"/>
        <w:rPr>
          <w:rFonts w:ascii="Calibri" w:hAnsi="Calibri" w:cs="Calibri"/>
        </w:rPr>
      </w:pPr>
      <w:r w:rsidRPr="00DD477A">
        <w:rPr>
          <w:rFonts w:ascii="Calibri" w:hAnsi="Calibri" w:cs="Calibri"/>
          <w:noProof/>
        </w:rPr>
        <w:drawing>
          <wp:inline distT="0" distB="0" distL="0" distR="0" wp14:anchorId="77537DFF" wp14:editId="69C07838">
            <wp:extent cx="5725551" cy="3200400"/>
            <wp:effectExtent l="0" t="0" r="0" b="0"/>
            <wp:docPr id="18643121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1EFD5389" w14:textId="0F53C16F" w:rsidR="00C90222" w:rsidRPr="00DD477A" w:rsidRDefault="00E4296A" w:rsidP="00E548A0">
      <w:pPr>
        <w:pStyle w:val="Heading2"/>
      </w:pPr>
      <w:bookmarkStart w:id="592" w:name="_Ref65232223"/>
      <w:bookmarkStart w:id="593" w:name="_Toc160715540"/>
      <w:r w:rsidRPr="00DD477A">
        <w:t>AASB 1055</w:t>
      </w:r>
      <w:r w:rsidR="007B7B26" w:rsidRPr="00DD477A">
        <w:t xml:space="preserve"> -</w:t>
      </w:r>
      <w:r w:rsidR="000A3FDA" w:rsidRPr="00DD477A">
        <w:t xml:space="preserve"> </w:t>
      </w:r>
      <w:r w:rsidR="00EF4FBA" w:rsidRPr="00DD477A">
        <w:t>L</w:t>
      </w:r>
      <w:r w:rsidR="53BF0693" w:rsidRPr="00DD477A">
        <w:t xml:space="preserve">ink </w:t>
      </w:r>
      <w:r w:rsidR="00EF4FBA" w:rsidRPr="00DD477A">
        <w:t xml:space="preserve">between </w:t>
      </w:r>
      <w:r w:rsidR="53BF0693" w:rsidRPr="00DD477A">
        <w:t>budget</w:t>
      </w:r>
      <w:r w:rsidR="00DB33F6" w:rsidRPr="00DD477A">
        <w:t>ed</w:t>
      </w:r>
      <w:r w:rsidR="53BF0693" w:rsidRPr="00DD477A">
        <w:t xml:space="preserve"> </w:t>
      </w:r>
      <w:r w:rsidR="00EF4FBA" w:rsidRPr="00DD477A">
        <w:t xml:space="preserve">and financial </w:t>
      </w:r>
      <w:r w:rsidR="00DB33F6" w:rsidRPr="00DD477A">
        <w:t>statement</w:t>
      </w:r>
      <w:r w:rsidR="006C2259" w:rsidRPr="00DD477A">
        <w:t>s</w:t>
      </w:r>
      <w:r w:rsidR="00DB33F6" w:rsidRPr="00DD477A">
        <w:t xml:space="preserve"> </w:t>
      </w:r>
      <w:r w:rsidR="53BF0693" w:rsidRPr="00DD477A">
        <w:t>reporting</w:t>
      </w:r>
      <w:bookmarkEnd w:id="592"/>
      <w:bookmarkEnd w:id="593"/>
    </w:p>
    <w:p w14:paraId="15A631A3" w14:textId="779A4C91" w:rsidR="00F92065" w:rsidRPr="00DD477A" w:rsidRDefault="00AD0506" w:rsidP="0095142C">
      <w:r w:rsidRPr="00DD477A">
        <w:t xml:space="preserve">For the purposes </w:t>
      </w:r>
      <w:r w:rsidR="00BF12A8" w:rsidRPr="00DD477A">
        <w:t xml:space="preserve">of </w:t>
      </w:r>
      <w:r w:rsidR="00360A80" w:rsidRPr="00DD477A">
        <w:t xml:space="preserve">accounting standard </w:t>
      </w:r>
      <w:hyperlink r:id="rId70" w:history="1">
        <w:r w:rsidR="00B8636B" w:rsidRPr="00DD477A">
          <w:rPr>
            <w:rStyle w:val="Hyperlink"/>
            <w:rFonts w:cs="Calibri"/>
          </w:rPr>
          <w:t>AASB 1055</w:t>
        </w:r>
      </w:hyperlink>
      <w:r w:rsidR="00CD0BFA" w:rsidRPr="00DD477A">
        <w:t xml:space="preserve"> (budgetary variance reporting) </w:t>
      </w:r>
      <w:r w:rsidRPr="00DD477A">
        <w:t>disclosure</w:t>
      </w:r>
      <w:r w:rsidR="00CD0BFA" w:rsidRPr="00DD477A">
        <w:t>s</w:t>
      </w:r>
      <w:r w:rsidRPr="00DD477A">
        <w:t xml:space="preserve"> in entities</w:t>
      </w:r>
      <w:r w:rsidR="00CD0BFA" w:rsidRPr="00DD477A">
        <w:t>’</w:t>
      </w:r>
      <w:r w:rsidRPr="00DD477A">
        <w:t xml:space="preserve"> </w:t>
      </w:r>
      <w:r w:rsidR="00CD0BFA" w:rsidRPr="00DD477A">
        <w:t xml:space="preserve">2023-24 </w:t>
      </w:r>
      <w:r w:rsidRPr="00DD477A">
        <w:t xml:space="preserve">financial statements published at the end of the financial year, entities </w:t>
      </w:r>
      <w:r w:rsidR="00E116A2" w:rsidRPr="00DD477A">
        <w:t xml:space="preserve">should refer </w:t>
      </w:r>
      <w:r w:rsidR="00BF12A8" w:rsidRPr="00DD477A">
        <w:t xml:space="preserve">to </w:t>
      </w:r>
      <w:r w:rsidR="00F92065" w:rsidRPr="00DD477A">
        <w:t xml:space="preserve">the </w:t>
      </w:r>
      <w:r w:rsidR="00CD0BFA" w:rsidRPr="00DD477A">
        <w:t xml:space="preserve">‘Next Budget’ </w:t>
      </w:r>
      <w:r w:rsidR="00F92065" w:rsidRPr="00DD477A">
        <w:t xml:space="preserve">year </w:t>
      </w:r>
      <w:r w:rsidR="00BF12A8" w:rsidRPr="00DD477A">
        <w:t xml:space="preserve">the </w:t>
      </w:r>
      <w:r w:rsidR="00CD0BFA" w:rsidRPr="00DD477A">
        <w:t>2023-24</w:t>
      </w:r>
      <w:r w:rsidR="00E116A2" w:rsidRPr="00DD477A">
        <w:t xml:space="preserve"> PB Statement as the ‘original budget’ for recognition and </w:t>
      </w:r>
      <w:r w:rsidR="00666CAB" w:rsidRPr="00DD477A">
        <w:t>to</w:t>
      </w:r>
      <w:r w:rsidR="00E116A2" w:rsidRPr="00DD477A">
        <w:t xml:space="preserve"> identify their Bill 1 Departmental Capital Budget (DCB) component split in their </w:t>
      </w:r>
      <w:r w:rsidR="00F92065" w:rsidRPr="00DD477A">
        <w:t>2023</w:t>
      </w:r>
      <w:r w:rsidR="00E116A2" w:rsidRPr="00DD477A">
        <w:t>-</w:t>
      </w:r>
      <w:r w:rsidR="00F92065" w:rsidRPr="00DD477A">
        <w:t xml:space="preserve">24 financial </w:t>
      </w:r>
      <w:r w:rsidR="00E116A2" w:rsidRPr="00DD477A">
        <w:t>statements.</w:t>
      </w:r>
      <w:r w:rsidR="00F92065" w:rsidRPr="00DD477A">
        <w:t xml:space="preserve"> </w:t>
      </w:r>
    </w:p>
    <w:p w14:paraId="442E4CA8" w14:textId="761B700A" w:rsidR="00E116A2" w:rsidRPr="00DD477A" w:rsidRDefault="00F92065" w:rsidP="0095142C">
      <w:r w:rsidRPr="00DD477A">
        <w:t>Likewise, for entities’ 2024-25 financial statements, they should refer to the ‘Next Budget’ year in the 2024-25 PB Statements as the ‘original budget’.</w:t>
      </w:r>
    </w:p>
    <w:p w14:paraId="34141328" w14:textId="75784E7C" w:rsidR="009C40A3" w:rsidRPr="00DD477A" w:rsidRDefault="00F80FFA" w:rsidP="00157BAB">
      <w:pPr>
        <w:pStyle w:val="Numbered"/>
        <w:numPr>
          <w:ilvl w:val="0"/>
          <w:numId w:val="0"/>
        </w:numPr>
      </w:pPr>
      <w:r w:rsidRPr="00DD477A">
        <w:t xml:space="preserve">Where a revised budget (i.e. Portfolio Additional Estimates Statement) is presented to </w:t>
      </w:r>
      <w:r w:rsidR="00F92065" w:rsidRPr="00DD477A">
        <w:t xml:space="preserve">Parliament </w:t>
      </w:r>
      <w:r w:rsidRPr="00DD477A">
        <w:t xml:space="preserve">during the reporting period, entities will </w:t>
      </w:r>
      <w:r w:rsidR="00843D8D" w:rsidRPr="00DD477A">
        <w:t xml:space="preserve">be </w:t>
      </w:r>
      <w:r w:rsidRPr="00DD477A">
        <w:t>required to explain any major variance as part of their financial statement’s variance explanation.</w:t>
      </w:r>
    </w:p>
    <w:p w14:paraId="41CA22DA" w14:textId="05BE188A" w:rsidR="00783E43" w:rsidRPr="00DD477A" w:rsidRDefault="53BF0693" w:rsidP="00783E43">
      <w:pPr>
        <w:pStyle w:val="Boxed2Text"/>
        <w:rPr>
          <w:rFonts w:cs="Calibri"/>
        </w:rPr>
      </w:pPr>
      <w:r w:rsidRPr="00DD477A">
        <w:rPr>
          <w:rFonts w:cs="Calibri"/>
        </w:rPr>
        <w:t xml:space="preserve">Entities are reminded of the importance </w:t>
      </w:r>
      <w:r w:rsidR="00672ADA" w:rsidRPr="00DD477A">
        <w:rPr>
          <w:rFonts w:cs="Calibri"/>
        </w:rPr>
        <w:t>of</w:t>
      </w:r>
      <w:r w:rsidRPr="00DD477A">
        <w:rPr>
          <w:rFonts w:cs="Calibri"/>
        </w:rPr>
        <w:t xml:space="preserve"> </w:t>
      </w:r>
      <w:r w:rsidR="007D0DC2" w:rsidRPr="00DD477A">
        <w:rPr>
          <w:rFonts w:cs="Calibri"/>
        </w:rPr>
        <w:t>re</w:t>
      </w:r>
      <w:r w:rsidRPr="00DD477A">
        <w:rPr>
          <w:rFonts w:cs="Calibri"/>
        </w:rPr>
        <w:t xml:space="preserve">taining </w:t>
      </w:r>
      <w:r w:rsidR="003872AA" w:rsidRPr="00DD477A">
        <w:rPr>
          <w:rFonts w:cs="Calibri"/>
        </w:rPr>
        <w:t>formal</w:t>
      </w:r>
      <w:r w:rsidR="00786FD9" w:rsidRPr="00DD477A">
        <w:rPr>
          <w:rFonts w:cs="Calibri"/>
        </w:rPr>
        <w:t xml:space="preserve"> </w:t>
      </w:r>
      <w:r w:rsidRPr="00DD477A">
        <w:rPr>
          <w:rFonts w:cs="Calibri"/>
        </w:rPr>
        <w:t>documentation t</w:t>
      </w:r>
      <w:r w:rsidR="0014333B" w:rsidRPr="00DD477A">
        <w:rPr>
          <w:rFonts w:cs="Calibri"/>
        </w:rPr>
        <w:t xml:space="preserve">hat </w:t>
      </w:r>
      <w:r w:rsidRPr="00DD477A">
        <w:rPr>
          <w:rFonts w:cs="Calibri"/>
        </w:rPr>
        <w:t>substantiate</w:t>
      </w:r>
      <w:r w:rsidR="0014333B" w:rsidRPr="00DD477A">
        <w:rPr>
          <w:rFonts w:cs="Calibri"/>
        </w:rPr>
        <w:t>s</w:t>
      </w:r>
      <w:r w:rsidRPr="00DD477A">
        <w:rPr>
          <w:rFonts w:cs="Calibri"/>
        </w:rPr>
        <w:t xml:space="preserve"> the estimates </w:t>
      </w:r>
      <w:r w:rsidR="00672ADA" w:rsidRPr="00DD477A">
        <w:rPr>
          <w:rFonts w:cs="Calibri"/>
        </w:rPr>
        <w:t>reported through</w:t>
      </w:r>
      <w:r w:rsidRPr="00DD477A">
        <w:rPr>
          <w:rFonts w:cs="Calibri"/>
        </w:rPr>
        <w:t xml:space="preserve"> the</w:t>
      </w:r>
      <w:r w:rsidR="0081690C" w:rsidRPr="00DD477A">
        <w:rPr>
          <w:rFonts w:cs="Calibri"/>
        </w:rPr>
        <w:t>ir</w:t>
      </w:r>
      <w:r w:rsidRPr="00DD477A">
        <w:rPr>
          <w:rFonts w:cs="Calibri"/>
        </w:rPr>
        <w:t xml:space="preserve"> PB Statements. Appropriate documentation </w:t>
      </w:r>
      <w:r w:rsidR="00786FD9" w:rsidRPr="00DD477A">
        <w:rPr>
          <w:rFonts w:cs="Calibri"/>
        </w:rPr>
        <w:t xml:space="preserve">may </w:t>
      </w:r>
      <w:r w:rsidR="00CC34EA" w:rsidRPr="00DD477A">
        <w:rPr>
          <w:rFonts w:cs="Calibri"/>
        </w:rPr>
        <w:t>include</w:t>
      </w:r>
      <w:r w:rsidR="00AE5DB4" w:rsidRPr="00DD477A">
        <w:rPr>
          <w:rFonts w:cs="Calibri"/>
        </w:rPr>
        <w:t xml:space="preserve"> </w:t>
      </w:r>
      <w:r w:rsidRPr="00DD477A">
        <w:rPr>
          <w:rFonts w:cs="Calibri"/>
        </w:rPr>
        <w:t>CBMS reconciliations,</w:t>
      </w:r>
      <w:r w:rsidR="003A1BAD" w:rsidRPr="00DD477A">
        <w:t xml:space="preserve"> </w:t>
      </w:r>
      <w:r w:rsidR="00786FD9" w:rsidRPr="00DD477A">
        <w:rPr>
          <w:rFonts w:cs="Calibri"/>
        </w:rPr>
        <w:t>budget allocation authority document</w:t>
      </w:r>
      <w:r w:rsidR="00506FF0" w:rsidRPr="00DD477A">
        <w:rPr>
          <w:rFonts w:cs="Calibri"/>
        </w:rPr>
        <w:t>s</w:t>
      </w:r>
      <w:r w:rsidR="00666CAB" w:rsidRPr="00DD477A">
        <w:rPr>
          <w:rFonts w:cs="Calibri"/>
        </w:rPr>
        <w:t xml:space="preserve"> (such as costing agreements, ministerial correspondence and government decision references)</w:t>
      </w:r>
      <w:r w:rsidR="00786FD9" w:rsidRPr="00DD477A">
        <w:rPr>
          <w:rFonts w:cs="Calibri"/>
        </w:rPr>
        <w:t xml:space="preserve">, </w:t>
      </w:r>
      <w:r w:rsidR="00DC6078" w:rsidRPr="00DD477A">
        <w:rPr>
          <w:rFonts w:cs="Calibri"/>
        </w:rPr>
        <w:t xml:space="preserve">and/or </w:t>
      </w:r>
      <w:r w:rsidR="003A1BAD" w:rsidRPr="00DD477A">
        <w:rPr>
          <w:rFonts w:cs="Calibri"/>
        </w:rPr>
        <w:t>Chief Finance Officer</w:t>
      </w:r>
      <w:r w:rsidRPr="00DD477A">
        <w:rPr>
          <w:rFonts w:cs="Calibri"/>
        </w:rPr>
        <w:t xml:space="preserve"> </w:t>
      </w:r>
      <w:r w:rsidR="003A1BAD" w:rsidRPr="00DD477A">
        <w:rPr>
          <w:rFonts w:cs="Calibri"/>
        </w:rPr>
        <w:t>(</w:t>
      </w:r>
      <w:r w:rsidRPr="00DD477A">
        <w:rPr>
          <w:rFonts w:cs="Calibri"/>
        </w:rPr>
        <w:t>CFO</w:t>
      </w:r>
      <w:r w:rsidR="003A1BAD" w:rsidRPr="00DD477A">
        <w:rPr>
          <w:rFonts w:cs="Calibri"/>
        </w:rPr>
        <w:t>)</w:t>
      </w:r>
      <w:r w:rsidRPr="00DD477A">
        <w:rPr>
          <w:rFonts w:cs="Calibri"/>
        </w:rPr>
        <w:t xml:space="preserve"> </w:t>
      </w:r>
      <w:r w:rsidR="00251D08" w:rsidRPr="00DD477A">
        <w:rPr>
          <w:rFonts w:cs="Calibri"/>
        </w:rPr>
        <w:t xml:space="preserve">sign-offs of amounts included in </w:t>
      </w:r>
      <w:r w:rsidR="00336855" w:rsidRPr="00DD477A">
        <w:rPr>
          <w:rFonts w:cs="Calibri"/>
        </w:rPr>
        <w:t xml:space="preserve">the Annual Appropriation Bills </w:t>
      </w:r>
      <w:r w:rsidRPr="00DD477A">
        <w:rPr>
          <w:rFonts w:cs="Calibri"/>
        </w:rPr>
        <w:t xml:space="preserve">and </w:t>
      </w:r>
      <w:r w:rsidR="0064470D" w:rsidRPr="00DD477A">
        <w:rPr>
          <w:rFonts w:cs="Calibri"/>
        </w:rPr>
        <w:t>Budget Paper No.</w:t>
      </w:r>
      <w:r w:rsidR="00F6538F" w:rsidRPr="00DD477A">
        <w:rPr>
          <w:rFonts w:cs="Calibri"/>
        </w:rPr>
        <w:t xml:space="preserve">4 </w:t>
      </w:r>
      <w:r w:rsidR="003525F1" w:rsidRPr="00DD477A">
        <w:rPr>
          <w:rFonts w:cs="Calibri"/>
        </w:rPr>
        <w:t>Agency Resourcing</w:t>
      </w:r>
      <w:r w:rsidR="00FC1674" w:rsidRPr="00DD477A">
        <w:rPr>
          <w:rFonts w:cs="Calibri"/>
        </w:rPr>
        <w:t xml:space="preserve"> </w:t>
      </w:r>
      <w:r w:rsidR="00137FD5" w:rsidRPr="00DD477A">
        <w:rPr>
          <w:rFonts w:cs="Calibri"/>
        </w:rPr>
        <w:t>Table.</w:t>
      </w:r>
      <w:r w:rsidR="00786FD9" w:rsidRPr="00DD477A">
        <w:rPr>
          <w:rFonts w:cs="Calibri"/>
        </w:rPr>
        <w:t xml:space="preserve"> </w:t>
      </w:r>
    </w:p>
    <w:p w14:paraId="2D6F67C8" w14:textId="15BB9272" w:rsidR="0090553A" w:rsidRPr="00DD477A" w:rsidRDefault="00783E43" w:rsidP="00C22626">
      <w:pPr>
        <w:pStyle w:val="Boxed2Text"/>
        <w:rPr>
          <w:rFonts w:cs="Calibri"/>
        </w:rPr>
      </w:pPr>
      <w:r w:rsidRPr="00DD477A">
        <w:rPr>
          <w:rFonts w:cs="Calibri"/>
        </w:rPr>
        <w:t>The financial information reported in PB Statements must reconcile with the information included in CBMS</w:t>
      </w:r>
      <w:r w:rsidR="00251D08" w:rsidRPr="00DD477A">
        <w:rPr>
          <w:rFonts w:cs="Calibri"/>
        </w:rPr>
        <w:t xml:space="preserve"> at each Budget estimates update</w:t>
      </w:r>
      <w:r w:rsidRPr="00DD477A">
        <w:rPr>
          <w:rFonts w:cs="Calibri"/>
        </w:rPr>
        <w:t>.</w:t>
      </w:r>
    </w:p>
    <w:p w14:paraId="6D847B70" w14:textId="7BF31F95" w:rsidR="00C90222" w:rsidRPr="00DD477A" w:rsidRDefault="53BF0693" w:rsidP="00C90222">
      <w:pPr>
        <w:rPr>
          <w:rFonts w:cs="Calibri"/>
        </w:rPr>
      </w:pPr>
      <w:r w:rsidRPr="00DD477A">
        <w:rPr>
          <w:rFonts w:cs="Calibri"/>
        </w:rPr>
        <w:t>For further information on the AASB 1055 reporting requirements, refer to</w:t>
      </w:r>
      <w:r w:rsidR="00936490" w:rsidRPr="00DD477A">
        <w:rPr>
          <w:rFonts w:cs="Calibri"/>
        </w:rPr>
        <w:t xml:space="preserve"> </w:t>
      </w:r>
      <w:hyperlink r:id="rId71" w:history="1">
        <w:r w:rsidR="00D33B8E" w:rsidRPr="00DD477A">
          <w:rPr>
            <w:rStyle w:val="Hyperlink"/>
          </w:rPr>
          <w:t>Commonwealth entities financial statements guide (RMG 125)</w:t>
        </w:r>
      </w:hyperlink>
      <w:r w:rsidR="00936490" w:rsidRPr="00DD477A" w:rsidDel="00936490">
        <w:rPr>
          <w:rFonts w:cs="Calibri"/>
        </w:rPr>
        <w:t xml:space="preserve"> </w:t>
      </w:r>
      <w:r w:rsidRPr="00DD477A">
        <w:rPr>
          <w:rFonts w:cs="Calibri"/>
        </w:rPr>
        <w:t xml:space="preserve">and the </w:t>
      </w:r>
      <w:hyperlink r:id="rId72" w:history="1">
        <w:r w:rsidR="00871B76" w:rsidRPr="00DD477A">
          <w:rPr>
            <w:rStyle w:val="Hyperlink"/>
            <w:rFonts w:cs="Calibri"/>
          </w:rPr>
          <w:t>Primary Reporting and Information Management Aid</w:t>
        </w:r>
      </w:hyperlink>
      <w:r w:rsidR="00871B76" w:rsidRPr="00DD477A">
        <w:rPr>
          <w:rFonts w:cs="Calibri"/>
        </w:rPr>
        <w:t xml:space="preserve"> (</w:t>
      </w:r>
      <w:r w:rsidRPr="00DD477A">
        <w:rPr>
          <w:rFonts w:cs="Calibri"/>
        </w:rPr>
        <w:t>PRIMA</w:t>
      </w:r>
      <w:r w:rsidR="00871B76" w:rsidRPr="00DD477A">
        <w:rPr>
          <w:rFonts w:cs="Calibri"/>
        </w:rPr>
        <w:t>)</w:t>
      </w:r>
      <w:r w:rsidR="00C52FE8" w:rsidRPr="00DD477A">
        <w:rPr>
          <w:rFonts w:cs="Calibri"/>
        </w:rPr>
        <w:t xml:space="preserve"> forms</w:t>
      </w:r>
      <w:r w:rsidRPr="00DD477A">
        <w:rPr>
          <w:rFonts w:cs="Calibri"/>
        </w:rPr>
        <w:t>.</w:t>
      </w:r>
    </w:p>
    <w:p w14:paraId="058EFDBB" w14:textId="4E7AF0FA" w:rsidR="00FA0945" w:rsidRPr="00DD477A" w:rsidRDefault="53BF0693" w:rsidP="00E548A0">
      <w:pPr>
        <w:pStyle w:val="Heading1"/>
      </w:pPr>
      <w:bookmarkStart w:id="594" w:name="_Toc156403494"/>
      <w:bookmarkStart w:id="595" w:name="_Toc156482526"/>
      <w:bookmarkStart w:id="596" w:name="_Toc156483331"/>
      <w:bookmarkStart w:id="597" w:name="_Toc156484094"/>
      <w:bookmarkStart w:id="598" w:name="_Toc156487615"/>
      <w:bookmarkStart w:id="599" w:name="_Toc156403495"/>
      <w:bookmarkStart w:id="600" w:name="_Toc156482527"/>
      <w:bookmarkStart w:id="601" w:name="_Toc156483332"/>
      <w:bookmarkStart w:id="602" w:name="_Toc156484095"/>
      <w:bookmarkStart w:id="603" w:name="_Toc156487616"/>
      <w:bookmarkStart w:id="604" w:name="_Toc411852665"/>
      <w:bookmarkStart w:id="605" w:name="_Toc63347675"/>
      <w:bookmarkStart w:id="606" w:name="_Toc160715541"/>
      <w:bookmarkStart w:id="607" w:name="Continue_from_here_5_3"/>
      <w:bookmarkEnd w:id="594"/>
      <w:bookmarkEnd w:id="595"/>
      <w:bookmarkEnd w:id="596"/>
      <w:bookmarkEnd w:id="597"/>
      <w:bookmarkEnd w:id="598"/>
      <w:bookmarkEnd w:id="599"/>
      <w:bookmarkEnd w:id="600"/>
      <w:bookmarkEnd w:id="601"/>
      <w:bookmarkEnd w:id="602"/>
      <w:bookmarkEnd w:id="603"/>
      <w:r w:rsidRPr="00DD477A">
        <w:lastRenderedPageBreak/>
        <w:t>Clearance processes</w:t>
      </w:r>
      <w:bookmarkEnd w:id="604"/>
      <w:bookmarkEnd w:id="605"/>
      <w:bookmarkEnd w:id="606"/>
    </w:p>
    <w:bookmarkEnd w:id="607"/>
    <w:p w14:paraId="59A897C5" w14:textId="51554F77" w:rsidR="00FA0945" w:rsidRPr="00DD477A" w:rsidRDefault="30B59CBF" w:rsidP="000A7DEC">
      <w:pPr>
        <w:rPr>
          <w:rFonts w:cs="Calibri"/>
        </w:rPr>
      </w:pPr>
      <w:r w:rsidRPr="00DD477A">
        <w:rPr>
          <w:rFonts w:cs="Calibri"/>
        </w:rPr>
        <w:t xml:space="preserve">While there is no requirement for portfolios to provide </w:t>
      </w:r>
      <w:r w:rsidR="00803A31" w:rsidRPr="00DD477A">
        <w:rPr>
          <w:rFonts w:cs="Calibri"/>
        </w:rPr>
        <w:t xml:space="preserve">Finance </w:t>
      </w:r>
      <w:r w:rsidRPr="00DD477A">
        <w:rPr>
          <w:rFonts w:cs="Calibri"/>
        </w:rPr>
        <w:t>their whole PB Statements document for checking, certain material</w:t>
      </w:r>
      <w:r w:rsidR="00C666AC" w:rsidRPr="00DD477A">
        <w:rPr>
          <w:rFonts w:cs="Calibri"/>
        </w:rPr>
        <w:t>, includ</w:t>
      </w:r>
      <w:r w:rsidR="009D11A9" w:rsidRPr="00DD477A">
        <w:rPr>
          <w:rFonts w:cs="Calibri"/>
        </w:rPr>
        <w:t>ing</w:t>
      </w:r>
      <w:r w:rsidR="00C666AC" w:rsidRPr="00DD477A">
        <w:rPr>
          <w:rFonts w:cs="Calibri"/>
        </w:rPr>
        <w:t xml:space="preserve"> information on the appropriations and the measures tables</w:t>
      </w:r>
      <w:r w:rsidR="009D11A9" w:rsidRPr="00DD477A">
        <w:rPr>
          <w:rFonts w:cs="Calibri"/>
        </w:rPr>
        <w:t>,</w:t>
      </w:r>
      <w:r w:rsidR="00C666AC" w:rsidRPr="00DD477A">
        <w:rPr>
          <w:rFonts w:cs="Calibri"/>
        </w:rPr>
        <w:t xml:space="preserve"> </w:t>
      </w:r>
      <w:r w:rsidRPr="00DD477A">
        <w:rPr>
          <w:rFonts w:cs="Calibri"/>
        </w:rPr>
        <w:t>must match information contained elsewhere in the BPs for which the Treasurer and Minister for Finance are responsible. As the PB Statements describe measures that are published in BP No. 2, the two documents should be consistent. Finance recommends</w:t>
      </w:r>
      <w:r w:rsidR="005C1C8B" w:rsidRPr="00DD477A">
        <w:rPr>
          <w:rFonts w:cs="Calibri"/>
        </w:rPr>
        <w:t>,</w:t>
      </w:r>
      <w:r w:rsidR="00AC4886" w:rsidRPr="00DD477A">
        <w:rPr>
          <w:rFonts w:cs="Calibri"/>
        </w:rPr>
        <w:t xml:space="preserve"> where</w:t>
      </w:r>
      <w:r w:rsidRPr="00DD477A">
        <w:rPr>
          <w:rFonts w:cs="Calibri"/>
        </w:rPr>
        <w:t xml:space="preserve"> possible</w:t>
      </w:r>
      <w:r w:rsidR="005C1C8B" w:rsidRPr="00DD477A">
        <w:rPr>
          <w:rFonts w:cs="Calibri"/>
        </w:rPr>
        <w:t>,</w:t>
      </w:r>
      <w:r w:rsidR="00EA5456" w:rsidRPr="00DD477A">
        <w:rPr>
          <w:rFonts w:cs="Calibri"/>
        </w:rPr>
        <w:t xml:space="preserve"> that the</w:t>
      </w:r>
      <w:r w:rsidRPr="00DD477A">
        <w:rPr>
          <w:rFonts w:cs="Calibri"/>
        </w:rPr>
        <w:t xml:space="preserve"> PB Statements </w:t>
      </w:r>
      <w:r w:rsidR="00454846" w:rsidRPr="00DD477A">
        <w:rPr>
          <w:rFonts w:cs="Calibri"/>
        </w:rPr>
        <w:t xml:space="preserve">are </w:t>
      </w:r>
      <w:r w:rsidRPr="00DD477A">
        <w:rPr>
          <w:rFonts w:cs="Calibri"/>
        </w:rPr>
        <w:t>not printed until BP No. 2 is cleared.</w:t>
      </w:r>
    </w:p>
    <w:p w14:paraId="4CCC1911" w14:textId="064CDD2E" w:rsidR="00A007B3" w:rsidRPr="00DD477A" w:rsidRDefault="53BF0693" w:rsidP="000A7DEC">
      <w:pPr>
        <w:rPr>
          <w:rFonts w:cs="Calibri"/>
        </w:rPr>
      </w:pPr>
      <w:r w:rsidRPr="00DD477A">
        <w:rPr>
          <w:rFonts w:cs="Calibri"/>
        </w:rPr>
        <w:t xml:space="preserve">Table 1.2: Budget measures should be provided to your </w:t>
      </w:r>
      <w:r w:rsidR="00B862FC" w:rsidRPr="00DD477A">
        <w:rPr>
          <w:rFonts w:cs="Calibri"/>
        </w:rPr>
        <w:t xml:space="preserve">Finance </w:t>
      </w:r>
      <w:r w:rsidRPr="00DD477A">
        <w:rPr>
          <w:rFonts w:cs="Calibri"/>
        </w:rPr>
        <w:t>AAU for checking against BP No. 2 measures titles and Appropriation Bills reports prior to the PB Statements being printed.</w:t>
      </w:r>
      <w:r w:rsidR="00A33A00" w:rsidRPr="00DD477A">
        <w:rPr>
          <w:rFonts w:cs="Calibri"/>
        </w:rPr>
        <w:t xml:space="preserve"> Finance AAUs will provide a list of final measures titles and figures once they are finalised to Portfolios to update Table 1.2: Budget measures in the PB Statements, usually in the week before the Budget.</w:t>
      </w:r>
    </w:p>
    <w:p w14:paraId="33B67FB3" w14:textId="4DCDEEE6" w:rsidR="00382E5B" w:rsidRPr="00DD477A" w:rsidRDefault="53BF0693" w:rsidP="000A7DEC">
      <w:pPr>
        <w:rPr>
          <w:rFonts w:cs="Calibri"/>
        </w:rPr>
      </w:pPr>
      <w:r w:rsidRPr="00DD477A">
        <w:rPr>
          <w:rFonts w:cs="Calibri"/>
        </w:rPr>
        <w:t>Portfolio entities are responsible for ensuring the accuracy and completeness of the information contained in their PB Statements</w:t>
      </w:r>
      <w:r w:rsidR="008E433E" w:rsidRPr="00DD477A">
        <w:rPr>
          <w:rFonts w:cs="Calibri"/>
        </w:rPr>
        <w:t>.</w:t>
      </w:r>
    </w:p>
    <w:p w14:paraId="4990F2DC" w14:textId="0FD29B6B" w:rsidR="00FA0945" w:rsidRPr="00DD477A" w:rsidRDefault="53BF0693" w:rsidP="000A7DEC">
      <w:pPr>
        <w:rPr>
          <w:rFonts w:cs="Calibri"/>
        </w:rPr>
      </w:pPr>
      <w:r w:rsidRPr="00DD477A">
        <w:rPr>
          <w:rFonts w:cs="Calibri"/>
        </w:rPr>
        <w:t>As a minimum, before publication</w:t>
      </w:r>
      <w:r w:rsidR="00382E5B" w:rsidRPr="00DD477A">
        <w:rPr>
          <w:rFonts w:cs="Calibri"/>
        </w:rPr>
        <w:t>,</w:t>
      </w:r>
      <w:r w:rsidRPr="00DD477A">
        <w:rPr>
          <w:rFonts w:cs="Calibri"/>
        </w:rPr>
        <w:t xml:space="preserve"> entities should ensure that:</w:t>
      </w:r>
    </w:p>
    <w:p w14:paraId="58C1AF06" w14:textId="537ABF52" w:rsidR="00FA0945" w:rsidRPr="00DD477A" w:rsidRDefault="53BF0693" w:rsidP="00A7381C">
      <w:pPr>
        <w:pStyle w:val="Bullet1"/>
      </w:pPr>
      <w:r w:rsidRPr="00DD477A">
        <w:t>the PB Statements are completed in accordance with the guidance and templates provided</w:t>
      </w:r>
    </w:p>
    <w:p w14:paraId="19644F80" w14:textId="270A855B" w:rsidR="00FA0945" w:rsidRPr="00DD477A" w:rsidRDefault="53BF0693" w:rsidP="00A7381C">
      <w:pPr>
        <w:pStyle w:val="Bullet1"/>
      </w:pPr>
      <w:r w:rsidRPr="00DD477A">
        <w:t>the measures table matches the final measures list provided by your AAU</w:t>
      </w:r>
    </w:p>
    <w:p w14:paraId="384A9E91" w14:textId="32E07D8E" w:rsidR="00FA0945" w:rsidRPr="00DD477A" w:rsidRDefault="53BF0693" w:rsidP="00A7381C">
      <w:pPr>
        <w:pStyle w:val="Bullet1"/>
      </w:pPr>
      <w:r w:rsidRPr="00DD477A">
        <w:t xml:space="preserve">the ASL numbers match the </w:t>
      </w:r>
      <w:r w:rsidR="000874D1" w:rsidRPr="00DD477A">
        <w:t xml:space="preserve">figures </w:t>
      </w:r>
      <w:r w:rsidRPr="00DD477A">
        <w:t>to be published in BP No. 4</w:t>
      </w:r>
    </w:p>
    <w:p w14:paraId="441B092B" w14:textId="2F193B33" w:rsidR="00C72A5A" w:rsidRPr="00DD477A" w:rsidRDefault="53BF0693" w:rsidP="00A7381C">
      <w:pPr>
        <w:pStyle w:val="Bullet1"/>
      </w:pPr>
      <w:r w:rsidRPr="00DD477A">
        <w:t xml:space="preserve">all </w:t>
      </w:r>
      <w:r w:rsidR="007B6B32" w:rsidRPr="00DD477A">
        <w:t xml:space="preserve">Appropriation </w:t>
      </w:r>
      <w:r w:rsidRPr="00DD477A">
        <w:t>Bills information matches the Appropriation Bill</w:t>
      </w:r>
      <w:r w:rsidR="00EC7CB7" w:rsidRPr="00DD477A">
        <w:t>s</w:t>
      </w:r>
      <w:r w:rsidRPr="00DD477A">
        <w:t xml:space="preserve"> Schedule in the </w:t>
      </w:r>
      <w:r w:rsidR="007B6B32" w:rsidRPr="00DD477A">
        <w:br/>
      </w:r>
      <w:r w:rsidR="007A7373" w:rsidRPr="00DD477A">
        <w:t xml:space="preserve">CBMS </w:t>
      </w:r>
      <w:r w:rsidRPr="00DD477A">
        <w:t>Appropriation Bill</w:t>
      </w:r>
      <w:r w:rsidR="00EC7CB7" w:rsidRPr="00DD477A">
        <w:t>s</w:t>
      </w:r>
      <w:r w:rsidRPr="00DD477A">
        <w:t xml:space="preserve"> report</w:t>
      </w:r>
      <w:r w:rsidR="00766C6D" w:rsidRPr="00DD477A">
        <w:t>.</w:t>
      </w:r>
      <w:r w:rsidR="009D5B48" w:rsidRPr="00DD477A">
        <w:t xml:space="preserve"> </w:t>
      </w:r>
      <w:r w:rsidR="00E706C3" w:rsidRPr="00DD477A">
        <w:t>T</w:t>
      </w:r>
      <w:r w:rsidRPr="00DD477A">
        <w:t xml:space="preserve">he relevant CFO sign-offs on </w:t>
      </w:r>
      <w:r w:rsidR="007B6B32" w:rsidRPr="00DD477A">
        <w:t xml:space="preserve">Appropriation </w:t>
      </w:r>
      <w:r w:rsidRPr="00DD477A">
        <w:t xml:space="preserve">Bills and </w:t>
      </w:r>
      <w:r w:rsidR="007B6B32" w:rsidRPr="00DD477A">
        <w:br/>
      </w:r>
      <w:r w:rsidRPr="00DD477A">
        <w:t>BP No. 4 are available in CBMS under statutory reports</w:t>
      </w:r>
      <w:r w:rsidR="00A33A00" w:rsidRPr="00DD477A">
        <w:t xml:space="preserve"> (see the relevant Finance guidance on the </w:t>
      </w:r>
      <w:r w:rsidR="00A33A00" w:rsidRPr="00DD477A">
        <w:rPr>
          <w:i/>
          <w:iCs/>
        </w:rPr>
        <w:t>Budget estimates update, Appropriation Bills and Budget Paper No. 4</w:t>
      </w:r>
      <w:r w:rsidR="00A33A00" w:rsidRPr="00DD477A">
        <w:t xml:space="preserve"> for information on the sign-off process)</w:t>
      </w:r>
      <w:r w:rsidRPr="00DD477A">
        <w:t>.</w:t>
      </w:r>
    </w:p>
    <w:p w14:paraId="41A54CD4" w14:textId="019A05F2" w:rsidR="00FA0945" w:rsidRPr="00DD477A" w:rsidRDefault="53BF0693" w:rsidP="00E548A0">
      <w:pPr>
        <w:pStyle w:val="Heading1"/>
      </w:pPr>
      <w:bookmarkStart w:id="608" w:name="_Toc29980653"/>
      <w:bookmarkStart w:id="609" w:name="_Toc30405530"/>
      <w:bookmarkStart w:id="610" w:name="_Toc30581271"/>
      <w:bookmarkStart w:id="611" w:name="_Toc32829933"/>
      <w:bookmarkStart w:id="612" w:name="_Toc32917435"/>
      <w:bookmarkStart w:id="613" w:name="_Toc32918241"/>
      <w:bookmarkStart w:id="614" w:name="_Toc32999624"/>
      <w:bookmarkStart w:id="615" w:name="_Toc33099343"/>
      <w:bookmarkStart w:id="616" w:name="_Toc33195973"/>
      <w:bookmarkStart w:id="617" w:name="_Toc33196275"/>
      <w:bookmarkStart w:id="618" w:name="_Toc29980654"/>
      <w:bookmarkStart w:id="619" w:name="_Toc30405531"/>
      <w:bookmarkStart w:id="620" w:name="_Toc30581272"/>
      <w:bookmarkStart w:id="621" w:name="_Toc32829934"/>
      <w:bookmarkStart w:id="622" w:name="_Toc32917436"/>
      <w:bookmarkStart w:id="623" w:name="_Toc32918242"/>
      <w:bookmarkStart w:id="624" w:name="_Toc32999625"/>
      <w:bookmarkStart w:id="625" w:name="_Toc33099344"/>
      <w:bookmarkStart w:id="626" w:name="_Toc33195974"/>
      <w:bookmarkStart w:id="627" w:name="_Toc33196276"/>
      <w:bookmarkStart w:id="628" w:name="_Toc29980655"/>
      <w:bookmarkStart w:id="629" w:name="_Toc30405532"/>
      <w:bookmarkStart w:id="630" w:name="_Toc30581273"/>
      <w:bookmarkStart w:id="631" w:name="_Toc32829935"/>
      <w:bookmarkStart w:id="632" w:name="_Toc32917437"/>
      <w:bookmarkStart w:id="633" w:name="_Toc32918243"/>
      <w:bookmarkStart w:id="634" w:name="_Toc32999626"/>
      <w:bookmarkStart w:id="635" w:name="_Toc33099345"/>
      <w:bookmarkStart w:id="636" w:name="_Toc33195975"/>
      <w:bookmarkStart w:id="637" w:name="_Toc33196277"/>
      <w:bookmarkStart w:id="638" w:name="_Toc29394530"/>
      <w:bookmarkStart w:id="639" w:name="_Toc29394828"/>
      <w:bookmarkStart w:id="640" w:name="_Toc29394959"/>
      <w:bookmarkStart w:id="641" w:name="_Toc29395355"/>
      <w:bookmarkStart w:id="642" w:name="_Toc29395441"/>
      <w:bookmarkStart w:id="643" w:name="_Toc29396872"/>
      <w:bookmarkStart w:id="644" w:name="_Toc29478109"/>
      <w:bookmarkStart w:id="645" w:name="_Toc29481846"/>
      <w:bookmarkStart w:id="646" w:name="_Toc29544149"/>
      <w:bookmarkStart w:id="647" w:name="_Toc29544736"/>
      <w:bookmarkStart w:id="648" w:name="_Toc29544811"/>
      <w:bookmarkStart w:id="649" w:name="_Toc29546675"/>
      <w:bookmarkStart w:id="650" w:name="_Toc29980656"/>
      <w:bookmarkStart w:id="651" w:name="_Toc30405533"/>
      <w:bookmarkStart w:id="652" w:name="_Toc30581274"/>
      <w:bookmarkStart w:id="653" w:name="_Toc32829936"/>
      <w:bookmarkStart w:id="654" w:name="_Toc32917438"/>
      <w:bookmarkStart w:id="655" w:name="_Toc32918244"/>
      <w:bookmarkStart w:id="656" w:name="_Toc32999627"/>
      <w:bookmarkStart w:id="657" w:name="_Toc33099346"/>
      <w:bookmarkStart w:id="658" w:name="_Toc33195976"/>
      <w:bookmarkStart w:id="659" w:name="_Toc33196278"/>
      <w:bookmarkStart w:id="660" w:name="_Toc534803483"/>
      <w:bookmarkStart w:id="661" w:name="_Toc534814174"/>
      <w:bookmarkStart w:id="662" w:name="_Toc536108544"/>
      <w:bookmarkStart w:id="663" w:name="_Toc32917441"/>
      <w:bookmarkStart w:id="664" w:name="_Toc32918247"/>
      <w:bookmarkStart w:id="665" w:name="_Toc32999630"/>
      <w:bookmarkStart w:id="666" w:name="_Toc33099349"/>
      <w:bookmarkStart w:id="667" w:name="_Toc33195979"/>
      <w:bookmarkStart w:id="668" w:name="_Toc33196281"/>
      <w:bookmarkStart w:id="669" w:name="_Toc30405539"/>
      <w:bookmarkStart w:id="670" w:name="_Toc30581280"/>
      <w:bookmarkStart w:id="671" w:name="_Toc32829942"/>
      <w:bookmarkStart w:id="672" w:name="_Toc32917446"/>
      <w:bookmarkStart w:id="673" w:name="_Toc32918252"/>
      <w:bookmarkStart w:id="674" w:name="_Toc32999635"/>
      <w:bookmarkStart w:id="675" w:name="_Toc33099354"/>
      <w:bookmarkStart w:id="676" w:name="_Toc33195984"/>
      <w:bookmarkStart w:id="677" w:name="_Toc33196286"/>
      <w:bookmarkStart w:id="678" w:name="_Toc536108548"/>
      <w:bookmarkStart w:id="679" w:name="_Toc536802098"/>
      <w:bookmarkStart w:id="680" w:name="_Toc536108549"/>
      <w:bookmarkStart w:id="681" w:name="_Toc536802099"/>
      <w:bookmarkStart w:id="682" w:name="_Toc536108550"/>
      <w:bookmarkStart w:id="683" w:name="_Toc536802100"/>
      <w:bookmarkStart w:id="684" w:name="_Toc62648841"/>
      <w:bookmarkStart w:id="685" w:name="_Toc30405546"/>
      <w:bookmarkStart w:id="686" w:name="_Toc30581287"/>
      <w:bookmarkStart w:id="687" w:name="_Toc32829949"/>
      <w:bookmarkStart w:id="688" w:name="_Toc32917453"/>
      <w:bookmarkStart w:id="689" w:name="_Toc32918259"/>
      <w:bookmarkStart w:id="690" w:name="_Toc32999642"/>
      <w:bookmarkStart w:id="691" w:name="_Toc33099361"/>
      <w:bookmarkStart w:id="692" w:name="_Toc33195991"/>
      <w:bookmarkStart w:id="693" w:name="_Toc33196293"/>
      <w:bookmarkStart w:id="694" w:name="_Toc30405547"/>
      <w:bookmarkStart w:id="695" w:name="_Toc30581288"/>
      <w:bookmarkStart w:id="696" w:name="_Toc32829950"/>
      <w:bookmarkStart w:id="697" w:name="_Toc32917454"/>
      <w:bookmarkStart w:id="698" w:name="_Toc32918260"/>
      <w:bookmarkStart w:id="699" w:name="_Toc32999643"/>
      <w:bookmarkStart w:id="700" w:name="_Toc33099362"/>
      <w:bookmarkStart w:id="701" w:name="_Toc33195992"/>
      <w:bookmarkStart w:id="702" w:name="_Toc33196294"/>
      <w:bookmarkStart w:id="703" w:name="_Toc30405548"/>
      <w:bookmarkStart w:id="704" w:name="_Toc30581289"/>
      <w:bookmarkStart w:id="705" w:name="_Toc32829951"/>
      <w:bookmarkStart w:id="706" w:name="_Toc32917455"/>
      <w:bookmarkStart w:id="707" w:name="_Toc32918261"/>
      <w:bookmarkStart w:id="708" w:name="_Toc32999644"/>
      <w:bookmarkStart w:id="709" w:name="_Toc33099363"/>
      <w:bookmarkStart w:id="710" w:name="_Toc33195993"/>
      <w:bookmarkStart w:id="711" w:name="_Toc33196295"/>
      <w:bookmarkStart w:id="712" w:name="_Toc32917457"/>
      <w:bookmarkStart w:id="713" w:name="_Toc32918263"/>
      <w:bookmarkStart w:id="714" w:name="_Toc32999646"/>
      <w:bookmarkStart w:id="715" w:name="_Toc33099365"/>
      <w:bookmarkStart w:id="716" w:name="_Toc33195995"/>
      <w:bookmarkStart w:id="717" w:name="_Toc33196297"/>
      <w:bookmarkStart w:id="718" w:name="_Toc32917458"/>
      <w:bookmarkStart w:id="719" w:name="_Toc32918264"/>
      <w:bookmarkStart w:id="720" w:name="_Toc32999647"/>
      <w:bookmarkStart w:id="721" w:name="_Toc33099366"/>
      <w:bookmarkStart w:id="722" w:name="_Toc33195996"/>
      <w:bookmarkStart w:id="723" w:name="_Toc33196298"/>
      <w:bookmarkStart w:id="724" w:name="_Toc32917459"/>
      <w:bookmarkStart w:id="725" w:name="_Toc32918265"/>
      <w:bookmarkStart w:id="726" w:name="_Toc32999648"/>
      <w:bookmarkStart w:id="727" w:name="_Toc33099367"/>
      <w:bookmarkStart w:id="728" w:name="_Toc33195997"/>
      <w:bookmarkStart w:id="729" w:name="_Toc33196299"/>
      <w:bookmarkStart w:id="730" w:name="_Toc534803489"/>
      <w:bookmarkStart w:id="731" w:name="_Toc534814180"/>
      <w:bookmarkStart w:id="732" w:name="_Toc536108553"/>
      <w:bookmarkStart w:id="733" w:name="_Toc536802103"/>
      <w:bookmarkStart w:id="734" w:name="_Toc87979862"/>
      <w:bookmarkStart w:id="735" w:name="_Toc34314210"/>
      <w:bookmarkStart w:id="736" w:name="_Toc34314211"/>
      <w:bookmarkStart w:id="737" w:name="_Toc94870565"/>
      <w:bookmarkStart w:id="738" w:name="_Toc94870705"/>
      <w:bookmarkStart w:id="739" w:name="_Toc94873646"/>
      <w:bookmarkStart w:id="740" w:name="_Toc65165101"/>
      <w:bookmarkStart w:id="741" w:name="_Toc65230604"/>
      <w:bookmarkStart w:id="742" w:name="_Toc411852671"/>
      <w:bookmarkStart w:id="743" w:name="_Toc63347695"/>
      <w:bookmarkStart w:id="744" w:name="_Toc160715542"/>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DD477A">
        <w:t xml:space="preserve">Portfolio </w:t>
      </w:r>
      <w:r w:rsidR="009374B2" w:rsidRPr="00DD477A">
        <w:t>O</w:t>
      </w:r>
      <w:r w:rsidRPr="00DD477A">
        <w:t xml:space="preserve">verview </w:t>
      </w:r>
      <w:r w:rsidR="00AB7541" w:rsidRPr="00DD477A">
        <w:t>S</w:t>
      </w:r>
      <w:r w:rsidRPr="00DD477A">
        <w:t>ection</w:t>
      </w:r>
      <w:bookmarkEnd w:id="742"/>
      <w:bookmarkEnd w:id="743"/>
      <w:bookmarkEnd w:id="744"/>
    </w:p>
    <w:p w14:paraId="7D812798" w14:textId="27BA4072" w:rsidR="00FA2E80" w:rsidRPr="00DD477A" w:rsidRDefault="53BF0693" w:rsidP="53BF0693">
      <w:pPr>
        <w:rPr>
          <w:rStyle w:val="BodyTextChar"/>
          <w:rFonts w:cs="Calibri"/>
        </w:rPr>
      </w:pPr>
      <w:r w:rsidRPr="00DD477A">
        <w:rPr>
          <w:rStyle w:val="BodyTextChar"/>
          <w:rFonts w:cs="Calibri"/>
        </w:rPr>
        <w:t xml:space="preserve">The </w:t>
      </w:r>
      <w:r w:rsidRPr="00DD477A">
        <w:rPr>
          <w:rStyle w:val="BodyTextChar"/>
          <w:rFonts w:cs="Calibri"/>
          <w:i/>
          <w:iCs/>
        </w:rPr>
        <w:t>Portfolio Overview</w:t>
      </w:r>
      <w:r w:rsidRPr="00DD477A">
        <w:rPr>
          <w:rStyle w:val="BodyTextChar"/>
          <w:rFonts w:cs="Calibri"/>
        </w:rPr>
        <w:t xml:space="preserve"> section of the PB Statements is intended to provide a high</w:t>
      </w:r>
      <w:r w:rsidR="00984700" w:rsidRPr="00DD477A">
        <w:rPr>
          <w:rStyle w:val="BodyTextChar"/>
          <w:rFonts w:cs="Calibri"/>
        </w:rPr>
        <w:noBreakHyphen/>
      </w:r>
      <w:r w:rsidRPr="00DD477A">
        <w:rPr>
          <w:rStyle w:val="BodyTextChar"/>
          <w:rFonts w:cs="Calibri"/>
        </w:rPr>
        <w:t xml:space="preserve">level summary of the portfolio, its </w:t>
      </w:r>
      <w:r w:rsidR="000C18CF" w:rsidRPr="00DD477A">
        <w:rPr>
          <w:rStyle w:val="BodyTextChar"/>
          <w:rFonts w:cs="Calibri"/>
        </w:rPr>
        <w:t xml:space="preserve">minister(s), portfolio entities, goals/objectives, and structure. </w:t>
      </w:r>
      <w:r w:rsidR="00A91A41" w:rsidRPr="00DD477A">
        <w:rPr>
          <w:rStyle w:val="BodyTextChar"/>
          <w:rFonts w:cs="Calibri"/>
        </w:rPr>
        <w:t xml:space="preserve">All </w:t>
      </w:r>
      <w:r w:rsidR="000C18CF" w:rsidRPr="00DD477A">
        <w:rPr>
          <w:rStyle w:val="BodyTextChar"/>
          <w:rFonts w:cs="Calibri"/>
        </w:rPr>
        <w:t>entities within the portfolio are to be included, for example, en</w:t>
      </w:r>
      <w:r w:rsidRPr="00DD477A">
        <w:rPr>
          <w:rStyle w:val="BodyTextChar"/>
          <w:rFonts w:cs="Calibri"/>
        </w:rPr>
        <w:t xml:space="preserve">tities outside of the </w:t>
      </w:r>
      <w:r w:rsidR="00681C3A" w:rsidRPr="00DD477A">
        <w:rPr>
          <w:rStyle w:val="BodyTextChar"/>
          <w:rFonts w:cs="Calibri"/>
        </w:rPr>
        <w:t>GGS</w:t>
      </w:r>
      <w:r w:rsidRPr="00DD477A">
        <w:rPr>
          <w:rStyle w:val="BodyTextChar"/>
          <w:rFonts w:cs="Calibri"/>
        </w:rPr>
        <w:t xml:space="preserve">. Please refer to the most current </w:t>
      </w:r>
      <w:r w:rsidRPr="00DD477A">
        <w:rPr>
          <w:rStyle w:val="BodyTextChar"/>
          <w:rFonts w:cs="Calibri"/>
          <w:i/>
          <w:iCs/>
        </w:rPr>
        <w:t>Public Governance, Performance and Accountability Act (</w:t>
      </w:r>
      <w:r w:rsidRPr="00DD477A">
        <w:rPr>
          <w:rStyle w:val="BodyTextChar"/>
          <w:rFonts w:cs="Calibri"/>
        </w:rPr>
        <w:t>PGPA Act</w:t>
      </w:r>
      <w:r w:rsidRPr="00DD477A">
        <w:rPr>
          <w:rStyle w:val="BodyTextChar"/>
          <w:rFonts w:cs="Calibri"/>
          <w:i/>
          <w:iCs/>
        </w:rPr>
        <w:t xml:space="preserve">) </w:t>
      </w:r>
      <w:hyperlink r:id="rId73">
        <w:r w:rsidRPr="00DD477A">
          <w:rPr>
            <w:rStyle w:val="Hyperlink"/>
          </w:rPr>
          <w:t>Flipchart of PGPA Act</w:t>
        </w:r>
      </w:hyperlink>
      <w:r w:rsidR="00EA6A14" w:rsidRPr="00DD477A">
        <w:rPr>
          <w:rStyle w:val="Hyperlink"/>
        </w:rPr>
        <w:t xml:space="preserve"> Commonwealth entities and companies</w:t>
      </w:r>
      <w:r w:rsidR="00123B3F" w:rsidRPr="00DD477A">
        <w:rPr>
          <w:rStyle w:val="Hyperlink"/>
          <w:rFonts w:eastAsia="Cambria" w:cs="Calibri"/>
          <w:u w:val="none"/>
        </w:rPr>
        <w:t>.</w:t>
      </w:r>
    </w:p>
    <w:p w14:paraId="5ED8F677" w14:textId="06091342" w:rsidR="002808B0" w:rsidRPr="00DD477A" w:rsidRDefault="00CB613D" w:rsidP="53BF0693">
      <w:pPr>
        <w:rPr>
          <w:rStyle w:val="BodyTextChar"/>
          <w:rFonts w:cs="Calibri"/>
        </w:rPr>
      </w:pPr>
      <w:r w:rsidRPr="00DD477A">
        <w:rPr>
          <w:rStyle w:val="BodyTextChar"/>
          <w:rFonts w:cs="Calibri"/>
        </w:rPr>
        <w:t>I</w:t>
      </w:r>
      <w:r w:rsidR="53BF0693" w:rsidRPr="00DD477A">
        <w:rPr>
          <w:rStyle w:val="BodyTextChar"/>
          <w:rFonts w:cs="Calibri"/>
        </w:rPr>
        <w:t>nclud</w:t>
      </w:r>
      <w:r w:rsidRPr="00DD477A">
        <w:rPr>
          <w:rStyle w:val="BodyTextChar"/>
          <w:rFonts w:cs="Calibri"/>
        </w:rPr>
        <w:t>ing</w:t>
      </w:r>
      <w:r w:rsidR="53BF0693" w:rsidRPr="00DD477A">
        <w:rPr>
          <w:rStyle w:val="BodyTextChar"/>
          <w:rFonts w:cs="Calibri"/>
        </w:rPr>
        <w:t xml:space="preserve"> information that is relevant from a </w:t>
      </w:r>
      <w:r w:rsidR="00121217" w:rsidRPr="00DD477A">
        <w:rPr>
          <w:rStyle w:val="BodyTextChar"/>
          <w:rFonts w:cs="Calibri"/>
        </w:rPr>
        <w:t xml:space="preserve">whole of </w:t>
      </w:r>
      <w:r w:rsidR="53BF0693" w:rsidRPr="00DD477A">
        <w:rPr>
          <w:rStyle w:val="BodyTextChar"/>
          <w:rFonts w:cs="Calibri"/>
        </w:rPr>
        <w:t>portfolio perspective should minimise duplication of entity-specific information presented in later sections.</w:t>
      </w:r>
    </w:p>
    <w:p w14:paraId="447423FF" w14:textId="40B3D0EC" w:rsidR="00767AB3" w:rsidRPr="00DD477A" w:rsidRDefault="53BF0693" w:rsidP="53BF0693">
      <w:pPr>
        <w:rPr>
          <w:rStyle w:val="BodyTextChar"/>
          <w:rFonts w:cs="Calibri"/>
        </w:rPr>
      </w:pPr>
      <w:r w:rsidRPr="00DD477A">
        <w:rPr>
          <w:rStyle w:val="BodyTextChar"/>
          <w:rFonts w:cs="Calibri"/>
        </w:rPr>
        <w:t>Information at a department or entity level should be included only where it contributes to a broader understanding of portfolio</w:t>
      </w:r>
      <w:r w:rsidR="00CE6B32" w:rsidRPr="00DD477A">
        <w:rPr>
          <w:rStyle w:val="BodyTextChar"/>
          <w:rFonts w:cs="Calibri"/>
        </w:rPr>
        <w:t>’s</w:t>
      </w:r>
      <w:r w:rsidRPr="00DD477A">
        <w:rPr>
          <w:rStyle w:val="BodyTextChar"/>
          <w:rFonts w:cs="Calibri"/>
        </w:rPr>
        <w:t xml:space="preserve"> goals and responsibilities.</w:t>
      </w:r>
    </w:p>
    <w:p w14:paraId="3695D5A3" w14:textId="523A6F5D" w:rsidR="00FA0945" w:rsidRPr="00DD477A" w:rsidRDefault="6B6EE5C4" w:rsidP="6B6EE5C4">
      <w:pPr>
        <w:spacing w:before="80"/>
        <w:rPr>
          <w:rStyle w:val="BodyTextChar"/>
          <w:rFonts w:cs="Calibri"/>
        </w:rPr>
      </w:pPr>
      <w:r w:rsidRPr="00DD477A">
        <w:rPr>
          <w:rStyle w:val="BodyTextChar"/>
          <w:rFonts w:cs="Calibri"/>
        </w:rPr>
        <w:t xml:space="preserve">Components of </w:t>
      </w:r>
      <w:r w:rsidR="00B55CF6" w:rsidRPr="00DD477A">
        <w:rPr>
          <w:rStyle w:val="BodyTextChar"/>
          <w:rFonts w:cs="Calibri"/>
        </w:rPr>
        <w:t xml:space="preserve">the </w:t>
      </w:r>
      <w:r w:rsidR="00396887" w:rsidRPr="00DD477A">
        <w:rPr>
          <w:rStyle w:val="BodyTextChar"/>
          <w:rFonts w:cs="Calibri"/>
        </w:rPr>
        <w:t>portfolio</w:t>
      </w:r>
      <w:r w:rsidRPr="00DD477A">
        <w:rPr>
          <w:rStyle w:val="BodyTextChar"/>
          <w:rFonts w:cs="Calibri"/>
        </w:rPr>
        <w:t xml:space="preserve"> overview</w:t>
      </w:r>
      <w:r w:rsidR="00B55CF6" w:rsidRPr="00DD477A">
        <w:rPr>
          <w:rStyle w:val="BodyTextChar"/>
          <w:rFonts w:cs="Calibri"/>
        </w:rPr>
        <w:t xml:space="preserve"> include</w:t>
      </w:r>
      <w:r w:rsidRPr="00DD477A">
        <w:rPr>
          <w:rStyle w:val="BodyTextChar"/>
          <w:rFonts w:cs="Calibri"/>
        </w:rPr>
        <w:t>:</w:t>
      </w:r>
    </w:p>
    <w:p w14:paraId="2D31AC8D" w14:textId="40389BAA" w:rsidR="00FA0945" w:rsidRPr="00DD477A" w:rsidRDefault="000C18CF" w:rsidP="00A7381C">
      <w:pPr>
        <w:pStyle w:val="Bullet1"/>
        <w:rPr>
          <w:rStyle w:val="BodyTextChar"/>
          <w:rFonts w:cs="Calibri"/>
        </w:rPr>
      </w:pPr>
      <w:r w:rsidRPr="00DD477A">
        <w:rPr>
          <w:rStyle w:val="BodyTextChar"/>
          <w:rFonts w:cs="Calibri"/>
        </w:rPr>
        <w:t>minister(s) and por</w:t>
      </w:r>
      <w:r w:rsidR="6B6EE5C4" w:rsidRPr="00DD477A">
        <w:rPr>
          <w:rStyle w:val="BodyTextChar"/>
          <w:rFonts w:cs="Calibri"/>
        </w:rPr>
        <w:t xml:space="preserve">tfolio responsibilities – text description of portfolio of around two pages </w:t>
      </w:r>
    </w:p>
    <w:p w14:paraId="65B56AFF" w14:textId="5035420D" w:rsidR="00FA0945" w:rsidRPr="00DD477A" w:rsidRDefault="53BF0693" w:rsidP="00A7381C">
      <w:pPr>
        <w:pStyle w:val="Bullet1"/>
        <w:rPr>
          <w:rStyle w:val="BodyTextChar"/>
          <w:rFonts w:cs="Calibri"/>
        </w:rPr>
      </w:pPr>
      <w:r w:rsidRPr="00DD477A">
        <w:rPr>
          <w:rStyle w:val="BodyTextChar"/>
          <w:rFonts w:cs="Calibri"/>
        </w:rPr>
        <w:t xml:space="preserve">portfolio structure and outcomes </w:t>
      </w:r>
      <w:r w:rsidR="00711305" w:rsidRPr="00DD477A">
        <w:rPr>
          <w:rStyle w:val="BodyTextChar"/>
          <w:rFonts w:cs="Calibri"/>
        </w:rPr>
        <w:t>and</w:t>
      </w:r>
    </w:p>
    <w:p w14:paraId="7BD6A74D" w14:textId="77777777" w:rsidR="00FA0945" w:rsidRPr="00DD477A" w:rsidRDefault="53BF0693">
      <w:pPr>
        <w:pStyle w:val="Bullet1"/>
        <w:rPr>
          <w:rStyle w:val="BodyTextChar"/>
          <w:rFonts w:cs="Calibri"/>
        </w:rPr>
      </w:pPr>
      <w:r w:rsidRPr="00DD477A">
        <w:rPr>
          <w:rStyle w:val="BodyTextChar"/>
          <w:rFonts w:cs="Calibri"/>
        </w:rPr>
        <w:t>Figure 1: Portfolio structure and outcomes.</w:t>
      </w:r>
    </w:p>
    <w:p w14:paraId="1A04C60C" w14:textId="3F833CCC" w:rsidR="00D87546" w:rsidRPr="00DD477A" w:rsidRDefault="00D87546" w:rsidP="00A85E0D">
      <w:pPr>
        <w:pStyle w:val="Bullet1"/>
        <w:numPr>
          <w:ilvl w:val="0"/>
          <w:numId w:val="0"/>
        </w:numPr>
        <w:rPr>
          <w:rStyle w:val="BodyTextChar"/>
          <w:rFonts w:cs="Calibri"/>
        </w:rPr>
      </w:pPr>
      <w:r w:rsidRPr="00DD477A">
        <w:rPr>
          <w:rStyle w:val="BodyTextChar"/>
          <w:rFonts w:cs="Calibri"/>
        </w:rPr>
        <w:t xml:space="preserve">Where entities within the portfolio are subject to Machinery of Government (MoG) changes, these changes can be described in the Portfolio Overview section. </w:t>
      </w:r>
    </w:p>
    <w:p w14:paraId="74DD4009" w14:textId="3FC267B2" w:rsidR="00FA0945" w:rsidRPr="00DD477A" w:rsidRDefault="53BF0693" w:rsidP="00E548A0">
      <w:pPr>
        <w:pStyle w:val="Heading2"/>
        <w:rPr>
          <w:spacing w:val="-6"/>
        </w:rPr>
      </w:pPr>
      <w:bookmarkStart w:id="745" w:name="_Toc411852672"/>
      <w:bookmarkStart w:id="746" w:name="_Toc63347696"/>
      <w:bookmarkStart w:id="747" w:name="_Toc160715543"/>
      <w:r w:rsidRPr="00DD477A">
        <w:lastRenderedPageBreak/>
        <w:t>Minister(s) and portfolio responsibilities</w:t>
      </w:r>
      <w:bookmarkEnd w:id="745"/>
      <w:bookmarkEnd w:id="746"/>
      <w:bookmarkEnd w:id="747"/>
    </w:p>
    <w:p w14:paraId="66EE9E44" w14:textId="7DFC95B1" w:rsidR="002D6E6F" w:rsidRPr="00DD477A" w:rsidRDefault="53BF0693" w:rsidP="53BF0693">
      <w:pPr>
        <w:rPr>
          <w:rStyle w:val="BodyTextChar"/>
          <w:rFonts w:cs="Calibri"/>
        </w:rPr>
      </w:pPr>
      <w:r w:rsidRPr="00DD477A">
        <w:rPr>
          <w:rStyle w:val="BodyTextChar"/>
          <w:rFonts w:cs="Calibri"/>
        </w:rPr>
        <w:t>The</w:t>
      </w:r>
      <w:r w:rsidR="000C18CF" w:rsidRPr="00DD477A">
        <w:rPr>
          <w:rStyle w:val="BodyTextChar"/>
          <w:rFonts w:cs="Calibri"/>
        </w:rPr>
        <w:t xml:space="preserve"> </w:t>
      </w:r>
      <w:r w:rsidR="0090797F" w:rsidRPr="00DD477A">
        <w:rPr>
          <w:rStyle w:val="BodyTextChar"/>
          <w:rFonts w:cs="Calibri"/>
          <w:i/>
          <w:iCs/>
        </w:rPr>
        <w:t>M</w:t>
      </w:r>
      <w:r w:rsidR="000C18CF" w:rsidRPr="00DD477A">
        <w:rPr>
          <w:rStyle w:val="BodyTextChar"/>
          <w:rFonts w:cs="Calibri"/>
          <w:i/>
          <w:iCs/>
        </w:rPr>
        <w:t>inister(s) and portfolio responsibilities</w:t>
      </w:r>
      <w:r w:rsidR="000C18CF" w:rsidRPr="00DD477A">
        <w:rPr>
          <w:rStyle w:val="BodyTextChar"/>
          <w:rFonts w:cs="Calibri"/>
        </w:rPr>
        <w:t xml:space="preserve"> section should provide a description of the </w:t>
      </w:r>
      <w:r w:rsidR="00A91A41" w:rsidRPr="00DD477A">
        <w:rPr>
          <w:rStyle w:val="BodyTextChar"/>
          <w:rFonts w:cs="Calibri"/>
        </w:rPr>
        <w:t>P</w:t>
      </w:r>
      <w:r w:rsidR="00CE6B32" w:rsidRPr="00DD477A">
        <w:rPr>
          <w:rStyle w:val="BodyTextChar"/>
          <w:rFonts w:cs="Calibri"/>
        </w:rPr>
        <w:t>ortfolio </w:t>
      </w:r>
      <w:r w:rsidR="00A91A41" w:rsidRPr="00DD477A">
        <w:rPr>
          <w:rStyle w:val="BodyTextChar"/>
          <w:rFonts w:cs="Calibri"/>
        </w:rPr>
        <w:t>Minister</w:t>
      </w:r>
      <w:r w:rsidR="000C18CF" w:rsidRPr="00DD477A">
        <w:rPr>
          <w:rStyle w:val="BodyTextChar"/>
          <w:rFonts w:cs="Calibri"/>
        </w:rPr>
        <w:t>(s)</w:t>
      </w:r>
      <w:r w:rsidR="00150D9C" w:rsidRPr="00DD477A">
        <w:rPr>
          <w:rStyle w:val="BodyTextChar"/>
          <w:rFonts w:cs="Calibri"/>
        </w:rPr>
        <w:t xml:space="preserve"> and </w:t>
      </w:r>
      <w:r w:rsidRPr="00DD477A">
        <w:rPr>
          <w:rStyle w:val="BodyTextChar"/>
          <w:rFonts w:cs="Calibri"/>
        </w:rPr>
        <w:t>the structure of the portfolio</w:t>
      </w:r>
      <w:r w:rsidR="00640B3F" w:rsidRPr="00DD477A">
        <w:rPr>
          <w:rStyle w:val="BodyTextChar"/>
          <w:rFonts w:cs="Calibri"/>
        </w:rPr>
        <w:t xml:space="preserve"> and</w:t>
      </w:r>
      <w:r w:rsidR="00766C6D" w:rsidRPr="00DD477A">
        <w:rPr>
          <w:rStyle w:val="BodyTextChar"/>
          <w:rFonts w:cs="Calibri"/>
        </w:rPr>
        <w:t xml:space="preserve"> </w:t>
      </w:r>
      <w:r w:rsidR="00B90B9F" w:rsidRPr="00DD477A">
        <w:rPr>
          <w:rStyle w:val="BodyTextChar"/>
          <w:rFonts w:cs="Calibri"/>
        </w:rPr>
        <w:t xml:space="preserve">portfolio </w:t>
      </w:r>
      <w:r w:rsidRPr="00DD477A">
        <w:rPr>
          <w:rStyle w:val="BodyTextChar"/>
          <w:rFonts w:cs="Calibri"/>
        </w:rPr>
        <w:t>objectives at a strategic level. Specifics of portfolio entities should be left to the relevant entity’s section.</w:t>
      </w:r>
    </w:p>
    <w:p w14:paraId="2FA3CF4C" w14:textId="6F9D9739" w:rsidR="007A35B6" w:rsidRPr="00DD477A" w:rsidRDefault="007E7170" w:rsidP="53BF0693">
      <w:pPr>
        <w:rPr>
          <w:rStyle w:val="BodyTextChar"/>
          <w:rFonts w:cs="Calibri"/>
        </w:rPr>
      </w:pPr>
      <w:r w:rsidRPr="00DD477A">
        <w:rPr>
          <w:rStyle w:val="BodyTextChar"/>
          <w:rFonts w:cs="Calibri"/>
        </w:rPr>
        <w:t xml:space="preserve">This section </w:t>
      </w:r>
      <w:r w:rsidR="53BF0693" w:rsidRPr="00DD477A">
        <w:rPr>
          <w:rStyle w:val="BodyTextChar"/>
          <w:rFonts w:cs="Calibri"/>
        </w:rPr>
        <w:t xml:space="preserve">should include a brief discussion of </w:t>
      </w:r>
      <w:r w:rsidR="00B8003B" w:rsidRPr="00DD477A">
        <w:rPr>
          <w:rStyle w:val="BodyTextChar"/>
          <w:rFonts w:cs="Calibri"/>
        </w:rPr>
        <w:t xml:space="preserve">key policies </w:t>
      </w:r>
      <w:r w:rsidR="008F3029" w:rsidRPr="00DD477A">
        <w:rPr>
          <w:rStyle w:val="BodyTextChar"/>
          <w:rFonts w:cs="Calibri"/>
        </w:rPr>
        <w:t>and shared</w:t>
      </w:r>
      <w:r w:rsidR="53BF0693" w:rsidRPr="00DD477A">
        <w:rPr>
          <w:rStyle w:val="BodyTextChar"/>
          <w:rFonts w:cs="Calibri"/>
        </w:rPr>
        <w:t xml:space="preserve"> </w:t>
      </w:r>
      <w:r w:rsidR="00C14C83" w:rsidRPr="00DD477A">
        <w:rPr>
          <w:rStyle w:val="BodyTextChar"/>
          <w:rFonts w:cs="Calibri"/>
        </w:rPr>
        <w:t>purposes</w:t>
      </w:r>
      <w:r w:rsidR="53BF0693" w:rsidRPr="00DD477A">
        <w:rPr>
          <w:rStyle w:val="BodyTextChar"/>
          <w:rFonts w:cs="Calibri"/>
        </w:rPr>
        <w:t xml:space="preserve"> across the portfolio outcomes. For example, the broad impacts and/or trends of health policy on the Australian </w:t>
      </w:r>
      <w:r w:rsidR="00E25144" w:rsidRPr="00DD477A">
        <w:rPr>
          <w:rStyle w:val="BodyTextChar"/>
          <w:rFonts w:cs="Calibri"/>
        </w:rPr>
        <w:t>c</w:t>
      </w:r>
      <w:r w:rsidR="53BF0693" w:rsidRPr="00DD477A">
        <w:rPr>
          <w:rStyle w:val="BodyTextChar"/>
          <w:rFonts w:cs="Calibri"/>
        </w:rPr>
        <w:t>ommunity (Health</w:t>
      </w:r>
      <w:r w:rsidR="0068424D" w:rsidRPr="00DD477A">
        <w:rPr>
          <w:rStyle w:val="BodyTextChar"/>
          <w:rFonts w:cs="Calibri"/>
        </w:rPr>
        <w:t xml:space="preserve"> and Aged Care</w:t>
      </w:r>
      <w:r w:rsidR="53BF0693" w:rsidRPr="00DD477A">
        <w:rPr>
          <w:rStyle w:val="BodyTextChar"/>
          <w:rFonts w:cs="Calibri"/>
        </w:rPr>
        <w:t xml:space="preserve"> </w:t>
      </w:r>
      <w:r w:rsidR="00CE6B32" w:rsidRPr="00DD477A">
        <w:rPr>
          <w:rStyle w:val="BodyTextChar"/>
          <w:rFonts w:cs="Calibri"/>
        </w:rPr>
        <w:t>P</w:t>
      </w:r>
      <w:r w:rsidR="53BF0693" w:rsidRPr="00DD477A">
        <w:rPr>
          <w:rStyle w:val="BodyTextChar"/>
          <w:rFonts w:cs="Calibri"/>
        </w:rPr>
        <w:t xml:space="preserve">ortfolio), or improvements in Indigenous </w:t>
      </w:r>
      <w:r w:rsidR="00715EF2" w:rsidRPr="00DD477A">
        <w:rPr>
          <w:rStyle w:val="BodyTextChar"/>
          <w:rFonts w:cs="Calibri"/>
        </w:rPr>
        <w:t>a</w:t>
      </w:r>
      <w:r w:rsidR="53BF0693" w:rsidRPr="00DD477A">
        <w:rPr>
          <w:rStyle w:val="BodyTextChar"/>
          <w:rFonts w:cs="Calibri"/>
        </w:rPr>
        <w:t>ffairs (</w:t>
      </w:r>
      <w:r w:rsidR="00715EF2" w:rsidRPr="00DD477A">
        <w:rPr>
          <w:rStyle w:val="BodyTextChar"/>
          <w:rFonts w:cs="Calibri"/>
        </w:rPr>
        <w:t xml:space="preserve">the </w:t>
      </w:r>
      <w:r w:rsidR="53BF0693" w:rsidRPr="00DD477A">
        <w:rPr>
          <w:rStyle w:val="BodyTextChar"/>
          <w:rFonts w:cs="Calibri"/>
        </w:rPr>
        <w:t xml:space="preserve">Prime Minister and Cabinet </w:t>
      </w:r>
      <w:r w:rsidR="00CE6B32" w:rsidRPr="00DD477A">
        <w:rPr>
          <w:rStyle w:val="BodyTextChar"/>
          <w:rFonts w:cs="Calibri"/>
        </w:rPr>
        <w:t>P</w:t>
      </w:r>
      <w:r w:rsidR="53BF0693" w:rsidRPr="00DD477A">
        <w:rPr>
          <w:rStyle w:val="BodyTextChar"/>
          <w:rFonts w:cs="Calibri"/>
        </w:rPr>
        <w:t xml:space="preserve">ortfolio). </w:t>
      </w:r>
    </w:p>
    <w:p w14:paraId="6B3A806D" w14:textId="7499C145" w:rsidR="00FA0945" w:rsidRPr="00DD477A" w:rsidRDefault="00745FE8" w:rsidP="53BF0693">
      <w:pPr>
        <w:rPr>
          <w:rStyle w:val="BodyTextChar"/>
          <w:rFonts w:cs="Calibri"/>
        </w:rPr>
      </w:pPr>
      <w:r w:rsidRPr="00DD477A">
        <w:rPr>
          <w:rStyle w:val="BodyTextChar"/>
          <w:rFonts w:cs="Calibri"/>
        </w:rPr>
        <w:t xml:space="preserve">When preparing this narrative </w:t>
      </w:r>
      <w:r w:rsidR="53BF0693" w:rsidRPr="00DD477A">
        <w:rPr>
          <w:rStyle w:val="BodyTextChar"/>
          <w:rFonts w:cs="Calibri"/>
        </w:rPr>
        <w:t xml:space="preserve">Portfolios should also </w:t>
      </w:r>
      <w:r w:rsidR="00C14C83" w:rsidRPr="00DD477A">
        <w:rPr>
          <w:rStyle w:val="BodyTextChar"/>
          <w:rFonts w:cs="Calibri"/>
        </w:rPr>
        <w:t>consider</w:t>
      </w:r>
      <w:r w:rsidR="53BF0693" w:rsidRPr="00DD477A">
        <w:rPr>
          <w:rStyle w:val="BodyTextChar"/>
          <w:rFonts w:cs="Calibri"/>
        </w:rPr>
        <w:t xml:space="preserve"> the following:</w:t>
      </w:r>
    </w:p>
    <w:p w14:paraId="3E5DBAC0" w14:textId="77777777" w:rsidR="00FA0945" w:rsidRPr="00DD477A" w:rsidRDefault="53BF0693" w:rsidP="00A7381C">
      <w:pPr>
        <w:pStyle w:val="Bullet1"/>
        <w:rPr>
          <w:rStyle w:val="BodyTextChar"/>
          <w:rFonts w:cs="Calibri"/>
        </w:rPr>
      </w:pPr>
      <w:r w:rsidRPr="00DD477A">
        <w:rPr>
          <w:rStyle w:val="BodyTextChar"/>
          <w:rFonts w:cs="Calibri"/>
        </w:rPr>
        <w:t>major new government policy or legislation affecting the portfolio and the intended results and impacts</w:t>
      </w:r>
    </w:p>
    <w:p w14:paraId="2CD239FC" w14:textId="2699C7FB" w:rsidR="00FA0945" w:rsidRPr="00DD477A" w:rsidRDefault="53BF0693" w:rsidP="00A7381C">
      <w:pPr>
        <w:pStyle w:val="Bullet1"/>
        <w:rPr>
          <w:rStyle w:val="BodyTextChar"/>
          <w:rFonts w:cs="Calibri"/>
        </w:rPr>
      </w:pPr>
      <w:r w:rsidRPr="00DD477A">
        <w:rPr>
          <w:rStyle w:val="BodyTextChar"/>
          <w:rFonts w:cs="Calibri"/>
        </w:rPr>
        <w:t xml:space="preserve">the </w:t>
      </w:r>
      <w:r w:rsidR="00396887" w:rsidRPr="00DD477A">
        <w:rPr>
          <w:rStyle w:val="BodyTextChar"/>
          <w:rFonts w:cs="Calibri"/>
        </w:rPr>
        <w:t>portfolio department</w:t>
      </w:r>
      <w:r w:rsidRPr="00DD477A">
        <w:rPr>
          <w:rStyle w:val="BodyTextChar"/>
          <w:rFonts w:cs="Calibri"/>
        </w:rPr>
        <w:t>’s mission and/or purpose</w:t>
      </w:r>
      <w:r w:rsidR="002E0E5C" w:rsidRPr="00DD477A">
        <w:rPr>
          <w:rStyle w:val="BodyTextChar"/>
          <w:rFonts w:cs="Calibri"/>
        </w:rPr>
        <w:t xml:space="preserve"> and</w:t>
      </w:r>
    </w:p>
    <w:p w14:paraId="66F14B2F" w14:textId="3DD0C41F" w:rsidR="00FA0945" w:rsidRPr="00DD477A" w:rsidRDefault="53BF0693" w:rsidP="00A7381C">
      <w:pPr>
        <w:pStyle w:val="Bullet1"/>
        <w:rPr>
          <w:rStyle w:val="BodyTextChar"/>
          <w:rFonts w:cs="Calibri"/>
        </w:rPr>
      </w:pPr>
      <w:r w:rsidRPr="00DD477A">
        <w:rPr>
          <w:rStyle w:val="BodyTextChar"/>
          <w:rFonts w:cs="Calibri"/>
        </w:rPr>
        <w:t xml:space="preserve">ministerial statements by </w:t>
      </w:r>
      <w:r w:rsidR="00A91A41" w:rsidRPr="00DD477A">
        <w:rPr>
          <w:rStyle w:val="BodyTextChar"/>
          <w:rFonts w:cs="Calibri"/>
        </w:rPr>
        <w:t>Portfolio Ministers</w:t>
      </w:r>
      <w:r w:rsidR="000C18CF" w:rsidRPr="00DD477A">
        <w:rPr>
          <w:rStyle w:val="BodyTextChar"/>
          <w:rFonts w:cs="Calibri"/>
        </w:rPr>
        <w:t>.</w:t>
      </w:r>
    </w:p>
    <w:p w14:paraId="51DE4242" w14:textId="6F17EE09" w:rsidR="00FA0945" w:rsidRPr="00DD477A" w:rsidRDefault="53BF0693" w:rsidP="00E548A0">
      <w:pPr>
        <w:pStyle w:val="Heading2"/>
        <w:rPr>
          <w:spacing w:val="-6"/>
        </w:rPr>
      </w:pPr>
      <w:bookmarkStart w:id="748" w:name="_Toc411852673"/>
      <w:bookmarkStart w:id="749" w:name="_Toc63347697"/>
      <w:bookmarkStart w:id="750" w:name="_Toc160715544"/>
      <w:r w:rsidRPr="00DD477A">
        <w:t>Portfolio structure and outcomes</w:t>
      </w:r>
      <w:bookmarkEnd w:id="748"/>
      <w:bookmarkEnd w:id="749"/>
      <w:bookmarkEnd w:id="750"/>
    </w:p>
    <w:p w14:paraId="395FD65F" w14:textId="0098C71D" w:rsidR="008E452D" w:rsidRPr="00DD477A" w:rsidRDefault="008E452D" w:rsidP="53BF0693">
      <w:pPr>
        <w:rPr>
          <w:rStyle w:val="BodyTextChar"/>
          <w:rFonts w:cs="Calibri"/>
        </w:rPr>
      </w:pPr>
      <w:r w:rsidRPr="00DD477A">
        <w:rPr>
          <w:rFonts w:eastAsia="Cambria" w:cs="Calibri"/>
          <w:noProof/>
        </w:rPr>
        <w:drawing>
          <wp:inline distT="0" distB="0" distL="0" distR="0" wp14:anchorId="272C09B7" wp14:editId="0805ED60">
            <wp:extent cx="5835650" cy="1036708"/>
            <wp:effectExtent l="0" t="0" r="0" b="0"/>
            <wp:docPr id="5181062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70BE0751" w14:textId="620C747F" w:rsidR="00577C1F" w:rsidRPr="00DD477A" w:rsidRDefault="53BF0693" w:rsidP="53BF0693">
      <w:pPr>
        <w:rPr>
          <w:rStyle w:val="BodyTextChar"/>
          <w:rFonts w:cs="Calibri"/>
        </w:rPr>
      </w:pPr>
      <w:r w:rsidRPr="00DD477A">
        <w:rPr>
          <w:rStyle w:val="BodyTextChar"/>
          <w:rFonts w:cs="Calibri"/>
        </w:rPr>
        <w:t>This figure is a graphical representation of the portfolio structure and the responsible</w:t>
      </w:r>
      <w:r w:rsidR="000C18CF" w:rsidRPr="00DD477A">
        <w:rPr>
          <w:rStyle w:val="BodyTextChar"/>
          <w:rFonts w:cs="Calibri"/>
        </w:rPr>
        <w:t xml:space="preserve"> ministers. </w:t>
      </w:r>
      <w:r w:rsidR="00DF1500" w:rsidRPr="00DD477A">
        <w:rPr>
          <w:rStyle w:val="BodyTextChar"/>
          <w:rFonts w:cs="Calibri"/>
        </w:rPr>
        <w:t>I</w:t>
      </w:r>
      <w:r w:rsidR="000C18CF" w:rsidRPr="00DD477A">
        <w:rPr>
          <w:rStyle w:val="BodyTextChar"/>
          <w:rFonts w:cs="Calibri"/>
        </w:rPr>
        <w:t xml:space="preserve">t should clearly </w:t>
      </w:r>
      <w:r w:rsidR="007F466D" w:rsidRPr="00DD477A">
        <w:rPr>
          <w:rStyle w:val="BodyTextChar"/>
          <w:rFonts w:cs="Calibri"/>
        </w:rPr>
        <w:t xml:space="preserve">state </w:t>
      </w:r>
      <w:r w:rsidR="000C18CF" w:rsidRPr="00DD477A">
        <w:rPr>
          <w:rStyle w:val="BodyTextChar"/>
          <w:rFonts w:cs="Calibri"/>
        </w:rPr>
        <w:t>the names and titles of the ministers, the portfolio department(s) a</w:t>
      </w:r>
      <w:r w:rsidRPr="00DD477A">
        <w:rPr>
          <w:rStyle w:val="BodyTextChar"/>
          <w:rFonts w:cs="Calibri"/>
        </w:rPr>
        <w:t>nd the Secretary.</w:t>
      </w:r>
    </w:p>
    <w:p w14:paraId="452BA14A" w14:textId="0BE1EF4F" w:rsidR="00FA0945" w:rsidRPr="00DD477A" w:rsidRDefault="00993CA2" w:rsidP="6B6EE5C4">
      <w:pPr>
        <w:rPr>
          <w:rStyle w:val="BodyTextChar"/>
          <w:rFonts w:cs="Calibri"/>
        </w:rPr>
      </w:pPr>
      <w:r w:rsidRPr="00DD477A">
        <w:rPr>
          <w:rStyle w:val="BodyTextChar"/>
          <w:rFonts w:cs="Calibri"/>
        </w:rPr>
        <w:t>The figure must include</w:t>
      </w:r>
      <w:r w:rsidR="00FA0945" w:rsidRPr="00DD477A">
        <w:rPr>
          <w:rStyle w:val="BodyTextChar"/>
          <w:rFonts w:cs="Calibri"/>
        </w:rPr>
        <w:t xml:space="preserve"> the other portfolio entities and their </w:t>
      </w:r>
      <w:r w:rsidR="006959D0" w:rsidRPr="00DD477A">
        <w:rPr>
          <w:rStyle w:val="BodyTextChar"/>
          <w:rFonts w:cs="Calibri"/>
        </w:rPr>
        <w:t>accountable authorities</w:t>
      </w:r>
      <w:r w:rsidR="00FA0945" w:rsidRPr="00DD477A">
        <w:rPr>
          <w:rStyle w:val="BodyTextChar"/>
          <w:rFonts w:cs="Calibri"/>
        </w:rPr>
        <w:t xml:space="preserve">, </w:t>
      </w:r>
      <w:r w:rsidRPr="00DD477A">
        <w:rPr>
          <w:rStyle w:val="BodyTextChar"/>
          <w:rFonts w:cs="Calibri"/>
        </w:rPr>
        <w:t xml:space="preserve">principal bodies in the portfolio as </w:t>
      </w:r>
      <w:r w:rsidR="00EE530E" w:rsidRPr="00DD477A">
        <w:rPr>
          <w:rStyle w:val="BodyTextChar"/>
          <w:rFonts w:cs="Calibri"/>
        </w:rPr>
        <w:t>outlined</w:t>
      </w:r>
      <w:r w:rsidR="006959D0" w:rsidRPr="00DD477A">
        <w:rPr>
          <w:rStyle w:val="BodyTextChar"/>
          <w:rFonts w:cs="Calibri"/>
        </w:rPr>
        <w:t xml:space="preserve"> </w:t>
      </w:r>
      <w:r w:rsidR="00EE530E" w:rsidRPr="00DD477A">
        <w:rPr>
          <w:rStyle w:val="BodyTextChar"/>
          <w:rFonts w:cs="Calibri"/>
        </w:rPr>
        <w:t>in t</w:t>
      </w:r>
      <w:r w:rsidR="000E0572" w:rsidRPr="00DD477A">
        <w:rPr>
          <w:rStyle w:val="BodyTextChar"/>
          <w:rFonts w:cs="Calibri"/>
        </w:rPr>
        <w:t xml:space="preserve">he </w:t>
      </w:r>
      <w:hyperlink r:id="rId79" w:history="1">
        <w:r w:rsidR="006959D0" w:rsidRPr="00DD477A">
          <w:rPr>
            <w:rStyle w:val="Hyperlink"/>
          </w:rPr>
          <w:t>PGPA flipchart</w:t>
        </w:r>
      </w:hyperlink>
      <w:r w:rsidR="000E0572" w:rsidRPr="00DD477A">
        <w:rPr>
          <w:rStyle w:val="BodyTextChar"/>
          <w:rFonts w:cs="Calibri"/>
        </w:rPr>
        <w:t xml:space="preserve"> and a</w:t>
      </w:r>
      <w:r w:rsidR="00FA0945" w:rsidRPr="00DD477A">
        <w:rPr>
          <w:rStyle w:val="BodyTextChar"/>
          <w:rFonts w:cs="Calibri"/>
        </w:rPr>
        <w:t>ll portfolio entities covered by the PGPA</w:t>
      </w:r>
      <w:r w:rsidR="00761FCC" w:rsidRPr="00DD477A">
        <w:rPr>
          <w:rStyle w:val="BodyTextChar"/>
          <w:rFonts w:cs="Calibri"/>
        </w:rPr>
        <w:t xml:space="preserve"> Act</w:t>
      </w:r>
      <w:r w:rsidR="00D16CA8" w:rsidRPr="00DD477A">
        <w:rPr>
          <w:rStyle w:val="BodyTextChar"/>
          <w:rFonts w:cs="Calibri"/>
        </w:rPr>
        <w:t xml:space="preserve">. Entities such as </w:t>
      </w:r>
      <w:r w:rsidR="00027573" w:rsidRPr="00DD477A">
        <w:rPr>
          <w:rStyle w:val="BodyTextChar"/>
          <w:rFonts w:cs="Calibri"/>
          <w:i/>
          <w:iCs/>
        </w:rPr>
        <w:t>Public </w:t>
      </w:r>
      <w:r w:rsidR="00AE025F" w:rsidRPr="00DD477A">
        <w:rPr>
          <w:rStyle w:val="BodyTextChar"/>
          <w:rFonts w:cs="Calibri"/>
          <w:i/>
          <w:iCs/>
        </w:rPr>
        <w:t>F</w:t>
      </w:r>
      <w:r w:rsidR="000E0572" w:rsidRPr="00DD477A">
        <w:rPr>
          <w:rStyle w:val="BodyTextChar"/>
          <w:rFonts w:cs="Calibri"/>
          <w:i/>
          <w:iCs/>
        </w:rPr>
        <w:t xml:space="preserve">inancial </w:t>
      </w:r>
      <w:r w:rsidR="00AE025F" w:rsidRPr="00DD477A">
        <w:rPr>
          <w:rStyle w:val="BodyTextChar"/>
          <w:rFonts w:cs="Calibri"/>
          <w:i/>
          <w:iCs/>
        </w:rPr>
        <w:t>C</w:t>
      </w:r>
      <w:r w:rsidR="000E0572" w:rsidRPr="00DD477A">
        <w:rPr>
          <w:rStyle w:val="BodyTextChar"/>
          <w:rFonts w:cs="Calibri"/>
          <w:i/>
          <w:iCs/>
        </w:rPr>
        <w:t>orporations</w:t>
      </w:r>
      <w:r w:rsidR="000E0572" w:rsidRPr="00DD477A">
        <w:rPr>
          <w:rStyle w:val="BodyTextChar"/>
          <w:rFonts w:cs="Calibri"/>
        </w:rPr>
        <w:t xml:space="preserve">, </w:t>
      </w:r>
      <w:r w:rsidR="00AE025F" w:rsidRPr="00DD477A">
        <w:rPr>
          <w:rStyle w:val="BodyTextChar"/>
          <w:rFonts w:cs="Calibri"/>
          <w:i/>
          <w:iCs/>
        </w:rPr>
        <w:t>P</w:t>
      </w:r>
      <w:r w:rsidR="000E0572" w:rsidRPr="00DD477A">
        <w:rPr>
          <w:rStyle w:val="BodyTextChar"/>
          <w:rFonts w:cs="Calibri"/>
          <w:i/>
          <w:iCs/>
        </w:rPr>
        <w:t xml:space="preserve">ublic </w:t>
      </w:r>
      <w:r w:rsidR="00AE025F" w:rsidRPr="00DD477A">
        <w:rPr>
          <w:rStyle w:val="BodyTextChar"/>
          <w:rFonts w:cs="Calibri"/>
          <w:i/>
          <w:iCs/>
        </w:rPr>
        <w:t>N</w:t>
      </w:r>
      <w:r w:rsidR="000E0572" w:rsidRPr="00DD477A">
        <w:rPr>
          <w:rStyle w:val="BodyTextChar"/>
          <w:rFonts w:cs="Calibri"/>
          <w:i/>
          <w:iCs/>
        </w:rPr>
        <w:t>on</w:t>
      </w:r>
      <w:r w:rsidR="00C20907" w:rsidRPr="00DD477A">
        <w:rPr>
          <w:rStyle w:val="BodyTextChar"/>
          <w:rFonts w:cs="Calibri"/>
          <w:i/>
        </w:rPr>
        <w:noBreakHyphen/>
      </w:r>
      <w:r w:rsidR="00AE025F" w:rsidRPr="00DD477A">
        <w:rPr>
          <w:rStyle w:val="BodyTextChar"/>
          <w:rFonts w:cs="Calibri"/>
          <w:i/>
          <w:iCs/>
        </w:rPr>
        <w:t>F</w:t>
      </w:r>
      <w:r w:rsidR="000E0572" w:rsidRPr="00DD477A">
        <w:rPr>
          <w:rStyle w:val="BodyTextChar"/>
          <w:rFonts w:cs="Calibri"/>
          <w:i/>
          <w:iCs/>
        </w:rPr>
        <w:t>inancial</w:t>
      </w:r>
      <w:r w:rsidR="000C18CF" w:rsidRPr="00DD477A">
        <w:rPr>
          <w:rStyle w:val="BodyTextChar"/>
          <w:rFonts w:cs="Calibri"/>
          <w:i/>
          <w:iCs/>
        </w:rPr>
        <w:t xml:space="preserve"> </w:t>
      </w:r>
      <w:r w:rsidR="00A93E4B" w:rsidRPr="00DD477A">
        <w:rPr>
          <w:rStyle w:val="BodyTextChar"/>
          <w:rFonts w:cs="Calibri"/>
          <w:i/>
          <w:iCs/>
        </w:rPr>
        <w:t>C</w:t>
      </w:r>
      <w:r w:rsidR="000C18CF" w:rsidRPr="00DD477A">
        <w:rPr>
          <w:rStyle w:val="BodyTextChar"/>
          <w:rFonts w:cs="Calibri"/>
          <w:i/>
          <w:iCs/>
        </w:rPr>
        <w:t>orporations</w:t>
      </w:r>
      <w:r w:rsidR="000C18CF" w:rsidRPr="00DD477A">
        <w:rPr>
          <w:rStyle w:val="BodyTextChar"/>
          <w:rFonts w:cs="Calibri"/>
        </w:rPr>
        <w:t xml:space="preserve"> and entities outside of the GGS, should at least be mentioned in this section to show the minister respon</w:t>
      </w:r>
      <w:r w:rsidR="00D16CA8" w:rsidRPr="00DD477A">
        <w:rPr>
          <w:rStyle w:val="BodyTextChar"/>
          <w:rFonts w:cs="Calibri"/>
        </w:rPr>
        <w:t>sible for their functions.</w:t>
      </w:r>
    </w:p>
    <w:p w14:paraId="2306B200" w14:textId="1EE9355E" w:rsidR="007B19EC" w:rsidRPr="00DD477A" w:rsidRDefault="53BF0693">
      <w:pPr>
        <w:suppressAutoHyphens w:val="0"/>
        <w:spacing w:before="0" w:after="120" w:line="240" w:lineRule="auto"/>
        <w:rPr>
          <w:rStyle w:val="BodyTextChar"/>
          <w:rFonts w:cs="Calibri"/>
        </w:rPr>
      </w:pPr>
      <w:r w:rsidRPr="00DD477A">
        <w:rPr>
          <w:rStyle w:val="BodyTextChar"/>
          <w:rFonts w:cs="Calibri"/>
        </w:rPr>
        <w:t xml:space="preserve">Portfolios should include the current outcome statements for each entity </w:t>
      </w:r>
      <w:r w:rsidRPr="00DD477A">
        <w:rPr>
          <w:rStyle w:val="BodyTextChar"/>
          <w:rFonts w:cs="Calibri"/>
          <w:b/>
          <w:bCs/>
        </w:rPr>
        <w:t>as agreed by the</w:t>
      </w:r>
      <w:r w:rsidR="0085310E" w:rsidRPr="00DD477A">
        <w:rPr>
          <w:rStyle w:val="BodyTextChar"/>
          <w:rFonts w:cs="Calibri"/>
          <w:b/>
          <w:bCs/>
        </w:rPr>
        <w:t xml:space="preserve"> </w:t>
      </w:r>
      <w:r w:rsidRPr="00DD477A">
        <w:rPr>
          <w:rStyle w:val="BodyTextChar"/>
          <w:rFonts w:cs="Calibri"/>
          <w:b/>
        </w:rPr>
        <w:t>Minister</w:t>
      </w:r>
      <w:r w:rsidR="007F282A" w:rsidRPr="00DD477A">
        <w:rPr>
          <w:rStyle w:val="BodyTextChar"/>
          <w:rFonts w:cs="Calibri"/>
          <w:b/>
        </w:rPr>
        <w:t xml:space="preserve"> for Finance</w:t>
      </w:r>
      <w:r w:rsidRPr="00DD477A">
        <w:rPr>
          <w:rStyle w:val="BodyTextChar"/>
          <w:rFonts w:cs="Calibri"/>
        </w:rPr>
        <w:t>. The outcome statement(s) included in Figure 1, and throughout the PB Statement, must be consistent with the Appropriation Bills.</w:t>
      </w:r>
      <w:bookmarkStart w:id="751" w:name="_Toc63347698"/>
    </w:p>
    <w:p w14:paraId="3CFF2E3A" w14:textId="7CA6A72D" w:rsidR="007C010C" w:rsidRPr="00DD477A" w:rsidRDefault="53BF0693" w:rsidP="00E548A0">
      <w:pPr>
        <w:pStyle w:val="Heading1"/>
      </w:pPr>
      <w:bookmarkStart w:id="752" w:name="_Toc160715545"/>
      <w:r w:rsidRPr="00DD477A">
        <w:t xml:space="preserve">Entity overview and resources </w:t>
      </w:r>
      <w:bookmarkEnd w:id="751"/>
      <w:r w:rsidR="008E77DE" w:rsidRPr="00DD477A">
        <w:t>- Section 1</w:t>
      </w:r>
      <w:bookmarkEnd w:id="752"/>
    </w:p>
    <w:p w14:paraId="249D4D20" w14:textId="3AC83369" w:rsidR="006F1726" w:rsidRPr="00DD477A" w:rsidRDefault="53BF0693" w:rsidP="53BF0693">
      <w:pPr>
        <w:rPr>
          <w:rStyle w:val="BodyTextChar"/>
          <w:rFonts w:cs="Calibri"/>
        </w:rPr>
      </w:pPr>
      <w:r w:rsidRPr="00DD477A">
        <w:rPr>
          <w:rStyle w:val="BodyTextChar"/>
          <w:rFonts w:cs="Calibri"/>
        </w:rPr>
        <w:t xml:space="preserve">The Entity overview and resources section of the PB Statements provides details of each entity’s </w:t>
      </w:r>
      <w:r w:rsidR="004E37CE" w:rsidRPr="00DD477A">
        <w:rPr>
          <w:rStyle w:val="BodyTextChar"/>
          <w:rFonts w:cs="Calibri"/>
        </w:rPr>
        <w:t xml:space="preserve">strategic direction and planned performance, </w:t>
      </w:r>
      <w:r w:rsidRPr="00DD477A">
        <w:rPr>
          <w:rStyle w:val="BodyTextChar"/>
          <w:rFonts w:cs="Calibri"/>
        </w:rPr>
        <w:t xml:space="preserve">objectives and resources </w:t>
      </w:r>
      <w:r w:rsidR="004E37CE" w:rsidRPr="00DD477A">
        <w:rPr>
          <w:rStyle w:val="BodyTextChar"/>
          <w:rFonts w:cs="Calibri"/>
        </w:rPr>
        <w:t xml:space="preserve">and new government measures </w:t>
      </w:r>
      <w:r w:rsidRPr="00DD477A">
        <w:rPr>
          <w:rStyle w:val="BodyTextChar"/>
          <w:rFonts w:cs="Calibri"/>
        </w:rPr>
        <w:t>across the budget and forward estimates.</w:t>
      </w:r>
    </w:p>
    <w:p w14:paraId="5FE4F4FE" w14:textId="2F4982DD" w:rsidR="00FA0945" w:rsidRPr="00DD477A" w:rsidRDefault="53BF0693" w:rsidP="53BF0693">
      <w:pPr>
        <w:rPr>
          <w:rStyle w:val="BodyTextChar"/>
          <w:rFonts w:cs="Calibri"/>
        </w:rPr>
      </w:pPr>
      <w:r w:rsidRPr="00DD477A">
        <w:rPr>
          <w:rStyle w:val="BodyTextChar"/>
          <w:rFonts w:cs="Calibri"/>
        </w:rPr>
        <w:t>There are three components to this section that together link the entity</w:t>
      </w:r>
      <w:r w:rsidR="00864F88" w:rsidRPr="00DD477A">
        <w:rPr>
          <w:rStyle w:val="BodyTextChar"/>
          <w:rFonts w:cs="Calibri"/>
        </w:rPr>
        <w:t>’s</w:t>
      </w:r>
      <w:r w:rsidRPr="00DD477A">
        <w:rPr>
          <w:rStyle w:val="BodyTextChar"/>
          <w:rFonts w:cs="Calibri"/>
        </w:rPr>
        <w:t xml:space="preserve"> strategy with the resources available.</w:t>
      </w:r>
    </w:p>
    <w:p w14:paraId="6D979933" w14:textId="77777777" w:rsidR="00FA0945" w:rsidRPr="00DD477A" w:rsidRDefault="53BF0693" w:rsidP="00B968DC">
      <w:pPr>
        <w:keepNext/>
        <w:rPr>
          <w:rStyle w:val="BodyTextChar"/>
          <w:rFonts w:cs="Calibri"/>
          <w:b/>
          <w:bCs/>
          <w:sz w:val="24"/>
          <w:szCs w:val="24"/>
        </w:rPr>
      </w:pPr>
      <w:r w:rsidRPr="00DD477A">
        <w:rPr>
          <w:rStyle w:val="BodyTextChar"/>
          <w:rFonts w:cs="Calibri"/>
          <w:b/>
          <w:bCs/>
          <w:sz w:val="24"/>
          <w:szCs w:val="24"/>
        </w:rPr>
        <w:lastRenderedPageBreak/>
        <w:t>Components of Section 1: Entity overview and resources</w:t>
      </w:r>
    </w:p>
    <w:p w14:paraId="6BDD2D10" w14:textId="3A165B8E" w:rsidR="00FA0945" w:rsidRPr="00DD477A" w:rsidRDefault="0063794F" w:rsidP="00B968DC">
      <w:pPr>
        <w:pStyle w:val="Bullet1"/>
        <w:keepNext/>
        <w:ind w:left="357" w:hanging="357"/>
        <w:rPr>
          <w:rStyle w:val="BodyTextChar"/>
          <w:rFonts w:cs="Calibri"/>
        </w:rPr>
      </w:pPr>
      <w:r w:rsidRPr="00DD477A">
        <w:rPr>
          <w:rStyle w:val="BodyTextChar"/>
          <w:rFonts w:cs="Calibri"/>
        </w:rPr>
        <w:t>1.</w:t>
      </w:r>
      <w:r w:rsidR="00264D96" w:rsidRPr="00DD477A">
        <w:rPr>
          <w:rStyle w:val="BodyTextChar"/>
          <w:rFonts w:cs="Calibri"/>
        </w:rPr>
        <w:t xml:space="preserve">1 </w:t>
      </w:r>
      <w:r w:rsidR="53BF0693" w:rsidRPr="00DD477A">
        <w:rPr>
          <w:rStyle w:val="BodyTextChar"/>
          <w:rFonts w:cs="Calibri"/>
        </w:rPr>
        <w:t>Strategic direction statement</w:t>
      </w:r>
    </w:p>
    <w:p w14:paraId="1F16C29D" w14:textId="2AA70A01" w:rsidR="00FA0945" w:rsidRPr="00DD477A" w:rsidRDefault="00264D96" w:rsidP="00B968DC">
      <w:pPr>
        <w:pStyle w:val="Bullet1"/>
        <w:keepNext/>
        <w:ind w:left="357" w:hanging="357"/>
        <w:rPr>
          <w:rStyle w:val="BodyTextChar"/>
          <w:rFonts w:cs="Calibri"/>
        </w:rPr>
      </w:pPr>
      <w:r w:rsidRPr="00DD477A">
        <w:rPr>
          <w:rStyle w:val="BodyTextChar"/>
          <w:rFonts w:cs="Calibri"/>
        </w:rPr>
        <w:t xml:space="preserve">1.2 </w:t>
      </w:r>
      <w:r w:rsidR="53BF0693" w:rsidRPr="00DD477A">
        <w:rPr>
          <w:rStyle w:val="BodyTextChar"/>
          <w:rFonts w:cs="Calibri"/>
        </w:rPr>
        <w:t>Entity resource statement (including Table 1.1)</w:t>
      </w:r>
    </w:p>
    <w:p w14:paraId="4EE935A3" w14:textId="215AD8CD" w:rsidR="00FA0945" w:rsidRPr="00DD477A" w:rsidRDefault="00264D96" w:rsidP="00B968DC">
      <w:pPr>
        <w:pStyle w:val="Bullet1"/>
        <w:keepNext/>
        <w:ind w:left="357" w:hanging="357"/>
        <w:rPr>
          <w:rStyle w:val="BodyTextChar"/>
          <w:rFonts w:cs="Calibri"/>
        </w:rPr>
      </w:pPr>
      <w:r w:rsidRPr="00DD477A">
        <w:rPr>
          <w:rStyle w:val="BodyTextChar"/>
          <w:rFonts w:cs="Calibri"/>
        </w:rPr>
        <w:t xml:space="preserve">1.3 </w:t>
      </w:r>
      <w:r w:rsidR="53BF0693" w:rsidRPr="00DD477A">
        <w:rPr>
          <w:rStyle w:val="BodyTextChar"/>
          <w:rFonts w:cs="Calibri"/>
        </w:rPr>
        <w:t>Budget Measures (Table 1.2).</w:t>
      </w:r>
    </w:p>
    <w:p w14:paraId="63BB8A4D" w14:textId="34752B45" w:rsidR="00FA0945" w:rsidRPr="00DD477A" w:rsidRDefault="53BF0693" w:rsidP="00E548A0">
      <w:pPr>
        <w:pStyle w:val="Heading2"/>
      </w:pPr>
      <w:bookmarkStart w:id="753" w:name="_Toc411852676"/>
      <w:bookmarkStart w:id="754" w:name="_Toc63347699"/>
      <w:bookmarkStart w:id="755" w:name="_Toc160715546"/>
      <w:r w:rsidRPr="00DD477A">
        <w:t>Strategic direction statement</w:t>
      </w:r>
      <w:bookmarkEnd w:id="753"/>
      <w:bookmarkEnd w:id="754"/>
      <w:bookmarkEnd w:id="755"/>
    </w:p>
    <w:p w14:paraId="2CB58EE1" w14:textId="5AD16404" w:rsidR="00FA0945" w:rsidRPr="00DD477A" w:rsidRDefault="53BF0693" w:rsidP="53BF0693">
      <w:pPr>
        <w:rPr>
          <w:rStyle w:val="BodyTextChar"/>
          <w:rFonts w:cs="Calibri"/>
          <w:color w:val="1C1C1C" w:themeColor="text2"/>
          <w:sz w:val="34"/>
          <w:szCs w:val="34"/>
        </w:rPr>
      </w:pPr>
      <w:r w:rsidRPr="00DD477A">
        <w:rPr>
          <w:rStyle w:val="BodyTextChar"/>
          <w:rFonts w:cs="Calibri"/>
        </w:rPr>
        <w:t xml:space="preserve">The </w:t>
      </w:r>
      <w:r w:rsidR="00C04F5D" w:rsidRPr="00DD477A">
        <w:rPr>
          <w:rStyle w:val="BodyTextChar"/>
          <w:rFonts w:cs="Calibri"/>
        </w:rPr>
        <w:t>S</w:t>
      </w:r>
      <w:r w:rsidRPr="00DD477A">
        <w:rPr>
          <w:rStyle w:val="BodyTextChar"/>
          <w:rFonts w:cs="Calibri"/>
        </w:rPr>
        <w:t xml:space="preserve">trategic direction statement should be </w:t>
      </w:r>
      <w:r w:rsidR="00F053A0" w:rsidRPr="00DD477A">
        <w:rPr>
          <w:rStyle w:val="BodyTextChar"/>
          <w:rFonts w:cs="Calibri"/>
        </w:rPr>
        <w:t xml:space="preserve">a high-level </w:t>
      </w:r>
      <w:r w:rsidR="00AB1745" w:rsidRPr="00DD477A">
        <w:rPr>
          <w:rStyle w:val="BodyTextChar"/>
          <w:rFonts w:cs="Calibri"/>
        </w:rPr>
        <w:t>descriptor</w:t>
      </w:r>
      <w:r w:rsidR="0085571D" w:rsidRPr="00DD477A">
        <w:rPr>
          <w:rStyle w:val="BodyTextChar"/>
          <w:rFonts w:cs="Calibri"/>
        </w:rPr>
        <w:t>,</w:t>
      </w:r>
      <w:r w:rsidR="00AB1745" w:rsidRPr="00DD477A">
        <w:rPr>
          <w:rStyle w:val="BodyTextChar"/>
          <w:rFonts w:cs="Calibri"/>
        </w:rPr>
        <w:t xml:space="preserve"> </w:t>
      </w:r>
      <w:r w:rsidRPr="00DD477A">
        <w:rPr>
          <w:rStyle w:val="BodyTextChar"/>
          <w:rFonts w:cs="Calibri"/>
        </w:rPr>
        <w:t>no longer than two pages</w:t>
      </w:r>
      <w:r w:rsidR="0085571D" w:rsidRPr="00DD477A">
        <w:rPr>
          <w:rStyle w:val="BodyTextChar"/>
          <w:rFonts w:cs="Calibri"/>
        </w:rPr>
        <w:t>, that outlines an entity’s anticipated strategic direction for the budget and forward estimates years</w:t>
      </w:r>
      <w:r w:rsidRPr="00DD477A">
        <w:rPr>
          <w:rStyle w:val="BodyTextChar"/>
          <w:rFonts w:cs="Calibri"/>
        </w:rPr>
        <w:t xml:space="preserve">. </w:t>
      </w:r>
    </w:p>
    <w:p w14:paraId="4600707C" w14:textId="51A6BCEA" w:rsidR="00AF4240" w:rsidRPr="00DD477A" w:rsidRDefault="53BF0693" w:rsidP="53BF0693">
      <w:pPr>
        <w:rPr>
          <w:rStyle w:val="BodyTextChar"/>
          <w:rFonts w:cs="Calibri"/>
        </w:rPr>
      </w:pPr>
      <w:r w:rsidRPr="00DD477A">
        <w:rPr>
          <w:rStyle w:val="BodyTextChar"/>
          <w:rFonts w:cs="Calibri"/>
        </w:rPr>
        <w:t>The Strategic direction statement should</w:t>
      </w:r>
      <w:r w:rsidR="00A3790A" w:rsidRPr="00DD477A">
        <w:rPr>
          <w:rStyle w:val="BodyTextChar"/>
          <w:rFonts w:cs="Calibri"/>
        </w:rPr>
        <w:t>:</w:t>
      </w:r>
    </w:p>
    <w:p w14:paraId="602E983A" w14:textId="3B0E6F98" w:rsidR="008F56B6" w:rsidRPr="00DD477A" w:rsidRDefault="008F56B6" w:rsidP="00A85E0D">
      <w:pPr>
        <w:pStyle w:val="Bullet1"/>
        <w:rPr>
          <w:rStyle w:val="BodyTextChar"/>
          <w:rFonts w:cs="Calibri"/>
        </w:rPr>
      </w:pPr>
      <w:r w:rsidRPr="00DD477A">
        <w:rPr>
          <w:rStyle w:val="BodyTextChar"/>
          <w:rFonts w:cs="Calibri"/>
        </w:rPr>
        <w:t>identify major ongoing functions, new functions (or loss of functions) and measures allocated to the entity</w:t>
      </w:r>
    </w:p>
    <w:p w14:paraId="4724A8A4" w14:textId="2E8DB295" w:rsidR="008F56B6" w:rsidRPr="00DD477A" w:rsidRDefault="00C11487" w:rsidP="00A85E0D">
      <w:pPr>
        <w:pStyle w:val="Bullet1"/>
        <w:rPr>
          <w:rStyle w:val="BodyTextChar"/>
          <w:rFonts w:cs="Calibri"/>
        </w:rPr>
      </w:pPr>
      <w:r w:rsidRPr="00DD477A">
        <w:rPr>
          <w:rStyle w:val="BodyTextChar"/>
          <w:rFonts w:cs="Calibri"/>
        </w:rPr>
        <w:t>detail any significant challenges that will impact on the entity’s performance against its outcome(s) over the medium-term and</w:t>
      </w:r>
    </w:p>
    <w:p w14:paraId="14445968" w14:textId="1891E802" w:rsidR="00347C35" w:rsidRPr="00DD477A" w:rsidRDefault="00E82C09" w:rsidP="00E7290C">
      <w:pPr>
        <w:pStyle w:val="Bullet1"/>
        <w:keepNext/>
        <w:ind w:left="0" w:firstLine="0"/>
        <w:rPr>
          <w:rStyle w:val="BodyTextChar"/>
          <w:rFonts w:cs="Calibri"/>
        </w:rPr>
      </w:pPr>
      <w:r w:rsidRPr="00DD477A">
        <w:rPr>
          <w:rStyle w:val="BodyTextChar"/>
          <w:rFonts w:cs="Calibri"/>
        </w:rPr>
        <w:t>describe an entity’s outcome statement(s)</w:t>
      </w:r>
      <w:r w:rsidR="53BF0693" w:rsidRPr="00DD477A">
        <w:rPr>
          <w:rStyle w:val="BodyTextChar"/>
          <w:rFonts w:cs="Calibri"/>
        </w:rPr>
        <w:t>in a strategic, relevant and concise manner,</w:t>
      </w:r>
      <w:r w:rsidR="00701205" w:rsidRPr="00DD477A">
        <w:rPr>
          <w:rStyle w:val="BodyTextChar"/>
          <w:rFonts w:cs="Calibri"/>
        </w:rPr>
        <w:t xml:space="preserve"> </w:t>
      </w:r>
      <w:r w:rsidR="00C11487" w:rsidRPr="00DD477A">
        <w:rPr>
          <w:rStyle w:val="BodyTextChar"/>
          <w:rFonts w:cs="Calibri"/>
        </w:rPr>
        <w:t>by</w:t>
      </w:r>
      <w:r w:rsidR="00347C35" w:rsidRPr="00DD477A">
        <w:rPr>
          <w:rStyle w:val="BodyTextChar"/>
          <w:rFonts w:cs="Calibri"/>
        </w:rPr>
        <w:t xml:space="preserve"> outlin</w:t>
      </w:r>
      <w:r w:rsidR="00C11487" w:rsidRPr="00DD477A">
        <w:rPr>
          <w:rStyle w:val="BodyTextChar"/>
          <w:rFonts w:cs="Calibri"/>
        </w:rPr>
        <w:t>ing</w:t>
      </w:r>
      <w:r w:rsidR="00347C35" w:rsidRPr="00DD477A">
        <w:rPr>
          <w:rStyle w:val="BodyTextChar"/>
          <w:rFonts w:cs="Calibri"/>
        </w:rPr>
        <w:t xml:space="preserve"> the</w:t>
      </w:r>
      <w:r w:rsidR="00A20AF1" w:rsidRPr="00DD477A">
        <w:rPr>
          <w:rStyle w:val="BodyTextChar"/>
          <w:rFonts w:cs="Calibri"/>
        </w:rPr>
        <w:t>:</w:t>
      </w:r>
    </w:p>
    <w:p w14:paraId="66D397B9" w14:textId="242A8CEC" w:rsidR="00CC5BB0" w:rsidRPr="00DD477A" w:rsidRDefault="53BF0693" w:rsidP="00701205">
      <w:pPr>
        <w:pStyle w:val="Bullet2"/>
        <w:rPr>
          <w:rStyle w:val="BodyTextChar"/>
          <w:rFonts w:cs="Calibri"/>
        </w:rPr>
      </w:pPr>
      <w:r w:rsidRPr="00DD477A">
        <w:rPr>
          <w:rStyle w:val="BodyTextChar"/>
          <w:rFonts w:cs="Calibri"/>
        </w:rPr>
        <w:t>broad strategies the entity intends to adopt to achieve these outcomes</w:t>
      </w:r>
    </w:p>
    <w:p w14:paraId="184F9280" w14:textId="59E4834B" w:rsidR="00183215" w:rsidRPr="00DD477A" w:rsidRDefault="53BF0693" w:rsidP="00701205">
      <w:pPr>
        <w:pStyle w:val="Bullet2"/>
        <w:rPr>
          <w:rStyle w:val="BodyTextChar"/>
          <w:rFonts w:cs="Calibri"/>
        </w:rPr>
      </w:pPr>
      <w:r w:rsidRPr="00DD477A">
        <w:rPr>
          <w:rStyle w:val="BodyTextChar"/>
          <w:rFonts w:cs="Calibri"/>
        </w:rPr>
        <w:t>planned results and goals to be achieved</w:t>
      </w:r>
      <w:r w:rsidR="009A2C71" w:rsidRPr="00DD477A">
        <w:rPr>
          <w:rStyle w:val="BodyTextChar"/>
          <w:rFonts w:cs="Calibri"/>
        </w:rPr>
        <w:t xml:space="preserve"> and</w:t>
      </w:r>
    </w:p>
    <w:p w14:paraId="799D39F4" w14:textId="1729A4D7" w:rsidR="00FA0945" w:rsidRPr="00DD477A" w:rsidRDefault="00BC1EFB" w:rsidP="00701205">
      <w:pPr>
        <w:pStyle w:val="Bullet2"/>
        <w:rPr>
          <w:rStyle w:val="BodyTextChar"/>
          <w:rFonts w:cs="Calibri"/>
        </w:rPr>
      </w:pPr>
      <w:r w:rsidRPr="00DD477A">
        <w:rPr>
          <w:rStyle w:val="BodyTextChar"/>
          <w:rFonts w:cs="Calibri"/>
        </w:rPr>
        <w:t>way</w:t>
      </w:r>
      <w:r w:rsidR="53BF0693" w:rsidRPr="00DD477A">
        <w:rPr>
          <w:rStyle w:val="BodyTextChar"/>
          <w:rFonts w:cs="Calibri"/>
        </w:rPr>
        <w:t xml:space="preserve"> these outcome statements contribute to the achievement of whole-of-government strategic priorities and outcomes. </w:t>
      </w:r>
    </w:p>
    <w:p w14:paraId="6D63093B" w14:textId="16983ABF" w:rsidR="002C1E1B" w:rsidRPr="00DD477A" w:rsidRDefault="00C82252" w:rsidP="53BF0693">
      <w:pPr>
        <w:rPr>
          <w:rStyle w:val="BodyTextChar"/>
          <w:rFonts w:cs="Calibri"/>
        </w:rPr>
      </w:pPr>
      <w:r w:rsidRPr="00DD477A">
        <w:rPr>
          <w:rStyle w:val="BodyTextChar"/>
          <w:rFonts w:cs="Calibri"/>
        </w:rPr>
        <w:t xml:space="preserve">More </w:t>
      </w:r>
      <w:r w:rsidR="53BF0693" w:rsidRPr="00DD477A">
        <w:rPr>
          <w:rStyle w:val="BodyTextChar"/>
          <w:rFonts w:cs="Calibri"/>
        </w:rPr>
        <w:t>detailed discussion of operational issues can be covered in the entity’s corporate plan or on its website, which should be cross-referenced in this section.</w:t>
      </w:r>
    </w:p>
    <w:p w14:paraId="0B66161F" w14:textId="008F092A" w:rsidR="00926CBF" w:rsidRPr="00DD477A" w:rsidRDefault="53BF0693" w:rsidP="00E548A0">
      <w:pPr>
        <w:pStyle w:val="Heading2"/>
      </w:pPr>
      <w:bookmarkStart w:id="756" w:name="_Toc411852677"/>
      <w:bookmarkStart w:id="757" w:name="_Toc534382557"/>
      <w:bookmarkStart w:id="758" w:name="_Toc63347700"/>
      <w:bookmarkStart w:id="759" w:name="_Toc160715547"/>
      <w:r w:rsidRPr="00DD477A">
        <w:t>Entity resource statement</w:t>
      </w:r>
      <w:bookmarkEnd w:id="756"/>
      <w:bookmarkEnd w:id="757"/>
      <w:bookmarkEnd w:id="758"/>
      <w:bookmarkEnd w:id="759"/>
    </w:p>
    <w:p w14:paraId="3ED4635E" w14:textId="64DC4A40" w:rsidR="00B54712" w:rsidRPr="00DD477A" w:rsidRDefault="53BF0693" w:rsidP="53BF0693">
      <w:pPr>
        <w:rPr>
          <w:rStyle w:val="BodyTextChar"/>
          <w:rFonts w:cs="Calibri"/>
        </w:rPr>
      </w:pPr>
      <w:r w:rsidRPr="00DD477A">
        <w:rPr>
          <w:rStyle w:val="BodyTextChar"/>
          <w:rFonts w:cs="Calibri"/>
        </w:rPr>
        <w:t>The Entity resource statement summar</w:t>
      </w:r>
      <w:r w:rsidR="00830E63" w:rsidRPr="00DD477A">
        <w:rPr>
          <w:rStyle w:val="BodyTextChar"/>
          <w:rFonts w:cs="Calibri"/>
        </w:rPr>
        <w:t xml:space="preserve">ises </w:t>
      </w:r>
      <w:r w:rsidRPr="00DD477A">
        <w:rPr>
          <w:rStyle w:val="BodyTextChar"/>
          <w:rFonts w:cs="Calibri"/>
        </w:rPr>
        <w:t xml:space="preserve">all resources available to the entity </w:t>
      </w:r>
      <w:r w:rsidR="00BC665A" w:rsidRPr="00DD477A">
        <w:rPr>
          <w:rStyle w:val="BodyTextChar"/>
          <w:rFonts w:cs="Calibri"/>
        </w:rPr>
        <w:t>in</w:t>
      </w:r>
      <w:r w:rsidRPr="00DD477A">
        <w:rPr>
          <w:rStyle w:val="BodyTextChar"/>
          <w:rFonts w:cs="Calibri"/>
        </w:rPr>
        <w:t xml:space="preserve"> the budget year which may </w:t>
      </w:r>
      <w:r w:rsidR="00B415C2" w:rsidRPr="00DD477A">
        <w:rPr>
          <w:rStyle w:val="BodyTextChar"/>
          <w:rFonts w:cs="Calibri"/>
        </w:rPr>
        <w:t xml:space="preserve">be </w:t>
      </w:r>
      <w:r w:rsidRPr="00DD477A">
        <w:rPr>
          <w:rStyle w:val="BodyTextChar"/>
          <w:rFonts w:cs="Calibri"/>
        </w:rPr>
        <w:t>draw</w:t>
      </w:r>
      <w:r w:rsidR="00B415C2" w:rsidRPr="00DD477A">
        <w:rPr>
          <w:rStyle w:val="BodyTextChar"/>
          <w:rFonts w:cs="Calibri"/>
        </w:rPr>
        <w:t>n</w:t>
      </w:r>
      <w:r w:rsidRPr="00DD477A">
        <w:rPr>
          <w:rStyle w:val="BodyTextChar"/>
          <w:rFonts w:cs="Calibri"/>
        </w:rPr>
        <w:t xml:space="preserve"> upon </w:t>
      </w:r>
      <w:r w:rsidR="00B415C2" w:rsidRPr="00DD477A">
        <w:rPr>
          <w:rStyle w:val="BodyTextChar"/>
          <w:rFonts w:cs="Calibri"/>
        </w:rPr>
        <w:t>to</w:t>
      </w:r>
      <w:r w:rsidRPr="00DD477A">
        <w:rPr>
          <w:rStyle w:val="BodyTextChar"/>
          <w:rFonts w:cs="Calibri"/>
        </w:rPr>
        <w:t xml:space="preserve"> achiev</w:t>
      </w:r>
      <w:r w:rsidR="00B415C2" w:rsidRPr="00DD477A">
        <w:rPr>
          <w:rStyle w:val="BodyTextChar"/>
          <w:rFonts w:cs="Calibri"/>
        </w:rPr>
        <w:t>e</w:t>
      </w:r>
      <w:r w:rsidRPr="00DD477A">
        <w:rPr>
          <w:rStyle w:val="BodyTextChar"/>
          <w:rFonts w:cs="Calibri"/>
        </w:rPr>
        <w:t xml:space="preserve"> government outcomes and objectives. This table </w:t>
      </w:r>
      <w:r w:rsidR="00FF7E84" w:rsidRPr="00DD477A">
        <w:rPr>
          <w:rStyle w:val="BodyTextChar"/>
          <w:rFonts w:cs="Calibri"/>
        </w:rPr>
        <w:t xml:space="preserve">provides a breakdown of these resources by funding source and </w:t>
      </w:r>
      <w:r w:rsidRPr="00DD477A">
        <w:rPr>
          <w:rStyle w:val="BodyTextChar"/>
          <w:rFonts w:cs="Calibri"/>
        </w:rPr>
        <w:t>is to be prepared on a</w:t>
      </w:r>
      <w:r w:rsidRPr="00DD477A">
        <w:rPr>
          <w:rStyle w:val="BodyTextChar"/>
          <w:rFonts w:cs="Calibri"/>
          <w:b/>
          <w:bCs/>
        </w:rPr>
        <w:t xml:space="preserve"> </w:t>
      </w:r>
      <w:r w:rsidRPr="00DD477A">
        <w:rPr>
          <w:rStyle w:val="BodyTextChar"/>
          <w:rFonts w:cs="Calibri"/>
        </w:rPr>
        <w:t>resourcing (i.e.</w:t>
      </w:r>
      <w:r w:rsidR="7F647119" w:rsidRPr="00DD477A">
        <w:rPr>
          <w:rStyle w:val="BodyTextChar"/>
          <w:rFonts w:cs="Calibri"/>
        </w:rPr>
        <w:t>,</w:t>
      </w:r>
      <w:r w:rsidRPr="00DD477A">
        <w:rPr>
          <w:rStyle w:val="BodyTextChar"/>
          <w:rFonts w:cs="Calibri"/>
        </w:rPr>
        <w:t xml:space="preserve"> appropriations/cash available) basis.</w:t>
      </w:r>
    </w:p>
    <w:p w14:paraId="74F4E124" w14:textId="777C6CD5" w:rsidR="002B27EC" w:rsidRPr="00DD477A" w:rsidRDefault="53BF0693" w:rsidP="53BF0693">
      <w:pPr>
        <w:rPr>
          <w:rStyle w:val="BodyTextChar"/>
          <w:rFonts w:cs="Calibri"/>
        </w:rPr>
      </w:pPr>
      <w:r w:rsidRPr="00DD477A">
        <w:rPr>
          <w:rStyle w:val="BodyTextChar"/>
          <w:rFonts w:cs="Calibri"/>
        </w:rPr>
        <w:t>The Entity resource statement includes undrawn and unspent amounts from prior years as well as the balances of special accounts</w:t>
      </w:r>
      <w:r w:rsidR="008D1024" w:rsidRPr="00DD477A">
        <w:rPr>
          <w:rStyle w:val="BodyTextChar"/>
          <w:rFonts w:cs="Calibri"/>
        </w:rPr>
        <w:t xml:space="preserve"> </w:t>
      </w:r>
      <w:r w:rsidRPr="00DD477A">
        <w:rPr>
          <w:rStyle w:val="BodyTextChar"/>
          <w:rFonts w:cs="Calibri"/>
        </w:rPr>
        <w:t>but</w:t>
      </w:r>
      <w:r w:rsidR="000E2AAE" w:rsidRPr="00DD477A">
        <w:rPr>
          <w:rStyle w:val="BodyTextChar"/>
          <w:rFonts w:cs="Calibri"/>
        </w:rPr>
        <w:t>,</w:t>
      </w:r>
      <w:r w:rsidRPr="00DD477A">
        <w:rPr>
          <w:rStyle w:val="BodyTextChar"/>
          <w:rFonts w:cs="Calibri"/>
        </w:rPr>
        <w:t xml:space="preserve"> </w:t>
      </w:r>
      <w:r w:rsidRPr="00DD477A">
        <w:rPr>
          <w:rStyle w:val="BodyTextChar"/>
          <w:rFonts w:cs="Calibri"/>
          <w:bCs/>
        </w:rPr>
        <w:t>excludes</w:t>
      </w:r>
      <w:r w:rsidRPr="00DD477A">
        <w:rPr>
          <w:rStyle w:val="BodyTextChar"/>
          <w:rFonts w:cs="Calibri"/>
        </w:rPr>
        <w:t xml:space="preserve"> amounts subject to </w:t>
      </w:r>
      <w:r w:rsidR="008D1024" w:rsidRPr="00DD477A">
        <w:rPr>
          <w:rStyle w:val="BodyTextChar"/>
          <w:rFonts w:cs="Calibri"/>
        </w:rPr>
        <w:t>administrati</w:t>
      </w:r>
      <w:r w:rsidR="00F60CA4" w:rsidRPr="00DD477A">
        <w:rPr>
          <w:rStyle w:val="BodyTextChar"/>
          <w:rFonts w:cs="Calibri"/>
        </w:rPr>
        <w:t>ve</w:t>
      </w:r>
      <w:r w:rsidR="008D1024" w:rsidRPr="00DD477A">
        <w:rPr>
          <w:rStyle w:val="BodyTextChar"/>
          <w:rFonts w:cs="Calibri"/>
        </w:rPr>
        <w:t xml:space="preserve"> </w:t>
      </w:r>
      <w:r w:rsidRPr="00DD477A">
        <w:rPr>
          <w:rStyle w:val="BodyTextChar"/>
          <w:rFonts w:cs="Calibri"/>
        </w:rPr>
        <w:t xml:space="preserve">quarantine or </w:t>
      </w:r>
      <w:r w:rsidR="008D1024" w:rsidRPr="00DD477A">
        <w:rPr>
          <w:rStyle w:val="BodyTextChar"/>
          <w:rFonts w:cs="Calibri"/>
        </w:rPr>
        <w:t xml:space="preserve">formal </w:t>
      </w:r>
      <w:r w:rsidRPr="00DD477A">
        <w:rPr>
          <w:rStyle w:val="BodyTextChar"/>
          <w:rFonts w:cs="Calibri"/>
        </w:rPr>
        <w:t xml:space="preserve">reduction. </w:t>
      </w:r>
    </w:p>
    <w:p w14:paraId="716E13AB" w14:textId="58D3DE44" w:rsidR="00B54712" w:rsidRPr="00DD477A" w:rsidRDefault="6B6EE5C4" w:rsidP="6B6EE5C4">
      <w:pPr>
        <w:rPr>
          <w:rStyle w:val="BodyTextChar"/>
          <w:rFonts w:cs="Calibri"/>
        </w:rPr>
      </w:pPr>
      <w:r w:rsidRPr="00DD477A">
        <w:rPr>
          <w:rStyle w:val="BodyTextChar"/>
          <w:rFonts w:cs="Calibri"/>
        </w:rPr>
        <w:t>A total estimate of ASL for the entity is also provided – this total should equal the ASL figures published for each outcome in Table 2.X.1</w:t>
      </w:r>
      <w:r w:rsidR="008D1024" w:rsidRPr="00DD477A">
        <w:rPr>
          <w:rStyle w:val="BodyTextChar"/>
          <w:rFonts w:cs="Calibri"/>
        </w:rPr>
        <w:t>, and match those to be published in BP</w:t>
      </w:r>
      <w:r w:rsidR="00335280" w:rsidRPr="00DD477A">
        <w:rPr>
          <w:rStyle w:val="BodyTextChar"/>
          <w:rFonts w:cs="Calibri"/>
        </w:rPr>
        <w:t xml:space="preserve"> No.</w:t>
      </w:r>
      <w:r w:rsidR="008D1024" w:rsidRPr="00DD477A">
        <w:rPr>
          <w:rStyle w:val="BodyTextChar"/>
          <w:rFonts w:cs="Calibri"/>
        </w:rPr>
        <w:t xml:space="preserve"> 4</w:t>
      </w:r>
      <w:r w:rsidRPr="00DD477A">
        <w:rPr>
          <w:rStyle w:val="BodyTextChar"/>
          <w:rFonts w:cs="Calibri"/>
        </w:rPr>
        <w:t>.</w:t>
      </w:r>
    </w:p>
    <w:p w14:paraId="3655EF57" w14:textId="2E588B77" w:rsidR="00B37817" w:rsidRPr="00DD477A" w:rsidRDefault="53BF0693" w:rsidP="00F611EB">
      <w:pPr>
        <w:rPr>
          <w:rStyle w:val="BodyTextChar"/>
          <w:rFonts w:eastAsiaTheme="majorEastAsia" w:cs="Calibri"/>
          <w:bCs/>
        </w:rPr>
      </w:pPr>
      <w:r w:rsidRPr="00DD477A">
        <w:rPr>
          <w:rStyle w:val="BodyTextChar"/>
          <w:rFonts w:cs="Calibri"/>
        </w:rPr>
        <w:t xml:space="preserve">Entities with special accounts should ensure amounts transferred between special accounts and other appropriation sources </w:t>
      </w:r>
      <w:r w:rsidRPr="00DD477A">
        <w:rPr>
          <w:rStyle w:val="BodyTextChar"/>
          <w:rFonts w:cs="Calibri"/>
          <w:bCs/>
        </w:rPr>
        <w:t>are netted</w:t>
      </w:r>
      <w:r w:rsidRPr="00DD477A">
        <w:rPr>
          <w:rStyle w:val="BodyTextChar"/>
          <w:rFonts w:cs="Calibri"/>
        </w:rPr>
        <w:t xml:space="preserve"> off so the appropriations are not double counted. </w:t>
      </w:r>
    </w:p>
    <w:p w14:paraId="1CC6AF65" w14:textId="0729CA90" w:rsidR="00320843" w:rsidRPr="00DD477A" w:rsidRDefault="00320843" w:rsidP="00E548A0">
      <w:pPr>
        <w:pStyle w:val="Heading2"/>
      </w:pPr>
      <w:bookmarkStart w:id="760" w:name="_Toc61875005"/>
      <w:bookmarkStart w:id="761" w:name="_Toc62648857"/>
      <w:bookmarkStart w:id="762" w:name="_Toc61875006"/>
      <w:bookmarkStart w:id="763" w:name="_Toc62648858"/>
      <w:bookmarkStart w:id="764" w:name="_Toc128665480"/>
      <w:bookmarkStart w:id="765" w:name="_Toc129015716"/>
      <w:bookmarkStart w:id="766" w:name="_Toc129017871"/>
      <w:bookmarkStart w:id="767" w:name="_Toc129163680"/>
      <w:bookmarkStart w:id="768" w:name="_Toc129166923"/>
      <w:bookmarkStart w:id="769" w:name="_Toc160715548"/>
      <w:bookmarkEnd w:id="760"/>
      <w:bookmarkEnd w:id="761"/>
      <w:bookmarkEnd w:id="762"/>
      <w:bookmarkEnd w:id="763"/>
      <w:bookmarkEnd w:id="764"/>
      <w:bookmarkEnd w:id="765"/>
      <w:bookmarkEnd w:id="766"/>
      <w:bookmarkEnd w:id="767"/>
      <w:bookmarkEnd w:id="768"/>
      <w:r w:rsidRPr="00DD477A">
        <w:t>Payments to the states</w:t>
      </w:r>
      <w:bookmarkEnd w:id="769"/>
    </w:p>
    <w:p w14:paraId="30A95A87" w14:textId="3952F470" w:rsidR="00B54712" w:rsidRPr="00DD477A" w:rsidRDefault="6B6EE5C4" w:rsidP="000A7DEC">
      <w:pPr>
        <w:rPr>
          <w:rFonts w:cs="Calibri"/>
        </w:rPr>
      </w:pPr>
      <w:r w:rsidRPr="00DD477A">
        <w:rPr>
          <w:rFonts w:cs="Calibri"/>
        </w:rPr>
        <w:t xml:space="preserve">Entities receiving appropriations, through </w:t>
      </w:r>
      <w:r w:rsidRPr="00DD477A">
        <w:rPr>
          <w:rFonts w:cs="Calibri"/>
          <w:iCs/>
        </w:rPr>
        <w:t xml:space="preserve">Appropriation Bill (No. 2) </w:t>
      </w:r>
      <w:r w:rsidR="00B11749" w:rsidRPr="00DD477A">
        <w:rPr>
          <w:rFonts w:cs="Calibri"/>
          <w:iCs/>
        </w:rPr>
        <w:t>202</w:t>
      </w:r>
      <w:r w:rsidR="00D27315" w:rsidRPr="00DD477A">
        <w:rPr>
          <w:rFonts w:cs="Calibri"/>
          <w:iCs/>
        </w:rPr>
        <w:t>4</w:t>
      </w:r>
      <w:r w:rsidR="00B11749" w:rsidRPr="00DD477A">
        <w:rPr>
          <w:rFonts w:cs="Calibri"/>
          <w:iCs/>
        </w:rPr>
        <w:t>-</w:t>
      </w:r>
      <w:r w:rsidR="00C6094C" w:rsidRPr="00DD477A">
        <w:rPr>
          <w:rFonts w:cs="Calibri"/>
          <w:iCs/>
        </w:rPr>
        <w:t>20</w:t>
      </w:r>
      <w:r w:rsidR="00B11749" w:rsidRPr="00DD477A">
        <w:rPr>
          <w:rFonts w:cs="Calibri"/>
          <w:iCs/>
        </w:rPr>
        <w:t>2</w:t>
      </w:r>
      <w:r w:rsidR="00D27315" w:rsidRPr="00DD477A">
        <w:rPr>
          <w:rFonts w:cs="Calibri"/>
          <w:iCs/>
        </w:rPr>
        <w:t>5</w:t>
      </w:r>
      <w:r w:rsidRPr="00DD477A">
        <w:rPr>
          <w:rFonts w:cs="Calibri"/>
        </w:rPr>
        <w:t xml:space="preserve">, for payments to States, Territories and local government, </w:t>
      </w:r>
      <w:r w:rsidRPr="00DD477A">
        <w:rPr>
          <w:rFonts w:cs="Calibri"/>
          <w:b/>
          <w:bCs/>
        </w:rPr>
        <w:t>must</w:t>
      </w:r>
      <w:r w:rsidRPr="00DD477A">
        <w:rPr>
          <w:rFonts w:cs="Calibri"/>
        </w:rPr>
        <w:t xml:space="preserve"> include additional information in a footnote to </w:t>
      </w:r>
      <w:r w:rsidR="00C90976" w:rsidRPr="00DD477A">
        <w:rPr>
          <w:rFonts w:cs="Calibri"/>
        </w:rPr>
        <w:t>T</w:t>
      </w:r>
      <w:r w:rsidR="00200055" w:rsidRPr="00DD477A">
        <w:rPr>
          <w:rFonts w:cs="Calibri"/>
        </w:rPr>
        <w:t>able </w:t>
      </w:r>
      <w:r w:rsidRPr="00DD477A">
        <w:rPr>
          <w:rFonts w:cs="Calibri"/>
        </w:rPr>
        <w:t>1.1. The note only applies for the current year appropriation and not prior year comparisons.</w:t>
      </w:r>
    </w:p>
    <w:p w14:paraId="11D445E6" w14:textId="71C04ADD" w:rsidR="00714B5A" w:rsidRPr="00DD477A" w:rsidRDefault="53BF0693" w:rsidP="000A7DEC">
      <w:pPr>
        <w:rPr>
          <w:rFonts w:cs="Calibri"/>
        </w:rPr>
      </w:pPr>
      <w:r w:rsidRPr="00DD477A">
        <w:rPr>
          <w:rFonts w:cs="Calibri"/>
        </w:rPr>
        <w:t xml:space="preserve">Footnote (l) in Table 1.1 </w:t>
      </w:r>
      <w:r w:rsidRPr="00DD477A">
        <w:rPr>
          <w:rFonts w:cs="Calibri"/>
          <w:b/>
          <w:bCs/>
        </w:rPr>
        <w:t>must</w:t>
      </w:r>
      <w:r w:rsidRPr="00DD477A">
        <w:rPr>
          <w:rFonts w:cs="Calibri"/>
        </w:rPr>
        <w:t xml:space="preserve"> include</w:t>
      </w:r>
      <w:r w:rsidR="00642149" w:rsidRPr="00DD477A">
        <w:rPr>
          <w:rFonts w:cs="Calibri"/>
        </w:rPr>
        <w:t>:</w:t>
      </w:r>
    </w:p>
    <w:p w14:paraId="1F4BCD64" w14:textId="31CCACD7" w:rsidR="00642149" w:rsidRPr="00DD477A" w:rsidRDefault="53BF0693" w:rsidP="00A85E0D">
      <w:pPr>
        <w:pStyle w:val="Bullet1"/>
      </w:pPr>
      <w:r w:rsidRPr="00DD477A">
        <w:lastRenderedPageBreak/>
        <w:t xml:space="preserve">the particular purposes </w:t>
      </w:r>
      <w:r w:rsidR="004D5D21" w:rsidRPr="00DD477A">
        <w:t xml:space="preserve">for </w:t>
      </w:r>
      <w:r w:rsidRPr="00DD477A">
        <w:t xml:space="preserve">the payments to the States, </w:t>
      </w:r>
      <w:r w:rsidR="00387355" w:rsidRPr="00DD477A">
        <w:t>Territories</w:t>
      </w:r>
      <w:r w:rsidRPr="00DD477A">
        <w:t xml:space="preserve"> and local government</w:t>
      </w:r>
      <w:r w:rsidR="007104F5" w:rsidRPr="00DD477A">
        <w:t>s</w:t>
      </w:r>
      <w:r w:rsidRPr="00DD477A">
        <w:t xml:space="preserve"> </w:t>
      </w:r>
    </w:p>
    <w:p w14:paraId="1782D2D2" w14:textId="3429EA0F" w:rsidR="00642149" w:rsidRPr="00DD477A" w:rsidRDefault="53BF0693" w:rsidP="00A85E0D">
      <w:pPr>
        <w:pStyle w:val="Bullet1"/>
      </w:pPr>
      <w:r w:rsidRPr="00DD477A">
        <w:t>a breakdown of proposed amounts by State</w:t>
      </w:r>
      <w:r w:rsidR="00200055" w:rsidRPr="00DD477A">
        <w:t xml:space="preserve"> and/or </w:t>
      </w:r>
      <w:r w:rsidRPr="00DD477A">
        <w:t>Territory)</w:t>
      </w:r>
      <w:r w:rsidR="00740CF9" w:rsidRPr="00DD477A">
        <w:t xml:space="preserve"> </w:t>
      </w:r>
    </w:p>
    <w:p w14:paraId="0BE34958" w14:textId="69EC9E01" w:rsidR="00926D45" w:rsidRPr="00DD477A" w:rsidRDefault="00903AB4" w:rsidP="00A85E0D">
      <w:pPr>
        <w:pStyle w:val="Bullet1"/>
      </w:pPr>
      <w:r w:rsidRPr="00DD477A">
        <w:t>i</w:t>
      </w:r>
      <w:r w:rsidR="004E28C0" w:rsidRPr="00DD477A">
        <w:t xml:space="preserve">nformation on </w:t>
      </w:r>
      <w:r w:rsidR="001D07E5" w:rsidRPr="00DD477A">
        <w:t xml:space="preserve">where to locate </w:t>
      </w:r>
      <w:r w:rsidR="00AD2D7D" w:rsidRPr="00DD477A">
        <w:t>the</w:t>
      </w:r>
      <w:r w:rsidR="53BF0693" w:rsidRPr="00DD477A">
        <w:t xml:space="preserve"> terms and conditions and the program guidelines and</w:t>
      </w:r>
    </w:p>
    <w:p w14:paraId="1D89AA93" w14:textId="603E91DA" w:rsidR="00926D45" w:rsidRPr="00DD477A" w:rsidRDefault="53BF0693" w:rsidP="00A85E0D">
      <w:pPr>
        <w:pStyle w:val="Bullet1"/>
      </w:pPr>
      <w:r w:rsidRPr="00DD477A">
        <w:t xml:space="preserve"> </w:t>
      </w:r>
      <w:r w:rsidR="00926D45" w:rsidRPr="00DD477A">
        <w:t>the statutory or other provisions under which the terms and conditions are made.</w:t>
      </w:r>
    </w:p>
    <w:p w14:paraId="26FABE20" w14:textId="2B86558E" w:rsidR="00A368E7" w:rsidRPr="00DD477A" w:rsidRDefault="53BF0693" w:rsidP="000A7DEC">
      <w:pPr>
        <w:rPr>
          <w:rFonts w:cs="Calibri"/>
        </w:rPr>
      </w:pPr>
      <w:r w:rsidRPr="00DD477A">
        <w:rPr>
          <w:rFonts w:cs="Calibri"/>
        </w:rPr>
        <w:t>An example is provided below.</w:t>
      </w:r>
    </w:p>
    <w:p w14:paraId="7154D9D2" w14:textId="4AC6A3A7" w:rsidR="00594DF7" w:rsidRPr="00DD477A" w:rsidRDefault="6B6EE5C4" w:rsidP="00A85E0D">
      <w:pPr>
        <w:pStyle w:val="Boxed2Text"/>
        <w:keepLines/>
        <w:spacing w:before="0" w:line="240" w:lineRule="auto"/>
        <w:rPr>
          <w:rStyle w:val="BodyTextChar"/>
          <w:rFonts w:cs="Calibri"/>
          <w:szCs w:val="28"/>
        </w:rPr>
      </w:pPr>
      <w:r w:rsidRPr="00DD477A">
        <w:rPr>
          <w:rStyle w:val="BodyTextChar"/>
          <w:rFonts w:cs="Calibri"/>
        </w:rPr>
        <w:t xml:space="preserve">(l) </w:t>
      </w:r>
      <w:r w:rsidR="00594DF7" w:rsidRPr="00DD477A">
        <w:rPr>
          <w:rStyle w:val="BodyTextChar"/>
          <w:rFonts w:cs="Calibri"/>
        </w:rPr>
        <w:t>Relates to appropriations sought for payment</w:t>
      </w:r>
      <w:r w:rsidR="00DA0EBC" w:rsidRPr="00DD477A">
        <w:rPr>
          <w:rStyle w:val="BodyTextChar"/>
          <w:rFonts w:cs="Calibri"/>
        </w:rPr>
        <w:t>s</w:t>
      </w:r>
      <w:r w:rsidR="00594DF7" w:rsidRPr="00DD477A">
        <w:rPr>
          <w:rStyle w:val="BodyTextChar"/>
          <w:rFonts w:cs="Calibri"/>
        </w:rPr>
        <w:t xml:space="preserve"> to the States, Territories and local government in </w:t>
      </w:r>
      <w:r w:rsidR="00594DF7" w:rsidRPr="00DD477A">
        <w:rPr>
          <w:rStyle w:val="BodyTextChar"/>
          <w:rFonts w:cs="Calibri"/>
          <w:iCs/>
        </w:rPr>
        <w:t>Appropriation Bill (No.</w:t>
      </w:r>
      <w:r w:rsidR="002C5521" w:rsidRPr="00DD477A">
        <w:rPr>
          <w:rStyle w:val="BodyTextChar"/>
          <w:rFonts w:cs="Calibri"/>
          <w:iCs/>
        </w:rPr>
        <w:t xml:space="preserve"> </w:t>
      </w:r>
      <w:r w:rsidR="00594DF7" w:rsidRPr="00DD477A">
        <w:rPr>
          <w:rStyle w:val="BodyTextChar"/>
          <w:rFonts w:cs="Calibri"/>
          <w:iCs/>
        </w:rPr>
        <w:t xml:space="preserve">2) </w:t>
      </w:r>
      <w:r w:rsidR="00D04BDF" w:rsidRPr="00DD477A">
        <w:rPr>
          <w:rStyle w:val="BodyTextChar"/>
          <w:rFonts w:cs="Calibri"/>
          <w:iCs/>
        </w:rPr>
        <w:t>2024</w:t>
      </w:r>
      <w:r w:rsidR="00B11749" w:rsidRPr="00DD477A">
        <w:rPr>
          <w:rStyle w:val="BodyTextChar"/>
          <w:rFonts w:cs="Calibri"/>
          <w:iCs/>
        </w:rPr>
        <w:t>-</w:t>
      </w:r>
      <w:r w:rsidR="00D04BDF" w:rsidRPr="00DD477A">
        <w:rPr>
          <w:rStyle w:val="BodyTextChar"/>
          <w:rFonts w:cs="Calibri"/>
          <w:iCs/>
        </w:rPr>
        <w:t>2025</w:t>
      </w:r>
      <w:r w:rsidR="00594DF7" w:rsidRPr="00DD477A">
        <w:rPr>
          <w:rStyle w:val="BodyTextChar"/>
          <w:rFonts w:cs="Calibri"/>
        </w:rPr>
        <w:t xml:space="preserve">. Outcome 1 - Program 1.2: Children and Schooling includes the National Partnership on Northern Territory Remote Aboriginal Investment (Non-Government Schools) with payments of $3.6 million to the Northern Territory in </w:t>
      </w:r>
      <w:r w:rsidR="00D04BDF" w:rsidRPr="00DD477A">
        <w:rPr>
          <w:rStyle w:val="BodyTextChar"/>
          <w:rFonts w:cs="Calibri"/>
        </w:rPr>
        <w:t>2024</w:t>
      </w:r>
      <w:r w:rsidR="00B11749" w:rsidRPr="00DD477A">
        <w:rPr>
          <w:rStyle w:val="BodyTextChar"/>
          <w:rFonts w:cs="Calibri"/>
        </w:rPr>
        <w:t>-</w:t>
      </w:r>
      <w:r w:rsidR="00D04BDF" w:rsidRPr="00DD477A">
        <w:rPr>
          <w:rStyle w:val="BodyTextChar"/>
          <w:rFonts w:cs="Calibri"/>
        </w:rPr>
        <w:t>25</w:t>
      </w:r>
      <w:r w:rsidR="00594DF7" w:rsidRPr="00DD477A">
        <w:rPr>
          <w:rStyle w:val="BodyTextChar"/>
          <w:rFonts w:cs="Calibri"/>
        </w:rPr>
        <w:t xml:space="preserve">. Information on the terms and conditions can be found in the </w:t>
      </w:r>
      <w:hyperlink r:id="rId80" w:history="1">
        <w:r w:rsidR="00D33B8E" w:rsidRPr="00DD477A">
          <w:rPr>
            <w:rStyle w:val="Hyperlink"/>
            <w:rFonts w:eastAsia="Cambria" w:cs="Calibri"/>
          </w:rPr>
          <w:t>National Partnership on Northern Territory remote aboriginal investment</w:t>
        </w:r>
      </w:hyperlink>
      <w:r w:rsidR="00250F9B" w:rsidRPr="00DD477A">
        <w:rPr>
          <w:rStyle w:val="BodyTextChar"/>
          <w:rFonts w:cs="Calibri"/>
        </w:rPr>
        <w:t>.</w:t>
      </w:r>
    </w:p>
    <w:p w14:paraId="0A392542" w14:textId="1309CF1D" w:rsidR="00B54712" w:rsidRPr="00DD477A" w:rsidRDefault="00594DF7" w:rsidP="00A85E0D">
      <w:pPr>
        <w:pStyle w:val="Boxed2Text"/>
        <w:keepLines/>
        <w:spacing w:before="0" w:after="0" w:line="240" w:lineRule="auto"/>
        <w:rPr>
          <w:rFonts w:cs="Calibri"/>
        </w:rPr>
      </w:pPr>
      <w:r w:rsidRPr="00DD477A">
        <w:rPr>
          <w:rStyle w:val="BodyTextChar"/>
          <w:rFonts w:cs="Calibri"/>
        </w:rPr>
        <w:t xml:space="preserve">Terms and conditions are made under authority from section 7(2) of the </w:t>
      </w:r>
      <w:r w:rsidRPr="00DD477A">
        <w:rPr>
          <w:rStyle w:val="BodyTextChar"/>
          <w:rFonts w:cs="Calibri"/>
          <w:i/>
          <w:iCs/>
        </w:rPr>
        <w:t>COAG Reform Fund Act 2008</w:t>
      </w:r>
      <w:r w:rsidRPr="00DD477A">
        <w:rPr>
          <w:rStyle w:val="BodyTextChar"/>
          <w:rFonts w:cs="Calibri"/>
        </w:rPr>
        <w:t xml:space="preserve"> and the Intergovernmental Agreement on Federal Financial Relations.</w:t>
      </w:r>
    </w:p>
    <w:p w14:paraId="25F4078D" w14:textId="4FB81C55" w:rsidR="00DB7808" w:rsidRPr="00DD477A" w:rsidRDefault="00DB7808" w:rsidP="00E548A0">
      <w:pPr>
        <w:pStyle w:val="Heading2"/>
      </w:pPr>
      <w:bookmarkStart w:id="770" w:name="_Toc30405565"/>
      <w:bookmarkStart w:id="771" w:name="_Toc30581306"/>
      <w:bookmarkStart w:id="772" w:name="_Toc32829968"/>
      <w:bookmarkStart w:id="773" w:name="_Toc32917475"/>
      <w:bookmarkStart w:id="774" w:name="_Toc32918281"/>
      <w:bookmarkStart w:id="775" w:name="_Toc32999664"/>
      <w:bookmarkStart w:id="776" w:name="_Toc33099383"/>
      <w:bookmarkStart w:id="777" w:name="_Toc47369876"/>
      <w:bookmarkStart w:id="778" w:name="_Toc47369877"/>
      <w:bookmarkStart w:id="779" w:name="_Toc160715549"/>
      <w:bookmarkEnd w:id="770"/>
      <w:bookmarkEnd w:id="771"/>
      <w:bookmarkEnd w:id="772"/>
      <w:bookmarkEnd w:id="773"/>
      <w:bookmarkEnd w:id="774"/>
      <w:bookmarkEnd w:id="775"/>
      <w:bookmarkEnd w:id="776"/>
      <w:bookmarkEnd w:id="777"/>
      <w:bookmarkEnd w:id="778"/>
      <w:r w:rsidRPr="00DD477A">
        <w:t xml:space="preserve">Additional guidance on cash management reports and </w:t>
      </w:r>
      <w:r w:rsidR="00D87CD3" w:rsidRPr="00DD477A">
        <w:t>A</w:t>
      </w:r>
      <w:r w:rsidRPr="00DD477A">
        <w:t xml:space="preserve">ppropriation </w:t>
      </w:r>
      <w:r w:rsidR="00D87CD3" w:rsidRPr="00DD477A">
        <w:t>B</w:t>
      </w:r>
      <w:r w:rsidRPr="00DD477A">
        <w:t>ills</w:t>
      </w:r>
      <w:bookmarkEnd w:id="779"/>
    </w:p>
    <w:p w14:paraId="1B856E5D" w14:textId="1BECC4E1" w:rsidR="005E0AF6" w:rsidRPr="00DD477A" w:rsidRDefault="005E0AF6" w:rsidP="005E0AF6">
      <w:pPr>
        <w:rPr>
          <w:rFonts w:cs="Calibri"/>
        </w:rPr>
      </w:pPr>
      <w:r w:rsidRPr="00DD477A">
        <w:rPr>
          <w:rStyle w:val="BodyTextChar"/>
          <w:rFonts w:cs="Calibri"/>
        </w:rPr>
        <w:t xml:space="preserve">The appropriation estimates recorded in CBMS in the </w:t>
      </w:r>
      <w:r w:rsidR="0069035D" w:rsidRPr="00DD477A">
        <w:rPr>
          <w:rStyle w:val="BodyTextChar"/>
          <w:rFonts w:cs="Calibri"/>
        </w:rPr>
        <w:t xml:space="preserve">Annual Estimates </w:t>
      </w:r>
      <w:r w:rsidRPr="00DD477A">
        <w:rPr>
          <w:rStyle w:val="BodyTextChar"/>
          <w:rFonts w:cs="Calibri"/>
        </w:rPr>
        <w:t>module are used to create the Appropriation Bills.</w:t>
      </w:r>
    </w:p>
    <w:p w14:paraId="68E79E0E" w14:textId="562B5E9B" w:rsidR="005E0AF6" w:rsidRPr="00DD477A" w:rsidRDefault="005E0AF6" w:rsidP="005E0AF6">
      <w:pPr>
        <w:rPr>
          <w:rStyle w:val="BodyTextChar"/>
          <w:rFonts w:cs="Calibri"/>
        </w:rPr>
      </w:pPr>
      <w:r w:rsidRPr="00DD477A">
        <w:rPr>
          <w:rStyle w:val="BodyTextChar"/>
          <w:rFonts w:cs="Calibri"/>
        </w:rPr>
        <w:t xml:space="preserve">When an Appropriation Bill </w:t>
      </w:r>
      <w:r w:rsidR="0069035D" w:rsidRPr="00DD477A">
        <w:rPr>
          <w:rStyle w:val="BodyTextChar"/>
          <w:rFonts w:cs="Calibri"/>
        </w:rPr>
        <w:t xml:space="preserve">receives </w:t>
      </w:r>
      <w:r w:rsidRPr="00DD477A">
        <w:rPr>
          <w:rStyle w:val="BodyTextChar"/>
          <w:rFonts w:cs="Calibri"/>
        </w:rPr>
        <w:t xml:space="preserve">Royal Assent and becomes an Appropriation Act, the values captured in the </w:t>
      </w:r>
      <w:r w:rsidR="0069035D" w:rsidRPr="00DD477A">
        <w:rPr>
          <w:rStyle w:val="BodyTextChar"/>
          <w:rFonts w:cs="Calibri"/>
        </w:rPr>
        <w:t xml:space="preserve">Annual Estimates </w:t>
      </w:r>
      <w:r w:rsidRPr="00DD477A">
        <w:rPr>
          <w:rStyle w:val="BodyTextChar"/>
          <w:rFonts w:cs="Calibri"/>
        </w:rPr>
        <w:t>module are then used as the Appropriation Limits in the CBMS Cash Management module. Appropriation limits are treated as ‘Hard’ or ‘Soft’ depending on their outcome requirements and/or other legal restrictions.</w:t>
      </w:r>
    </w:p>
    <w:p w14:paraId="18A768BD" w14:textId="4D255F95" w:rsidR="005E0AF6" w:rsidRPr="00DD477A" w:rsidRDefault="005E0AF6" w:rsidP="005E0AF6">
      <w:pPr>
        <w:rPr>
          <w:rStyle w:val="BodyTextChar"/>
          <w:rFonts w:cs="Calibri"/>
        </w:rPr>
      </w:pPr>
      <w:r w:rsidRPr="00DD477A">
        <w:rPr>
          <w:rStyle w:val="BodyTextChar"/>
          <w:rFonts w:cs="Calibri"/>
        </w:rPr>
        <w:t xml:space="preserve">A ‘hard limit’ is a limit that cannot be exceeded with a drawdown because </w:t>
      </w:r>
      <w:r w:rsidR="00E94F06" w:rsidRPr="00DD477A">
        <w:rPr>
          <w:rStyle w:val="BodyTextChar"/>
          <w:rFonts w:cs="Calibri"/>
        </w:rPr>
        <w:t xml:space="preserve">it </w:t>
      </w:r>
      <w:r w:rsidRPr="00DD477A">
        <w:rPr>
          <w:rStyle w:val="BodyTextChar"/>
          <w:rFonts w:cs="Calibri"/>
        </w:rPr>
        <w:t>is a legally appropriated amount, adjusted for changes authorised in law</w:t>
      </w:r>
      <w:r w:rsidR="00E94F06" w:rsidRPr="00DD477A">
        <w:rPr>
          <w:rStyle w:val="BodyTextChar"/>
          <w:rFonts w:cs="Calibri"/>
        </w:rPr>
        <w:t xml:space="preserve">. </w:t>
      </w:r>
      <w:r w:rsidR="002B31DC" w:rsidRPr="00DD477A">
        <w:rPr>
          <w:rStyle w:val="BodyTextChar"/>
          <w:rFonts w:cs="Calibri"/>
        </w:rPr>
        <w:t>Adjustments can include</w:t>
      </w:r>
      <w:r w:rsidRPr="00DD477A">
        <w:rPr>
          <w:rStyle w:val="BodyTextChar"/>
          <w:rFonts w:cs="Calibri"/>
        </w:rPr>
        <w:t xml:space="preserve"> transfers as a result of MoG changes </w:t>
      </w:r>
      <w:r w:rsidR="002B31DC" w:rsidRPr="00DD477A">
        <w:rPr>
          <w:rStyle w:val="BodyTextChar"/>
          <w:rFonts w:cs="Calibri"/>
        </w:rPr>
        <w:t>(</w:t>
      </w:r>
      <w:r w:rsidRPr="00DD477A">
        <w:rPr>
          <w:rStyle w:val="BodyTextChar"/>
          <w:rFonts w:cs="Calibri"/>
        </w:rPr>
        <w:t>under section 75 of the PGPA Act</w:t>
      </w:r>
      <w:r w:rsidR="002B31DC" w:rsidRPr="00DD477A">
        <w:rPr>
          <w:rStyle w:val="BodyTextChar"/>
          <w:rFonts w:cs="Calibri"/>
        </w:rPr>
        <w:t>)</w:t>
      </w:r>
      <w:r w:rsidRPr="00DD477A">
        <w:rPr>
          <w:rStyle w:val="BodyTextChar"/>
          <w:rFonts w:cs="Calibri"/>
        </w:rPr>
        <w:t xml:space="preserve">, external revenue </w:t>
      </w:r>
      <w:r w:rsidR="002B31DC" w:rsidRPr="00DD477A">
        <w:rPr>
          <w:rStyle w:val="BodyTextChar"/>
          <w:rFonts w:cs="Calibri"/>
        </w:rPr>
        <w:t>(</w:t>
      </w:r>
      <w:r w:rsidRPr="00DD477A">
        <w:rPr>
          <w:rStyle w:val="BodyTextChar"/>
          <w:rFonts w:cs="Calibri"/>
        </w:rPr>
        <w:t>under section 74 of the PGPA Act</w:t>
      </w:r>
      <w:r w:rsidR="002B31DC" w:rsidRPr="00DD477A">
        <w:rPr>
          <w:rStyle w:val="BodyTextChar"/>
          <w:rFonts w:cs="Calibri"/>
        </w:rPr>
        <w:t>)</w:t>
      </w:r>
      <w:r w:rsidRPr="00DD477A">
        <w:rPr>
          <w:rStyle w:val="BodyTextChar"/>
          <w:rFonts w:cs="Calibri"/>
        </w:rPr>
        <w:t xml:space="preserve">, </w:t>
      </w:r>
      <w:r w:rsidR="0069035D" w:rsidRPr="00DD477A">
        <w:rPr>
          <w:rStyle w:val="BodyTextChar"/>
          <w:rFonts w:cs="Calibri"/>
        </w:rPr>
        <w:t xml:space="preserve">withholdings </w:t>
      </w:r>
      <w:r w:rsidRPr="00DD477A">
        <w:rPr>
          <w:rStyle w:val="BodyTextChar"/>
          <w:rFonts w:cs="Calibri"/>
        </w:rPr>
        <w:t xml:space="preserve">by the </w:t>
      </w:r>
      <w:r w:rsidR="009C007F" w:rsidRPr="00DD477A">
        <w:rPr>
          <w:rStyle w:val="BodyTextChar"/>
          <w:rFonts w:cs="Calibri"/>
        </w:rPr>
        <w:t>Minister for Finance</w:t>
      </w:r>
      <w:r w:rsidR="0069035D" w:rsidRPr="00DD477A">
        <w:rPr>
          <w:rStyle w:val="BodyTextChar"/>
          <w:rFonts w:cs="Calibri"/>
        </w:rPr>
        <w:t xml:space="preserve"> (under section 51 of the PGPA Act)</w:t>
      </w:r>
      <w:r w:rsidR="009206C0" w:rsidRPr="00DD477A">
        <w:rPr>
          <w:rStyle w:val="BodyTextChar"/>
          <w:rFonts w:cs="Calibri"/>
        </w:rPr>
        <w:t>,</w:t>
      </w:r>
      <w:r w:rsidRPr="00DD477A">
        <w:rPr>
          <w:rStyle w:val="BodyTextChar"/>
          <w:rFonts w:cs="Calibri"/>
        </w:rPr>
        <w:t xml:space="preserve"> or Advances to the Minister for Finance (AFM).</w:t>
      </w:r>
      <w:r w:rsidR="0069035D" w:rsidRPr="00DD477A">
        <w:rPr>
          <w:rStyle w:val="BodyTextChar"/>
          <w:rFonts w:cs="Calibri"/>
        </w:rPr>
        <w:t xml:space="preserve"> Please see</w:t>
      </w:r>
      <w:r w:rsidR="00F35384" w:rsidRPr="00DD477A">
        <w:rPr>
          <w:rStyle w:val="BodyTextChar"/>
          <w:rFonts w:cs="Calibri"/>
        </w:rPr>
        <w:t xml:space="preserve"> </w:t>
      </w:r>
      <w:hyperlink r:id="rId81" w:history="1">
        <w:r w:rsidR="00F35384" w:rsidRPr="00DD477A">
          <w:rPr>
            <w:rStyle w:val="Hyperlink"/>
            <w:rFonts w:eastAsia="Cambria" w:cs="Calibri"/>
          </w:rPr>
          <w:t>section 40 of</w:t>
        </w:r>
        <w:r w:rsidR="0069035D" w:rsidRPr="00DD477A">
          <w:rPr>
            <w:rStyle w:val="Hyperlink"/>
            <w:rFonts w:eastAsia="Cambria" w:cs="Calibri"/>
          </w:rPr>
          <w:t xml:space="preserve"> the PGP</w:t>
        </w:r>
        <w:r w:rsidR="00F35384" w:rsidRPr="00DD477A">
          <w:rPr>
            <w:rStyle w:val="Hyperlink"/>
            <w:rFonts w:eastAsia="Cambria" w:cs="Calibri"/>
          </w:rPr>
          <w:t>A (Financial Reporting) Rule 2015</w:t>
        </w:r>
      </w:hyperlink>
      <w:r w:rsidR="00F35384" w:rsidRPr="00DD477A">
        <w:rPr>
          <w:rStyle w:val="BodyTextChar"/>
          <w:rFonts w:cs="Calibri"/>
        </w:rPr>
        <w:t xml:space="preserve"> </w:t>
      </w:r>
      <w:r w:rsidR="001A0595" w:rsidRPr="00DD477A">
        <w:rPr>
          <w:rStyle w:val="BodyTextChar"/>
          <w:rFonts w:cs="Calibri"/>
        </w:rPr>
        <w:t xml:space="preserve">(FRR) </w:t>
      </w:r>
      <w:r w:rsidR="00F35384" w:rsidRPr="00DD477A">
        <w:rPr>
          <w:rStyle w:val="BodyTextChar"/>
          <w:rFonts w:cs="Calibri"/>
        </w:rPr>
        <w:t xml:space="preserve">and </w:t>
      </w:r>
      <w:hyperlink r:id="rId82" w:history="1">
        <w:r w:rsidR="00F35384" w:rsidRPr="00DD477A">
          <w:rPr>
            <w:rStyle w:val="Hyperlink"/>
            <w:rFonts w:eastAsia="Cambria" w:cs="Calibri"/>
          </w:rPr>
          <w:t xml:space="preserve">RMG 116 </w:t>
        </w:r>
        <w:r w:rsidR="00F35384" w:rsidRPr="00DD477A">
          <w:rPr>
            <w:rStyle w:val="Hyperlink"/>
            <w:rFonts w:cs="Calibri"/>
            <w:i/>
            <w:iCs/>
          </w:rPr>
          <w:t>Accounting for Annual Appropriations</w:t>
        </w:r>
      </w:hyperlink>
      <w:r w:rsidR="00F35384" w:rsidRPr="00DD477A">
        <w:rPr>
          <w:rStyle w:val="BodyTextChar"/>
          <w:rFonts w:cs="Calibri"/>
        </w:rPr>
        <w:t xml:space="preserve"> for information on ‘formal additions’ to appropriations. </w:t>
      </w:r>
    </w:p>
    <w:p w14:paraId="31598DF5" w14:textId="79D2971C" w:rsidR="00894C7E" w:rsidRPr="00DD477A" w:rsidRDefault="00894C7E" w:rsidP="005E0AF6">
      <w:pPr>
        <w:rPr>
          <w:rStyle w:val="BodyTextChar"/>
          <w:rFonts w:cs="Calibri"/>
        </w:rPr>
      </w:pPr>
      <w:r w:rsidRPr="00DD477A">
        <w:rPr>
          <w:rStyle w:val="BodyTextChar"/>
          <w:rFonts w:cs="Calibri"/>
        </w:rPr>
        <w:t>A hard limit is equal to</w:t>
      </w:r>
    </w:p>
    <w:p w14:paraId="6969D27B" w14:textId="36C24A6D" w:rsidR="005E0AF6" w:rsidRPr="00DD477A" w:rsidRDefault="005E0AF6" w:rsidP="00A85E0D">
      <w:pPr>
        <w:pStyle w:val="Bullet1"/>
        <w:rPr>
          <w:rStyle w:val="BodyTextChar"/>
          <w:rFonts w:cs="Calibri"/>
        </w:rPr>
      </w:pPr>
      <w:r w:rsidRPr="00DD477A">
        <w:rPr>
          <w:rStyle w:val="BodyTextChar"/>
          <w:rFonts w:cs="Calibri"/>
        </w:rPr>
        <w:t>the total amount appropriated for the entity</w:t>
      </w:r>
      <w:r w:rsidR="00C15CCF" w:rsidRPr="00DD477A">
        <w:rPr>
          <w:rStyle w:val="BodyTextChar"/>
          <w:rFonts w:cs="Calibri"/>
        </w:rPr>
        <w:t xml:space="preserve"> for departmental appropriations</w:t>
      </w:r>
      <w:r w:rsidR="00F800AE" w:rsidRPr="00DD477A">
        <w:rPr>
          <w:rStyle w:val="BodyTextChar"/>
          <w:rFonts w:cs="Calibri"/>
        </w:rPr>
        <w:t xml:space="preserve"> by item listed in the Appropriation Acts</w:t>
      </w:r>
      <w:r w:rsidR="000919BD" w:rsidRPr="00DD477A">
        <w:rPr>
          <w:rStyle w:val="BodyTextChar"/>
          <w:rFonts w:cs="Calibri"/>
        </w:rPr>
        <w:t xml:space="preserve"> and</w:t>
      </w:r>
    </w:p>
    <w:p w14:paraId="1BBC9EE3" w14:textId="5BADDEAE" w:rsidR="005E0AF6" w:rsidRPr="00DD477A" w:rsidRDefault="005E0AF6" w:rsidP="00A7381C">
      <w:pPr>
        <w:pStyle w:val="Bullet1"/>
        <w:rPr>
          <w:rStyle w:val="BodyTextChar"/>
          <w:rFonts w:cs="Calibri"/>
        </w:rPr>
      </w:pPr>
      <w:r w:rsidRPr="00DD477A">
        <w:rPr>
          <w:rStyle w:val="BodyTextChar"/>
          <w:rFonts w:cs="Calibri"/>
        </w:rPr>
        <w:t>the amount provided for each outcome</w:t>
      </w:r>
      <w:r w:rsidR="00023D10" w:rsidRPr="00DD477A">
        <w:rPr>
          <w:rStyle w:val="BodyTextChar"/>
          <w:rFonts w:cs="Calibri"/>
        </w:rPr>
        <w:t xml:space="preserve"> for administered appropriations</w:t>
      </w:r>
      <w:r w:rsidR="001831E3" w:rsidRPr="00DD477A">
        <w:rPr>
          <w:rStyle w:val="BodyTextChar"/>
          <w:rFonts w:cs="Calibri"/>
        </w:rPr>
        <w:t xml:space="preserve"> or</w:t>
      </w:r>
      <w:r w:rsidR="00F800AE" w:rsidRPr="00DD477A">
        <w:rPr>
          <w:rStyle w:val="BodyTextChar"/>
          <w:rFonts w:cs="Calibri"/>
        </w:rPr>
        <w:t xml:space="preserve"> </w:t>
      </w:r>
      <w:r w:rsidR="001831E3" w:rsidRPr="00DD477A">
        <w:rPr>
          <w:rStyle w:val="BodyTextChar"/>
          <w:rFonts w:cs="Calibri"/>
        </w:rPr>
        <w:t xml:space="preserve">each other administered </w:t>
      </w:r>
      <w:r w:rsidR="00F800AE" w:rsidRPr="00DD477A">
        <w:rPr>
          <w:rStyle w:val="BodyTextChar"/>
          <w:rFonts w:cs="Calibri"/>
        </w:rPr>
        <w:t>item listed in the Appropriation Acts</w:t>
      </w:r>
      <w:r w:rsidRPr="00DD477A">
        <w:rPr>
          <w:rStyle w:val="BodyTextChar"/>
          <w:rFonts w:cs="Calibri"/>
        </w:rPr>
        <w:t xml:space="preserve">. </w:t>
      </w:r>
    </w:p>
    <w:p w14:paraId="13D2C3E8" w14:textId="57608EB4" w:rsidR="00DE4026" w:rsidRPr="00DD477A" w:rsidRDefault="005E0AF6" w:rsidP="0095670F">
      <w:r w:rsidRPr="00DD477A">
        <w:rPr>
          <w:rStyle w:val="BodyTextChar"/>
          <w:rFonts w:cs="Calibri"/>
        </w:rPr>
        <w:t xml:space="preserve">A ‘soft limit’ is the limit against a portion of the hard limit after it is allocated to a program (i.e., administered operating) or outcome (i.e., departmental operating). </w:t>
      </w:r>
      <w:r w:rsidR="00BB61EE" w:rsidRPr="00DD477A">
        <w:rPr>
          <w:rStyle w:val="BodyTextChar"/>
          <w:rFonts w:cs="Calibri"/>
        </w:rPr>
        <w:t>Soft</w:t>
      </w:r>
      <w:r w:rsidRPr="00DD477A">
        <w:rPr>
          <w:rStyle w:val="BodyTextChar"/>
          <w:rFonts w:cs="Calibri"/>
        </w:rPr>
        <w:t xml:space="preserve"> limits can be exceeded with a drawdown, providing they do not exceed the hard limit. Soft limits can be adjusted on request from entities (though they generally reflect splits identified in PB Statements or PAES).</w:t>
      </w:r>
    </w:p>
    <w:p w14:paraId="56CDBC3F" w14:textId="3844AC27" w:rsidR="00077D9C" w:rsidRPr="00DD477A" w:rsidRDefault="00077D9C" w:rsidP="00E548A0">
      <w:pPr>
        <w:pStyle w:val="Heading2"/>
      </w:pPr>
      <w:bookmarkStart w:id="780" w:name="_Toc160715550"/>
      <w:r w:rsidRPr="00DD477A">
        <w:lastRenderedPageBreak/>
        <w:t xml:space="preserve">Resource statement </w:t>
      </w:r>
      <w:r w:rsidR="00473D66" w:rsidRPr="00DD477A">
        <w:t>- Table 1.1</w:t>
      </w:r>
      <w:bookmarkEnd w:id="780"/>
    </w:p>
    <w:p w14:paraId="78C5F622" w14:textId="44BD1DAC" w:rsidR="00607418" w:rsidRPr="00DD477A" w:rsidRDefault="003519AB" w:rsidP="00F301F1">
      <w:pPr>
        <w:rPr>
          <w:rFonts w:cs="Calibri"/>
        </w:rPr>
      </w:pPr>
      <w:bookmarkStart w:id="781" w:name="_Ref61532163"/>
      <w:bookmarkStart w:id="782" w:name="_Ref61532167"/>
      <w:bookmarkStart w:id="783" w:name="_Toc63347704"/>
      <w:r w:rsidRPr="00DD477A">
        <w:rPr>
          <w:rFonts w:eastAsia="Cambria" w:cs="Calibri"/>
          <w:noProof/>
        </w:rPr>
        <w:drawing>
          <wp:inline distT="0" distB="0" distL="0" distR="0" wp14:anchorId="164E2D29" wp14:editId="5B1A3A43">
            <wp:extent cx="6090920" cy="1159017"/>
            <wp:effectExtent l="0" t="0" r="5080" b="0"/>
            <wp:docPr id="948700781" name="Diagram 9487007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54668675" w14:textId="7B74D046" w:rsidR="00607418" w:rsidRPr="00DD477A" w:rsidRDefault="00607418" w:rsidP="00F301F1">
      <w:pPr>
        <w:rPr>
          <w:rFonts w:cs="Calibri"/>
        </w:rPr>
      </w:pPr>
      <w:r w:rsidRPr="00DD477A">
        <w:rPr>
          <w:rFonts w:cs="Calibri"/>
        </w:rPr>
        <w:t>Appropriation information in Table 1.1 must be sourced from CBMS and an entity’s annual report and should be consistent with information captured in an entity’s FMIS.</w:t>
      </w:r>
    </w:p>
    <w:p w14:paraId="3053DF1B" w14:textId="30323225" w:rsidR="004D65F0" w:rsidRPr="00DD477A" w:rsidRDefault="004D65F0" w:rsidP="00E548A0">
      <w:pPr>
        <w:pStyle w:val="Heading2"/>
      </w:pPr>
      <w:bookmarkStart w:id="784" w:name="_Toc160715551"/>
      <w:r w:rsidRPr="00DD477A">
        <w:t>Annual Appropriations – ordinary annual services</w:t>
      </w:r>
      <w:bookmarkEnd w:id="784"/>
    </w:p>
    <w:p w14:paraId="051A71D7" w14:textId="7D3FA8C5" w:rsidR="00CE43AD" w:rsidRPr="00DD477A" w:rsidRDefault="004D65F0" w:rsidP="00CE43AD">
      <w:pPr>
        <w:rPr>
          <w:rFonts w:cs="Calibri"/>
        </w:rPr>
      </w:pPr>
      <w:r w:rsidRPr="00DD477A">
        <w:rPr>
          <w:rStyle w:val="BodyTextChar"/>
          <w:rFonts w:cs="Calibri"/>
        </w:rPr>
        <w:t xml:space="preserve">The </w:t>
      </w:r>
      <w:r w:rsidRPr="00DD477A">
        <w:rPr>
          <w:rStyle w:val="BodyTextChar"/>
          <w:rFonts w:cs="Calibri"/>
          <w:b/>
          <w:bCs/>
        </w:rPr>
        <w:t>Annual Appropriations – ordinary annual services</w:t>
      </w:r>
      <w:r w:rsidRPr="00DD477A">
        <w:rPr>
          <w:rStyle w:val="BodyTextChar"/>
          <w:rFonts w:cs="Calibri"/>
        </w:rPr>
        <w:t xml:space="preserve"> reflect the amount appropriated to the entity in the relevant year. </w:t>
      </w:r>
      <w:r w:rsidR="00CE43AD" w:rsidRPr="00DD477A">
        <w:rPr>
          <w:rFonts w:cs="Calibri"/>
        </w:rPr>
        <w:t xml:space="preserve">For administered, the Annual Appropriations is split into </w:t>
      </w:r>
      <w:r w:rsidR="00CE43AD" w:rsidRPr="00DD477A">
        <w:rPr>
          <w:rFonts w:cs="Calibri"/>
          <w:u w:val="single"/>
        </w:rPr>
        <w:t>Outcome</w:t>
      </w:r>
      <w:r w:rsidR="00CE43AD" w:rsidRPr="00DD477A">
        <w:rPr>
          <w:rFonts w:cs="Calibri"/>
        </w:rPr>
        <w:t xml:space="preserve"> figures.</w:t>
      </w:r>
    </w:p>
    <w:p w14:paraId="1CA2D060" w14:textId="628E0252" w:rsidR="004D65F0" w:rsidRPr="00DD477A" w:rsidRDefault="004D65F0" w:rsidP="004D65F0">
      <w:pPr>
        <w:rPr>
          <w:rStyle w:val="BodyTextChar"/>
          <w:rFonts w:cs="Calibri"/>
        </w:rPr>
      </w:pPr>
      <w:r w:rsidRPr="00DD477A">
        <w:rPr>
          <w:rStyle w:val="BodyTextChar"/>
          <w:rFonts w:cs="Calibri"/>
        </w:rPr>
        <w:t>The amount is made up of:</w:t>
      </w:r>
    </w:p>
    <w:p w14:paraId="1EB06B0D" w14:textId="09F028E6" w:rsidR="00C119E0" w:rsidRPr="00157BAB" w:rsidRDefault="00C119E0" w:rsidP="00A85E0D">
      <w:pPr>
        <w:pStyle w:val="Bullet1"/>
        <w:rPr>
          <w:rStyle w:val="BodyTextChar"/>
          <w:rFonts w:cs="Calibri"/>
        </w:rPr>
      </w:pPr>
      <w:r w:rsidRPr="00157BAB">
        <w:rPr>
          <w:rStyle w:val="BodyTextChar"/>
          <w:rFonts w:cs="Calibri"/>
        </w:rPr>
        <w:t>Amounts appropriated through Appropriation Bill 1</w:t>
      </w:r>
    </w:p>
    <w:p w14:paraId="00F7FE58" w14:textId="12A5E0D1" w:rsidR="0090051A" w:rsidRPr="00DD477A" w:rsidRDefault="0090051A" w:rsidP="00A85E0D">
      <w:pPr>
        <w:pStyle w:val="Bullet2"/>
        <w:rPr>
          <w:rStyle w:val="BodyTextChar"/>
          <w:rFonts w:cs="Calibri"/>
        </w:rPr>
      </w:pPr>
      <w:r w:rsidRPr="00DD477A">
        <w:rPr>
          <w:rStyle w:val="BodyTextChar"/>
          <w:rFonts w:cs="Calibri"/>
          <w:b/>
          <w:bCs/>
        </w:rPr>
        <w:t>Include</w:t>
      </w:r>
      <w:r w:rsidRPr="00DD477A">
        <w:rPr>
          <w:rStyle w:val="BodyTextChar"/>
          <w:rFonts w:cs="Calibri"/>
        </w:rPr>
        <w:t xml:space="preserve"> AFM</w:t>
      </w:r>
    </w:p>
    <w:p w14:paraId="4F669E3B" w14:textId="67C2384D" w:rsidR="0090051A" w:rsidRPr="00DD477A" w:rsidRDefault="0090051A" w:rsidP="00A85E0D">
      <w:pPr>
        <w:pStyle w:val="Bullet2"/>
        <w:rPr>
          <w:rStyle w:val="BodyTextChar"/>
          <w:rFonts w:cs="Calibri"/>
        </w:rPr>
      </w:pPr>
      <w:r w:rsidRPr="00DD477A">
        <w:rPr>
          <w:rStyle w:val="BodyTextChar"/>
          <w:rFonts w:cs="Calibri"/>
          <w:b/>
          <w:bCs/>
        </w:rPr>
        <w:t>Include / exclude</w:t>
      </w:r>
      <w:r w:rsidRPr="00DD477A">
        <w:rPr>
          <w:rStyle w:val="BodyTextChar"/>
          <w:rFonts w:cs="Calibri"/>
        </w:rPr>
        <w:t xml:space="preserve"> s74 External Revenue as a result of MoG changes</w:t>
      </w:r>
    </w:p>
    <w:p w14:paraId="7FF686DB" w14:textId="6ED00E71" w:rsidR="0090051A" w:rsidRPr="00DD477A" w:rsidRDefault="0090051A" w:rsidP="00A85E0D">
      <w:pPr>
        <w:pStyle w:val="Bullet2"/>
        <w:rPr>
          <w:rStyle w:val="BodyTextChar"/>
          <w:rFonts w:cs="Calibri"/>
        </w:rPr>
      </w:pPr>
      <w:r w:rsidRPr="00DD477A">
        <w:rPr>
          <w:rStyle w:val="BodyTextChar"/>
          <w:rFonts w:cs="Calibri"/>
          <w:b/>
          <w:bCs/>
        </w:rPr>
        <w:t>Exclude</w:t>
      </w:r>
      <w:r w:rsidRPr="00DD477A">
        <w:rPr>
          <w:rStyle w:val="BodyTextChar"/>
          <w:rFonts w:cs="Calibri"/>
        </w:rPr>
        <w:t xml:space="preserve"> any withholdings under s51 of the PGPA Act (such as for foreign exchange movements, savings measures, movement of funds and reallocation)</w:t>
      </w:r>
      <w:r w:rsidR="002D5A5E" w:rsidRPr="00DD477A">
        <w:rPr>
          <w:rStyle w:val="BodyTextChar"/>
          <w:rFonts w:cs="Calibri"/>
        </w:rPr>
        <w:t xml:space="preserve"> and</w:t>
      </w:r>
    </w:p>
    <w:p w14:paraId="5DA6AD43" w14:textId="1C4A41DF" w:rsidR="0090051A" w:rsidRPr="00DD477A" w:rsidRDefault="0090051A" w:rsidP="00A85E0D">
      <w:pPr>
        <w:pStyle w:val="Bullet2"/>
        <w:rPr>
          <w:rStyle w:val="BodyTextChar"/>
          <w:rFonts w:cs="Calibri"/>
        </w:rPr>
      </w:pPr>
      <w:r w:rsidRPr="00DD477A">
        <w:rPr>
          <w:rStyle w:val="BodyTextChar"/>
          <w:rFonts w:cs="Calibri"/>
          <w:b/>
          <w:bCs/>
        </w:rPr>
        <w:t>Exclude</w:t>
      </w:r>
      <w:r w:rsidRPr="00DD477A">
        <w:rPr>
          <w:rStyle w:val="BodyTextChar"/>
          <w:rFonts w:cs="Calibri"/>
        </w:rPr>
        <w:t xml:space="preserve"> administrative quarantines made by Finance.</w:t>
      </w:r>
    </w:p>
    <w:p w14:paraId="3C04E44B" w14:textId="77777777" w:rsidR="005C1E7D" w:rsidRPr="00DD477A" w:rsidRDefault="005C1E7D" w:rsidP="00E548A0">
      <w:pPr>
        <w:pStyle w:val="Heading2"/>
      </w:pPr>
      <w:bookmarkStart w:id="785" w:name="_Toc160715552"/>
      <w:r w:rsidRPr="00DD477A">
        <w:t>Annual Appropriations Repeal / Sunsetting Provisions and s51 PGPA Act Withholdings</w:t>
      </w:r>
      <w:bookmarkEnd w:id="785"/>
    </w:p>
    <w:p w14:paraId="22B6E385" w14:textId="77777777" w:rsidR="005C1E7D" w:rsidRPr="00DD477A" w:rsidRDefault="005C1E7D" w:rsidP="005C1E7D">
      <w:r w:rsidRPr="00DD477A">
        <w:t>Entities should be aware that the annual Appropriation Acts include a sunsetting clause, referring to a repeal date of up to three years. For example, all 2023-24 Appropriation Acts will be extinguished after three years on 1 July 2026.</w:t>
      </w:r>
    </w:p>
    <w:p w14:paraId="5D4329B9" w14:textId="77777777" w:rsidR="005C1E7D" w:rsidRPr="00DD477A" w:rsidRDefault="005C1E7D" w:rsidP="005C1E7D">
      <w:pPr>
        <w:rPr>
          <w:rFonts w:cs="Calibri"/>
        </w:rPr>
      </w:pPr>
      <w:r w:rsidRPr="00DD477A">
        <w:rPr>
          <w:rFonts w:cs="Calibri"/>
        </w:rPr>
        <w:t>Unspent annual appropriations relating to the 2022-23 and 2023-24 financial years still exist. However, amounts withheld under</w:t>
      </w:r>
      <w:r w:rsidRPr="00DD477A">
        <w:t xml:space="preserve"> </w:t>
      </w:r>
      <w:r w:rsidRPr="00DD477A">
        <w:rPr>
          <w:b/>
          <w:bCs/>
        </w:rPr>
        <w:t>s51 of the PGPA Act, or administratively quarantined, should be excluded</w:t>
      </w:r>
      <w:r w:rsidRPr="00DD477A">
        <w:rPr>
          <w:rFonts w:cs="Calibri"/>
        </w:rPr>
        <w:t xml:space="preserve"> from the calculation of prior year balances for the purposes of the Entity resource statement, as they are not available to be spent by the entity.</w:t>
      </w:r>
    </w:p>
    <w:p w14:paraId="74A49830" w14:textId="77777777" w:rsidR="005C1E7D" w:rsidRPr="00DD477A" w:rsidRDefault="005C1E7D" w:rsidP="005C1E7D">
      <w:pPr>
        <w:rPr>
          <w:rStyle w:val="Bullet1Char"/>
        </w:rPr>
      </w:pPr>
      <w:r w:rsidRPr="00DD477A">
        <w:rPr>
          <w:rStyle w:val="Bullet1Char"/>
        </w:rPr>
        <w:t>Under s51 of the PGPA Act, the Minister for Finance may withhold appropriations:</w:t>
      </w:r>
    </w:p>
    <w:p w14:paraId="696F5E8C" w14:textId="77777777" w:rsidR="005C1E7D" w:rsidRPr="00DD477A" w:rsidRDefault="005C1E7D" w:rsidP="005C1E7D">
      <w:pPr>
        <w:pStyle w:val="Bullet1"/>
      </w:pPr>
      <w:r w:rsidRPr="00DD477A">
        <w:t>These amounts should not be recognised as appropriations in Table 1.1.</w:t>
      </w:r>
    </w:p>
    <w:p w14:paraId="708B1D76" w14:textId="77777777" w:rsidR="005C1E7D" w:rsidRPr="00DD477A" w:rsidRDefault="005C1E7D" w:rsidP="005C1E7D">
      <w:r w:rsidRPr="00DD477A">
        <w:t>In addition, the Minister for Finance may make s51 PGPA Act withholdings for amounts entities no longer require, or no longer have policy authority to spend and will result in a loss of control for accounting purposes.</w:t>
      </w:r>
    </w:p>
    <w:p w14:paraId="23F63AB2" w14:textId="77777777" w:rsidR="005C1E7D" w:rsidRPr="00DD477A" w:rsidRDefault="005C1E7D" w:rsidP="005C1E7D">
      <w:pPr>
        <w:rPr>
          <w:b/>
          <w:bCs/>
        </w:rPr>
      </w:pPr>
      <w:r w:rsidRPr="00DD477A">
        <w:rPr>
          <w:b/>
          <w:bCs/>
        </w:rPr>
        <w:t>For budgetary reporting both Administrative and s51 withholdings are excluded from Table 1.1 Entity Resource Statement’s derived figures as this table is prepared on a resourcing (i.e. appropriation available) basis. The withholdings are therefore referenced as footnote accompanying the table.</w:t>
      </w:r>
    </w:p>
    <w:p w14:paraId="383677D6" w14:textId="77777777" w:rsidR="005C1E7D" w:rsidRPr="00DD477A" w:rsidRDefault="005C1E7D" w:rsidP="005C1E7D">
      <w:pPr>
        <w:rPr>
          <w:bCs/>
        </w:rPr>
      </w:pPr>
      <w:r w:rsidRPr="00DD477A">
        <w:t xml:space="preserve">Entities should note this is distinct to how withholdings are reported as part of an entity’s annual financial statements Note 5.1 Appropriations where withholdings as included as part of the derived figures. This is </w:t>
      </w:r>
      <w:r w:rsidRPr="00DD477A">
        <w:lastRenderedPageBreak/>
        <w:t>because the note is prepared on a legally available basis i.e. amounts available in the Appropriation Acts (as per the FRRs and RMG-116 Accounting for annual appropriations).</w:t>
      </w:r>
    </w:p>
    <w:p w14:paraId="5B1BAE7E" w14:textId="104DCC84" w:rsidR="000544B8" w:rsidRPr="00DD477A" w:rsidRDefault="000544B8" w:rsidP="00E548A0">
      <w:pPr>
        <w:pStyle w:val="Heading2"/>
      </w:pPr>
      <w:bookmarkStart w:id="786" w:name="_Toc160715553"/>
      <w:r w:rsidRPr="00DD477A">
        <w:t>Prior year annual appropriation balances</w:t>
      </w:r>
      <w:bookmarkEnd w:id="786"/>
    </w:p>
    <w:p w14:paraId="37D89BAB" w14:textId="1CDD4457" w:rsidR="006C03AC" w:rsidRPr="00DD477A" w:rsidRDefault="00AA32C1" w:rsidP="000544B8">
      <w:pPr>
        <w:rPr>
          <w:rFonts w:cs="Calibri"/>
        </w:rPr>
      </w:pPr>
      <w:r w:rsidRPr="00DD477A">
        <w:rPr>
          <w:rFonts w:eastAsia="Cambria" w:cs="Calibri"/>
          <w:noProof/>
        </w:rPr>
        <w:drawing>
          <wp:inline distT="0" distB="0" distL="0" distR="0" wp14:anchorId="6F937679" wp14:editId="6C4EF64B">
            <wp:extent cx="5835650" cy="524178"/>
            <wp:effectExtent l="0" t="0" r="0" b="0"/>
            <wp:docPr id="957103636" name="Diagram 9571036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5001F848" w14:textId="5788325D" w:rsidR="000544B8" w:rsidRPr="00DD477A" w:rsidRDefault="000544B8" w:rsidP="000544B8">
      <w:pPr>
        <w:rPr>
          <w:rFonts w:cs="Calibri"/>
        </w:rPr>
      </w:pPr>
      <w:r w:rsidRPr="00DD477A">
        <w:rPr>
          <w:rFonts w:cs="Calibri"/>
        </w:rPr>
        <w:t xml:space="preserve">The </w:t>
      </w:r>
      <w:r w:rsidRPr="00DD477A">
        <w:rPr>
          <w:rFonts w:cs="Calibri"/>
          <w:b/>
          <w:bCs/>
        </w:rPr>
        <w:t>prior year appropriations available</w:t>
      </w:r>
      <w:r w:rsidRPr="00DD477A">
        <w:rPr>
          <w:rFonts w:cs="Calibri"/>
        </w:rPr>
        <w:t xml:space="preserve"> reflect</w:t>
      </w:r>
      <w:r w:rsidR="00843297" w:rsidRPr="00DD477A">
        <w:rPr>
          <w:rFonts w:cs="Calibri"/>
        </w:rPr>
        <w:t>s</w:t>
      </w:r>
      <w:r w:rsidRPr="00DD477A">
        <w:rPr>
          <w:rFonts w:cs="Calibri"/>
        </w:rPr>
        <w:t xml:space="preserve"> unspent/undrawn appropriations available at the start of the financial year (i.e., the closing balance of the previous year)</w:t>
      </w:r>
      <w:r w:rsidR="00091ACC" w:rsidRPr="00DD477A">
        <w:rPr>
          <w:rFonts w:cs="Calibri"/>
        </w:rPr>
        <w:t xml:space="preserve">, including </w:t>
      </w:r>
      <w:r w:rsidRPr="00DD477A">
        <w:rPr>
          <w:rFonts w:cs="Calibri"/>
        </w:rPr>
        <w:t>opening special account balances for that period i.e. on 1 July.</w:t>
      </w:r>
    </w:p>
    <w:p w14:paraId="769EBA32" w14:textId="4F2D5FAB" w:rsidR="000544B8" w:rsidRPr="00DD477A" w:rsidRDefault="000544B8" w:rsidP="00A7381C">
      <w:pPr>
        <w:pStyle w:val="Bullet1"/>
        <w:rPr>
          <w:rStyle w:val="BodyTextChar"/>
          <w:rFonts w:cs="Calibri"/>
        </w:rPr>
      </w:pPr>
      <w:r w:rsidRPr="00DD477A">
        <w:rPr>
          <w:rStyle w:val="BodyTextChar"/>
          <w:rFonts w:cs="Calibri"/>
        </w:rPr>
        <w:t xml:space="preserve">For the </w:t>
      </w:r>
      <w:r w:rsidRPr="00DD477A">
        <w:rPr>
          <w:rStyle w:val="BodyTextChar"/>
          <w:rFonts w:cs="Calibri"/>
          <w:b/>
          <w:bCs/>
        </w:rPr>
        <w:t>202</w:t>
      </w:r>
      <w:r w:rsidR="00CD1430" w:rsidRPr="00DD477A">
        <w:rPr>
          <w:rStyle w:val="BodyTextChar"/>
          <w:rFonts w:cs="Calibri"/>
          <w:b/>
          <w:bCs/>
        </w:rPr>
        <w:t>3</w:t>
      </w:r>
      <w:r w:rsidRPr="00DD477A">
        <w:rPr>
          <w:rStyle w:val="BodyTextChar"/>
          <w:rFonts w:cs="Calibri"/>
          <w:b/>
          <w:bCs/>
        </w:rPr>
        <w:t>-2</w:t>
      </w:r>
      <w:r w:rsidR="006E75BA" w:rsidRPr="00DD477A">
        <w:rPr>
          <w:rStyle w:val="BodyTextChar"/>
          <w:rFonts w:cs="Calibri"/>
          <w:b/>
          <w:bCs/>
        </w:rPr>
        <w:t>4</w:t>
      </w:r>
      <w:r w:rsidRPr="00DD477A">
        <w:rPr>
          <w:rStyle w:val="BodyTextChar"/>
          <w:rFonts w:cs="Calibri"/>
          <w:b/>
          <w:bCs/>
        </w:rPr>
        <w:t xml:space="preserve"> estimated actual</w:t>
      </w:r>
      <w:r w:rsidRPr="00DD477A">
        <w:rPr>
          <w:rStyle w:val="BodyTextChar"/>
          <w:rFonts w:cs="Calibri"/>
        </w:rPr>
        <w:t xml:space="preserve"> column, this will be the closing unspent appropriation balance from the entity’s 202</w:t>
      </w:r>
      <w:r w:rsidR="00CD1430" w:rsidRPr="00DD477A">
        <w:rPr>
          <w:rStyle w:val="BodyTextChar"/>
          <w:rFonts w:cs="Calibri"/>
        </w:rPr>
        <w:t>2</w:t>
      </w:r>
      <w:r w:rsidRPr="00DD477A">
        <w:rPr>
          <w:rStyle w:val="BodyTextChar"/>
          <w:rFonts w:cs="Calibri"/>
        </w:rPr>
        <w:t>-2</w:t>
      </w:r>
      <w:r w:rsidR="00CD1430" w:rsidRPr="00DD477A">
        <w:rPr>
          <w:rStyle w:val="BodyTextChar"/>
          <w:rFonts w:cs="Calibri"/>
        </w:rPr>
        <w:t>3</w:t>
      </w:r>
      <w:r w:rsidRPr="00DD477A">
        <w:rPr>
          <w:rStyle w:val="BodyTextChar"/>
          <w:rFonts w:cs="Calibri"/>
        </w:rPr>
        <w:t xml:space="preserve"> financial statements, adjusted for any additional withholdings under s51 withholdings and/or administrative quarantines currently in place.</w:t>
      </w:r>
    </w:p>
    <w:p w14:paraId="4259FA6A" w14:textId="7269EDB1" w:rsidR="000544B8" w:rsidRPr="00DD477A" w:rsidRDefault="000544B8" w:rsidP="00A7381C">
      <w:pPr>
        <w:pStyle w:val="Bullet1"/>
        <w:rPr>
          <w:rStyle w:val="BodyTextChar"/>
          <w:rFonts w:cs="Calibri"/>
        </w:rPr>
      </w:pPr>
      <w:r w:rsidRPr="00DD477A">
        <w:rPr>
          <w:rStyle w:val="BodyTextChar"/>
          <w:rFonts w:cs="Calibri"/>
        </w:rPr>
        <w:t xml:space="preserve">For the </w:t>
      </w:r>
      <w:r w:rsidRPr="00DD477A">
        <w:rPr>
          <w:rStyle w:val="BodyTextChar"/>
          <w:rFonts w:cs="Calibri"/>
          <w:b/>
          <w:bCs/>
        </w:rPr>
        <w:t>202</w:t>
      </w:r>
      <w:r w:rsidR="006E75BA" w:rsidRPr="00DD477A">
        <w:rPr>
          <w:rStyle w:val="BodyTextChar"/>
          <w:rFonts w:cs="Calibri"/>
          <w:b/>
          <w:bCs/>
        </w:rPr>
        <w:t>4</w:t>
      </w:r>
      <w:r w:rsidRPr="00DD477A">
        <w:rPr>
          <w:rStyle w:val="BodyTextChar"/>
          <w:rFonts w:cs="Calibri"/>
          <w:b/>
          <w:bCs/>
        </w:rPr>
        <w:t>-2</w:t>
      </w:r>
      <w:r w:rsidR="006E75BA" w:rsidRPr="00DD477A">
        <w:rPr>
          <w:rStyle w:val="BodyTextChar"/>
          <w:rFonts w:cs="Calibri"/>
          <w:b/>
          <w:bCs/>
        </w:rPr>
        <w:t>5</w:t>
      </w:r>
      <w:r w:rsidRPr="00DD477A">
        <w:rPr>
          <w:rStyle w:val="BodyTextChar"/>
          <w:rFonts w:cs="Calibri"/>
          <w:b/>
          <w:bCs/>
        </w:rPr>
        <w:t xml:space="preserve"> estimate</w:t>
      </w:r>
      <w:r w:rsidRPr="00DD477A">
        <w:rPr>
          <w:rStyle w:val="BodyTextChar"/>
          <w:rFonts w:cs="Calibri"/>
        </w:rPr>
        <w:t xml:space="preserve"> column, this will be the forecast closing unspent appropriation balance as at the end of the 202</w:t>
      </w:r>
      <w:r w:rsidR="000A4C21" w:rsidRPr="00DD477A">
        <w:rPr>
          <w:rStyle w:val="BodyTextChar"/>
          <w:rFonts w:cs="Calibri"/>
        </w:rPr>
        <w:t>3</w:t>
      </w:r>
      <w:r w:rsidRPr="00DD477A">
        <w:rPr>
          <w:rStyle w:val="BodyTextChar"/>
          <w:rFonts w:cs="Calibri"/>
        </w:rPr>
        <w:t>-2</w:t>
      </w:r>
      <w:r w:rsidR="000A4C21" w:rsidRPr="00DD477A">
        <w:rPr>
          <w:rStyle w:val="BodyTextChar"/>
          <w:rFonts w:cs="Calibri"/>
        </w:rPr>
        <w:t>4</w:t>
      </w:r>
      <w:r w:rsidRPr="00DD477A">
        <w:rPr>
          <w:rStyle w:val="BodyTextChar"/>
          <w:rFonts w:cs="Calibri"/>
        </w:rPr>
        <w:t xml:space="preserve"> year, adjusted for any additional s51 withholdings and/or administrative quarantines currently in place. Appropriation Bills (No. 3 and 4) </w:t>
      </w:r>
      <w:r w:rsidR="00FD4C2C" w:rsidRPr="00DD477A">
        <w:rPr>
          <w:rStyle w:val="BodyTextChar"/>
          <w:rFonts w:cs="Calibri"/>
        </w:rPr>
        <w:t xml:space="preserve">amounts </w:t>
      </w:r>
      <w:r w:rsidRPr="00DD477A">
        <w:rPr>
          <w:rStyle w:val="BodyTextChar"/>
          <w:rFonts w:cs="Calibri"/>
        </w:rPr>
        <w:t>should be excluded from this figure (but referenced in the footnote), as these amounts would not have received Royal Assent at the time the PB Statements are tabled.</w:t>
      </w:r>
    </w:p>
    <w:p w14:paraId="42315A75" w14:textId="75F76994" w:rsidR="000544B8" w:rsidRPr="00DD477A" w:rsidRDefault="005937F4" w:rsidP="0095142C">
      <w:pPr>
        <w:pStyle w:val="Bullet1"/>
        <w:numPr>
          <w:ilvl w:val="0"/>
          <w:numId w:val="0"/>
        </w:numPr>
        <w:rPr>
          <w:rStyle w:val="BodyTextChar"/>
          <w:rFonts w:cs="Calibri"/>
        </w:rPr>
      </w:pPr>
      <w:r w:rsidRPr="00DD477A">
        <w:rPr>
          <w:rStyle w:val="BodyTextChar"/>
          <w:rFonts w:cs="Calibri"/>
        </w:rPr>
        <w:t xml:space="preserve">The </w:t>
      </w:r>
      <w:r w:rsidR="00F301F1" w:rsidRPr="00DD477A">
        <w:rPr>
          <w:rStyle w:val="BodyTextChar"/>
          <w:rFonts w:cs="Calibri"/>
        </w:rPr>
        <w:t xml:space="preserve">unspent, undrawn </w:t>
      </w:r>
      <w:r w:rsidRPr="00DD477A">
        <w:rPr>
          <w:rStyle w:val="BodyTextChar"/>
          <w:rFonts w:cs="Calibri"/>
        </w:rPr>
        <w:t xml:space="preserve">figure </w:t>
      </w:r>
      <w:r w:rsidR="00B736E8" w:rsidRPr="00DD477A">
        <w:rPr>
          <w:rStyle w:val="BodyTextChar"/>
          <w:rFonts w:cs="Calibri"/>
        </w:rPr>
        <w:t xml:space="preserve">for any given financial year </w:t>
      </w:r>
      <w:r w:rsidR="00236936" w:rsidRPr="00DD477A">
        <w:rPr>
          <w:rStyle w:val="BodyTextChar"/>
          <w:rFonts w:cs="Calibri"/>
        </w:rPr>
        <w:t xml:space="preserve">is sourced </w:t>
      </w:r>
      <w:r w:rsidR="00F301F1" w:rsidRPr="00DD477A">
        <w:rPr>
          <w:rStyle w:val="BodyTextChar"/>
          <w:rFonts w:cs="Calibri"/>
        </w:rPr>
        <w:t xml:space="preserve">directly from </w:t>
      </w:r>
      <w:r w:rsidR="00236936" w:rsidRPr="00DD477A">
        <w:rPr>
          <w:rStyle w:val="BodyTextChar"/>
          <w:rFonts w:cs="Calibri"/>
        </w:rPr>
        <w:t xml:space="preserve">the CBMS Appropriation Balances Report </w:t>
      </w:r>
      <w:r w:rsidR="009241D1" w:rsidRPr="00DD477A">
        <w:rPr>
          <w:rStyle w:val="BodyTextChar"/>
          <w:rFonts w:cs="Calibri"/>
        </w:rPr>
        <w:t xml:space="preserve">by </w:t>
      </w:r>
      <w:r w:rsidR="000544B8" w:rsidRPr="00DD477A">
        <w:rPr>
          <w:rStyle w:val="BodyTextChar"/>
          <w:rFonts w:cs="Calibri"/>
        </w:rPr>
        <w:t xml:space="preserve">referring to the ‘Available </w:t>
      </w:r>
      <w:r w:rsidR="009241D1" w:rsidRPr="00DD477A">
        <w:rPr>
          <w:rStyle w:val="BodyTextChar"/>
          <w:rFonts w:cs="Calibri"/>
        </w:rPr>
        <w:t xml:space="preserve">Balance </w:t>
      </w:r>
      <w:r w:rsidR="000544B8" w:rsidRPr="00DD477A">
        <w:rPr>
          <w:rStyle w:val="BodyTextChar"/>
          <w:rFonts w:cs="Calibri"/>
        </w:rPr>
        <w:t>– Hard Limit’ lines.</w:t>
      </w:r>
      <w:r w:rsidR="008E29AB" w:rsidRPr="00DD477A">
        <w:rPr>
          <w:rStyle w:val="BodyTextChar"/>
          <w:rFonts w:cs="Calibri"/>
        </w:rPr>
        <w:t xml:space="preserve"> </w:t>
      </w:r>
      <w:r w:rsidR="00EB1E6D" w:rsidRPr="00DD477A">
        <w:rPr>
          <w:rStyle w:val="BodyTextChar"/>
          <w:rFonts w:cs="Calibri"/>
        </w:rPr>
        <w:t>The t</w:t>
      </w:r>
      <w:r w:rsidR="000544B8" w:rsidRPr="00DD477A">
        <w:rPr>
          <w:rStyle w:val="BodyTextChar"/>
          <w:rFonts w:cs="Calibri"/>
        </w:rPr>
        <w:t>otal available appropriation balance can be calculated by adding the</w:t>
      </w:r>
      <w:r w:rsidR="008E29AB" w:rsidRPr="00DD477A">
        <w:rPr>
          <w:rStyle w:val="BodyTextChar"/>
          <w:rFonts w:cs="Calibri"/>
        </w:rPr>
        <w:t>se</w:t>
      </w:r>
      <w:r w:rsidR="000544B8" w:rsidRPr="00DD477A">
        <w:rPr>
          <w:rStyle w:val="BodyTextChar"/>
          <w:rFonts w:cs="Calibri"/>
        </w:rPr>
        <w:t xml:space="preserve"> Hard Limit </w:t>
      </w:r>
      <w:r w:rsidR="00D92C47" w:rsidRPr="00DD477A">
        <w:rPr>
          <w:rStyle w:val="BodyTextChar"/>
          <w:rFonts w:cs="Calibri"/>
        </w:rPr>
        <w:t>figures</w:t>
      </w:r>
      <w:r w:rsidR="000544B8" w:rsidRPr="00DD477A">
        <w:rPr>
          <w:rStyle w:val="BodyTextChar"/>
          <w:rFonts w:cs="Calibri"/>
        </w:rPr>
        <w:t xml:space="preserve"> for the relevant </w:t>
      </w:r>
      <w:r w:rsidR="009241D1" w:rsidRPr="00DD477A">
        <w:rPr>
          <w:rStyle w:val="BodyTextChar"/>
          <w:rFonts w:cs="Calibri"/>
        </w:rPr>
        <w:t xml:space="preserve">Appropriation </w:t>
      </w:r>
      <w:r w:rsidR="000544B8" w:rsidRPr="00DD477A">
        <w:rPr>
          <w:rStyle w:val="BodyTextChar"/>
          <w:rFonts w:cs="Calibri"/>
        </w:rPr>
        <w:t xml:space="preserve">or Outcome for all </w:t>
      </w:r>
      <w:r w:rsidR="00DF6C3D" w:rsidRPr="00DD477A">
        <w:rPr>
          <w:rStyle w:val="BodyTextChar"/>
          <w:rFonts w:cs="Calibri"/>
        </w:rPr>
        <w:t xml:space="preserve">relevant </w:t>
      </w:r>
      <w:r w:rsidR="000544B8" w:rsidRPr="00DD477A">
        <w:rPr>
          <w:rStyle w:val="BodyTextChar"/>
          <w:rFonts w:cs="Calibri"/>
        </w:rPr>
        <w:t>financial years</w:t>
      </w:r>
      <w:r w:rsidR="008E29AB" w:rsidRPr="00DD477A">
        <w:rPr>
          <w:rStyle w:val="BodyTextChar"/>
          <w:rFonts w:cs="Calibri"/>
        </w:rPr>
        <w:t>.</w:t>
      </w:r>
    </w:p>
    <w:p w14:paraId="021C0A64" w14:textId="77777777" w:rsidR="000544B8" w:rsidRPr="00B968DC" w:rsidRDefault="000544B8" w:rsidP="00E548A0">
      <w:pPr>
        <w:pStyle w:val="Heading2"/>
      </w:pPr>
      <w:bookmarkStart w:id="787" w:name="_Toc160715554"/>
      <w:r w:rsidRPr="00B968DC">
        <w:t>Departmental / administered capital budget</w:t>
      </w:r>
      <w:bookmarkEnd w:id="787"/>
    </w:p>
    <w:p w14:paraId="08C7449F" w14:textId="77777777" w:rsidR="000544B8" w:rsidRPr="00DD477A" w:rsidRDefault="000544B8" w:rsidP="000544B8">
      <w:pPr>
        <w:rPr>
          <w:rFonts w:cs="Calibri"/>
        </w:rPr>
      </w:pPr>
      <w:r w:rsidRPr="00DD477A">
        <w:rPr>
          <w:rFonts w:cs="Calibri"/>
        </w:rPr>
        <w:t xml:space="preserve">The </w:t>
      </w:r>
      <w:r w:rsidRPr="00DD477A">
        <w:rPr>
          <w:rFonts w:cs="Calibri"/>
          <w:b/>
          <w:bCs/>
        </w:rPr>
        <w:t>Departmental/administered capital budget</w:t>
      </w:r>
      <w:r w:rsidRPr="00DD477A">
        <w:rPr>
          <w:rFonts w:cs="Calibri"/>
        </w:rPr>
        <w:t xml:space="preserve"> figures should be sourced from the Capital Budget Statement Report. Choose either Departmental or Administered – figures will be recorded against ‘9170000 – Capital Budget – Bill 1 (DCB)’.</w:t>
      </w:r>
    </w:p>
    <w:p w14:paraId="70492362" w14:textId="077F87B4" w:rsidR="00D84440" w:rsidRPr="00DD477A" w:rsidRDefault="00D84440" w:rsidP="000544B8">
      <w:pPr>
        <w:rPr>
          <w:rFonts w:cs="Calibri"/>
        </w:rPr>
      </w:pPr>
      <w:r w:rsidRPr="00DD477A">
        <w:rPr>
          <w:rFonts w:eastAsia="Cambria" w:cs="Calibri"/>
          <w:noProof/>
        </w:rPr>
        <w:drawing>
          <wp:inline distT="0" distB="0" distL="0" distR="0" wp14:anchorId="4285AAE7" wp14:editId="6D31D1C6">
            <wp:extent cx="5835650" cy="524178"/>
            <wp:effectExtent l="0" t="0" r="0" b="0"/>
            <wp:docPr id="559561443" name="Diagram 5595614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14:paraId="200227DB" w14:textId="77777777" w:rsidR="000544B8" w:rsidRPr="00DD477A" w:rsidRDefault="000544B8" w:rsidP="00E548A0">
      <w:pPr>
        <w:pStyle w:val="Heading2"/>
        <w:rPr>
          <w:szCs w:val="28"/>
        </w:rPr>
      </w:pPr>
      <w:bookmarkStart w:id="788" w:name="_Toc160715555"/>
      <w:r w:rsidRPr="00DD477A">
        <w:t>Annual Appropriations – other services</w:t>
      </w:r>
      <w:bookmarkEnd w:id="788"/>
    </w:p>
    <w:p w14:paraId="17590279" w14:textId="14DDA962" w:rsidR="00000450" w:rsidRPr="00DD477A" w:rsidRDefault="000544B8" w:rsidP="00000450">
      <w:pPr>
        <w:rPr>
          <w:rFonts w:cs="Calibri"/>
        </w:rPr>
      </w:pPr>
      <w:r w:rsidRPr="00DD477A">
        <w:rPr>
          <w:rFonts w:cs="Calibri"/>
        </w:rPr>
        <w:t xml:space="preserve">The </w:t>
      </w:r>
      <w:r w:rsidRPr="00DD477A">
        <w:rPr>
          <w:rFonts w:cs="Calibri"/>
          <w:b/>
          <w:bCs/>
        </w:rPr>
        <w:t>Annual Appropriations – other services</w:t>
      </w:r>
      <w:r w:rsidRPr="00DD477A">
        <w:rPr>
          <w:rFonts w:cs="Calibri"/>
        </w:rPr>
        <w:t xml:space="preserve"> rows should be sourced from the Appropriation Bill 2 report from CBMS.</w:t>
      </w:r>
      <w:r w:rsidR="00000450" w:rsidRPr="00DD477A">
        <w:rPr>
          <w:rFonts w:cs="Calibri"/>
        </w:rPr>
        <w:t xml:space="preserve"> For portfolio departments, the Appropriation Bill 2 report should be run at the portfolio rather than entity level. </w:t>
      </w:r>
    </w:p>
    <w:p w14:paraId="526BC736" w14:textId="167EEAFD" w:rsidR="005077A4" w:rsidRPr="00DD477A" w:rsidRDefault="005077A4" w:rsidP="000544B8">
      <w:pPr>
        <w:rPr>
          <w:rFonts w:cs="Calibri"/>
        </w:rPr>
      </w:pPr>
      <w:r w:rsidRPr="00DD477A">
        <w:rPr>
          <w:rFonts w:eastAsia="Cambria" w:cs="Calibri"/>
          <w:noProof/>
        </w:rPr>
        <w:drawing>
          <wp:inline distT="0" distB="0" distL="0" distR="0" wp14:anchorId="1E099C2B" wp14:editId="52A1AED1">
            <wp:extent cx="5835650" cy="524178"/>
            <wp:effectExtent l="0" t="0" r="0" b="0"/>
            <wp:docPr id="1977166088" name="Diagram 19771660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14:paraId="2454D777" w14:textId="577FCF2F" w:rsidR="000544B8" w:rsidRPr="00DD477A" w:rsidRDefault="000544B8" w:rsidP="000544B8">
      <w:pPr>
        <w:rPr>
          <w:rFonts w:cs="Calibri"/>
        </w:rPr>
      </w:pPr>
      <w:r w:rsidRPr="00DD477A">
        <w:rPr>
          <w:rFonts w:cs="Calibri"/>
        </w:rPr>
        <w:t xml:space="preserve">Amounts under the </w:t>
      </w:r>
      <w:r w:rsidRPr="00DD477A">
        <w:rPr>
          <w:rFonts w:cs="Calibri"/>
          <w:b/>
          <w:bCs/>
        </w:rPr>
        <w:t>Estimated Actual</w:t>
      </w:r>
      <w:r w:rsidRPr="00DD477A">
        <w:rPr>
          <w:rFonts w:cs="Calibri"/>
        </w:rPr>
        <w:t xml:space="preserve"> column should be sourced by running the Actual Available Appropriations (AAA) Report (which provides a point-in-time figure) and adjusting for any amounts expected to be spent by 30 June </w:t>
      </w:r>
      <w:r w:rsidR="006A2141" w:rsidRPr="00DD477A">
        <w:rPr>
          <w:rFonts w:cs="Calibri"/>
        </w:rPr>
        <w:t>2024</w:t>
      </w:r>
      <w:r w:rsidRPr="00DD477A">
        <w:rPr>
          <w:rFonts w:cs="Calibri"/>
        </w:rPr>
        <w:t>.</w:t>
      </w:r>
    </w:p>
    <w:p w14:paraId="496C63C6" w14:textId="77777777" w:rsidR="008E267A" w:rsidRPr="00DD477A" w:rsidRDefault="008E267A" w:rsidP="00E548A0">
      <w:pPr>
        <w:pStyle w:val="Heading2"/>
      </w:pPr>
      <w:bookmarkStart w:id="789" w:name="_Toc160715556"/>
      <w:r w:rsidRPr="00DD477A">
        <w:lastRenderedPageBreak/>
        <w:t>s74 External Revenue</w:t>
      </w:r>
      <w:bookmarkEnd w:id="789"/>
    </w:p>
    <w:p w14:paraId="5E3C714E" w14:textId="77777777" w:rsidR="008E267A" w:rsidRPr="00DD477A" w:rsidRDefault="008E267A" w:rsidP="008E267A">
      <w:pPr>
        <w:rPr>
          <w:rFonts w:cs="Calibri"/>
        </w:rPr>
      </w:pPr>
      <w:r w:rsidRPr="00DD477A">
        <w:rPr>
          <w:rFonts w:cs="Calibri"/>
        </w:rPr>
        <w:t xml:space="preserve">The </w:t>
      </w:r>
      <w:r w:rsidRPr="00DD477A">
        <w:rPr>
          <w:rFonts w:cs="Calibri"/>
          <w:b/>
          <w:bCs/>
        </w:rPr>
        <w:t>s74 External Revenue</w:t>
      </w:r>
      <w:r w:rsidRPr="00DD477A">
        <w:rPr>
          <w:rFonts w:cs="Calibri"/>
        </w:rPr>
        <w:t xml:space="preserve"> reflects the entity’s forecast Receipts from Independent Sources. These figures should be sourced from the ‘External Revenue’ column in the Agency Resourcing QA report available from CBMS. </w:t>
      </w:r>
      <w:r w:rsidRPr="00DD477A">
        <w:rPr>
          <w:rFonts w:eastAsia="Cambria" w:cs="Calibri"/>
          <w:noProof/>
        </w:rPr>
        <w:drawing>
          <wp:inline distT="0" distB="0" distL="0" distR="0" wp14:anchorId="4FD39706" wp14:editId="0355AB48">
            <wp:extent cx="5835650" cy="524178"/>
            <wp:effectExtent l="0" t="0" r="0" b="0"/>
            <wp:docPr id="869970419" name="Diagram 8699704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14:paraId="4C61A757" w14:textId="77777777" w:rsidR="002B0D20" w:rsidRPr="00DD477A" w:rsidRDefault="002B0D20" w:rsidP="00E548A0">
      <w:pPr>
        <w:pStyle w:val="Heading2"/>
      </w:pPr>
      <w:bookmarkStart w:id="790" w:name="_Toc160715557"/>
      <w:r w:rsidRPr="00DD477A">
        <w:t>Special appropriations</w:t>
      </w:r>
      <w:bookmarkEnd w:id="790"/>
    </w:p>
    <w:p w14:paraId="595D92A4" w14:textId="77777777" w:rsidR="002B0D20" w:rsidRPr="00DD477A" w:rsidRDefault="002B0D20" w:rsidP="002B0D20">
      <w:pPr>
        <w:rPr>
          <w:rFonts w:cs="Calibri"/>
        </w:rPr>
      </w:pPr>
      <w:r w:rsidRPr="00DD477A">
        <w:rPr>
          <w:rFonts w:cs="Calibri"/>
        </w:rPr>
        <w:t xml:space="preserve">The </w:t>
      </w:r>
      <w:r w:rsidRPr="00DD477A">
        <w:rPr>
          <w:rFonts w:cs="Calibri"/>
          <w:b/>
          <w:bCs/>
        </w:rPr>
        <w:t>Special appropriations</w:t>
      </w:r>
      <w:r w:rsidRPr="00DD477A">
        <w:rPr>
          <w:rFonts w:cs="Calibri"/>
        </w:rPr>
        <w:t xml:space="preserve"> reflect the resourcing required in relation to special appropriations. These figures should match the figures published in BP No. 4, which are sourced from the Detail Listing AIEFRS Report from CBMS. These figures are also available in the ‘Special appropriation table’ statutory report.</w:t>
      </w:r>
    </w:p>
    <w:p w14:paraId="35B6A0C2" w14:textId="77777777" w:rsidR="002B0D20" w:rsidRPr="00DD477A" w:rsidRDefault="002B0D20" w:rsidP="002B0D20">
      <w:pPr>
        <w:rPr>
          <w:rFonts w:cs="Calibri"/>
        </w:rPr>
      </w:pPr>
      <w:r w:rsidRPr="00DD477A">
        <w:rPr>
          <w:rFonts w:eastAsia="Cambria" w:cs="Calibri"/>
          <w:noProof/>
        </w:rPr>
        <w:drawing>
          <wp:inline distT="0" distB="0" distL="0" distR="0" wp14:anchorId="117AE123" wp14:editId="321BBB08">
            <wp:extent cx="5835650" cy="524178"/>
            <wp:effectExtent l="0" t="0" r="0" b="0"/>
            <wp:docPr id="960554225" name="Diagram 960554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8" r:lo="rId109" r:qs="rId110" r:cs="rId111"/>
              </a:graphicData>
            </a:graphic>
          </wp:inline>
        </w:drawing>
      </w:r>
    </w:p>
    <w:p w14:paraId="3A420306" w14:textId="77777777" w:rsidR="002B0D20" w:rsidRPr="00DD477A" w:rsidRDefault="002B0D20" w:rsidP="002B0D20">
      <w:r w:rsidRPr="00DD477A">
        <w:rPr>
          <w:rFonts w:cs="Calibri"/>
        </w:rPr>
        <w:t>Special appropriations should be reported as an aggregate in Table 1.1, with details of the special appropriations reported in Table 2.X.1.</w:t>
      </w:r>
    </w:p>
    <w:p w14:paraId="167DAE3F" w14:textId="77777777" w:rsidR="002B0D20" w:rsidRPr="00DD477A" w:rsidRDefault="002B0D20" w:rsidP="00E548A0">
      <w:pPr>
        <w:pStyle w:val="Heading2"/>
      </w:pPr>
      <w:bookmarkStart w:id="791" w:name="_Toc160715558"/>
      <w:r w:rsidRPr="00DD477A">
        <w:t>Special accounts and Exclusion of Trust Moneys</w:t>
      </w:r>
      <w:bookmarkEnd w:id="791"/>
    </w:p>
    <w:p w14:paraId="6E9271F6" w14:textId="77777777" w:rsidR="002B0D20" w:rsidRPr="00DD477A" w:rsidRDefault="002B0D20" w:rsidP="002B0D20">
      <w:pPr>
        <w:rPr>
          <w:rFonts w:cs="Calibri"/>
        </w:rPr>
      </w:pPr>
      <w:r w:rsidRPr="00DD477A">
        <w:rPr>
          <w:rFonts w:cs="Calibri"/>
        </w:rPr>
        <w:t xml:space="preserve">The </w:t>
      </w:r>
      <w:r w:rsidRPr="00DD477A">
        <w:rPr>
          <w:rFonts w:cs="Calibri"/>
          <w:b/>
          <w:bCs/>
        </w:rPr>
        <w:t>Special accounts</w:t>
      </w:r>
      <w:r w:rsidRPr="00DD477A">
        <w:rPr>
          <w:rFonts w:cs="Calibri"/>
        </w:rPr>
        <w:t xml:space="preserve"> reflect the opening balances and receipts for all special accounts managed by the entity. These figures should be drawn from the Special Accounts reports from CBMS.</w:t>
      </w:r>
    </w:p>
    <w:p w14:paraId="032AEAB9" w14:textId="77777777" w:rsidR="002B0D20" w:rsidRPr="00DD477A" w:rsidRDefault="002B0D20" w:rsidP="002B0D20">
      <w:pPr>
        <w:rPr>
          <w:rFonts w:cs="Calibri"/>
        </w:rPr>
      </w:pPr>
      <w:r w:rsidRPr="00DD477A">
        <w:rPr>
          <w:rFonts w:eastAsia="Cambria" w:cs="Calibri"/>
          <w:noProof/>
        </w:rPr>
        <w:drawing>
          <wp:inline distT="0" distB="0" distL="0" distR="0" wp14:anchorId="428881F8" wp14:editId="09EED9AB">
            <wp:extent cx="5835650" cy="524178"/>
            <wp:effectExtent l="0" t="0" r="0" b="0"/>
            <wp:docPr id="399553264" name="Diagram 3995532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14:paraId="207B7488" w14:textId="77777777" w:rsidR="002B0D20" w:rsidRPr="00DD477A" w:rsidRDefault="002B0D20" w:rsidP="002B0D20">
      <w:pPr>
        <w:pStyle w:val="Boxed2Text"/>
        <w:rPr>
          <w:rFonts w:cs="Calibri"/>
        </w:rPr>
      </w:pPr>
      <w:r w:rsidRPr="00DD477A">
        <w:rPr>
          <w:rFonts w:cs="Calibri"/>
        </w:rPr>
        <w:t>There may be differences between special accounts figures published in an entity’s PB Statements compared to the entity’s financial statement notes in its annual report.</w:t>
      </w:r>
    </w:p>
    <w:p w14:paraId="3B323729" w14:textId="77777777" w:rsidR="002B0D20" w:rsidRPr="00DD477A" w:rsidRDefault="002B0D20" w:rsidP="002B0D20">
      <w:pPr>
        <w:pStyle w:val="Boxed2Text"/>
        <w:rPr>
          <w:rFonts w:cs="Calibri"/>
        </w:rPr>
      </w:pPr>
      <w:r w:rsidRPr="00DD477A">
        <w:rPr>
          <w:rFonts w:cs="Calibri"/>
        </w:rPr>
        <w:t>For example, for PB Statement estimates purposes, entities may report special account investment flows on a net basis at 30 June. In an entity's annual report, special account flows are presented on a gross basis (including investments).</w:t>
      </w:r>
    </w:p>
    <w:p w14:paraId="107B01C1" w14:textId="77777777" w:rsidR="002B0D20" w:rsidRPr="00DD477A" w:rsidRDefault="002B0D20" w:rsidP="002B0D20">
      <w:pPr>
        <w:pStyle w:val="Boxed2Text"/>
        <w:rPr>
          <w:rStyle w:val="BodyTextChar"/>
          <w:rFonts w:eastAsiaTheme="minorEastAsia" w:cs="Calibri"/>
        </w:rPr>
      </w:pPr>
      <w:r w:rsidRPr="00DD477A">
        <w:rPr>
          <w:rFonts w:cs="Calibri"/>
        </w:rPr>
        <w:t>An example of where differences may arise between estimates and actuals is where an entity undertakes ongoing investment activities through their special account, and reinvests the earnings realised (from investing) within the same financial year.</w:t>
      </w:r>
    </w:p>
    <w:p w14:paraId="59FF0521" w14:textId="77777777" w:rsidR="002B0D20" w:rsidRPr="00DD477A" w:rsidRDefault="002B0D20" w:rsidP="002B0D20">
      <w:pPr>
        <w:rPr>
          <w:rFonts w:cs="Calibri"/>
        </w:rPr>
      </w:pPr>
      <w:r w:rsidRPr="00DD477A">
        <w:rPr>
          <w:rFonts w:cs="Calibri"/>
        </w:rPr>
        <w:t xml:space="preserve">In most cases, trust moneys, especially the </w:t>
      </w:r>
      <w:r w:rsidRPr="00DD477A">
        <w:rPr>
          <w:rFonts w:cs="Calibri"/>
          <w:b/>
          <w:bCs/>
        </w:rPr>
        <w:t>trust component</w:t>
      </w:r>
      <w:r w:rsidRPr="00DD477A">
        <w:rPr>
          <w:rFonts w:cs="Calibri"/>
        </w:rPr>
        <w:t xml:space="preserve"> held in </w:t>
      </w:r>
      <w:r w:rsidRPr="00DD477A">
        <w:rPr>
          <w:rFonts w:cs="Calibri"/>
          <w:b/>
          <w:bCs/>
        </w:rPr>
        <w:t>Services for Other Entities and Trust Moneys</w:t>
      </w:r>
      <w:r w:rsidRPr="00DD477A">
        <w:rPr>
          <w:rFonts w:cs="Calibri"/>
        </w:rPr>
        <w:t xml:space="preserve"> accounts </w:t>
      </w:r>
      <w:r w:rsidRPr="00DD477A">
        <w:rPr>
          <w:rFonts w:cs="Calibri"/>
          <w:b/>
          <w:bCs/>
        </w:rPr>
        <w:t>should be excluded</w:t>
      </w:r>
      <w:r w:rsidRPr="00DD477A">
        <w:rPr>
          <w:rFonts w:cs="Calibri"/>
        </w:rPr>
        <w:t xml:space="preserve"> from this figure as they do not constitute funds available to the entity. Details of special accounts will also be reported in </w:t>
      </w:r>
      <w:r w:rsidRPr="00DD477A">
        <w:rPr>
          <w:rFonts w:cs="Calibri"/>
          <w:i/>
          <w:iCs/>
        </w:rPr>
        <w:t>Table 2.X.1: Budgeted expenses for outcome X</w:t>
      </w:r>
      <w:r w:rsidRPr="00DD477A">
        <w:rPr>
          <w:rFonts w:cs="Calibri"/>
        </w:rPr>
        <w:t>.</w:t>
      </w:r>
    </w:p>
    <w:p w14:paraId="2774AFC9" w14:textId="77777777" w:rsidR="002B0D20" w:rsidRPr="00DD477A" w:rsidRDefault="002B0D20" w:rsidP="002B0D20">
      <w:pPr>
        <w:pStyle w:val="Boxed2Text"/>
      </w:pPr>
      <w:bookmarkStart w:id="792" w:name="_Hlk156209042"/>
      <w:r w:rsidRPr="00DD477A">
        <w:t xml:space="preserve">Not all amounts held in SOETM special accounts will be trust moneys received for the performance of services for other entities and jurisdictions. See </w:t>
      </w:r>
      <w:hyperlink r:id="rId118" w:history="1">
        <w:r w:rsidRPr="00DD477A">
          <w:rPr>
            <w:rStyle w:val="Hyperlink"/>
          </w:rPr>
          <w:t>RMG 100 Guide to appropriations</w:t>
        </w:r>
      </w:hyperlink>
      <w:r w:rsidRPr="00DD477A">
        <w:t xml:space="preserve"> and </w:t>
      </w:r>
      <w:hyperlink r:id="rId119" w:history="1">
        <w:r w:rsidRPr="00DD477A">
          <w:rPr>
            <w:rStyle w:val="Hyperlink"/>
          </w:rPr>
          <w:t>RMG 125 Commonwealth Entities Financial Statements Guide</w:t>
        </w:r>
      </w:hyperlink>
      <w:r w:rsidRPr="00DD477A">
        <w:t xml:space="preserve"> for information on reporting of trust moneys.</w:t>
      </w:r>
    </w:p>
    <w:p w14:paraId="0183A450" w14:textId="423412DD" w:rsidR="000544B8" w:rsidRPr="00DD477A" w:rsidRDefault="000544B8" w:rsidP="00E548A0">
      <w:pPr>
        <w:pStyle w:val="Heading2"/>
      </w:pPr>
      <w:bookmarkStart w:id="793" w:name="_Toc160715559"/>
      <w:bookmarkEnd w:id="792"/>
      <w:r w:rsidRPr="00DD477A">
        <w:lastRenderedPageBreak/>
        <w:t>Payments to corporate entities</w:t>
      </w:r>
      <w:bookmarkEnd w:id="793"/>
    </w:p>
    <w:p w14:paraId="3243479D" w14:textId="5E03F718" w:rsidR="000544B8" w:rsidRPr="00DD477A" w:rsidRDefault="000544B8" w:rsidP="000544B8">
      <w:pPr>
        <w:rPr>
          <w:rFonts w:cs="Calibri"/>
        </w:rPr>
      </w:pPr>
      <w:r w:rsidRPr="00DD477A">
        <w:rPr>
          <w:rFonts w:cs="Calibri"/>
        </w:rPr>
        <w:t xml:space="preserve">The </w:t>
      </w:r>
      <w:r w:rsidRPr="00DD477A">
        <w:rPr>
          <w:rFonts w:cs="Calibri"/>
          <w:b/>
          <w:bCs/>
        </w:rPr>
        <w:t>Payments to corporate entities</w:t>
      </w:r>
      <w:r w:rsidRPr="00DD477A">
        <w:rPr>
          <w:rFonts w:cs="Calibri"/>
        </w:rPr>
        <w:t xml:space="preserve"> should be sourced from the Appropriation Bill 1 and Bill 3 ‘Portfolio Summary and Detail’ reports.</w:t>
      </w:r>
    </w:p>
    <w:p w14:paraId="1545186F" w14:textId="1477070F" w:rsidR="005077A4" w:rsidRPr="00DD477A" w:rsidRDefault="005077A4" w:rsidP="000544B8">
      <w:pPr>
        <w:rPr>
          <w:rFonts w:cs="Calibri"/>
        </w:rPr>
      </w:pPr>
      <w:r w:rsidRPr="00DD477A">
        <w:rPr>
          <w:rFonts w:eastAsia="Cambria" w:cs="Calibri"/>
          <w:noProof/>
        </w:rPr>
        <w:drawing>
          <wp:inline distT="0" distB="0" distL="0" distR="0" wp14:anchorId="35568BF0" wp14:editId="3A7D15BC">
            <wp:extent cx="5835650" cy="524178"/>
            <wp:effectExtent l="0" t="0" r="0" b="0"/>
            <wp:docPr id="548592746" name="Diagram 5485927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0" r:lo="rId121" r:qs="rId122" r:cs="rId123"/>
              </a:graphicData>
            </a:graphic>
          </wp:inline>
        </w:drawing>
      </w:r>
    </w:p>
    <w:p w14:paraId="4C945460" w14:textId="242AABB5" w:rsidR="000544B8" w:rsidRPr="00DD477A" w:rsidRDefault="000544B8" w:rsidP="00E548A0">
      <w:pPr>
        <w:pStyle w:val="Heading2"/>
        <w:rPr>
          <w:szCs w:val="28"/>
        </w:rPr>
      </w:pPr>
      <w:bookmarkStart w:id="794" w:name="_Toc160715560"/>
      <w:r w:rsidRPr="00DD477A">
        <w:t>Average staffing level</w:t>
      </w:r>
      <w:r w:rsidR="0051070E" w:rsidRPr="00DD477A">
        <w:rPr>
          <w:iCs/>
          <w:szCs w:val="28"/>
        </w:rPr>
        <w:t>s (ASL)</w:t>
      </w:r>
      <w:bookmarkEnd w:id="794"/>
    </w:p>
    <w:p w14:paraId="7175CEB9" w14:textId="70FA5049" w:rsidR="000544B8" w:rsidRPr="00DD477A" w:rsidRDefault="000544B8" w:rsidP="000544B8">
      <w:r w:rsidRPr="00DD477A">
        <w:t xml:space="preserve">The ASL figure should be discussed with Finance (see </w:t>
      </w:r>
      <w:r w:rsidR="001A29BF" w:rsidRPr="00DD477A">
        <w:rPr>
          <w:rStyle w:val="CrossReferenceChar"/>
        </w:rPr>
        <w:t xml:space="preserve">Appendix </w:t>
      </w:r>
      <w:r w:rsidR="00E15164" w:rsidRPr="00DD477A">
        <w:rPr>
          <w:rStyle w:val="CrossReferenceChar"/>
        </w:rPr>
        <w:t>4</w:t>
      </w:r>
      <w:r w:rsidRPr="00DD477A">
        <w:rPr>
          <w:rStyle w:val="CrossReferenceChar"/>
        </w:rPr>
        <w:t xml:space="preserve"> Contacts</w:t>
      </w:r>
      <w:r w:rsidRPr="00DD477A">
        <w:t>)</w:t>
      </w:r>
      <w:r w:rsidR="004D7E46" w:rsidRPr="00DD477A">
        <w:t xml:space="preserve">. This </w:t>
      </w:r>
      <w:r w:rsidR="00C860BA" w:rsidRPr="00DD477A">
        <w:t xml:space="preserve">figure must </w:t>
      </w:r>
      <w:r w:rsidRPr="00DD477A">
        <w:t xml:space="preserve">match the figures to be published in </w:t>
      </w:r>
      <w:r w:rsidR="001A29BF" w:rsidRPr="00DD477A">
        <w:t xml:space="preserve">both </w:t>
      </w:r>
      <w:r w:rsidRPr="00DD477A">
        <w:t>BP No. 4 and the totals shown at the bottom of the outcome expense tables Table 2.X.1. Please refer to the latest Finance guidance on ASL for more information on ASL reporting.</w:t>
      </w:r>
    </w:p>
    <w:p w14:paraId="4F8885F8" w14:textId="77777777" w:rsidR="000544B8" w:rsidRPr="00DD477A" w:rsidRDefault="000544B8" w:rsidP="00E548A0">
      <w:pPr>
        <w:pStyle w:val="Heading2"/>
        <w:rPr>
          <w:szCs w:val="28"/>
        </w:rPr>
      </w:pPr>
      <w:bookmarkStart w:id="795" w:name="_Toc160715561"/>
      <w:r w:rsidRPr="00DD477A">
        <w:t>Third party payments</w:t>
      </w:r>
      <w:bookmarkEnd w:id="795"/>
    </w:p>
    <w:p w14:paraId="43885130" w14:textId="61803419" w:rsidR="000544B8" w:rsidRPr="00DD477A" w:rsidRDefault="000544B8" w:rsidP="000544B8">
      <w:pPr>
        <w:rPr>
          <w:rFonts w:cs="Calibri"/>
        </w:rPr>
      </w:pPr>
      <w:r w:rsidRPr="00DD477A">
        <w:rPr>
          <w:rFonts w:cs="Calibri"/>
        </w:rPr>
        <w:t xml:space="preserve">The </w:t>
      </w:r>
      <w:r w:rsidRPr="00DD477A">
        <w:rPr>
          <w:rFonts w:cs="Calibri"/>
          <w:b/>
          <w:bCs/>
        </w:rPr>
        <w:t>Third party payments</w:t>
      </w:r>
      <w:r w:rsidRPr="00DD477A">
        <w:rPr>
          <w:rFonts w:cs="Calibri"/>
        </w:rPr>
        <w:t xml:space="preserve"> information will be drawn from entities’ records and should be agreed with the relevant third party</w:t>
      </w:r>
      <w:r w:rsidR="00136741" w:rsidRPr="00DD477A">
        <w:rPr>
          <w:rFonts w:cs="Calibri"/>
        </w:rPr>
        <w:t xml:space="preserve">, </w:t>
      </w:r>
      <w:r w:rsidR="00A71908" w:rsidRPr="00DD477A">
        <w:rPr>
          <w:rFonts w:cs="Calibri"/>
        </w:rPr>
        <w:t>with figures re</w:t>
      </w:r>
      <w:r w:rsidR="00EB4CB3" w:rsidRPr="00DD477A">
        <w:rPr>
          <w:rFonts w:cs="Calibri"/>
        </w:rPr>
        <w:t>concil</w:t>
      </w:r>
      <w:r w:rsidR="00A71908" w:rsidRPr="00DD477A">
        <w:rPr>
          <w:rFonts w:cs="Calibri"/>
        </w:rPr>
        <w:t>able</w:t>
      </w:r>
      <w:r w:rsidR="00EB4CB3" w:rsidRPr="00DD477A">
        <w:rPr>
          <w:rFonts w:cs="Calibri"/>
        </w:rPr>
        <w:t xml:space="preserve"> between entities</w:t>
      </w:r>
      <w:r w:rsidRPr="00DD477A">
        <w:rPr>
          <w:rFonts w:cs="Calibri"/>
        </w:rPr>
        <w:t>. These figures should be prepared</w:t>
      </w:r>
      <w:r w:rsidR="00FE2509" w:rsidRPr="00DD477A">
        <w:rPr>
          <w:rFonts w:cs="Calibri"/>
        </w:rPr>
        <w:t xml:space="preserve"> </w:t>
      </w:r>
      <w:r w:rsidRPr="00DD477A">
        <w:rPr>
          <w:rFonts w:cs="Calibri"/>
        </w:rPr>
        <w:t>using resourcing/appropriations transferred figures</w:t>
      </w:r>
      <w:r w:rsidR="00893FA4" w:rsidRPr="00DD477A">
        <w:rPr>
          <w:rFonts w:cs="Calibri"/>
        </w:rPr>
        <w:t>,</w:t>
      </w:r>
      <w:r w:rsidR="008A3DD7" w:rsidRPr="00DD477A">
        <w:rPr>
          <w:rFonts w:cs="Calibri"/>
        </w:rPr>
        <w:t xml:space="preserve"> as they are </w:t>
      </w:r>
      <w:r w:rsidR="00D300DD" w:rsidRPr="00DD477A">
        <w:rPr>
          <w:rStyle w:val="BodyTextChar"/>
          <w:rFonts w:cs="Calibri"/>
        </w:rPr>
        <w:t>a sub-set of the total resourcing shown in the top section of Table 1.1</w:t>
      </w:r>
      <w:r w:rsidR="00EB4CB3" w:rsidRPr="00DD477A">
        <w:rPr>
          <w:rFonts w:cs="Calibri"/>
        </w:rPr>
        <w:t>.</w:t>
      </w:r>
      <w:r w:rsidR="002A6080" w:rsidRPr="00DD477A">
        <w:rPr>
          <w:rFonts w:cs="Calibri"/>
        </w:rPr>
        <w:t xml:space="preserve"> that indicates</w:t>
      </w:r>
      <w:r w:rsidR="002278AB" w:rsidRPr="00DD477A">
        <w:rPr>
          <w:rStyle w:val="BodyTextChar"/>
          <w:rFonts w:cs="Calibri"/>
        </w:rPr>
        <w:t xml:space="preserve"> types and materiality of inter-entity transfers of resourcing</w:t>
      </w:r>
      <w:r w:rsidR="007B7D74" w:rsidRPr="00DD477A">
        <w:rPr>
          <w:rStyle w:val="BodyTextChar"/>
          <w:rFonts w:cs="Calibri"/>
        </w:rPr>
        <w:t>.</w:t>
      </w:r>
    </w:p>
    <w:p w14:paraId="5F9F6CF6" w14:textId="77777777" w:rsidR="000544B8" w:rsidRPr="00DD477A" w:rsidRDefault="000544B8" w:rsidP="0095142C">
      <w:pPr>
        <w:pStyle w:val="Bullet1"/>
        <w:numPr>
          <w:ilvl w:val="0"/>
          <w:numId w:val="0"/>
        </w:numPr>
        <w:rPr>
          <w:rStyle w:val="BodyTextChar"/>
          <w:rFonts w:cs="Calibri"/>
        </w:rPr>
      </w:pPr>
      <w:r w:rsidRPr="00DD477A">
        <w:rPr>
          <w:rStyle w:val="BodyTextChar"/>
          <w:rFonts w:cs="Calibri"/>
        </w:rPr>
        <w:t>This sub-table should only be prepared by those entities which:</w:t>
      </w:r>
    </w:p>
    <w:p w14:paraId="022400FF" w14:textId="2F87083D" w:rsidR="000544B8" w:rsidRPr="00DD477A" w:rsidRDefault="000544B8" w:rsidP="00A85E0D">
      <w:pPr>
        <w:pStyle w:val="Bullet1"/>
        <w:rPr>
          <w:rStyle w:val="BodyTextChar"/>
          <w:rFonts w:cs="Calibri"/>
        </w:rPr>
      </w:pPr>
      <w:r w:rsidRPr="00DD477A">
        <w:rPr>
          <w:rStyle w:val="BodyTextChar"/>
          <w:rFonts w:cs="Calibri"/>
        </w:rPr>
        <w:t xml:space="preserve">are identified as </w:t>
      </w:r>
      <w:r w:rsidRPr="00DD477A">
        <w:rPr>
          <w:rStyle w:val="BodyTextChar"/>
          <w:rFonts w:cs="Calibri"/>
          <w:i/>
          <w:iCs/>
        </w:rPr>
        <w:t>Material</w:t>
      </w:r>
      <w:r w:rsidRPr="00DD477A">
        <w:rPr>
          <w:rStyle w:val="BodyTextChar"/>
          <w:rFonts w:cs="Calibri"/>
        </w:rPr>
        <w:t xml:space="preserve"> entities under either the </w:t>
      </w:r>
      <w:hyperlink r:id="rId125" w:history="1">
        <w:r w:rsidR="00C6591B" w:rsidRPr="00DD477A">
          <w:rPr>
            <w:rStyle w:val="Hyperlink"/>
            <w:rFonts w:cs="Calibri"/>
            <w:i/>
            <w:iCs/>
          </w:rPr>
          <w:t>Australian Government Organisations Register (AGOR)</w:t>
        </w:r>
      </w:hyperlink>
      <w:r w:rsidR="00C6591B" w:rsidRPr="00DD477A">
        <w:rPr>
          <w:rStyle w:val="BodyTextChar"/>
          <w:rFonts w:cs="Calibri"/>
        </w:rPr>
        <w:t xml:space="preserve"> </w:t>
      </w:r>
      <w:r w:rsidRPr="00DD477A">
        <w:rPr>
          <w:rStyle w:val="BodyTextChar"/>
          <w:rFonts w:cs="Calibri"/>
        </w:rPr>
        <w:t xml:space="preserve">or </w:t>
      </w:r>
      <w:hyperlink r:id="rId126" w:history="1">
        <w:r w:rsidRPr="00DD477A">
          <w:rPr>
            <w:rStyle w:val="Hyperlink"/>
            <w:rFonts w:cs="Calibri"/>
            <w:i/>
            <w:iCs/>
          </w:rPr>
          <w:t>PGPA Act Flipchart</w:t>
        </w:r>
      </w:hyperlink>
      <w:r w:rsidRPr="00DD477A">
        <w:rPr>
          <w:rStyle w:val="BodyTextChar"/>
          <w:rFonts w:cs="Calibri"/>
          <w:i/>
          <w:iCs/>
        </w:rPr>
        <w:t xml:space="preserve"> </w:t>
      </w:r>
    </w:p>
    <w:p w14:paraId="3A46F221" w14:textId="324FB9C0" w:rsidR="000544B8" w:rsidRPr="00DD477A" w:rsidRDefault="000544B8" w:rsidP="00A85E0D">
      <w:pPr>
        <w:pStyle w:val="Bullet1"/>
        <w:rPr>
          <w:rStyle w:val="BodyTextChar"/>
          <w:rFonts w:cs="Calibri"/>
        </w:rPr>
      </w:pPr>
      <w:r w:rsidRPr="00DD477A">
        <w:rPr>
          <w:rStyle w:val="BodyTextChar"/>
          <w:rFonts w:cs="Calibri"/>
        </w:rPr>
        <w:t>have total third party payments of $10 million or more in a year</w:t>
      </w:r>
      <w:r w:rsidR="006E4F60" w:rsidRPr="00DD477A">
        <w:rPr>
          <w:rStyle w:val="BodyTextChar"/>
          <w:rFonts w:cs="Calibri"/>
        </w:rPr>
        <w:t>,</w:t>
      </w:r>
      <w:r w:rsidRPr="00DD477A">
        <w:rPr>
          <w:rStyle w:val="BodyTextChar"/>
          <w:rFonts w:cs="Calibri"/>
        </w:rPr>
        <w:t xml:space="preserve"> or</w:t>
      </w:r>
    </w:p>
    <w:p w14:paraId="4EC3BE5F" w14:textId="77777777" w:rsidR="000544B8" w:rsidRPr="00DD477A" w:rsidRDefault="000544B8" w:rsidP="00A85E0D">
      <w:pPr>
        <w:pStyle w:val="Bullet1"/>
        <w:rPr>
          <w:rStyle w:val="BodyTextChar"/>
          <w:rFonts w:cs="Calibri"/>
        </w:rPr>
      </w:pPr>
      <w:r w:rsidRPr="00DD477A">
        <w:rPr>
          <w:rStyle w:val="BodyTextChar"/>
          <w:rFonts w:cs="Calibri"/>
        </w:rPr>
        <w:t xml:space="preserve">are considered </w:t>
      </w:r>
      <w:r w:rsidRPr="00DD477A">
        <w:rPr>
          <w:rStyle w:val="BodyTextChar"/>
          <w:rFonts w:cs="Calibri"/>
          <w:i/>
          <w:iCs/>
        </w:rPr>
        <w:t xml:space="preserve">Small </w:t>
      </w:r>
      <w:r w:rsidRPr="00DD477A">
        <w:rPr>
          <w:rStyle w:val="BodyTextChar"/>
          <w:rFonts w:cs="Calibri"/>
        </w:rPr>
        <w:t>entities who have third party payments totalling more than 25 per cent of their total resourcing.</w:t>
      </w:r>
    </w:p>
    <w:p w14:paraId="466B1FF2" w14:textId="77777777" w:rsidR="000544B8" w:rsidRPr="00DD477A" w:rsidRDefault="000544B8" w:rsidP="000544B8">
      <w:pPr>
        <w:pStyle w:val="Boxed2Text"/>
        <w:rPr>
          <w:rStyle w:val="BodyTextChar"/>
          <w:rFonts w:cs="Calibri"/>
        </w:rPr>
      </w:pPr>
      <w:r w:rsidRPr="00DD477A">
        <w:rPr>
          <w:rStyle w:val="BodyTextChar"/>
          <w:rFonts w:cs="Calibri"/>
        </w:rPr>
        <w:t xml:space="preserve">Material and Small entities can be identified by looking at the </w:t>
      </w:r>
      <w:r w:rsidRPr="00DD477A">
        <w:rPr>
          <w:rStyle w:val="BodyTextChar"/>
          <w:rFonts w:cs="Calibri"/>
          <w:i/>
          <w:iCs/>
        </w:rPr>
        <w:t>AGOR Register</w:t>
      </w:r>
      <w:r w:rsidRPr="00DD477A">
        <w:rPr>
          <w:rStyle w:val="BodyTextChar"/>
          <w:rFonts w:cs="Calibri"/>
        </w:rPr>
        <w:t xml:space="preserve"> or at Finance's </w:t>
      </w:r>
      <w:r w:rsidRPr="00DD477A">
        <w:rPr>
          <w:rStyle w:val="BodyTextChar"/>
          <w:rFonts w:cs="Calibri"/>
          <w:i/>
          <w:iCs/>
        </w:rPr>
        <w:t>PGPA Act Flipchart of Commonwealth entities and companies</w:t>
      </w:r>
      <w:r w:rsidRPr="00DD477A">
        <w:rPr>
          <w:rStyle w:val="BodyTextChar"/>
          <w:rFonts w:cs="Calibri"/>
        </w:rPr>
        <w:t xml:space="preserve"> (please refer to the Glossary for info on AGOR and the flipchart).</w:t>
      </w:r>
    </w:p>
    <w:p w14:paraId="16B5742A" w14:textId="01E41253" w:rsidR="000544B8" w:rsidRPr="00DD477A" w:rsidRDefault="00C87EDC" w:rsidP="00A85E0D">
      <w:pPr>
        <w:pStyle w:val="Bullet1"/>
        <w:keepNext/>
        <w:numPr>
          <w:ilvl w:val="0"/>
          <w:numId w:val="0"/>
        </w:numPr>
        <w:rPr>
          <w:rStyle w:val="BodyTextChar"/>
          <w:rFonts w:cs="Calibri"/>
          <w:szCs w:val="22"/>
        </w:rPr>
      </w:pPr>
      <w:r w:rsidRPr="00DD477A">
        <w:rPr>
          <w:rStyle w:val="BodyTextChar"/>
          <w:rFonts w:cs="Calibri"/>
        </w:rPr>
        <w:t>Third party payments include</w:t>
      </w:r>
      <w:r w:rsidR="000544B8" w:rsidRPr="00DD477A">
        <w:rPr>
          <w:rStyle w:val="BodyTextChar"/>
          <w:rFonts w:cs="Calibri"/>
        </w:rPr>
        <w:t>:</w:t>
      </w:r>
    </w:p>
    <w:p w14:paraId="4A361C4A" w14:textId="77777777" w:rsidR="000544B8" w:rsidRPr="00DD477A" w:rsidRDefault="000544B8" w:rsidP="00A85E0D">
      <w:pPr>
        <w:pStyle w:val="Bullet1"/>
        <w:rPr>
          <w:rStyle w:val="BodyTextChar"/>
          <w:rFonts w:cs="Calibri"/>
        </w:rPr>
      </w:pPr>
      <w:r w:rsidRPr="00DD477A">
        <w:rPr>
          <w:rStyle w:val="BodyTextChar"/>
          <w:rFonts w:cs="Calibri"/>
          <w:b/>
          <w:bCs/>
        </w:rPr>
        <w:t>Payments made on behalf of another entity</w:t>
      </w:r>
      <w:r w:rsidRPr="00DD477A">
        <w:rPr>
          <w:rStyle w:val="BodyTextChar"/>
          <w:rFonts w:cs="Calibri"/>
        </w:rPr>
        <w:t xml:space="preserve"> occur where an entity accesses another entity’s appropriations to pay recipients or external parties on behalf of the other entity, for example, Services Australia (SA) would show the value of appropriations it draws upon to pay income support recipients on behalf of the Department of Social Services (DSS).</w:t>
      </w:r>
    </w:p>
    <w:p w14:paraId="18E82318" w14:textId="77777777" w:rsidR="000544B8" w:rsidRPr="00DD477A" w:rsidRDefault="000544B8" w:rsidP="00A85E0D">
      <w:pPr>
        <w:pStyle w:val="Bullet1"/>
        <w:rPr>
          <w:rStyle w:val="BodyTextChar"/>
          <w:rFonts w:cs="Calibri"/>
        </w:rPr>
      </w:pPr>
      <w:r w:rsidRPr="00DD477A">
        <w:rPr>
          <w:rStyle w:val="BodyTextChar"/>
          <w:rFonts w:cs="Calibri"/>
          <w:b/>
          <w:bCs/>
        </w:rPr>
        <w:t>Payments made by other entities on behalf of the entity</w:t>
      </w:r>
      <w:r w:rsidRPr="00DD477A">
        <w:rPr>
          <w:rStyle w:val="BodyTextChar"/>
          <w:rFonts w:cs="Calibri"/>
        </w:rPr>
        <w:t xml:space="preserve"> are those payments which have been outsourced to another entity to administer, for example, DSS would disclose the appropriations being drawn upon by SA to pay income support recipients.</w:t>
      </w:r>
    </w:p>
    <w:p w14:paraId="1C970BE3" w14:textId="77777777" w:rsidR="000544B8" w:rsidRPr="00DD477A" w:rsidRDefault="000544B8" w:rsidP="00A85E0D">
      <w:pPr>
        <w:pStyle w:val="Bullet1"/>
        <w:rPr>
          <w:rStyle w:val="BodyTextChar"/>
          <w:rFonts w:cs="Calibri"/>
        </w:rPr>
      </w:pPr>
      <w:r w:rsidRPr="00DD477A">
        <w:rPr>
          <w:rStyle w:val="BodyTextChar"/>
          <w:rFonts w:cs="Calibri"/>
          <w:b/>
          <w:bCs/>
        </w:rPr>
        <w:t>Payments made to other entities for the provision of services</w:t>
      </w:r>
      <w:r w:rsidRPr="00DD477A">
        <w:rPr>
          <w:rStyle w:val="BodyTextChar"/>
          <w:rFonts w:cs="Calibri"/>
        </w:rPr>
        <w:t xml:space="preserve"> are amounts paid to other entities for contracted services, for example, for shared/corporate services.</w:t>
      </w:r>
    </w:p>
    <w:p w14:paraId="69AFD7D5" w14:textId="77777777" w:rsidR="000544B8" w:rsidRPr="00DD477A" w:rsidRDefault="000544B8" w:rsidP="00A85E0D">
      <w:pPr>
        <w:pStyle w:val="Bullet2"/>
        <w:rPr>
          <w:rStyle w:val="BodyTextChar"/>
          <w:rFonts w:cs="Calibri"/>
        </w:rPr>
      </w:pPr>
      <w:r w:rsidRPr="00DD477A">
        <w:rPr>
          <w:rStyle w:val="BodyTextChar"/>
          <w:rFonts w:cs="Calibri"/>
          <w:b/>
          <w:bCs/>
        </w:rPr>
        <w:t>Receipts received from other entities for the provision of services</w:t>
      </w:r>
      <w:r w:rsidRPr="00DD477A">
        <w:rPr>
          <w:rStyle w:val="BodyTextChar"/>
          <w:rFonts w:cs="Calibri"/>
        </w:rPr>
        <w:t xml:space="preserve"> are amounts received where the entity provides services to another entity, for example, for the provision of shared/corporate services.</w:t>
      </w:r>
    </w:p>
    <w:p w14:paraId="5BEE848E" w14:textId="16375BF9" w:rsidR="000544B8" w:rsidRPr="00DD477A" w:rsidRDefault="000544B8" w:rsidP="00A85E0D">
      <w:pPr>
        <w:pStyle w:val="Bullet2"/>
        <w:rPr>
          <w:rStyle w:val="BodyTextChar"/>
          <w:rFonts w:eastAsiaTheme="minorHAnsi" w:cs="Calibri"/>
          <w:szCs w:val="22"/>
        </w:rPr>
      </w:pPr>
      <w:r w:rsidRPr="00DD477A">
        <w:rPr>
          <w:rStyle w:val="BodyTextChar"/>
          <w:rFonts w:cs="Calibri"/>
          <w:b/>
          <w:bCs/>
        </w:rPr>
        <w:lastRenderedPageBreak/>
        <w:t>Payments made to corporate entities within the portfolio</w:t>
      </w:r>
      <w:r w:rsidRPr="00DD477A">
        <w:rPr>
          <w:rStyle w:val="BodyTextChar"/>
          <w:rFonts w:cs="Calibri"/>
        </w:rPr>
        <w:t xml:space="preserve"> provides a breakdown of payments (from all appropriation sources) made by portfolio departments to each corporate entity in the portfolio – figures shown here should include amounts disclosed as </w:t>
      </w:r>
      <w:r w:rsidRPr="00DD477A">
        <w:rPr>
          <w:rStyle w:val="BodyTextChar"/>
          <w:rFonts w:cs="Calibri"/>
          <w:i/>
          <w:iCs/>
        </w:rPr>
        <w:t>‘payments to corporate entities’</w:t>
      </w:r>
      <w:r w:rsidRPr="00DD477A">
        <w:rPr>
          <w:rStyle w:val="BodyTextChar"/>
          <w:rFonts w:cs="Calibri"/>
        </w:rPr>
        <w:t xml:space="preserve"> in the Appropriation Bills. These amounts should be consistent with any figures reported in Table 2.X.1.</w:t>
      </w:r>
    </w:p>
    <w:p w14:paraId="68602ADA" w14:textId="777E9B32" w:rsidR="000544B8" w:rsidRPr="00DD477A" w:rsidRDefault="000544B8" w:rsidP="000544B8">
      <w:pPr>
        <w:pStyle w:val="Boxed2Text"/>
        <w:rPr>
          <w:rFonts w:cs="Calibri"/>
        </w:rPr>
      </w:pPr>
      <w:r w:rsidRPr="00DD477A">
        <w:rPr>
          <w:rStyle w:val="BodyTextChar"/>
          <w:rFonts w:eastAsiaTheme="minorHAnsi" w:cs="Calibri"/>
        </w:rPr>
        <w:t>Select the current financial year only to get the ‘Actual available appropriation’ figure available on that day. This amount reflects what is</w:t>
      </w:r>
      <w:r w:rsidR="001D1678" w:rsidRPr="00DD477A">
        <w:rPr>
          <w:rStyle w:val="BodyTextChar"/>
          <w:rFonts w:eastAsiaTheme="minorHAnsi" w:cs="Calibri"/>
        </w:rPr>
        <w:t xml:space="preserve"> legally</w:t>
      </w:r>
      <w:r w:rsidRPr="00DD477A">
        <w:rPr>
          <w:rStyle w:val="BodyTextChar"/>
          <w:rFonts w:eastAsiaTheme="minorHAnsi" w:cs="Calibri"/>
        </w:rPr>
        <w:t xml:space="preserve"> available in </w:t>
      </w:r>
      <w:r w:rsidR="00D15DC6" w:rsidRPr="00DD477A">
        <w:rPr>
          <w:rStyle w:val="BodyTextChar"/>
          <w:rFonts w:eastAsiaTheme="minorHAnsi" w:cs="Calibri"/>
        </w:rPr>
        <w:t xml:space="preserve">the </w:t>
      </w:r>
      <w:r w:rsidRPr="00DD477A">
        <w:rPr>
          <w:rStyle w:val="BodyTextChar"/>
          <w:rFonts w:eastAsiaTheme="minorHAnsi" w:cs="Calibri"/>
        </w:rPr>
        <w:t xml:space="preserve">Cash Management </w:t>
      </w:r>
      <w:r w:rsidR="00D15DC6" w:rsidRPr="00DD477A">
        <w:rPr>
          <w:rStyle w:val="BodyTextChar"/>
          <w:rFonts w:eastAsiaTheme="minorHAnsi" w:cs="Calibri"/>
        </w:rPr>
        <w:t xml:space="preserve">module for 2023-24 </w:t>
      </w:r>
      <w:r w:rsidRPr="00DD477A">
        <w:rPr>
          <w:rStyle w:val="BodyTextChar"/>
          <w:rFonts w:eastAsiaTheme="minorHAnsi" w:cs="Calibri"/>
        </w:rPr>
        <w:t>and should be adjusted for any amounts expected to be paid out by 30 June 2024. The amount shown in the AAA Report will be net of any s51 withholdings and administrative quarantines.</w:t>
      </w:r>
    </w:p>
    <w:p w14:paraId="409D31F1" w14:textId="2D2BD6FA" w:rsidR="00FA0945" w:rsidRPr="009E2937" w:rsidRDefault="53BF0693" w:rsidP="00E548A0">
      <w:pPr>
        <w:pStyle w:val="Heading2"/>
      </w:pPr>
      <w:bookmarkStart w:id="796" w:name="_Toc87979875"/>
      <w:bookmarkStart w:id="797" w:name="_Toc47369880"/>
      <w:bookmarkStart w:id="798" w:name="_Toc29980680"/>
      <w:bookmarkStart w:id="799" w:name="_Toc30405568"/>
      <w:bookmarkStart w:id="800" w:name="_Toc30581309"/>
      <w:bookmarkStart w:id="801" w:name="_Toc32829971"/>
      <w:bookmarkStart w:id="802" w:name="_Toc32917478"/>
      <w:bookmarkStart w:id="803" w:name="_Toc32918284"/>
      <w:bookmarkStart w:id="804" w:name="_Toc32999667"/>
      <w:bookmarkStart w:id="805" w:name="_Toc33099386"/>
      <w:bookmarkStart w:id="806" w:name="_Toc33196011"/>
      <w:bookmarkStart w:id="807" w:name="_Toc33196313"/>
      <w:bookmarkStart w:id="808" w:name="_Toc157088602"/>
      <w:bookmarkStart w:id="809" w:name="_Toc411852678"/>
      <w:bookmarkStart w:id="810" w:name="_Toc534382558"/>
      <w:bookmarkStart w:id="811" w:name="_Ref47004664"/>
      <w:bookmarkStart w:id="812" w:name="_Ref47004670"/>
      <w:bookmarkStart w:id="813" w:name="_Toc63347705"/>
      <w:bookmarkStart w:id="814" w:name="_Toc160715562"/>
      <w:bookmarkEnd w:id="781"/>
      <w:bookmarkEnd w:id="782"/>
      <w:bookmarkEnd w:id="783"/>
      <w:bookmarkEnd w:id="796"/>
      <w:bookmarkEnd w:id="797"/>
      <w:bookmarkEnd w:id="798"/>
      <w:bookmarkEnd w:id="799"/>
      <w:bookmarkEnd w:id="800"/>
      <w:bookmarkEnd w:id="801"/>
      <w:bookmarkEnd w:id="802"/>
      <w:bookmarkEnd w:id="803"/>
      <w:bookmarkEnd w:id="804"/>
      <w:bookmarkEnd w:id="805"/>
      <w:bookmarkEnd w:id="806"/>
      <w:bookmarkEnd w:id="807"/>
      <w:bookmarkEnd w:id="808"/>
      <w:r w:rsidRPr="009E2937">
        <w:t>Budget measures</w:t>
      </w:r>
      <w:bookmarkEnd w:id="809"/>
      <w:bookmarkEnd w:id="810"/>
      <w:bookmarkEnd w:id="811"/>
      <w:bookmarkEnd w:id="812"/>
      <w:bookmarkEnd w:id="813"/>
      <w:r w:rsidR="00A93F1E" w:rsidRPr="009E2937">
        <w:t xml:space="preserve"> - Table 1.2</w:t>
      </w:r>
      <w:bookmarkEnd w:id="814"/>
    </w:p>
    <w:p w14:paraId="3C1795B3" w14:textId="6A62B18B" w:rsidR="00C90453" w:rsidRPr="00DD477A" w:rsidRDefault="00C90453" w:rsidP="53BF0693">
      <w:pPr>
        <w:rPr>
          <w:rStyle w:val="BodyTextChar"/>
          <w:rFonts w:cs="Calibri"/>
        </w:rPr>
      </w:pPr>
      <w:r w:rsidRPr="00DD477A">
        <w:rPr>
          <w:rFonts w:eastAsia="Cambria" w:cs="Calibri"/>
          <w:noProof/>
        </w:rPr>
        <w:drawing>
          <wp:inline distT="0" distB="0" distL="0" distR="0" wp14:anchorId="13385AE6" wp14:editId="2AAE3D65">
            <wp:extent cx="5835650" cy="1700667"/>
            <wp:effectExtent l="0" t="0" r="0" b="0"/>
            <wp:docPr id="1224276615" name="Diagram 12242766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7" r:lo="rId128" r:qs="rId129" r:cs="rId130"/>
              </a:graphicData>
            </a:graphic>
          </wp:inline>
        </w:drawing>
      </w:r>
    </w:p>
    <w:p w14:paraId="18DA39FC" w14:textId="4A8FF985" w:rsidR="002D7CF6" w:rsidRPr="00DD477A" w:rsidRDefault="53BF0693" w:rsidP="53BF0693">
      <w:pPr>
        <w:rPr>
          <w:rStyle w:val="BodyTextChar"/>
          <w:rFonts w:cs="Calibri"/>
        </w:rPr>
      </w:pPr>
      <w:r w:rsidRPr="00DD477A">
        <w:rPr>
          <w:rStyle w:val="BodyTextChar"/>
          <w:rFonts w:cs="Calibri"/>
        </w:rPr>
        <w:t xml:space="preserve">The </w:t>
      </w:r>
      <w:r w:rsidRPr="00DD477A">
        <w:rPr>
          <w:rStyle w:val="BodyTextChar"/>
          <w:rFonts w:cs="Calibri"/>
          <w:i/>
          <w:iCs/>
        </w:rPr>
        <w:t>Budget measures</w:t>
      </w:r>
      <w:r w:rsidRPr="00DD477A">
        <w:rPr>
          <w:rStyle w:val="BodyTextChar"/>
          <w:rFonts w:cs="Calibri"/>
        </w:rPr>
        <w:t xml:space="preserve"> section primarily highlights new government decisions support</w:t>
      </w:r>
      <w:r w:rsidR="00D0729E" w:rsidRPr="00DD477A">
        <w:rPr>
          <w:rStyle w:val="BodyTextChar"/>
          <w:rFonts w:cs="Calibri"/>
        </w:rPr>
        <w:t>ed</w:t>
      </w:r>
      <w:r w:rsidR="00D47314" w:rsidRPr="00DD477A">
        <w:rPr>
          <w:rStyle w:val="BodyTextChar"/>
          <w:rFonts w:cs="Calibri"/>
        </w:rPr>
        <w:t xml:space="preserve"> by</w:t>
      </w:r>
      <w:r w:rsidRPr="00DD477A">
        <w:rPr>
          <w:rStyle w:val="BodyTextChar"/>
          <w:rFonts w:cs="Calibri"/>
        </w:rPr>
        <w:t xml:space="preserve"> the </w:t>
      </w:r>
      <w:r w:rsidRPr="00DD477A">
        <w:rPr>
          <w:rStyle w:val="BodyTextChar"/>
          <w:rFonts w:cs="Calibri"/>
          <w:iCs/>
        </w:rPr>
        <w:t>Appropriation Bills</w:t>
      </w:r>
      <w:r w:rsidR="00CB6496" w:rsidRPr="00DD477A">
        <w:rPr>
          <w:rStyle w:val="BodyTextChar"/>
          <w:rFonts w:cs="Calibri"/>
          <w:iCs/>
        </w:rPr>
        <w:t xml:space="preserve"> (</w:t>
      </w:r>
      <w:r w:rsidR="001675A8" w:rsidRPr="00DD477A">
        <w:rPr>
          <w:rStyle w:val="BodyTextChar"/>
          <w:rFonts w:cs="Calibri"/>
          <w:iCs/>
        </w:rPr>
        <w:t>No.</w:t>
      </w:r>
      <w:r w:rsidR="00E73976" w:rsidRPr="00DD477A">
        <w:rPr>
          <w:rStyle w:val="BodyTextChar"/>
          <w:rFonts w:cs="Calibri"/>
          <w:iCs/>
        </w:rPr>
        <w:t xml:space="preserve"> </w:t>
      </w:r>
      <w:r w:rsidR="00CB6496" w:rsidRPr="00DD477A">
        <w:rPr>
          <w:rStyle w:val="BodyTextChar"/>
          <w:rFonts w:cs="Calibri"/>
          <w:iCs/>
        </w:rPr>
        <w:t>1</w:t>
      </w:r>
      <w:r w:rsidR="00E73976" w:rsidRPr="00DD477A">
        <w:rPr>
          <w:rStyle w:val="BodyTextChar"/>
          <w:rFonts w:cs="Calibri"/>
          <w:iCs/>
        </w:rPr>
        <w:t xml:space="preserve"> and 2</w:t>
      </w:r>
      <w:r w:rsidR="00CB6496" w:rsidRPr="00DD477A">
        <w:rPr>
          <w:rStyle w:val="BodyTextChar"/>
          <w:rFonts w:cs="Calibri"/>
          <w:iCs/>
        </w:rPr>
        <w:t xml:space="preserve">) </w:t>
      </w:r>
      <w:r w:rsidR="00B11749" w:rsidRPr="00DD477A">
        <w:rPr>
          <w:rStyle w:val="BodyTextChar"/>
          <w:rFonts w:cs="Calibri"/>
          <w:iCs/>
        </w:rPr>
        <w:t>202</w:t>
      </w:r>
      <w:r w:rsidR="001C4517" w:rsidRPr="00DD477A">
        <w:rPr>
          <w:rStyle w:val="BodyTextChar"/>
          <w:rFonts w:cs="Calibri"/>
          <w:iCs/>
        </w:rPr>
        <w:t>4</w:t>
      </w:r>
      <w:r w:rsidR="00B11749" w:rsidRPr="00DD477A">
        <w:rPr>
          <w:rStyle w:val="BodyTextChar"/>
          <w:rFonts w:cs="Calibri"/>
          <w:iCs/>
        </w:rPr>
        <w:t>-</w:t>
      </w:r>
      <w:r w:rsidR="00E73976" w:rsidRPr="00DD477A">
        <w:rPr>
          <w:rStyle w:val="BodyTextChar"/>
          <w:rFonts w:cs="Calibri"/>
          <w:iCs/>
        </w:rPr>
        <w:t>20</w:t>
      </w:r>
      <w:r w:rsidR="00B11749" w:rsidRPr="00DD477A">
        <w:rPr>
          <w:rStyle w:val="BodyTextChar"/>
          <w:rFonts w:cs="Calibri"/>
          <w:iCs/>
        </w:rPr>
        <w:t>2</w:t>
      </w:r>
      <w:r w:rsidR="001C4517" w:rsidRPr="00DD477A">
        <w:rPr>
          <w:rStyle w:val="BodyTextChar"/>
          <w:rFonts w:cs="Calibri"/>
          <w:iCs/>
        </w:rPr>
        <w:t>5</w:t>
      </w:r>
      <w:r w:rsidRPr="00DD477A">
        <w:rPr>
          <w:rStyle w:val="BodyTextChar"/>
          <w:rFonts w:cs="Calibri"/>
        </w:rPr>
        <w:t>.</w:t>
      </w:r>
    </w:p>
    <w:p w14:paraId="06EF389D" w14:textId="266A3095" w:rsidR="00F83095" w:rsidRPr="00DD477A" w:rsidRDefault="53BF0693" w:rsidP="53BF0693">
      <w:pPr>
        <w:rPr>
          <w:rStyle w:val="BodyTextChar"/>
          <w:rFonts w:cs="Calibri"/>
        </w:rPr>
      </w:pPr>
      <w:r w:rsidRPr="00DD477A">
        <w:rPr>
          <w:rStyle w:val="BodyTextChar"/>
          <w:rFonts w:cs="Calibri"/>
        </w:rPr>
        <w:t xml:space="preserve">For the </w:t>
      </w:r>
      <w:r w:rsidR="00B11749" w:rsidRPr="00DD477A">
        <w:rPr>
          <w:rStyle w:val="BodyTextChar"/>
          <w:rFonts w:cs="Calibri"/>
        </w:rPr>
        <w:t>202</w:t>
      </w:r>
      <w:r w:rsidR="001C4517" w:rsidRPr="00DD477A">
        <w:rPr>
          <w:rStyle w:val="BodyTextChar"/>
          <w:rFonts w:cs="Calibri"/>
        </w:rPr>
        <w:t>4</w:t>
      </w:r>
      <w:r w:rsidR="00B11749" w:rsidRPr="00DD477A">
        <w:rPr>
          <w:rStyle w:val="BodyTextChar"/>
          <w:rFonts w:cs="Calibri"/>
        </w:rPr>
        <w:t>-2</w:t>
      </w:r>
      <w:r w:rsidR="001C4517" w:rsidRPr="00DD477A">
        <w:rPr>
          <w:rStyle w:val="BodyTextChar"/>
          <w:rFonts w:cs="Calibri"/>
        </w:rPr>
        <w:t>5</w:t>
      </w:r>
      <w:r w:rsidR="0007613A" w:rsidRPr="00DD477A">
        <w:rPr>
          <w:rStyle w:val="BodyTextChar"/>
          <w:rFonts w:cs="Calibri"/>
        </w:rPr>
        <w:t xml:space="preserve"> </w:t>
      </w:r>
      <w:r w:rsidRPr="00DD477A">
        <w:rPr>
          <w:rStyle w:val="BodyTextChar"/>
          <w:rFonts w:cs="Calibri"/>
        </w:rPr>
        <w:t xml:space="preserve">Budget, entities </w:t>
      </w:r>
      <w:r w:rsidRPr="00DD477A">
        <w:rPr>
          <w:rStyle w:val="BodyTextChar"/>
          <w:rFonts w:cs="Calibri"/>
          <w:b/>
          <w:bCs/>
        </w:rPr>
        <w:t>are only required</w:t>
      </w:r>
      <w:r w:rsidRPr="00DD477A">
        <w:rPr>
          <w:rStyle w:val="BodyTextChar"/>
          <w:rFonts w:cs="Calibri"/>
        </w:rPr>
        <w:t xml:space="preserve"> to report measures taken </w:t>
      </w:r>
      <w:r w:rsidR="000D2200" w:rsidRPr="00DD477A">
        <w:rPr>
          <w:rStyle w:val="BodyTextChar"/>
          <w:rFonts w:cs="Calibri"/>
        </w:rPr>
        <w:t>since the</w:t>
      </w:r>
      <w:r w:rsidR="00A55C16" w:rsidRPr="00DD477A">
        <w:rPr>
          <w:rStyle w:val="BodyTextChar"/>
          <w:rFonts w:cs="Calibri"/>
        </w:rPr>
        <w:t xml:space="preserve"> </w:t>
      </w:r>
      <w:r w:rsidR="005C68B8" w:rsidRPr="00DD477A">
        <w:rPr>
          <w:rStyle w:val="BodyTextChar"/>
          <w:rFonts w:cs="Calibri"/>
        </w:rPr>
        <w:t>202</w:t>
      </w:r>
      <w:r w:rsidR="001C4517" w:rsidRPr="00DD477A">
        <w:rPr>
          <w:rStyle w:val="BodyTextChar"/>
          <w:rFonts w:cs="Calibri"/>
        </w:rPr>
        <w:t>3</w:t>
      </w:r>
      <w:r w:rsidR="0031790E" w:rsidRPr="00DD477A">
        <w:rPr>
          <w:rStyle w:val="BodyTextChar"/>
          <w:rFonts w:cs="Calibri"/>
        </w:rPr>
        <w:noBreakHyphen/>
      </w:r>
      <w:r w:rsidR="005C68B8" w:rsidRPr="00DD477A">
        <w:rPr>
          <w:rStyle w:val="BodyTextChar"/>
          <w:rFonts w:cs="Calibri"/>
        </w:rPr>
        <w:t>2</w:t>
      </w:r>
      <w:r w:rsidR="001C4517" w:rsidRPr="00DD477A">
        <w:rPr>
          <w:rStyle w:val="BodyTextChar"/>
          <w:rFonts w:cs="Calibri"/>
        </w:rPr>
        <w:t>4 P</w:t>
      </w:r>
      <w:r w:rsidR="009E7064" w:rsidRPr="00DD477A">
        <w:rPr>
          <w:rStyle w:val="BodyTextChar"/>
          <w:rFonts w:cs="Calibri"/>
        </w:rPr>
        <w:t>AES</w:t>
      </w:r>
      <w:r w:rsidR="001733B4" w:rsidRPr="00DD477A">
        <w:rPr>
          <w:rStyle w:val="BodyTextChar"/>
          <w:rFonts w:cs="Calibri"/>
        </w:rPr>
        <w:t xml:space="preserve"> </w:t>
      </w:r>
      <w:r w:rsidR="00A55C16" w:rsidRPr="00DD477A">
        <w:rPr>
          <w:rStyle w:val="BodyTextChar"/>
          <w:rFonts w:cs="Calibri"/>
        </w:rPr>
        <w:t>Budget</w:t>
      </w:r>
      <w:r w:rsidRPr="00DD477A">
        <w:rPr>
          <w:rStyle w:val="BodyTextChar"/>
          <w:rFonts w:cs="Calibri"/>
        </w:rPr>
        <w:t>.</w:t>
      </w:r>
    </w:p>
    <w:p w14:paraId="2FCE0938" w14:textId="693F2C57" w:rsidR="00FA0945" w:rsidRPr="00DD477A" w:rsidRDefault="53BF0693" w:rsidP="53BF0693">
      <w:pPr>
        <w:rPr>
          <w:rStyle w:val="BodyTextChar"/>
          <w:rFonts w:cs="Calibri"/>
        </w:rPr>
      </w:pPr>
      <w:r w:rsidRPr="00DD477A">
        <w:rPr>
          <w:rStyle w:val="BodyTextChar"/>
          <w:rFonts w:cs="Calibri"/>
        </w:rPr>
        <w:t xml:space="preserve">For completeness, </w:t>
      </w:r>
      <w:r w:rsidRPr="00DD477A">
        <w:rPr>
          <w:rStyle w:val="BodyTextChar"/>
          <w:rFonts w:cs="Calibri"/>
          <w:b/>
          <w:bCs/>
        </w:rPr>
        <w:t>all measures</w:t>
      </w:r>
      <w:r w:rsidRPr="00DD477A">
        <w:rPr>
          <w:rStyle w:val="BodyTextChar"/>
          <w:rFonts w:cs="Calibri"/>
        </w:rPr>
        <w:t xml:space="preserve"> should be reported at the entity level in PB Statements, including measures with zero financial impact.</w:t>
      </w:r>
      <w:r w:rsidR="008C5FFB" w:rsidRPr="00DD477A">
        <w:rPr>
          <w:rStyle w:val="BodyTextChar"/>
          <w:rFonts w:cs="Calibri"/>
        </w:rPr>
        <w:t xml:space="preserve"> </w:t>
      </w:r>
      <w:r w:rsidRPr="00DD477A">
        <w:rPr>
          <w:rStyle w:val="BodyTextChar"/>
          <w:rFonts w:cs="Calibri"/>
        </w:rPr>
        <w:t>This complements the whole-of-government public reporting of all measures in BP No. 2 and ensures a clear</w:t>
      </w:r>
      <w:r w:rsidR="00913C21" w:rsidRPr="00DD477A">
        <w:rPr>
          <w:rStyle w:val="BodyTextChar"/>
          <w:rFonts w:cs="Calibri"/>
        </w:rPr>
        <w:t xml:space="preserve"> </w:t>
      </w:r>
      <w:r w:rsidRPr="00DD477A">
        <w:rPr>
          <w:rStyle w:val="BodyTextChar"/>
          <w:rFonts w:cs="Calibri"/>
        </w:rPr>
        <w:t xml:space="preserve">read of </w:t>
      </w:r>
      <w:r w:rsidR="006418EA" w:rsidRPr="00DD477A">
        <w:rPr>
          <w:rStyle w:val="BodyTextChar"/>
          <w:rFonts w:cs="Calibri"/>
        </w:rPr>
        <w:t>government</w:t>
      </w:r>
      <w:r w:rsidRPr="00DD477A">
        <w:rPr>
          <w:rStyle w:val="BodyTextChar"/>
          <w:rFonts w:cs="Calibri"/>
        </w:rPr>
        <w:t xml:space="preserve"> decisions to entity level across key budget publications.</w:t>
      </w:r>
    </w:p>
    <w:p w14:paraId="0E4469C9" w14:textId="04FC05DF" w:rsidR="00AE63CA" w:rsidRPr="00DD477A" w:rsidRDefault="53BF0693" w:rsidP="53BF0693">
      <w:pPr>
        <w:rPr>
          <w:rStyle w:val="BodyTextChar"/>
          <w:rFonts w:cs="Calibri"/>
        </w:rPr>
      </w:pPr>
      <w:r w:rsidRPr="00DD477A">
        <w:rPr>
          <w:rStyle w:val="BodyTextChar"/>
          <w:rFonts w:cs="Calibri"/>
        </w:rPr>
        <w:t xml:space="preserve">All details of </w:t>
      </w:r>
      <w:r w:rsidR="00B11749" w:rsidRPr="00DD477A">
        <w:rPr>
          <w:rStyle w:val="BodyTextChar"/>
          <w:rFonts w:cs="Calibri"/>
        </w:rPr>
        <w:t>202</w:t>
      </w:r>
      <w:r w:rsidR="0097738F" w:rsidRPr="00DD477A">
        <w:rPr>
          <w:rStyle w:val="BodyTextChar"/>
          <w:rFonts w:cs="Calibri"/>
        </w:rPr>
        <w:t>4</w:t>
      </w:r>
      <w:r w:rsidR="00B11749" w:rsidRPr="00DD477A">
        <w:rPr>
          <w:rStyle w:val="BodyTextChar"/>
          <w:rFonts w:cs="Calibri"/>
        </w:rPr>
        <w:t>-2</w:t>
      </w:r>
      <w:r w:rsidR="0097738F" w:rsidRPr="00DD477A">
        <w:rPr>
          <w:rStyle w:val="BodyTextChar"/>
          <w:rFonts w:cs="Calibri"/>
        </w:rPr>
        <w:t>5</w:t>
      </w:r>
      <w:r w:rsidR="0007613A" w:rsidRPr="00DD477A">
        <w:rPr>
          <w:rStyle w:val="BodyTextChar"/>
          <w:rFonts w:cs="Calibri"/>
        </w:rPr>
        <w:t xml:space="preserve"> </w:t>
      </w:r>
      <w:r w:rsidRPr="00DD477A">
        <w:rPr>
          <w:rStyle w:val="BodyTextChar"/>
          <w:rFonts w:cs="Calibri"/>
        </w:rPr>
        <w:t xml:space="preserve">Budget measures </w:t>
      </w:r>
      <w:r w:rsidR="00113504" w:rsidRPr="00DD477A">
        <w:rPr>
          <w:rStyle w:val="BodyTextChar"/>
          <w:rFonts w:cs="Calibri"/>
        </w:rPr>
        <w:t xml:space="preserve">reported in Table 1.2 </w:t>
      </w:r>
      <w:r w:rsidRPr="00DD477A">
        <w:rPr>
          <w:rStyle w:val="BodyTextChar"/>
          <w:rFonts w:cs="Calibri"/>
          <w:b/>
          <w:bCs/>
        </w:rPr>
        <w:t>must match</w:t>
      </w:r>
      <w:r w:rsidRPr="00DD477A">
        <w:rPr>
          <w:rStyle w:val="BodyTextChar"/>
          <w:rFonts w:cs="Calibri"/>
        </w:rPr>
        <w:t xml:space="preserve"> the final measures list provided by Finance 2. Measure figures are to be reported on the same basis on which BP No. 2 is prepared.</w:t>
      </w:r>
    </w:p>
    <w:p w14:paraId="751659B9" w14:textId="7FF2A7CF" w:rsidR="00793B3D" w:rsidRPr="00DD477A" w:rsidRDefault="53BF0693" w:rsidP="0A3115C5">
      <w:pPr>
        <w:pStyle w:val="Boxed2Text"/>
        <w:rPr>
          <w:rFonts w:cs="Calibri"/>
        </w:rPr>
      </w:pPr>
      <w:r w:rsidRPr="00DD477A">
        <w:rPr>
          <w:rStyle w:val="BodyTextChar"/>
          <w:rFonts w:cs="Calibri"/>
        </w:rPr>
        <w:t xml:space="preserve">Measures are reported in BP No. 2 and PB Statements in </w:t>
      </w:r>
      <w:r w:rsidR="0031790E" w:rsidRPr="00DD477A">
        <w:rPr>
          <w:rStyle w:val="BodyTextChar"/>
          <w:rFonts w:cs="Calibri"/>
        </w:rPr>
        <w:t>Underlying Cash Balance (</w:t>
      </w:r>
      <w:r w:rsidRPr="00DD477A">
        <w:rPr>
          <w:rStyle w:val="BodyTextChar"/>
          <w:rFonts w:cs="Calibri"/>
        </w:rPr>
        <w:t>UCB</w:t>
      </w:r>
      <w:r w:rsidR="0031790E" w:rsidRPr="00DD477A">
        <w:rPr>
          <w:rStyle w:val="BodyTextChar"/>
          <w:rFonts w:cs="Calibri"/>
        </w:rPr>
        <w:t>)</w:t>
      </w:r>
      <w:r w:rsidRPr="00DD477A">
        <w:rPr>
          <w:rStyle w:val="BodyTextChar"/>
          <w:rFonts w:cs="Calibri"/>
        </w:rPr>
        <w:t xml:space="preserve"> terms. </w:t>
      </w:r>
      <w:r w:rsidR="27A9DE08" w:rsidRPr="00DD477A">
        <w:rPr>
          <w:rStyle w:val="BodyTextChar"/>
          <w:rFonts w:cs="Calibri"/>
        </w:rPr>
        <w:t>T</w:t>
      </w:r>
      <w:r w:rsidR="27A9DE08" w:rsidRPr="00DD477A">
        <w:rPr>
          <w:rFonts w:cs="Calibri"/>
        </w:rPr>
        <w:t>he financial implications table (Table 1.2)</w:t>
      </w:r>
      <w:r w:rsidR="30B870EF" w:rsidRPr="00DD477A">
        <w:rPr>
          <w:rFonts w:cs="Calibri"/>
        </w:rPr>
        <w:t xml:space="preserve"> </w:t>
      </w:r>
      <w:r w:rsidR="27A9DE08" w:rsidRPr="00DD477A">
        <w:rPr>
          <w:rFonts w:cs="Calibri"/>
        </w:rPr>
        <w:t>will reflect receipt and payment impacts only.</w:t>
      </w:r>
    </w:p>
    <w:p w14:paraId="719AFF96" w14:textId="0DBBB4DE" w:rsidR="00B066EC" w:rsidRPr="00DD477A" w:rsidRDefault="27A9DE08" w:rsidP="0A3115C5">
      <w:pPr>
        <w:pStyle w:val="Boxed2Text"/>
        <w:rPr>
          <w:rFonts w:cs="Calibri"/>
        </w:rPr>
      </w:pPr>
      <w:r w:rsidRPr="00DD477A">
        <w:rPr>
          <w:rFonts w:cs="Calibri"/>
        </w:rPr>
        <w:t>Capital spending components will be included in the payment impacts.</w:t>
      </w:r>
    </w:p>
    <w:p w14:paraId="624C06D7" w14:textId="61B431E2" w:rsidR="00FA0945" w:rsidRPr="00DD477A" w:rsidRDefault="53BF0693" w:rsidP="53BF0693">
      <w:pPr>
        <w:rPr>
          <w:rStyle w:val="BodyTextChar"/>
          <w:rFonts w:cs="Calibri"/>
        </w:rPr>
      </w:pPr>
      <w:r w:rsidRPr="00DD477A">
        <w:rPr>
          <w:rStyle w:val="BodyTextChar"/>
          <w:rFonts w:cs="Calibri"/>
        </w:rPr>
        <w:t xml:space="preserve">The measure title for </w:t>
      </w:r>
      <w:r w:rsidRPr="00DD477A">
        <w:rPr>
          <w:rStyle w:val="BodyTextChar"/>
          <w:rFonts w:cs="Calibri"/>
          <w:b/>
          <w:bCs/>
        </w:rPr>
        <w:t xml:space="preserve">cross </w:t>
      </w:r>
      <w:r w:rsidR="00396887" w:rsidRPr="00DD477A">
        <w:rPr>
          <w:rStyle w:val="BodyTextChar"/>
          <w:rFonts w:cs="Calibri"/>
          <w:b/>
          <w:bCs/>
        </w:rPr>
        <w:t>portfolio</w:t>
      </w:r>
      <w:r w:rsidRPr="00DD477A">
        <w:rPr>
          <w:rStyle w:val="BodyTextChar"/>
          <w:rFonts w:cs="Calibri"/>
          <w:b/>
          <w:bCs/>
        </w:rPr>
        <w:t xml:space="preserve"> measures</w:t>
      </w:r>
      <w:r w:rsidRPr="00DD477A">
        <w:rPr>
          <w:rStyle w:val="BodyTextChar"/>
          <w:rFonts w:cs="Calibri"/>
        </w:rPr>
        <w:t xml:space="preserve"> should be the same in all PB Statements affected by the measure. </w:t>
      </w:r>
      <w:r w:rsidR="0031790E" w:rsidRPr="00DD477A">
        <w:rPr>
          <w:rStyle w:val="BodyTextChar"/>
          <w:rFonts w:cs="Calibri"/>
        </w:rPr>
        <w:t>W</w:t>
      </w:r>
      <w:r w:rsidRPr="00DD477A">
        <w:rPr>
          <w:rStyle w:val="BodyTextChar"/>
          <w:rFonts w:cs="Calibri"/>
        </w:rPr>
        <w:t>here an entity is not the lead entity in a measure package, they are required to name the lead entity in a footnote to the measure to allow easy cross reference to the measure description in BP No. 2 and across PB Statements. This should be done with the following text:</w:t>
      </w:r>
    </w:p>
    <w:p w14:paraId="19AF4EEF" w14:textId="77777777" w:rsidR="00FA0945" w:rsidRPr="00DD477A" w:rsidRDefault="6B6EE5C4" w:rsidP="0003645A">
      <w:pPr>
        <w:pStyle w:val="IndentBlueText"/>
        <w:rPr>
          <w:rStyle w:val="BodyTextChar"/>
          <w:rFonts w:cs="Calibri"/>
        </w:rPr>
      </w:pPr>
      <w:r w:rsidRPr="00DD477A">
        <w:rPr>
          <w:rStyle w:val="BodyTextChar"/>
          <w:rFonts w:cs="Calibri"/>
        </w:rPr>
        <w:t xml:space="preserve">The lead entity for measure titled xxxxxxx is </w:t>
      </w:r>
      <w:r w:rsidR="00A12716" w:rsidRPr="00DD477A">
        <w:rPr>
          <w:rStyle w:val="BodyTextChar"/>
          <w:rFonts w:cs="Calibri"/>
        </w:rPr>
        <w:t>yyyyyyy</w:t>
      </w:r>
      <w:r w:rsidRPr="00DD477A">
        <w:rPr>
          <w:rStyle w:val="BodyTextChar"/>
          <w:rFonts w:cs="Calibri"/>
        </w:rPr>
        <w:t xml:space="preserve">. The full measure description and package details appear in BP No. 2 under the </w:t>
      </w:r>
      <w:r w:rsidR="00A12716" w:rsidRPr="00DD477A">
        <w:rPr>
          <w:rStyle w:val="BodyTextChar"/>
          <w:rFonts w:cs="Calibri"/>
        </w:rPr>
        <w:t xml:space="preserve">yyyyyyy </w:t>
      </w:r>
      <w:r w:rsidRPr="00DD477A">
        <w:rPr>
          <w:rStyle w:val="BodyTextChar"/>
          <w:rFonts w:cs="Calibri"/>
        </w:rPr>
        <w:t>portfolio.</w:t>
      </w:r>
    </w:p>
    <w:p w14:paraId="79342603" w14:textId="55E38347" w:rsidR="005379D4" w:rsidRPr="00DD477A" w:rsidRDefault="53BF0693" w:rsidP="53BF0693">
      <w:pPr>
        <w:rPr>
          <w:rStyle w:val="BodyTextChar"/>
          <w:rFonts w:cs="Calibri"/>
        </w:rPr>
      </w:pPr>
      <w:r w:rsidRPr="00DD477A">
        <w:rPr>
          <w:rStyle w:val="BodyTextChar"/>
          <w:rFonts w:cs="Calibri"/>
        </w:rPr>
        <w:lastRenderedPageBreak/>
        <w:t>Entities should discuss with their AAU if there are any Decision</w:t>
      </w:r>
      <w:r w:rsidR="006C1558" w:rsidRPr="00DD477A">
        <w:rPr>
          <w:rStyle w:val="BodyTextChar"/>
          <w:rFonts w:cs="Calibri"/>
        </w:rPr>
        <w:t>s</w:t>
      </w:r>
      <w:r w:rsidRPr="00DD477A">
        <w:rPr>
          <w:rStyle w:val="BodyTextChar"/>
          <w:rFonts w:cs="Calibri"/>
        </w:rPr>
        <w:t xml:space="preserve"> </w:t>
      </w:r>
      <w:r w:rsidR="00C17A41" w:rsidRPr="00DD477A">
        <w:rPr>
          <w:rStyle w:val="BodyTextChar"/>
          <w:rFonts w:cs="Calibri"/>
        </w:rPr>
        <w:t>T</w:t>
      </w:r>
      <w:r w:rsidRPr="00DD477A">
        <w:rPr>
          <w:rStyle w:val="BodyTextChar"/>
          <w:rFonts w:cs="Calibri"/>
        </w:rPr>
        <w:t xml:space="preserve">aken </w:t>
      </w:r>
      <w:r w:rsidR="00C17A41" w:rsidRPr="00DD477A">
        <w:rPr>
          <w:rStyle w:val="BodyTextChar"/>
          <w:rFonts w:cs="Calibri"/>
        </w:rPr>
        <w:t>B</w:t>
      </w:r>
      <w:r w:rsidRPr="00DD477A">
        <w:rPr>
          <w:rStyle w:val="BodyTextChar"/>
          <w:rFonts w:cs="Calibri"/>
        </w:rPr>
        <w:t xml:space="preserve">ut </w:t>
      </w:r>
      <w:r w:rsidR="00C17A41" w:rsidRPr="00DD477A">
        <w:rPr>
          <w:rStyle w:val="BodyTextChar"/>
          <w:rFonts w:cs="Calibri"/>
        </w:rPr>
        <w:t>N</w:t>
      </w:r>
      <w:r w:rsidRPr="00DD477A">
        <w:rPr>
          <w:rStyle w:val="BodyTextChar"/>
          <w:rFonts w:cs="Calibri"/>
        </w:rPr>
        <w:t xml:space="preserve">ot </w:t>
      </w:r>
      <w:r w:rsidR="00C17A41" w:rsidRPr="00DD477A">
        <w:rPr>
          <w:rStyle w:val="BodyTextChar"/>
          <w:rFonts w:cs="Calibri"/>
        </w:rPr>
        <w:t>Y</w:t>
      </w:r>
      <w:r w:rsidRPr="00DD477A">
        <w:rPr>
          <w:rStyle w:val="BodyTextChar"/>
          <w:rFonts w:cs="Calibri"/>
        </w:rPr>
        <w:t xml:space="preserve">et </w:t>
      </w:r>
      <w:r w:rsidR="00C17A41" w:rsidRPr="00DD477A">
        <w:rPr>
          <w:rStyle w:val="BodyTextChar"/>
          <w:rFonts w:cs="Calibri"/>
        </w:rPr>
        <w:t>A</w:t>
      </w:r>
      <w:r w:rsidRPr="00DD477A">
        <w:rPr>
          <w:rStyle w:val="BodyTextChar"/>
          <w:rFonts w:cs="Calibri"/>
        </w:rPr>
        <w:t xml:space="preserve">nnounced (DTBNYA) or indicative cost measures from a previous economic update </w:t>
      </w:r>
      <w:r w:rsidR="006C1558" w:rsidRPr="00DD477A">
        <w:rPr>
          <w:rStyle w:val="BodyTextChar"/>
          <w:rFonts w:cs="Calibri"/>
        </w:rPr>
        <w:t xml:space="preserve">to determine whether </w:t>
      </w:r>
      <w:r w:rsidRPr="00DD477A">
        <w:rPr>
          <w:rStyle w:val="BodyTextChar"/>
          <w:rFonts w:cs="Calibri"/>
        </w:rPr>
        <w:t>they should be reported as some of the guidance below may not apply.</w:t>
      </w:r>
    </w:p>
    <w:p w14:paraId="450F048D" w14:textId="5373F285" w:rsidR="00DB7808" w:rsidRPr="00DD477A" w:rsidRDefault="00DB7808" w:rsidP="00E548A0">
      <w:pPr>
        <w:pStyle w:val="Heading3"/>
      </w:pPr>
      <w:bookmarkStart w:id="815" w:name="_Toc61875011"/>
      <w:bookmarkStart w:id="816" w:name="_Toc62648863"/>
      <w:bookmarkStart w:id="817" w:name="_Toc46327349"/>
      <w:bookmarkStart w:id="818" w:name="_Toc46327350"/>
      <w:bookmarkStart w:id="819" w:name="_Toc46327351"/>
      <w:bookmarkStart w:id="820" w:name="_Toc46327355"/>
      <w:bookmarkStart w:id="821" w:name="_Toc46327356"/>
      <w:bookmarkStart w:id="822" w:name="_Toc46327358"/>
      <w:bookmarkStart w:id="823" w:name="_Toc46327360"/>
      <w:bookmarkStart w:id="824" w:name="_Toc46327363"/>
      <w:bookmarkStart w:id="825" w:name="_Toc46327366"/>
      <w:bookmarkStart w:id="826" w:name="_Toc45026853"/>
      <w:bookmarkStart w:id="827" w:name="_Toc45026954"/>
      <w:bookmarkStart w:id="828" w:name="_Toc46327367"/>
      <w:bookmarkStart w:id="829" w:name="_Toc45026855"/>
      <w:bookmarkStart w:id="830" w:name="_Toc45026956"/>
      <w:bookmarkStart w:id="831" w:name="_Toc46327369"/>
      <w:bookmarkStart w:id="832" w:name="_Toc45026856"/>
      <w:bookmarkStart w:id="833" w:name="_Toc45026957"/>
      <w:bookmarkStart w:id="834" w:name="_Toc46327370"/>
      <w:bookmarkStart w:id="835" w:name="_Toc160715563"/>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rsidRPr="00DD477A">
        <w:t>Footnote for a measure’s capital component</w:t>
      </w:r>
      <w:bookmarkEnd w:id="835"/>
    </w:p>
    <w:p w14:paraId="62014867" w14:textId="23642E5B" w:rsidR="007755A8" w:rsidRPr="00DD477A" w:rsidRDefault="007755A8" w:rsidP="007755A8">
      <w:pPr>
        <w:rPr>
          <w:rStyle w:val="BodyTextChar"/>
          <w:rFonts w:cs="Calibri"/>
        </w:rPr>
      </w:pPr>
      <w:bookmarkStart w:id="836" w:name="_Toc63347706"/>
      <w:r w:rsidRPr="00DD477A">
        <w:rPr>
          <w:rStyle w:val="BodyTextChar"/>
          <w:rFonts w:cs="Calibri"/>
        </w:rPr>
        <w:t xml:space="preserve">Where the capital component forms 30 per cent or more of total payments of a measure, the </w:t>
      </w:r>
      <w:r w:rsidRPr="00DD477A">
        <w:rPr>
          <w:rFonts w:cs="Calibri"/>
        </w:rPr>
        <w:t>entity should include a footnote for th</w:t>
      </w:r>
      <w:r w:rsidR="00225A13" w:rsidRPr="00DD477A">
        <w:rPr>
          <w:rFonts w:cs="Calibri"/>
        </w:rPr>
        <w:t>e capital</w:t>
      </w:r>
      <w:r w:rsidRPr="00DD477A">
        <w:rPr>
          <w:rFonts w:cs="Calibri"/>
        </w:rPr>
        <w:t xml:space="preserve"> amount</w:t>
      </w:r>
      <w:r w:rsidRPr="00DD477A">
        <w:rPr>
          <w:rStyle w:val="BodyTextChar"/>
          <w:rFonts w:cs="Calibri"/>
        </w:rPr>
        <w:t>. This approach aligns with how the capital funding component will be reported within the measure’s description in BP No. 2.</w:t>
      </w:r>
    </w:p>
    <w:p w14:paraId="08B459F6" w14:textId="0A3054A9" w:rsidR="007755A8" w:rsidRPr="00DD477A" w:rsidRDefault="007755A8" w:rsidP="007755A8">
      <w:pPr>
        <w:rPr>
          <w:rFonts w:eastAsia="Cambria" w:cs="Calibri"/>
        </w:rPr>
      </w:pPr>
      <w:r w:rsidRPr="00DD477A">
        <w:rPr>
          <w:rStyle w:val="BodyTextChar"/>
          <w:rFonts w:cs="Calibri"/>
        </w:rPr>
        <w:t>A footnote has been included in the PB statement measure table templates.</w:t>
      </w:r>
    </w:p>
    <w:p w14:paraId="7880AC3B" w14:textId="0F779179" w:rsidR="006B27AA" w:rsidRPr="009E2937" w:rsidRDefault="006B27AA" w:rsidP="00E548A0">
      <w:pPr>
        <w:pStyle w:val="Heading3"/>
      </w:pPr>
      <w:bookmarkStart w:id="837" w:name="_Toc160715564"/>
      <w:r w:rsidRPr="009E2937">
        <w:t>Measure reversals</w:t>
      </w:r>
      <w:bookmarkEnd w:id="837"/>
    </w:p>
    <w:p w14:paraId="73385A72" w14:textId="55531227" w:rsidR="006F1726" w:rsidRPr="00DD477A" w:rsidRDefault="53BF0693" w:rsidP="53BF0693">
      <w:pPr>
        <w:rPr>
          <w:rStyle w:val="BodyTextChar"/>
          <w:rFonts w:cs="Calibri"/>
        </w:rPr>
      </w:pPr>
      <w:bookmarkStart w:id="838" w:name="_Toc128665486"/>
      <w:bookmarkStart w:id="839" w:name="_Toc129015722"/>
      <w:bookmarkStart w:id="840" w:name="_Toc129017877"/>
      <w:bookmarkStart w:id="841" w:name="_Toc129163686"/>
      <w:bookmarkStart w:id="842" w:name="_Toc129166929"/>
      <w:bookmarkEnd w:id="836"/>
      <w:bookmarkEnd w:id="838"/>
      <w:bookmarkEnd w:id="839"/>
      <w:bookmarkEnd w:id="840"/>
      <w:bookmarkEnd w:id="841"/>
      <w:bookmarkEnd w:id="842"/>
      <w:r w:rsidRPr="00DD477A">
        <w:rPr>
          <w:rStyle w:val="BodyTextChar"/>
          <w:rFonts w:cs="Calibri"/>
        </w:rPr>
        <w:t xml:space="preserve">Where a measure reversal will be reported in </w:t>
      </w:r>
      <w:r w:rsidR="00584B66" w:rsidRPr="00DD477A">
        <w:rPr>
          <w:rStyle w:val="BodyTextChar"/>
          <w:rFonts w:cs="Calibri"/>
        </w:rPr>
        <w:t xml:space="preserve">the </w:t>
      </w:r>
      <w:r w:rsidRPr="00DD477A">
        <w:rPr>
          <w:rStyle w:val="BodyTextChar"/>
          <w:rFonts w:cs="Calibri"/>
        </w:rPr>
        <w:t xml:space="preserve">BP No. 2, </w:t>
      </w:r>
      <w:r w:rsidR="001700F9" w:rsidRPr="00DD477A">
        <w:rPr>
          <w:rStyle w:val="BodyTextChar"/>
          <w:rFonts w:cs="Calibri"/>
        </w:rPr>
        <w:t xml:space="preserve">details </w:t>
      </w:r>
      <w:r w:rsidR="00B46230" w:rsidRPr="00DD477A">
        <w:rPr>
          <w:rStyle w:val="BodyTextChar"/>
          <w:rFonts w:cs="Calibri"/>
        </w:rPr>
        <w:t xml:space="preserve">must </w:t>
      </w:r>
      <w:r w:rsidRPr="00DD477A">
        <w:rPr>
          <w:rStyle w:val="BodyTextChar"/>
          <w:rFonts w:cs="Calibri"/>
        </w:rPr>
        <w:t>be reported in Part 1 of the measures table.</w:t>
      </w:r>
    </w:p>
    <w:p w14:paraId="53F2CD76" w14:textId="51ED77F6" w:rsidR="00FA0945" w:rsidRPr="00DD477A" w:rsidRDefault="53BF0693" w:rsidP="53BF0693">
      <w:pPr>
        <w:rPr>
          <w:rStyle w:val="BodyTextChar"/>
          <w:rFonts w:cs="Calibri"/>
        </w:rPr>
      </w:pPr>
      <w:r w:rsidRPr="00DD477A">
        <w:rPr>
          <w:rStyle w:val="BodyTextChar"/>
          <w:rFonts w:cs="Calibri"/>
        </w:rPr>
        <w:t xml:space="preserve">Where a measure reversal has been reported in </w:t>
      </w:r>
      <w:r w:rsidR="00584B66" w:rsidRPr="00DD477A">
        <w:rPr>
          <w:rStyle w:val="BodyTextChar"/>
          <w:rFonts w:cs="Calibri"/>
        </w:rPr>
        <w:t>the</w:t>
      </w:r>
      <w:r w:rsidR="005C68B8" w:rsidRPr="00DD477A">
        <w:rPr>
          <w:rStyle w:val="BodyTextChar"/>
          <w:rFonts w:cs="Calibri"/>
        </w:rPr>
        <w:t xml:space="preserve"> </w:t>
      </w:r>
      <w:r w:rsidR="00584B66" w:rsidRPr="00DD477A">
        <w:rPr>
          <w:rStyle w:val="BodyTextChar"/>
          <w:rFonts w:cs="Calibri"/>
        </w:rPr>
        <w:t>BP No.</w:t>
      </w:r>
      <w:r w:rsidR="00C25DD3" w:rsidRPr="00DD477A">
        <w:rPr>
          <w:rStyle w:val="BodyTextChar"/>
          <w:rFonts w:cs="Calibri"/>
        </w:rPr>
        <w:t xml:space="preserve"> </w:t>
      </w:r>
      <w:r w:rsidR="00584B66" w:rsidRPr="00DD477A">
        <w:rPr>
          <w:rStyle w:val="BodyTextChar"/>
          <w:rFonts w:cs="Calibri"/>
        </w:rPr>
        <w:t>2</w:t>
      </w:r>
      <w:r w:rsidR="30B59CBF" w:rsidRPr="00DD477A">
        <w:rPr>
          <w:rStyle w:val="BodyTextChar"/>
          <w:rFonts w:cs="Calibri"/>
        </w:rPr>
        <w:t xml:space="preserve"> but has not been reported in </w:t>
      </w:r>
      <w:r w:rsidR="00584B66" w:rsidRPr="00DD477A">
        <w:rPr>
          <w:rStyle w:val="BodyTextChar"/>
          <w:rFonts w:cs="Calibri"/>
        </w:rPr>
        <w:t xml:space="preserve">the </w:t>
      </w:r>
      <w:r w:rsidR="00B11749" w:rsidRPr="00DD477A">
        <w:rPr>
          <w:rStyle w:val="BodyTextChar"/>
          <w:rFonts w:cs="Calibri"/>
        </w:rPr>
        <w:t>202</w:t>
      </w:r>
      <w:r w:rsidR="001B5A81" w:rsidRPr="00DD477A">
        <w:rPr>
          <w:rStyle w:val="BodyTextChar"/>
          <w:rFonts w:cs="Calibri"/>
        </w:rPr>
        <w:t>4</w:t>
      </w:r>
      <w:r w:rsidR="005563FD" w:rsidRPr="00DD477A">
        <w:rPr>
          <w:rStyle w:val="BodyTextChar"/>
          <w:rFonts w:cs="Calibri"/>
        </w:rPr>
        <w:noBreakHyphen/>
      </w:r>
      <w:r w:rsidR="00B11749" w:rsidRPr="00DD477A">
        <w:rPr>
          <w:rStyle w:val="BodyTextChar"/>
          <w:rFonts w:cs="Calibri"/>
        </w:rPr>
        <w:t>2</w:t>
      </w:r>
      <w:r w:rsidR="001B5A81" w:rsidRPr="00DD477A">
        <w:rPr>
          <w:rStyle w:val="BodyTextChar"/>
          <w:rFonts w:cs="Calibri"/>
        </w:rPr>
        <w:t>5</w:t>
      </w:r>
      <w:r w:rsidR="00584B66" w:rsidRPr="00DD477A">
        <w:rPr>
          <w:rStyle w:val="BodyTextChar"/>
          <w:rFonts w:cs="Calibri"/>
        </w:rPr>
        <w:t xml:space="preserve"> PB</w:t>
      </w:r>
      <w:r w:rsidR="00AC775B" w:rsidRPr="00DD477A">
        <w:rPr>
          <w:rStyle w:val="BodyTextChar"/>
          <w:rFonts w:cs="Calibri"/>
        </w:rPr>
        <w:t> </w:t>
      </w:r>
      <w:r w:rsidR="00584B66" w:rsidRPr="00DD477A">
        <w:rPr>
          <w:rStyle w:val="BodyTextChar"/>
          <w:rFonts w:cs="Calibri"/>
        </w:rPr>
        <w:t>Statement</w:t>
      </w:r>
      <w:r w:rsidR="00AC775B" w:rsidRPr="00DD477A">
        <w:rPr>
          <w:rStyle w:val="BodyTextChar"/>
          <w:rFonts w:cs="Calibri"/>
        </w:rPr>
        <w:t>s</w:t>
      </w:r>
      <w:r w:rsidRPr="00DD477A">
        <w:rPr>
          <w:rStyle w:val="BodyTextChar"/>
          <w:rFonts w:cs="Calibri"/>
        </w:rPr>
        <w:t>, the reversal needs to be reported in Part 2 of the measures table.</w:t>
      </w:r>
    </w:p>
    <w:p w14:paraId="24C1000F" w14:textId="6BEC0AFC" w:rsidR="00FA0945" w:rsidRPr="00DD477A" w:rsidRDefault="53BF0693" w:rsidP="53BF0693">
      <w:pPr>
        <w:rPr>
          <w:rStyle w:val="BodyTextChar"/>
          <w:rFonts w:cs="Calibri"/>
        </w:rPr>
      </w:pPr>
      <w:r w:rsidRPr="00DD477A">
        <w:rPr>
          <w:rStyle w:val="BodyTextChar"/>
          <w:rFonts w:cs="Calibri"/>
        </w:rPr>
        <w:t xml:space="preserve">Measure reversals reported in either Part 1 </w:t>
      </w:r>
      <w:r w:rsidR="0088079B" w:rsidRPr="00DD477A">
        <w:rPr>
          <w:rStyle w:val="BodyTextChar"/>
          <w:rFonts w:cs="Calibri"/>
        </w:rPr>
        <w:t xml:space="preserve">or </w:t>
      </w:r>
      <w:r w:rsidRPr="00DD477A">
        <w:rPr>
          <w:rStyle w:val="BodyTextChar"/>
          <w:rFonts w:cs="Calibri"/>
        </w:rPr>
        <w:t xml:space="preserve">2 of the measures table </w:t>
      </w:r>
      <w:r w:rsidR="000C55B3" w:rsidRPr="00DD477A">
        <w:rPr>
          <w:rStyle w:val="BodyTextChar"/>
          <w:rFonts w:cs="Calibri"/>
        </w:rPr>
        <w:t xml:space="preserve">must </w:t>
      </w:r>
      <w:r w:rsidRPr="00DD477A">
        <w:rPr>
          <w:rStyle w:val="BodyTextChar"/>
          <w:rFonts w:cs="Calibri"/>
        </w:rPr>
        <w:t>be reported on the following basis:</w:t>
      </w:r>
    </w:p>
    <w:p w14:paraId="1B2C1146" w14:textId="596E5916" w:rsidR="00FA0945" w:rsidRPr="00DD477A" w:rsidRDefault="53BF0693" w:rsidP="00A7381C">
      <w:pPr>
        <w:pStyle w:val="Bullet1"/>
        <w:rPr>
          <w:rStyle w:val="BodyTextChar"/>
          <w:rFonts w:cs="Calibri"/>
        </w:rPr>
      </w:pPr>
      <w:r w:rsidRPr="00DD477A">
        <w:rPr>
          <w:rStyle w:val="BodyTextChar"/>
          <w:rFonts w:cs="Calibri"/>
        </w:rPr>
        <w:t>where it is a full reversal, the measure should include dashes for the underlying cash impact (as zero net cash impact)</w:t>
      </w:r>
    </w:p>
    <w:p w14:paraId="30FCD813" w14:textId="3D7284FE" w:rsidR="00D950E6" w:rsidRDefault="53BF0693" w:rsidP="00D950E6">
      <w:pPr>
        <w:pStyle w:val="Bullet1"/>
        <w:rPr>
          <w:rStyle w:val="BodyTextChar"/>
          <w:rFonts w:cs="Calibri"/>
        </w:rPr>
      </w:pPr>
      <w:r w:rsidRPr="00DD477A">
        <w:rPr>
          <w:rStyle w:val="BodyTextChar"/>
          <w:rFonts w:cs="Calibri"/>
        </w:rPr>
        <w:t xml:space="preserve">where it is a partial reversal, the measure should reflect the amount to be appropriated </w:t>
      </w:r>
      <w:r w:rsidR="002F4EE4" w:rsidRPr="00DD477A">
        <w:rPr>
          <w:rStyle w:val="BodyTextChar"/>
          <w:rFonts w:cs="Calibri"/>
        </w:rPr>
        <w:t xml:space="preserve">in each </w:t>
      </w:r>
      <w:r w:rsidR="007040AA" w:rsidRPr="00DD477A">
        <w:rPr>
          <w:rStyle w:val="BodyTextChar"/>
          <w:rFonts w:cs="Calibri"/>
        </w:rPr>
        <w:t xml:space="preserve">year </w:t>
      </w:r>
      <w:r w:rsidRPr="00DD477A">
        <w:rPr>
          <w:rStyle w:val="BodyTextChar"/>
          <w:rFonts w:cs="Calibri"/>
        </w:rPr>
        <w:t>(i.e.</w:t>
      </w:r>
      <w:r w:rsidR="78ACCABF" w:rsidRPr="00DD477A">
        <w:rPr>
          <w:rStyle w:val="BodyTextChar"/>
          <w:rFonts w:cs="Calibri"/>
        </w:rPr>
        <w:t>,</w:t>
      </w:r>
      <w:r w:rsidRPr="00DD477A">
        <w:rPr>
          <w:rStyle w:val="BodyTextChar"/>
          <w:rFonts w:cs="Calibri"/>
        </w:rPr>
        <w:t xml:space="preserve"> the difference between the initial measure and the partial reversal).</w:t>
      </w:r>
    </w:p>
    <w:p w14:paraId="3B2D0BA8" w14:textId="4B03DE31" w:rsidR="000600D1" w:rsidRDefault="000600D1">
      <w:pPr>
        <w:suppressAutoHyphens w:val="0"/>
        <w:spacing w:before="0" w:after="120" w:line="440" w:lineRule="atLeast"/>
        <w:rPr>
          <w:rStyle w:val="BodyTextChar"/>
          <w:rFonts w:cs="Calibri"/>
        </w:rPr>
      </w:pPr>
      <w:r>
        <w:rPr>
          <w:rStyle w:val="BodyTextChar"/>
          <w:rFonts w:cs="Calibri"/>
        </w:rPr>
        <w:t>Illustrative example provided below</w:t>
      </w:r>
      <w:r w:rsidR="00723A0C">
        <w:rPr>
          <w:rStyle w:val="BodyTextChar"/>
          <w:rFonts w:cs="Calibri"/>
        </w:rPr>
        <w:t>.</w:t>
      </w:r>
      <w:r>
        <w:rPr>
          <w:rStyle w:val="BodyTextChar"/>
          <w:rFonts w:cs="Calibri"/>
        </w:rPr>
        <w:br w:type="page"/>
      </w:r>
    </w:p>
    <w:p w14:paraId="241C03F2" w14:textId="77777777" w:rsidR="000600D1" w:rsidRDefault="000600D1" w:rsidP="00AB260E">
      <w:pPr>
        <w:pStyle w:val="Bullet1"/>
        <w:numPr>
          <w:ilvl w:val="0"/>
          <w:numId w:val="0"/>
        </w:numPr>
        <w:rPr>
          <w:rStyle w:val="BodyTextChar"/>
          <w:rFonts w:cs="Calibri"/>
        </w:rPr>
      </w:pPr>
    </w:p>
    <w:tbl>
      <w:tblPr>
        <w:tblW w:w="9058" w:type="dxa"/>
        <w:tblInd w:w="-3" w:type="dxa"/>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9058"/>
      </w:tblGrid>
      <w:tr w:rsidR="004D479A" w:rsidRPr="00DD477A" w14:paraId="40E4045A" w14:textId="77777777" w:rsidTr="00AB260E">
        <w:trPr>
          <w:cantSplit/>
        </w:trPr>
        <w:tc>
          <w:tcPr>
            <w:tcW w:w="9058" w:type="dxa"/>
            <w:shd w:val="clear" w:color="auto" w:fill="DDF3FA"/>
          </w:tcPr>
          <w:p w14:paraId="72E7C7AC" w14:textId="7F40AF29" w:rsidR="004D479A" w:rsidRPr="00DD477A" w:rsidRDefault="00D950E6" w:rsidP="00C50EB6">
            <w:pPr>
              <w:pStyle w:val="TableText-Medium"/>
              <w:rPr>
                <w:rStyle w:val="BodyTextChar"/>
                <w:rFonts w:cs="Calibri"/>
              </w:rPr>
            </w:pPr>
            <w:r>
              <w:rPr>
                <w:rStyle w:val="BodyTextChar"/>
                <w:rFonts w:cs="Calibri"/>
              </w:rPr>
              <w:br w:type="column"/>
            </w:r>
            <w:r w:rsidR="004D479A" w:rsidRPr="00DD477A">
              <w:rPr>
                <w:rStyle w:val="BodyTextChar"/>
                <w:rFonts w:cs="Calibri"/>
              </w:rPr>
              <w:br w:type="page"/>
            </w:r>
            <w:r w:rsidR="004D479A" w:rsidRPr="00DD477A">
              <w:rPr>
                <w:rFonts w:cs="Calibri"/>
              </w:rPr>
              <w:br w:type="page"/>
            </w:r>
            <w:r w:rsidR="004D479A" w:rsidRPr="00DD477A">
              <w:rPr>
                <w:rStyle w:val="BodyTextChar"/>
                <w:rFonts w:cs="Calibri"/>
              </w:rPr>
              <w:br w:type="page"/>
            </w:r>
            <w:r w:rsidR="53BF0693" w:rsidRPr="00DD477A">
              <w:rPr>
                <w:rStyle w:val="BodyTextChar"/>
                <w:rFonts w:cs="Calibri"/>
                <w:u w:val="single"/>
              </w:rPr>
              <w:t>Example</w:t>
            </w:r>
            <w:r w:rsidR="53BF0693" w:rsidRPr="00DD477A">
              <w:rPr>
                <w:rStyle w:val="BodyTextChar"/>
                <w:rFonts w:cs="Calibri"/>
              </w:rPr>
              <w:t xml:space="preserve"> – Reporting </w:t>
            </w:r>
            <w:r w:rsidR="00AC775B" w:rsidRPr="00DD477A">
              <w:rPr>
                <w:rStyle w:val="BodyTextChar"/>
                <w:rFonts w:cs="Calibri"/>
              </w:rPr>
              <w:t xml:space="preserve">measure reversals </w:t>
            </w:r>
            <w:r w:rsidR="00B34CC3" w:rsidRPr="00DD477A">
              <w:rPr>
                <w:rStyle w:val="BodyTextChar"/>
                <w:rFonts w:cs="Calibri"/>
              </w:rPr>
              <w:t>at Budget in a PB statement:</w:t>
            </w:r>
          </w:p>
        </w:tc>
      </w:tr>
      <w:tr w:rsidR="004D479A" w:rsidRPr="00DD477A" w14:paraId="73C61A84" w14:textId="77777777" w:rsidTr="00AB260E">
        <w:trPr>
          <w:cantSplit/>
          <w:trHeight w:val="57"/>
        </w:trPr>
        <w:tc>
          <w:tcPr>
            <w:tcW w:w="9058" w:type="dxa"/>
          </w:tcPr>
          <w:p w14:paraId="0687B5B5" w14:textId="22F964B3" w:rsidR="004D479A" w:rsidRPr="00DD477A" w:rsidRDefault="00BB7DFA" w:rsidP="001D30A2">
            <w:pPr>
              <w:pStyle w:val="TableText-Medium"/>
              <w:rPr>
                <w:rFonts w:cs="Calibri"/>
              </w:rPr>
            </w:pPr>
            <w:r w:rsidRPr="00DD477A">
              <w:rPr>
                <w:rFonts w:cs="Calibri"/>
              </w:rPr>
              <w:t>T</w:t>
            </w:r>
            <w:r w:rsidR="53BF0693" w:rsidRPr="00DD477A">
              <w:rPr>
                <w:rFonts w:cs="Calibri"/>
              </w:rPr>
              <w:t xml:space="preserve">wo measures were announced in </w:t>
            </w:r>
            <w:r w:rsidR="00D33B8E" w:rsidRPr="00DD477A">
              <w:rPr>
                <w:rFonts w:cs="Calibri"/>
              </w:rPr>
              <w:t>a previous Budget</w:t>
            </w:r>
            <w:r w:rsidR="007040AA" w:rsidRPr="00DD477A">
              <w:rPr>
                <w:rFonts w:cs="Calibri"/>
              </w:rPr>
              <w:t xml:space="preserve"> </w:t>
            </w:r>
            <w:r w:rsidR="007040AA" w:rsidRPr="00DD477A">
              <w:t>process</w:t>
            </w:r>
            <w:r w:rsidR="53BF0693" w:rsidRPr="00DD477A">
              <w:rPr>
                <w:rFonts w:cs="Calibri"/>
              </w:rPr>
              <w:t>:</w:t>
            </w:r>
          </w:p>
          <w:tbl>
            <w:tblPr>
              <w:tblW w:w="7702" w:type="dxa"/>
              <w:jc w:val="center"/>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1820"/>
              <w:gridCol w:w="1076"/>
              <w:gridCol w:w="1076"/>
              <w:gridCol w:w="1236"/>
              <w:gridCol w:w="1245"/>
              <w:gridCol w:w="1249"/>
            </w:tblGrid>
            <w:tr w:rsidR="00C62416" w:rsidRPr="00DD477A" w14:paraId="117CD045" w14:textId="77777777" w:rsidTr="00F611EB">
              <w:trPr>
                <w:trHeight w:val="446"/>
                <w:tblHeader/>
                <w:jc w:val="center"/>
              </w:trPr>
              <w:tc>
                <w:tcPr>
                  <w:tcW w:w="1820" w:type="dxa"/>
                </w:tcPr>
                <w:p w14:paraId="1F529F65"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Measure Title</w:t>
                  </w:r>
                </w:p>
              </w:tc>
              <w:tc>
                <w:tcPr>
                  <w:tcW w:w="1076" w:type="dxa"/>
                </w:tcPr>
                <w:p w14:paraId="4747ED6F" w14:textId="283E3935" w:rsidR="00C62416" w:rsidRPr="00DD477A" w:rsidRDefault="00C62416" w:rsidP="00B31ED0">
                  <w:pPr>
                    <w:pStyle w:val="TableText-Medium"/>
                    <w:jc w:val="center"/>
                    <w:rPr>
                      <w:rFonts w:cs="Calibri"/>
                      <w:sz w:val="16"/>
                      <w:szCs w:val="16"/>
                    </w:rPr>
                  </w:pPr>
                  <w:r w:rsidRPr="00DD477A">
                    <w:rPr>
                      <w:rFonts w:cs="Calibri"/>
                      <w:sz w:val="16"/>
                      <w:szCs w:val="16"/>
                    </w:rPr>
                    <w:t>202</w:t>
                  </w:r>
                  <w:r w:rsidR="002D477A" w:rsidRPr="00DD477A">
                    <w:rPr>
                      <w:rFonts w:cs="Calibri"/>
                      <w:sz w:val="16"/>
                      <w:szCs w:val="16"/>
                    </w:rPr>
                    <w:t>3</w:t>
                  </w:r>
                  <w:r w:rsidRPr="00DD477A">
                    <w:rPr>
                      <w:rFonts w:cs="Calibri"/>
                      <w:sz w:val="16"/>
                      <w:szCs w:val="16"/>
                    </w:rPr>
                    <w:t>-2</w:t>
                  </w:r>
                  <w:r w:rsidR="002D477A" w:rsidRPr="00DD477A">
                    <w:rPr>
                      <w:rFonts w:cs="Calibri"/>
                      <w:sz w:val="16"/>
                      <w:szCs w:val="16"/>
                    </w:rPr>
                    <w:t>4</w:t>
                  </w:r>
                  <w:r w:rsidRPr="00DD477A">
                    <w:rPr>
                      <w:rFonts w:cs="Calibri"/>
                      <w:sz w:val="16"/>
                      <w:szCs w:val="16"/>
                    </w:rPr>
                    <w:br/>
                    <w:t>$m</w:t>
                  </w:r>
                </w:p>
              </w:tc>
              <w:tc>
                <w:tcPr>
                  <w:tcW w:w="1076" w:type="dxa"/>
                </w:tcPr>
                <w:p w14:paraId="3FB9B9D6" w14:textId="6C082730" w:rsidR="00C62416" w:rsidRPr="00DD477A" w:rsidRDefault="00C62416" w:rsidP="00B31ED0">
                  <w:pPr>
                    <w:pStyle w:val="TableText-Medium"/>
                    <w:jc w:val="center"/>
                    <w:rPr>
                      <w:rFonts w:cs="Calibri"/>
                      <w:sz w:val="16"/>
                      <w:szCs w:val="16"/>
                    </w:rPr>
                  </w:pPr>
                  <w:r w:rsidRPr="00DD477A">
                    <w:rPr>
                      <w:rFonts w:cs="Calibri"/>
                      <w:sz w:val="16"/>
                      <w:szCs w:val="16"/>
                    </w:rPr>
                    <w:t>202</w:t>
                  </w:r>
                  <w:r w:rsidR="002D477A" w:rsidRPr="00DD477A">
                    <w:rPr>
                      <w:rFonts w:cs="Calibri"/>
                      <w:sz w:val="16"/>
                      <w:szCs w:val="16"/>
                    </w:rPr>
                    <w:t>4</w:t>
                  </w:r>
                  <w:r w:rsidRPr="00DD477A">
                    <w:rPr>
                      <w:rFonts w:cs="Calibri"/>
                      <w:sz w:val="16"/>
                      <w:szCs w:val="16"/>
                    </w:rPr>
                    <w:t>-2</w:t>
                  </w:r>
                  <w:r w:rsidR="002D477A" w:rsidRPr="00DD477A">
                    <w:rPr>
                      <w:rFonts w:cs="Calibri"/>
                      <w:sz w:val="16"/>
                      <w:szCs w:val="16"/>
                    </w:rPr>
                    <w:t>5</w:t>
                  </w:r>
                </w:p>
                <w:p w14:paraId="531B1FE8" w14:textId="77777777" w:rsidR="00C62416" w:rsidRPr="00DD477A" w:rsidRDefault="00C62416" w:rsidP="00B31ED0">
                  <w:pPr>
                    <w:pStyle w:val="TableText-Medium"/>
                    <w:jc w:val="center"/>
                    <w:rPr>
                      <w:rFonts w:cs="Calibri"/>
                      <w:sz w:val="16"/>
                      <w:szCs w:val="16"/>
                    </w:rPr>
                  </w:pPr>
                  <w:r w:rsidRPr="00DD477A">
                    <w:rPr>
                      <w:rFonts w:cs="Calibri"/>
                      <w:sz w:val="16"/>
                      <w:szCs w:val="16"/>
                    </w:rPr>
                    <w:t>$m</w:t>
                  </w:r>
                </w:p>
              </w:tc>
              <w:tc>
                <w:tcPr>
                  <w:tcW w:w="1236" w:type="dxa"/>
                </w:tcPr>
                <w:p w14:paraId="52A3E6F7" w14:textId="53629E12" w:rsidR="00C62416" w:rsidRPr="00DD477A" w:rsidRDefault="00C62416" w:rsidP="00B31ED0">
                  <w:pPr>
                    <w:pStyle w:val="TableText-Medium"/>
                    <w:jc w:val="center"/>
                    <w:rPr>
                      <w:rFonts w:cs="Calibri"/>
                      <w:sz w:val="16"/>
                      <w:szCs w:val="16"/>
                    </w:rPr>
                  </w:pPr>
                  <w:r w:rsidRPr="00DD477A">
                    <w:rPr>
                      <w:rFonts w:cs="Calibri"/>
                      <w:sz w:val="16"/>
                      <w:szCs w:val="16"/>
                    </w:rPr>
                    <w:t>202</w:t>
                  </w:r>
                  <w:r w:rsidR="002D477A" w:rsidRPr="00DD477A">
                    <w:rPr>
                      <w:rFonts w:cs="Calibri"/>
                      <w:sz w:val="16"/>
                      <w:szCs w:val="16"/>
                    </w:rPr>
                    <w:t>5</w:t>
                  </w:r>
                  <w:r w:rsidRPr="00DD477A">
                    <w:rPr>
                      <w:rFonts w:cs="Calibri"/>
                      <w:sz w:val="16"/>
                      <w:szCs w:val="16"/>
                    </w:rPr>
                    <w:t>-2</w:t>
                  </w:r>
                  <w:r w:rsidR="002D477A" w:rsidRPr="00DD477A">
                    <w:rPr>
                      <w:rFonts w:cs="Calibri"/>
                      <w:sz w:val="16"/>
                      <w:szCs w:val="16"/>
                    </w:rPr>
                    <w:t>6</w:t>
                  </w:r>
                </w:p>
                <w:p w14:paraId="74E069D8" w14:textId="77777777" w:rsidR="00C62416" w:rsidRPr="00DD477A" w:rsidRDefault="00C62416" w:rsidP="00B31ED0">
                  <w:pPr>
                    <w:pStyle w:val="TableText-Medium"/>
                    <w:jc w:val="center"/>
                    <w:rPr>
                      <w:rFonts w:cs="Calibri"/>
                      <w:sz w:val="16"/>
                      <w:szCs w:val="16"/>
                    </w:rPr>
                  </w:pPr>
                  <w:r w:rsidRPr="00DD477A">
                    <w:rPr>
                      <w:rFonts w:cs="Calibri"/>
                      <w:sz w:val="16"/>
                      <w:szCs w:val="16"/>
                    </w:rPr>
                    <w:t>$m</w:t>
                  </w:r>
                </w:p>
              </w:tc>
              <w:tc>
                <w:tcPr>
                  <w:tcW w:w="1245" w:type="dxa"/>
                </w:tcPr>
                <w:p w14:paraId="604974AF" w14:textId="47EB5B72" w:rsidR="00C62416" w:rsidRPr="00DD477A" w:rsidRDefault="00C62416" w:rsidP="00B31ED0">
                  <w:pPr>
                    <w:pStyle w:val="TableText-Medium"/>
                    <w:jc w:val="center"/>
                    <w:rPr>
                      <w:rFonts w:cs="Calibri"/>
                      <w:sz w:val="16"/>
                      <w:szCs w:val="16"/>
                    </w:rPr>
                  </w:pPr>
                  <w:r w:rsidRPr="00DD477A">
                    <w:rPr>
                      <w:rFonts w:cs="Calibri"/>
                      <w:sz w:val="16"/>
                      <w:szCs w:val="16"/>
                    </w:rPr>
                    <w:t>202</w:t>
                  </w:r>
                  <w:r w:rsidR="002D477A" w:rsidRPr="00DD477A">
                    <w:rPr>
                      <w:rFonts w:cs="Calibri"/>
                      <w:sz w:val="16"/>
                      <w:szCs w:val="16"/>
                    </w:rPr>
                    <w:t>6</w:t>
                  </w:r>
                  <w:r w:rsidRPr="00DD477A">
                    <w:rPr>
                      <w:rFonts w:cs="Calibri"/>
                      <w:sz w:val="16"/>
                      <w:szCs w:val="16"/>
                    </w:rPr>
                    <w:t>-2</w:t>
                  </w:r>
                  <w:r w:rsidR="002D477A" w:rsidRPr="00DD477A">
                    <w:rPr>
                      <w:rFonts w:cs="Calibri"/>
                      <w:sz w:val="16"/>
                      <w:szCs w:val="16"/>
                    </w:rPr>
                    <w:t>7</w:t>
                  </w:r>
                </w:p>
                <w:p w14:paraId="7D0E4918" w14:textId="77777777" w:rsidR="00C62416" w:rsidRPr="00DD477A" w:rsidRDefault="00C62416" w:rsidP="00B31ED0">
                  <w:pPr>
                    <w:pStyle w:val="TableText-Medium"/>
                    <w:jc w:val="center"/>
                    <w:rPr>
                      <w:rFonts w:cs="Calibri"/>
                      <w:sz w:val="16"/>
                      <w:szCs w:val="16"/>
                    </w:rPr>
                  </w:pPr>
                  <w:r w:rsidRPr="00DD477A">
                    <w:rPr>
                      <w:rFonts w:cs="Calibri"/>
                      <w:sz w:val="16"/>
                      <w:szCs w:val="16"/>
                    </w:rPr>
                    <w:t>$m</w:t>
                  </w:r>
                </w:p>
              </w:tc>
              <w:tc>
                <w:tcPr>
                  <w:tcW w:w="1249" w:type="dxa"/>
                </w:tcPr>
                <w:p w14:paraId="281710A9" w14:textId="4A689F53" w:rsidR="00C62416" w:rsidRPr="00DD477A" w:rsidRDefault="00C62416" w:rsidP="00B31ED0">
                  <w:pPr>
                    <w:pStyle w:val="TableText-Medium"/>
                    <w:jc w:val="center"/>
                    <w:rPr>
                      <w:rFonts w:cs="Calibri"/>
                      <w:sz w:val="16"/>
                      <w:szCs w:val="16"/>
                    </w:rPr>
                  </w:pPr>
                  <w:r w:rsidRPr="00DD477A">
                    <w:rPr>
                      <w:rFonts w:cs="Calibri"/>
                      <w:sz w:val="16"/>
                      <w:szCs w:val="16"/>
                    </w:rPr>
                    <w:t>202</w:t>
                  </w:r>
                  <w:r w:rsidR="002D477A" w:rsidRPr="00DD477A">
                    <w:rPr>
                      <w:rFonts w:cs="Calibri"/>
                      <w:sz w:val="16"/>
                      <w:szCs w:val="16"/>
                    </w:rPr>
                    <w:t>7</w:t>
                  </w:r>
                  <w:r w:rsidRPr="00DD477A">
                    <w:rPr>
                      <w:rFonts w:cs="Calibri"/>
                      <w:sz w:val="16"/>
                      <w:szCs w:val="16"/>
                    </w:rPr>
                    <w:t>-2</w:t>
                  </w:r>
                  <w:r w:rsidR="002D477A" w:rsidRPr="00DD477A">
                    <w:rPr>
                      <w:rFonts w:cs="Calibri"/>
                      <w:sz w:val="16"/>
                      <w:szCs w:val="16"/>
                    </w:rPr>
                    <w:t>8</w:t>
                  </w:r>
                </w:p>
                <w:p w14:paraId="17E6EF73" w14:textId="77777777" w:rsidR="00C62416" w:rsidRPr="00DD477A" w:rsidRDefault="00C62416" w:rsidP="00B31ED0">
                  <w:pPr>
                    <w:pStyle w:val="TableText-Medium"/>
                    <w:jc w:val="center"/>
                    <w:rPr>
                      <w:rFonts w:cs="Calibri"/>
                      <w:sz w:val="16"/>
                      <w:szCs w:val="16"/>
                    </w:rPr>
                  </w:pPr>
                  <w:r w:rsidRPr="00DD477A">
                    <w:rPr>
                      <w:rFonts w:cs="Calibri"/>
                      <w:sz w:val="16"/>
                      <w:szCs w:val="16"/>
                    </w:rPr>
                    <w:t>$m</w:t>
                  </w:r>
                </w:p>
              </w:tc>
            </w:tr>
            <w:tr w:rsidR="00C62416" w:rsidRPr="00DD477A" w14:paraId="4D0A9784" w14:textId="77777777" w:rsidTr="00F611EB">
              <w:trPr>
                <w:trHeight w:val="211"/>
                <w:jc w:val="center"/>
              </w:trPr>
              <w:tc>
                <w:tcPr>
                  <w:tcW w:w="1820" w:type="dxa"/>
                </w:tcPr>
                <w:p w14:paraId="7C4E9119"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X Measure</w:t>
                  </w:r>
                </w:p>
              </w:tc>
              <w:tc>
                <w:tcPr>
                  <w:tcW w:w="1076" w:type="dxa"/>
                </w:tcPr>
                <w:p w14:paraId="39F1943B" w14:textId="3D439C1E"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w:t>
                  </w:r>
                  <w:r w:rsidR="000853D0" w:rsidRPr="00DD477A">
                    <w:rPr>
                      <w:rStyle w:val="BodyTextChar"/>
                      <w:rFonts w:cs="Calibri"/>
                      <w:sz w:val="16"/>
                      <w:szCs w:val="16"/>
                    </w:rPr>
                    <w:t>3</w:t>
                  </w:r>
                </w:p>
              </w:tc>
              <w:tc>
                <w:tcPr>
                  <w:tcW w:w="1076" w:type="dxa"/>
                </w:tcPr>
                <w:p w14:paraId="6D216876" w14:textId="36F396EB"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236" w:type="dxa"/>
                </w:tcPr>
                <w:p w14:paraId="35B164CA"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$6</w:t>
                  </w:r>
                </w:p>
              </w:tc>
              <w:tc>
                <w:tcPr>
                  <w:tcW w:w="1245" w:type="dxa"/>
                </w:tcPr>
                <w:p w14:paraId="71745ED7"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$8</w:t>
                  </w:r>
                </w:p>
              </w:tc>
              <w:tc>
                <w:tcPr>
                  <w:tcW w:w="1249" w:type="dxa"/>
                </w:tcPr>
                <w:p w14:paraId="1867468F"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$10</w:t>
                  </w:r>
                </w:p>
              </w:tc>
            </w:tr>
            <w:tr w:rsidR="00C62416" w:rsidRPr="00DD477A" w14:paraId="12C5AAB9" w14:textId="77777777" w:rsidTr="00F611EB">
              <w:trPr>
                <w:trHeight w:val="100"/>
                <w:jc w:val="center"/>
              </w:trPr>
              <w:tc>
                <w:tcPr>
                  <w:tcW w:w="1820" w:type="dxa"/>
                </w:tcPr>
                <w:p w14:paraId="2A638C4E"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Y Measure</w:t>
                  </w:r>
                </w:p>
              </w:tc>
              <w:tc>
                <w:tcPr>
                  <w:tcW w:w="1076" w:type="dxa"/>
                </w:tcPr>
                <w:p w14:paraId="6D015194" w14:textId="4F1562FB"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076" w:type="dxa"/>
                </w:tcPr>
                <w:p w14:paraId="480A4EA6" w14:textId="1E42353E"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236" w:type="dxa"/>
                </w:tcPr>
                <w:p w14:paraId="4E7806A1"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$3</w:t>
                  </w:r>
                </w:p>
              </w:tc>
              <w:tc>
                <w:tcPr>
                  <w:tcW w:w="1245" w:type="dxa"/>
                </w:tcPr>
                <w:p w14:paraId="6DA31D89"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249" w:type="dxa"/>
                </w:tcPr>
                <w:p w14:paraId="25B102D0"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$5</w:t>
                  </w:r>
                </w:p>
              </w:tc>
            </w:tr>
          </w:tbl>
          <w:p w14:paraId="443347C9" w14:textId="09E3376E" w:rsidR="004D479A" w:rsidRPr="00DD477A" w:rsidRDefault="006B0AE2" w:rsidP="53BF0693">
            <w:pPr>
              <w:pStyle w:val="TableText-Medium"/>
            </w:pPr>
            <w:r w:rsidRPr="00DD477A">
              <w:t>It was announced t</w:t>
            </w:r>
            <w:r w:rsidR="53BF0693" w:rsidRPr="00DD477A">
              <w:t>hese measures were subsequently reversed at Budget (fully or partially):</w:t>
            </w:r>
          </w:p>
          <w:tbl>
            <w:tblPr>
              <w:tblW w:w="0" w:type="auto"/>
              <w:jc w:val="center"/>
              <w:tblBorders>
                <w:top w:val="single" w:sz="2" w:space="0" w:color="A7B4BE"/>
                <w:left w:val="single" w:sz="2" w:space="0" w:color="A7B4BE"/>
                <w:bottom w:val="single" w:sz="2" w:space="0" w:color="A7B4BE"/>
                <w:right w:val="single" w:sz="2" w:space="0" w:color="A7B4BE"/>
                <w:insideH w:val="single" w:sz="2" w:space="0" w:color="A7B4BE"/>
                <w:insideV w:val="single" w:sz="2" w:space="0" w:color="A7B4BE"/>
              </w:tblBorders>
              <w:tblCellMar>
                <w:left w:w="0" w:type="dxa"/>
                <w:right w:w="0" w:type="dxa"/>
              </w:tblCellMar>
              <w:tblLook w:val="04A0" w:firstRow="1" w:lastRow="0" w:firstColumn="1" w:lastColumn="0" w:noHBand="0" w:noVBand="1"/>
            </w:tblPr>
            <w:tblGrid>
              <w:gridCol w:w="1820"/>
              <w:gridCol w:w="1012"/>
              <w:gridCol w:w="1012"/>
              <w:gridCol w:w="1300"/>
              <w:gridCol w:w="1188"/>
              <w:gridCol w:w="1188"/>
            </w:tblGrid>
            <w:tr w:rsidR="00C62416" w:rsidRPr="00DD477A" w14:paraId="2FD33B14" w14:textId="77777777" w:rsidTr="00883DD7">
              <w:trPr>
                <w:trHeight w:val="446"/>
                <w:jc w:val="center"/>
              </w:trPr>
              <w:tc>
                <w:tcPr>
                  <w:tcW w:w="1820" w:type="dxa"/>
                </w:tcPr>
                <w:p w14:paraId="7E55B5EB"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Measure Title</w:t>
                  </w:r>
                </w:p>
              </w:tc>
              <w:tc>
                <w:tcPr>
                  <w:tcW w:w="1012" w:type="dxa"/>
                </w:tcPr>
                <w:p w14:paraId="45733776" w14:textId="1381C020" w:rsidR="00C62416" w:rsidRPr="00DD477A" w:rsidRDefault="00C62416" w:rsidP="00B11749">
                  <w:pPr>
                    <w:pStyle w:val="TableText-Medium"/>
                    <w:jc w:val="center"/>
                    <w:rPr>
                      <w:rFonts w:cs="Calibri"/>
                      <w:sz w:val="16"/>
                      <w:szCs w:val="16"/>
                    </w:rPr>
                  </w:pPr>
                  <w:r w:rsidRPr="00DD477A">
                    <w:rPr>
                      <w:rFonts w:cs="Calibri"/>
                      <w:sz w:val="16"/>
                      <w:szCs w:val="16"/>
                    </w:rPr>
                    <w:t>202</w:t>
                  </w:r>
                  <w:r w:rsidR="00D06C47" w:rsidRPr="00DD477A">
                    <w:rPr>
                      <w:rFonts w:cs="Calibri"/>
                      <w:sz w:val="16"/>
                      <w:szCs w:val="16"/>
                    </w:rPr>
                    <w:t>3</w:t>
                  </w:r>
                  <w:r w:rsidRPr="00DD477A">
                    <w:rPr>
                      <w:rFonts w:cs="Calibri"/>
                      <w:sz w:val="16"/>
                      <w:szCs w:val="16"/>
                    </w:rPr>
                    <w:t>-2</w:t>
                  </w:r>
                  <w:r w:rsidR="00D06C47" w:rsidRPr="00DD477A">
                    <w:rPr>
                      <w:rFonts w:cs="Calibri"/>
                      <w:sz w:val="16"/>
                      <w:szCs w:val="16"/>
                    </w:rPr>
                    <w:t>4</w:t>
                  </w:r>
                  <w:r w:rsidRPr="00DD477A">
                    <w:rPr>
                      <w:rFonts w:cs="Calibri"/>
                      <w:sz w:val="16"/>
                      <w:szCs w:val="16"/>
                    </w:rPr>
                    <w:br/>
                    <w:t>$m</w:t>
                  </w:r>
                </w:p>
              </w:tc>
              <w:tc>
                <w:tcPr>
                  <w:tcW w:w="1012" w:type="dxa"/>
                </w:tcPr>
                <w:p w14:paraId="3930F8A6" w14:textId="78CD424D" w:rsidR="00C62416" w:rsidRPr="00DD477A" w:rsidRDefault="00C62416" w:rsidP="00B11749">
                  <w:pPr>
                    <w:pStyle w:val="TableText-Medium"/>
                    <w:jc w:val="center"/>
                    <w:rPr>
                      <w:rFonts w:cs="Calibri"/>
                      <w:sz w:val="16"/>
                      <w:szCs w:val="16"/>
                    </w:rPr>
                  </w:pPr>
                  <w:r w:rsidRPr="00DD477A">
                    <w:rPr>
                      <w:rFonts w:cs="Calibri"/>
                      <w:sz w:val="16"/>
                      <w:szCs w:val="16"/>
                    </w:rPr>
                    <w:t>202</w:t>
                  </w:r>
                  <w:r w:rsidR="00D06C47" w:rsidRPr="00DD477A">
                    <w:rPr>
                      <w:rFonts w:cs="Calibri"/>
                      <w:sz w:val="16"/>
                      <w:szCs w:val="16"/>
                    </w:rPr>
                    <w:t>4</w:t>
                  </w:r>
                  <w:r w:rsidRPr="00DD477A">
                    <w:rPr>
                      <w:rFonts w:cs="Calibri"/>
                      <w:sz w:val="16"/>
                      <w:szCs w:val="16"/>
                    </w:rPr>
                    <w:t>-2</w:t>
                  </w:r>
                  <w:r w:rsidR="00D06C47" w:rsidRPr="00DD477A">
                    <w:rPr>
                      <w:rFonts w:cs="Calibri"/>
                      <w:sz w:val="16"/>
                      <w:szCs w:val="16"/>
                    </w:rPr>
                    <w:t>5</w:t>
                  </w:r>
                  <w:r w:rsidR="00994760" w:rsidRPr="00DD477A">
                    <w:rPr>
                      <w:rFonts w:cs="Calibri"/>
                      <w:sz w:val="16"/>
                      <w:szCs w:val="16"/>
                    </w:rPr>
                    <w:t xml:space="preserve"> </w:t>
                  </w:r>
                  <w:r w:rsidRPr="00DD477A">
                    <w:rPr>
                      <w:rFonts w:cs="Calibri"/>
                      <w:sz w:val="16"/>
                      <w:szCs w:val="16"/>
                    </w:rPr>
                    <w:t>$m</w:t>
                  </w:r>
                </w:p>
              </w:tc>
              <w:tc>
                <w:tcPr>
                  <w:tcW w:w="1300" w:type="dxa"/>
                </w:tcPr>
                <w:p w14:paraId="26BFD0F2" w14:textId="0EB77531" w:rsidR="00C62416" w:rsidRPr="00DD477A" w:rsidRDefault="00C62416" w:rsidP="00B11749">
                  <w:pPr>
                    <w:pStyle w:val="TableText-Medium"/>
                    <w:jc w:val="center"/>
                    <w:rPr>
                      <w:rFonts w:cs="Calibri"/>
                      <w:sz w:val="16"/>
                      <w:szCs w:val="16"/>
                    </w:rPr>
                  </w:pPr>
                  <w:r w:rsidRPr="00DD477A">
                    <w:rPr>
                      <w:rFonts w:cs="Calibri"/>
                      <w:sz w:val="16"/>
                      <w:szCs w:val="16"/>
                    </w:rPr>
                    <w:t>202</w:t>
                  </w:r>
                  <w:r w:rsidR="00D06C47" w:rsidRPr="00DD477A">
                    <w:rPr>
                      <w:rFonts w:cs="Calibri"/>
                      <w:sz w:val="16"/>
                      <w:szCs w:val="16"/>
                    </w:rPr>
                    <w:t>5</w:t>
                  </w:r>
                  <w:r w:rsidRPr="00DD477A">
                    <w:rPr>
                      <w:rFonts w:cs="Calibri"/>
                      <w:sz w:val="16"/>
                      <w:szCs w:val="16"/>
                    </w:rPr>
                    <w:t>-2</w:t>
                  </w:r>
                  <w:r w:rsidR="00D06C47" w:rsidRPr="00DD477A">
                    <w:rPr>
                      <w:rFonts w:cs="Calibri"/>
                      <w:sz w:val="16"/>
                      <w:szCs w:val="16"/>
                    </w:rPr>
                    <w:t>6</w:t>
                  </w:r>
                  <w:r w:rsidRPr="00DD477A">
                    <w:rPr>
                      <w:rFonts w:cs="Calibri"/>
                      <w:sz w:val="16"/>
                      <w:szCs w:val="16"/>
                    </w:rPr>
                    <w:br/>
                    <w:t>$m</w:t>
                  </w:r>
                </w:p>
              </w:tc>
              <w:tc>
                <w:tcPr>
                  <w:tcW w:w="1188" w:type="dxa"/>
                </w:tcPr>
                <w:p w14:paraId="27BFA92F" w14:textId="5ED26962" w:rsidR="00C62416" w:rsidRPr="00DD477A" w:rsidRDefault="00C62416" w:rsidP="00B11749">
                  <w:pPr>
                    <w:pStyle w:val="TableText-Medium"/>
                    <w:jc w:val="center"/>
                    <w:rPr>
                      <w:rFonts w:cs="Calibri"/>
                      <w:sz w:val="16"/>
                      <w:szCs w:val="16"/>
                    </w:rPr>
                  </w:pPr>
                  <w:r w:rsidRPr="00DD477A">
                    <w:rPr>
                      <w:rFonts w:cs="Calibri"/>
                      <w:sz w:val="16"/>
                      <w:szCs w:val="16"/>
                    </w:rPr>
                    <w:t>202</w:t>
                  </w:r>
                  <w:r w:rsidR="00D06C47" w:rsidRPr="00DD477A">
                    <w:rPr>
                      <w:rFonts w:cs="Calibri"/>
                      <w:sz w:val="16"/>
                      <w:szCs w:val="16"/>
                    </w:rPr>
                    <w:t>6</w:t>
                  </w:r>
                  <w:r w:rsidRPr="00DD477A">
                    <w:rPr>
                      <w:rFonts w:cs="Calibri"/>
                      <w:sz w:val="16"/>
                      <w:szCs w:val="16"/>
                    </w:rPr>
                    <w:t>-2</w:t>
                  </w:r>
                  <w:r w:rsidR="00D06C47" w:rsidRPr="00DD477A">
                    <w:rPr>
                      <w:rFonts w:cs="Calibri"/>
                      <w:sz w:val="16"/>
                      <w:szCs w:val="16"/>
                    </w:rPr>
                    <w:t>7</w:t>
                  </w:r>
                  <w:r w:rsidRPr="00DD477A">
                    <w:rPr>
                      <w:rFonts w:cs="Calibri"/>
                      <w:sz w:val="16"/>
                      <w:szCs w:val="16"/>
                    </w:rPr>
                    <w:t xml:space="preserve"> </w:t>
                  </w:r>
                  <w:r w:rsidR="009A714F" w:rsidRPr="00DD477A">
                    <w:rPr>
                      <w:rFonts w:cs="Calibri"/>
                      <w:sz w:val="16"/>
                      <w:szCs w:val="16"/>
                    </w:rPr>
                    <w:br/>
                  </w:r>
                  <w:r w:rsidRPr="00DD477A">
                    <w:rPr>
                      <w:rFonts w:cs="Calibri"/>
                      <w:sz w:val="16"/>
                      <w:szCs w:val="16"/>
                    </w:rPr>
                    <w:t>$m</w:t>
                  </w:r>
                </w:p>
              </w:tc>
              <w:tc>
                <w:tcPr>
                  <w:tcW w:w="1188" w:type="dxa"/>
                </w:tcPr>
                <w:p w14:paraId="7ECA3EAC" w14:textId="1FB5AD5F" w:rsidR="00C62416" w:rsidRPr="00DD477A" w:rsidRDefault="00C62416" w:rsidP="00B11749">
                  <w:pPr>
                    <w:pStyle w:val="TableText-Medium"/>
                    <w:jc w:val="center"/>
                    <w:rPr>
                      <w:rFonts w:cs="Calibri"/>
                      <w:sz w:val="16"/>
                      <w:szCs w:val="16"/>
                    </w:rPr>
                  </w:pPr>
                  <w:r w:rsidRPr="00DD477A">
                    <w:rPr>
                      <w:rFonts w:cs="Calibri"/>
                      <w:sz w:val="16"/>
                      <w:szCs w:val="16"/>
                    </w:rPr>
                    <w:t>202</w:t>
                  </w:r>
                  <w:r w:rsidR="009A714F" w:rsidRPr="00DD477A">
                    <w:rPr>
                      <w:rFonts w:cs="Calibri"/>
                      <w:sz w:val="16"/>
                      <w:szCs w:val="16"/>
                    </w:rPr>
                    <w:t>7</w:t>
                  </w:r>
                  <w:r w:rsidRPr="00DD477A">
                    <w:rPr>
                      <w:rFonts w:cs="Calibri"/>
                      <w:sz w:val="16"/>
                      <w:szCs w:val="16"/>
                    </w:rPr>
                    <w:t>-2</w:t>
                  </w:r>
                  <w:r w:rsidR="009A714F" w:rsidRPr="00DD477A">
                    <w:rPr>
                      <w:rFonts w:cs="Calibri"/>
                      <w:sz w:val="16"/>
                      <w:szCs w:val="16"/>
                    </w:rPr>
                    <w:t>8</w:t>
                  </w:r>
                  <w:r w:rsidRPr="00DD477A">
                    <w:rPr>
                      <w:rFonts w:cs="Calibri"/>
                      <w:sz w:val="16"/>
                      <w:szCs w:val="16"/>
                    </w:rPr>
                    <w:t xml:space="preserve"> </w:t>
                  </w:r>
                  <w:r w:rsidR="009A714F" w:rsidRPr="00DD477A">
                    <w:rPr>
                      <w:rFonts w:cs="Calibri"/>
                      <w:sz w:val="16"/>
                      <w:szCs w:val="16"/>
                    </w:rPr>
                    <w:br/>
                  </w:r>
                  <w:r w:rsidRPr="00DD477A">
                    <w:rPr>
                      <w:rFonts w:cs="Calibri"/>
                      <w:sz w:val="16"/>
                      <w:szCs w:val="16"/>
                    </w:rPr>
                    <w:t>$m</w:t>
                  </w:r>
                </w:p>
              </w:tc>
            </w:tr>
            <w:tr w:rsidR="00C62416" w:rsidRPr="00DD477A" w14:paraId="21282123" w14:textId="77777777" w:rsidTr="00883DD7">
              <w:trPr>
                <w:trHeight w:val="446"/>
                <w:jc w:val="center"/>
              </w:trPr>
              <w:tc>
                <w:tcPr>
                  <w:tcW w:w="1820" w:type="dxa"/>
                </w:tcPr>
                <w:p w14:paraId="558E4C00"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X Measure – reduction</w:t>
                  </w:r>
                </w:p>
              </w:tc>
              <w:tc>
                <w:tcPr>
                  <w:tcW w:w="1012" w:type="dxa"/>
                </w:tcPr>
                <w:p w14:paraId="29D0DBED" w14:textId="615D52F8"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w:t>
                  </w:r>
                  <w:r w:rsidR="000853D0" w:rsidRPr="00DD477A">
                    <w:rPr>
                      <w:rStyle w:val="BodyTextChar"/>
                      <w:rFonts w:cs="Calibri"/>
                      <w:sz w:val="16"/>
                      <w:szCs w:val="16"/>
                    </w:rPr>
                    <w:t>1</w:t>
                  </w:r>
                  <w:r w:rsidRPr="00DD477A">
                    <w:rPr>
                      <w:rStyle w:val="BodyTextChar"/>
                      <w:rFonts w:cs="Calibri"/>
                      <w:sz w:val="16"/>
                      <w:szCs w:val="16"/>
                    </w:rPr>
                    <w:t>)</w:t>
                  </w:r>
                </w:p>
              </w:tc>
              <w:tc>
                <w:tcPr>
                  <w:tcW w:w="1012" w:type="dxa"/>
                </w:tcPr>
                <w:p w14:paraId="4F067EC1" w14:textId="43C9A522"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300" w:type="dxa"/>
                </w:tcPr>
                <w:p w14:paraId="47399B63"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($3)</w:t>
                  </w:r>
                </w:p>
              </w:tc>
              <w:tc>
                <w:tcPr>
                  <w:tcW w:w="1188" w:type="dxa"/>
                </w:tcPr>
                <w:p w14:paraId="080B06AD"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188" w:type="dxa"/>
                </w:tcPr>
                <w:p w14:paraId="2A0BC8EE"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($5)</w:t>
                  </w:r>
                </w:p>
              </w:tc>
            </w:tr>
            <w:tr w:rsidR="00C62416" w:rsidRPr="00DD477A" w14:paraId="49AB14C0" w14:textId="77777777" w:rsidTr="00883DD7">
              <w:trPr>
                <w:trHeight w:val="446"/>
                <w:jc w:val="center"/>
              </w:trPr>
              <w:tc>
                <w:tcPr>
                  <w:tcW w:w="1820" w:type="dxa"/>
                </w:tcPr>
                <w:p w14:paraId="1B8C0AEB" w14:textId="77777777" w:rsidR="00C62416" w:rsidRPr="00DD477A" w:rsidRDefault="00C62416" w:rsidP="53BF0693">
                  <w:pPr>
                    <w:pStyle w:val="TableText-Medium"/>
                    <w:rPr>
                      <w:rStyle w:val="BodyTextChar"/>
                      <w:rFonts w:cs="Calibri"/>
                      <w:sz w:val="16"/>
                      <w:szCs w:val="16"/>
                    </w:rPr>
                  </w:pPr>
                  <w:r w:rsidRPr="00DD477A">
                    <w:rPr>
                      <w:rStyle w:val="BodyTextChar"/>
                      <w:rFonts w:cs="Calibri"/>
                      <w:sz w:val="16"/>
                      <w:szCs w:val="16"/>
                    </w:rPr>
                    <w:t xml:space="preserve">Y Measure </w:t>
                  </w:r>
                  <w:r w:rsidRPr="00DD477A">
                    <w:rPr>
                      <w:rFonts w:cs="Calibri"/>
                      <w:sz w:val="16"/>
                      <w:szCs w:val="16"/>
                    </w:rPr>
                    <w:t>–</w:t>
                  </w:r>
                  <w:r w:rsidRPr="00DD477A">
                    <w:rPr>
                      <w:rStyle w:val="BodyTextChar"/>
                      <w:rFonts w:cs="Calibri"/>
                      <w:sz w:val="16"/>
                      <w:szCs w:val="16"/>
                    </w:rPr>
                    <w:t>cessation</w:t>
                  </w:r>
                </w:p>
              </w:tc>
              <w:tc>
                <w:tcPr>
                  <w:tcW w:w="1012" w:type="dxa"/>
                </w:tcPr>
                <w:p w14:paraId="62F4E5E8" w14:textId="718C1F0A" w:rsidR="00C62416" w:rsidRPr="00DD477A" w:rsidRDefault="000853D0" w:rsidP="00B31ED0">
                  <w:pPr>
                    <w:pStyle w:val="TableText-Medium"/>
                    <w:jc w:val="center"/>
                    <w:rPr>
                      <w:rStyle w:val="BodyTextChar"/>
                      <w:rFonts w:cs="Calibri"/>
                      <w:sz w:val="16"/>
                      <w:szCs w:val="16"/>
                    </w:rPr>
                  </w:pPr>
                  <w:r w:rsidRPr="00DD477A">
                    <w:rPr>
                      <w:rStyle w:val="BodyTextChar"/>
                      <w:rFonts w:cs="Calibri"/>
                      <w:sz w:val="16"/>
                      <w:szCs w:val="16"/>
                    </w:rPr>
                    <w:t>$(1)</w:t>
                  </w:r>
                </w:p>
              </w:tc>
              <w:tc>
                <w:tcPr>
                  <w:tcW w:w="1012" w:type="dxa"/>
                </w:tcPr>
                <w:p w14:paraId="668B8C9F" w14:textId="26388FE4"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($2)</w:t>
                  </w:r>
                </w:p>
              </w:tc>
              <w:tc>
                <w:tcPr>
                  <w:tcW w:w="1300" w:type="dxa"/>
                </w:tcPr>
                <w:p w14:paraId="129E92E5"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($3)</w:t>
                  </w:r>
                </w:p>
              </w:tc>
              <w:tc>
                <w:tcPr>
                  <w:tcW w:w="1188" w:type="dxa"/>
                </w:tcPr>
                <w:p w14:paraId="68761A94"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($4)</w:t>
                  </w:r>
                </w:p>
              </w:tc>
              <w:tc>
                <w:tcPr>
                  <w:tcW w:w="1188" w:type="dxa"/>
                </w:tcPr>
                <w:p w14:paraId="15E6933C" w14:textId="77777777" w:rsidR="00C62416" w:rsidRPr="00DD477A" w:rsidRDefault="00C62416" w:rsidP="00B31ED0">
                  <w:pPr>
                    <w:pStyle w:val="TableText-Medium"/>
                    <w:jc w:val="center"/>
                    <w:rPr>
                      <w:rStyle w:val="BodyTextChar"/>
                      <w:rFonts w:cs="Calibri"/>
                      <w:sz w:val="16"/>
                      <w:szCs w:val="16"/>
                    </w:rPr>
                  </w:pPr>
                  <w:r w:rsidRPr="00DD477A">
                    <w:rPr>
                      <w:rStyle w:val="BodyTextChar"/>
                      <w:rFonts w:cs="Calibri"/>
                      <w:sz w:val="16"/>
                      <w:szCs w:val="16"/>
                    </w:rPr>
                    <w:t>($5)</w:t>
                  </w:r>
                </w:p>
              </w:tc>
            </w:tr>
          </w:tbl>
          <w:p w14:paraId="4347ED2E" w14:textId="69D4A794" w:rsidR="004D479A" w:rsidRPr="00DD477A" w:rsidRDefault="00BB22D2" w:rsidP="53BF0693">
            <w:pPr>
              <w:pStyle w:val="TableText-Medium"/>
              <w:rPr>
                <w:rStyle w:val="BodyTextChar"/>
                <w:rFonts w:cs="Calibri"/>
              </w:rPr>
            </w:pPr>
            <w:r w:rsidRPr="00DD477A">
              <w:rPr>
                <w:rStyle w:val="BodyTextChar"/>
                <w:rFonts w:cs="Calibri"/>
              </w:rPr>
              <w:t>T</w:t>
            </w:r>
            <w:r w:rsidR="53BF0693" w:rsidRPr="00DD477A">
              <w:rPr>
                <w:rStyle w:val="BodyTextChar"/>
                <w:rFonts w:cs="Calibri"/>
              </w:rPr>
              <w:t xml:space="preserve">he following </w:t>
            </w:r>
            <w:r w:rsidR="006B0AE2" w:rsidRPr="00DD477A">
              <w:rPr>
                <w:rStyle w:val="BodyTextChar"/>
                <w:rFonts w:cs="Calibri"/>
              </w:rPr>
              <w:t xml:space="preserve">is required </w:t>
            </w:r>
            <w:r w:rsidR="53BF0693" w:rsidRPr="00DD477A">
              <w:rPr>
                <w:rStyle w:val="BodyTextChar"/>
                <w:rFonts w:cs="Calibri"/>
              </w:rPr>
              <w:t xml:space="preserve">in the </w:t>
            </w:r>
            <w:r w:rsidR="53BF0693" w:rsidRPr="00DD477A">
              <w:rPr>
                <w:rStyle w:val="BodyTextChar"/>
                <w:rFonts w:cs="Calibri"/>
                <w:b/>
                <w:bCs/>
              </w:rPr>
              <w:t xml:space="preserve">PB Statements </w:t>
            </w:r>
            <w:r w:rsidR="004E165E" w:rsidRPr="00DD477A">
              <w:rPr>
                <w:rStyle w:val="BodyTextChar"/>
                <w:rFonts w:cs="Calibri"/>
                <w:b/>
                <w:bCs/>
              </w:rPr>
              <w:t>to</w:t>
            </w:r>
            <w:r w:rsidR="53BF0693" w:rsidRPr="00DD477A">
              <w:rPr>
                <w:rStyle w:val="BodyTextChar"/>
                <w:rFonts w:cs="Calibri"/>
                <w:b/>
                <w:bCs/>
              </w:rPr>
              <w:t xml:space="preserve"> show the net effect of the full/partial reversals, with an explanatory footnote</w:t>
            </w:r>
            <w:r w:rsidR="53BF0693" w:rsidRPr="00DD477A">
              <w:rPr>
                <w:rStyle w:val="BodyTextChar"/>
                <w:rFonts w:cs="Calibri"/>
              </w:rPr>
              <w:t>:</w:t>
            </w:r>
          </w:p>
          <w:tbl>
            <w:tblPr>
              <w:tblW w:w="9053" w:type="dxa"/>
              <w:jc w:val="center"/>
              <w:tblLook w:val="04A0" w:firstRow="1" w:lastRow="0" w:firstColumn="1" w:lastColumn="0" w:noHBand="0" w:noVBand="1"/>
            </w:tblPr>
            <w:tblGrid>
              <w:gridCol w:w="2407"/>
              <w:gridCol w:w="1089"/>
              <w:gridCol w:w="1065"/>
              <w:gridCol w:w="117"/>
              <w:gridCol w:w="948"/>
              <w:gridCol w:w="1122"/>
              <w:gridCol w:w="1122"/>
              <w:gridCol w:w="1183"/>
            </w:tblGrid>
            <w:tr w:rsidR="001B36F7" w:rsidRPr="00DD477A" w14:paraId="202AAB71" w14:textId="77777777" w:rsidTr="00F611EB">
              <w:trPr>
                <w:trHeight w:val="225"/>
                <w:jc w:val="center"/>
              </w:trPr>
              <w:tc>
                <w:tcPr>
                  <w:tcW w:w="4678" w:type="dxa"/>
                  <w:gridSpan w:val="4"/>
                  <w:tcBorders>
                    <w:top w:val="nil"/>
                    <w:left w:val="nil"/>
                    <w:bottom w:val="nil"/>
                    <w:right w:val="nil"/>
                  </w:tcBorders>
                  <w:vAlign w:val="bottom"/>
                </w:tcPr>
                <w:p w14:paraId="5CDF3FC5" w14:textId="7575794F" w:rsidR="001B36F7" w:rsidRPr="00DD477A" w:rsidRDefault="001B36F7" w:rsidP="001B36F7">
                  <w:pPr>
                    <w:pStyle w:val="TableText-SuperSmallBold"/>
                    <w:rPr>
                      <w:rFonts w:cs="Calibri"/>
                    </w:rPr>
                  </w:pPr>
                  <w:r w:rsidRPr="00DD477A">
                    <w:rPr>
                      <w:rFonts w:cs="Calibri"/>
                    </w:rPr>
                    <w:t>Table 1.2: Entity 202</w:t>
                  </w:r>
                  <w:r w:rsidR="002D477A" w:rsidRPr="00DD477A">
                    <w:rPr>
                      <w:rFonts w:cs="Calibri"/>
                    </w:rPr>
                    <w:t>4</w:t>
                  </w:r>
                  <w:r w:rsidRPr="00DD477A">
                    <w:rPr>
                      <w:rFonts w:cs="Calibri"/>
                    </w:rPr>
                    <w:t>-2</w:t>
                  </w:r>
                  <w:r w:rsidR="002D477A" w:rsidRPr="00DD477A">
                    <w:rPr>
                      <w:rFonts w:cs="Calibri"/>
                    </w:rPr>
                    <w:t>5</w:t>
                  </w:r>
                  <w:r w:rsidRPr="00DD477A">
                    <w:rPr>
                      <w:rFonts w:cs="Calibri"/>
                    </w:rPr>
                    <w:t xml:space="preserve"> Budget </w:t>
                  </w:r>
                  <w:r w:rsidR="005A0B7D" w:rsidRPr="00DD477A">
                    <w:rPr>
                      <w:rFonts w:cs="Calibri"/>
                    </w:rPr>
                    <w:t>m</w:t>
                  </w:r>
                  <w:r w:rsidRPr="00DD477A">
                    <w:rPr>
                      <w:rFonts w:cs="Calibri"/>
                    </w:rPr>
                    <w:t>easures</w:t>
                  </w:r>
                </w:p>
              </w:tc>
              <w:tc>
                <w:tcPr>
                  <w:tcW w:w="4375" w:type="dxa"/>
                  <w:gridSpan w:val="4"/>
                  <w:tcBorders>
                    <w:top w:val="nil"/>
                    <w:left w:val="nil"/>
                    <w:bottom w:val="nil"/>
                    <w:right w:val="nil"/>
                  </w:tcBorders>
                  <w:shd w:val="clear" w:color="auto" w:fill="auto"/>
                  <w:noWrap/>
                  <w:vAlign w:val="bottom"/>
                </w:tcPr>
                <w:p w14:paraId="3962D8F9" w14:textId="74021A79" w:rsidR="001B36F7" w:rsidRPr="00DD477A" w:rsidRDefault="001B36F7" w:rsidP="001B36F7">
                  <w:pPr>
                    <w:pStyle w:val="TableText-SuperSmallBold"/>
                    <w:rPr>
                      <w:rFonts w:cs="Calibri"/>
                    </w:rPr>
                  </w:pPr>
                </w:p>
              </w:tc>
            </w:tr>
            <w:tr w:rsidR="001B36F7" w:rsidRPr="00DD477A" w14:paraId="31628D35" w14:textId="77777777" w:rsidTr="00F611EB">
              <w:trPr>
                <w:trHeight w:val="225"/>
                <w:jc w:val="center"/>
              </w:trPr>
              <w:tc>
                <w:tcPr>
                  <w:tcW w:w="4678" w:type="dxa"/>
                  <w:gridSpan w:val="4"/>
                  <w:tcBorders>
                    <w:top w:val="nil"/>
                    <w:left w:val="nil"/>
                    <w:bottom w:val="nil"/>
                    <w:right w:val="nil"/>
                  </w:tcBorders>
                  <w:vAlign w:val="bottom"/>
                </w:tcPr>
                <w:p w14:paraId="155FF7C8" w14:textId="36BBB6EC" w:rsidR="001B36F7" w:rsidRPr="00DD477A" w:rsidRDefault="00EC7473" w:rsidP="001B36F7">
                  <w:pPr>
                    <w:pStyle w:val="TableText-SuperSmallBold"/>
                    <w:rPr>
                      <w:rFonts w:cs="Calibri"/>
                    </w:rPr>
                  </w:pPr>
                  <w:r w:rsidRPr="00DD477A">
                    <w:rPr>
                      <w:rFonts w:cs="Calibri"/>
                    </w:rPr>
                    <w:t xml:space="preserve">Part 1: </w:t>
                  </w:r>
                  <w:r w:rsidR="001B36F7" w:rsidRPr="00DD477A">
                    <w:rPr>
                      <w:rFonts w:cs="Calibri"/>
                    </w:rPr>
                    <w:t>Measures announced since the 202</w:t>
                  </w:r>
                  <w:r w:rsidR="002D477A" w:rsidRPr="00DD477A">
                    <w:rPr>
                      <w:rFonts w:cs="Calibri"/>
                    </w:rPr>
                    <w:t>3</w:t>
                  </w:r>
                  <w:r w:rsidR="001B36F7" w:rsidRPr="00DD477A">
                    <w:rPr>
                      <w:rFonts w:cs="Calibri"/>
                    </w:rPr>
                    <w:t>-2</w:t>
                  </w:r>
                  <w:r w:rsidR="002D477A" w:rsidRPr="00DD477A">
                    <w:rPr>
                      <w:rFonts w:cs="Calibri"/>
                    </w:rPr>
                    <w:t>4</w:t>
                  </w:r>
                  <w:r w:rsidR="001B36F7" w:rsidRPr="00DD477A">
                    <w:rPr>
                      <w:rFonts w:cs="Calibri"/>
                    </w:rPr>
                    <w:t xml:space="preserve"> Budget </w:t>
                  </w:r>
                </w:p>
              </w:tc>
              <w:tc>
                <w:tcPr>
                  <w:tcW w:w="4375" w:type="dxa"/>
                  <w:gridSpan w:val="4"/>
                  <w:tcBorders>
                    <w:top w:val="nil"/>
                    <w:left w:val="nil"/>
                    <w:bottom w:val="nil"/>
                    <w:right w:val="nil"/>
                  </w:tcBorders>
                  <w:shd w:val="clear" w:color="auto" w:fill="auto"/>
                  <w:noWrap/>
                  <w:vAlign w:val="bottom"/>
                </w:tcPr>
                <w:p w14:paraId="1FFFBF81" w14:textId="663EB8EE" w:rsidR="001B36F7" w:rsidRPr="00DD477A" w:rsidRDefault="001B36F7" w:rsidP="001B36F7">
                  <w:pPr>
                    <w:pStyle w:val="TableText-SuperSmallBold"/>
                    <w:rPr>
                      <w:rFonts w:cs="Calibri"/>
                    </w:rPr>
                  </w:pPr>
                </w:p>
              </w:tc>
            </w:tr>
            <w:tr w:rsidR="001B36F7" w:rsidRPr="00DD477A" w14:paraId="6855E586" w14:textId="77777777" w:rsidTr="00F611EB">
              <w:trPr>
                <w:trHeight w:val="225"/>
                <w:jc w:val="center"/>
              </w:trPr>
              <w:tc>
                <w:tcPr>
                  <w:tcW w:w="2407" w:type="dxa"/>
                  <w:tcBorders>
                    <w:top w:val="single" w:sz="4" w:space="0" w:color="auto"/>
                    <w:left w:val="nil"/>
                    <w:bottom w:val="nil"/>
                    <w:right w:val="nil"/>
                  </w:tcBorders>
                  <w:shd w:val="clear" w:color="auto" w:fill="auto"/>
                  <w:noWrap/>
                  <w:vAlign w:val="bottom"/>
                  <w:hideMark/>
                </w:tcPr>
                <w:p w14:paraId="2CCFFFD3" w14:textId="77777777" w:rsidR="001B36F7" w:rsidRPr="00DD477A" w:rsidRDefault="001B36F7" w:rsidP="001B36F7">
                  <w:pPr>
                    <w:pStyle w:val="TableText-SuperSmallBold"/>
                    <w:rPr>
                      <w:rFonts w:cs="Calibri"/>
                    </w:rPr>
                  </w:pPr>
                  <w:r w:rsidRPr="00DD477A">
                    <w:rPr>
                      <w:rFonts w:cs="Calibri"/>
                    </w:rPr>
                    <w:t> </w:t>
                  </w:r>
                </w:p>
              </w:tc>
              <w:tc>
                <w:tcPr>
                  <w:tcW w:w="1089" w:type="dxa"/>
                  <w:tcBorders>
                    <w:top w:val="single" w:sz="4" w:space="0" w:color="auto"/>
                    <w:left w:val="nil"/>
                    <w:bottom w:val="nil"/>
                    <w:right w:val="nil"/>
                  </w:tcBorders>
                  <w:shd w:val="clear" w:color="auto" w:fill="auto"/>
                  <w:noWrap/>
                  <w:vAlign w:val="bottom"/>
                  <w:hideMark/>
                </w:tcPr>
                <w:p w14:paraId="429605C3" w14:textId="77777777" w:rsidR="001B36F7" w:rsidRPr="00DD477A" w:rsidRDefault="001B36F7" w:rsidP="001B36F7">
                  <w:pPr>
                    <w:pStyle w:val="TableText-SuperSmallBold"/>
                    <w:rPr>
                      <w:rFonts w:cs="Calibri"/>
                    </w:rPr>
                  </w:pPr>
                  <w:r w:rsidRPr="00DD477A">
                    <w:rPr>
                      <w:rFonts w:cs="Calibri"/>
                    </w:rPr>
                    <w:t>Program</w:t>
                  </w:r>
                </w:p>
              </w:tc>
              <w:tc>
                <w:tcPr>
                  <w:tcW w:w="1065" w:type="dxa"/>
                  <w:tcBorders>
                    <w:top w:val="single" w:sz="4" w:space="0" w:color="auto"/>
                    <w:left w:val="nil"/>
                    <w:bottom w:val="nil"/>
                    <w:right w:val="nil"/>
                  </w:tcBorders>
                  <w:shd w:val="clear" w:color="auto" w:fill="E6E6E6"/>
                  <w:vAlign w:val="bottom"/>
                </w:tcPr>
                <w:p w14:paraId="6B391B77" w14:textId="71B055E5" w:rsidR="001B36F7" w:rsidRPr="00DD477A" w:rsidDel="00B11749" w:rsidRDefault="001B36F7" w:rsidP="001B36F7">
                  <w:pPr>
                    <w:pStyle w:val="TableText-SuperSmallBold"/>
                    <w:jc w:val="center"/>
                    <w:rPr>
                      <w:rFonts w:cs="Calibri"/>
                    </w:rPr>
                  </w:pPr>
                  <w:r w:rsidRPr="00DD477A">
                    <w:rPr>
                      <w:rFonts w:cs="Calibri"/>
                    </w:rPr>
                    <w:t>202</w:t>
                  </w:r>
                  <w:r w:rsidR="009A714F" w:rsidRPr="00DD477A">
                    <w:rPr>
                      <w:rFonts w:cs="Calibri"/>
                    </w:rPr>
                    <w:t>3</w:t>
                  </w:r>
                  <w:r w:rsidRPr="00DD477A">
                    <w:rPr>
                      <w:rFonts w:cs="Calibri"/>
                    </w:rPr>
                    <w:t>-2</w:t>
                  </w:r>
                  <w:r w:rsidR="009A714F" w:rsidRPr="00DD477A">
                    <w:rPr>
                      <w:rFonts w:cs="Calibri"/>
                    </w:rPr>
                    <w:t>4</w:t>
                  </w:r>
                </w:p>
              </w:tc>
              <w:tc>
                <w:tcPr>
                  <w:tcW w:w="1065" w:type="dxa"/>
                  <w:gridSpan w:val="2"/>
                  <w:tcBorders>
                    <w:top w:val="single" w:sz="4" w:space="0" w:color="auto"/>
                    <w:left w:val="nil"/>
                    <w:bottom w:val="nil"/>
                    <w:right w:val="nil"/>
                  </w:tcBorders>
                  <w:shd w:val="clear" w:color="auto" w:fill="FFFFFF" w:themeFill="background1"/>
                  <w:noWrap/>
                  <w:vAlign w:val="bottom"/>
                  <w:hideMark/>
                </w:tcPr>
                <w:p w14:paraId="1067E7F4" w14:textId="64D5AE2C" w:rsidR="001B36F7" w:rsidRPr="00DD477A" w:rsidRDefault="001B36F7" w:rsidP="001B36F7">
                  <w:pPr>
                    <w:pStyle w:val="TableText-SuperSmallBold"/>
                    <w:jc w:val="center"/>
                    <w:rPr>
                      <w:rFonts w:cs="Calibri"/>
                    </w:rPr>
                  </w:pPr>
                  <w:r w:rsidRPr="00DD477A">
                    <w:rPr>
                      <w:rFonts w:cs="Calibri"/>
                    </w:rPr>
                    <w:t>202</w:t>
                  </w:r>
                  <w:r w:rsidR="009A714F" w:rsidRPr="00DD477A">
                    <w:rPr>
                      <w:rFonts w:cs="Calibri"/>
                    </w:rPr>
                    <w:t>4</w:t>
                  </w:r>
                  <w:r w:rsidRPr="00DD477A">
                    <w:rPr>
                      <w:rFonts w:cs="Calibri"/>
                    </w:rPr>
                    <w:t>-2</w:t>
                  </w:r>
                  <w:r w:rsidR="009A714F" w:rsidRPr="00DD477A">
                    <w:rPr>
                      <w:rFonts w:cs="Calibri"/>
                    </w:rPr>
                    <w:t>5</w:t>
                  </w:r>
                </w:p>
              </w:tc>
              <w:tc>
                <w:tcPr>
                  <w:tcW w:w="1122" w:type="dxa"/>
                  <w:tcBorders>
                    <w:top w:val="single" w:sz="4" w:space="0" w:color="auto"/>
                    <w:left w:val="nil"/>
                    <w:bottom w:val="nil"/>
                    <w:right w:val="nil"/>
                  </w:tcBorders>
                  <w:shd w:val="clear" w:color="auto" w:fill="E6E6E6"/>
                  <w:noWrap/>
                  <w:vAlign w:val="bottom"/>
                  <w:hideMark/>
                </w:tcPr>
                <w:p w14:paraId="7D3A3482" w14:textId="043388F9" w:rsidR="001B36F7" w:rsidRPr="00DD477A" w:rsidRDefault="001B36F7" w:rsidP="001B36F7">
                  <w:pPr>
                    <w:pStyle w:val="TableText-SuperSmallBold"/>
                    <w:jc w:val="center"/>
                    <w:rPr>
                      <w:rFonts w:cs="Calibri"/>
                    </w:rPr>
                  </w:pPr>
                  <w:r w:rsidRPr="00DD477A">
                    <w:rPr>
                      <w:rFonts w:cs="Calibri"/>
                    </w:rPr>
                    <w:t>202</w:t>
                  </w:r>
                  <w:r w:rsidR="009A714F" w:rsidRPr="00DD477A">
                    <w:rPr>
                      <w:rFonts w:cs="Calibri"/>
                    </w:rPr>
                    <w:t>5</w:t>
                  </w:r>
                  <w:r w:rsidRPr="00DD477A">
                    <w:rPr>
                      <w:rFonts w:cs="Calibri"/>
                    </w:rPr>
                    <w:t>-2</w:t>
                  </w:r>
                  <w:r w:rsidR="009A714F" w:rsidRPr="00DD477A">
                    <w:rPr>
                      <w:rFonts w:cs="Calibri"/>
                    </w:rPr>
                    <w:t>6</w:t>
                  </w:r>
                </w:p>
              </w:tc>
              <w:tc>
                <w:tcPr>
                  <w:tcW w:w="1122" w:type="dxa"/>
                  <w:tcBorders>
                    <w:top w:val="single" w:sz="4" w:space="0" w:color="auto"/>
                    <w:left w:val="nil"/>
                    <w:bottom w:val="nil"/>
                    <w:right w:val="nil"/>
                  </w:tcBorders>
                  <w:shd w:val="clear" w:color="auto" w:fill="FFFFFF" w:themeFill="background1"/>
                  <w:noWrap/>
                  <w:vAlign w:val="bottom"/>
                  <w:hideMark/>
                </w:tcPr>
                <w:p w14:paraId="3CFD5A42" w14:textId="4E9AE523" w:rsidR="001B36F7" w:rsidRPr="00DD477A" w:rsidRDefault="001B36F7" w:rsidP="001B36F7">
                  <w:pPr>
                    <w:pStyle w:val="TableText-SuperSmallBold"/>
                    <w:jc w:val="center"/>
                    <w:rPr>
                      <w:rFonts w:cs="Calibri"/>
                    </w:rPr>
                  </w:pPr>
                  <w:r w:rsidRPr="00DD477A">
                    <w:rPr>
                      <w:rFonts w:cs="Calibri"/>
                    </w:rPr>
                    <w:t>202</w:t>
                  </w:r>
                  <w:r w:rsidR="009A714F" w:rsidRPr="00DD477A">
                    <w:rPr>
                      <w:rFonts w:cs="Calibri"/>
                    </w:rPr>
                    <w:t>6</w:t>
                  </w:r>
                  <w:r w:rsidRPr="00DD477A">
                    <w:rPr>
                      <w:rFonts w:cs="Calibri"/>
                    </w:rPr>
                    <w:t>-2</w:t>
                  </w:r>
                  <w:r w:rsidR="009A714F" w:rsidRPr="00DD477A">
                    <w:rPr>
                      <w:rFonts w:cs="Calibri"/>
                    </w:rPr>
                    <w:t>7</w:t>
                  </w:r>
                </w:p>
              </w:tc>
              <w:tc>
                <w:tcPr>
                  <w:tcW w:w="1183" w:type="dxa"/>
                  <w:tcBorders>
                    <w:top w:val="single" w:sz="4" w:space="0" w:color="auto"/>
                    <w:left w:val="nil"/>
                    <w:bottom w:val="nil"/>
                    <w:right w:val="nil"/>
                  </w:tcBorders>
                  <w:shd w:val="clear" w:color="auto" w:fill="E6E6E6"/>
                  <w:noWrap/>
                  <w:vAlign w:val="bottom"/>
                  <w:hideMark/>
                </w:tcPr>
                <w:p w14:paraId="5E7C79B4" w14:textId="3D0C4057" w:rsidR="001B36F7" w:rsidRPr="00DD477A" w:rsidRDefault="001B36F7" w:rsidP="001B36F7">
                  <w:pPr>
                    <w:pStyle w:val="TableText-SuperSmallBold"/>
                    <w:jc w:val="center"/>
                    <w:rPr>
                      <w:rFonts w:cs="Calibri"/>
                    </w:rPr>
                  </w:pPr>
                  <w:r w:rsidRPr="00DD477A">
                    <w:rPr>
                      <w:rFonts w:cs="Calibri"/>
                    </w:rPr>
                    <w:t>202</w:t>
                  </w:r>
                  <w:r w:rsidR="009A714F" w:rsidRPr="00DD477A">
                    <w:rPr>
                      <w:rFonts w:cs="Calibri"/>
                    </w:rPr>
                    <w:t>7</w:t>
                  </w:r>
                  <w:r w:rsidRPr="00DD477A">
                    <w:rPr>
                      <w:rFonts w:cs="Calibri"/>
                    </w:rPr>
                    <w:t>-2</w:t>
                  </w:r>
                  <w:r w:rsidR="009A714F" w:rsidRPr="00DD477A">
                    <w:rPr>
                      <w:rFonts w:cs="Calibri"/>
                    </w:rPr>
                    <w:t>8</w:t>
                  </w:r>
                </w:p>
              </w:tc>
            </w:tr>
            <w:tr w:rsidR="001B36F7" w:rsidRPr="00DD477A" w14:paraId="1734EC2F"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42533E8A" w14:textId="77777777" w:rsidR="001B36F7" w:rsidRPr="00DD477A" w:rsidRDefault="001B36F7" w:rsidP="001B36F7">
                  <w:pPr>
                    <w:pStyle w:val="TableText-SuperSmallBold"/>
                    <w:rPr>
                      <w:rFonts w:cs="Calibri"/>
                    </w:rPr>
                  </w:pPr>
                </w:p>
              </w:tc>
              <w:tc>
                <w:tcPr>
                  <w:tcW w:w="1089" w:type="dxa"/>
                  <w:tcBorders>
                    <w:top w:val="nil"/>
                    <w:left w:val="nil"/>
                    <w:bottom w:val="single" w:sz="4" w:space="0" w:color="auto"/>
                    <w:right w:val="nil"/>
                  </w:tcBorders>
                  <w:shd w:val="clear" w:color="auto" w:fill="auto"/>
                  <w:noWrap/>
                  <w:vAlign w:val="bottom"/>
                  <w:hideMark/>
                </w:tcPr>
                <w:p w14:paraId="0E930D73" w14:textId="77777777" w:rsidR="001B36F7" w:rsidRPr="00DD477A" w:rsidRDefault="001B36F7" w:rsidP="001B36F7">
                  <w:pPr>
                    <w:pStyle w:val="TableText-SuperSmallBold"/>
                    <w:rPr>
                      <w:rFonts w:cs="Calibri"/>
                    </w:rPr>
                  </w:pPr>
                  <w:r w:rsidRPr="00DD477A">
                    <w:rPr>
                      <w:rFonts w:cs="Calibri"/>
                    </w:rPr>
                    <w:t> </w:t>
                  </w:r>
                </w:p>
              </w:tc>
              <w:tc>
                <w:tcPr>
                  <w:tcW w:w="1065" w:type="dxa"/>
                  <w:tcBorders>
                    <w:top w:val="nil"/>
                    <w:left w:val="nil"/>
                    <w:bottom w:val="single" w:sz="4" w:space="0" w:color="auto"/>
                    <w:right w:val="nil"/>
                  </w:tcBorders>
                  <w:shd w:val="clear" w:color="auto" w:fill="E6E6E6"/>
                  <w:vAlign w:val="bottom"/>
                </w:tcPr>
                <w:p w14:paraId="64F0CC52" w14:textId="5A09EDA6" w:rsidR="001B36F7" w:rsidRPr="00DD477A" w:rsidRDefault="001B36F7" w:rsidP="001B36F7">
                  <w:pPr>
                    <w:pStyle w:val="TableText-SuperSmallBold"/>
                    <w:jc w:val="center"/>
                    <w:rPr>
                      <w:rFonts w:cs="Calibri"/>
                    </w:rPr>
                  </w:pPr>
                  <w:r w:rsidRPr="00DD477A">
                    <w:rPr>
                      <w:rFonts w:cs="Calibri"/>
                    </w:rPr>
                    <w:t>$'000</w:t>
                  </w:r>
                </w:p>
              </w:tc>
              <w:tc>
                <w:tcPr>
                  <w:tcW w:w="1065" w:type="dxa"/>
                  <w:gridSpan w:val="2"/>
                  <w:tcBorders>
                    <w:top w:val="nil"/>
                    <w:left w:val="nil"/>
                    <w:bottom w:val="single" w:sz="4" w:space="0" w:color="auto"/>
                    <w:right w:val="nil"/>
                  </w:tcBorders>
                  <w:shd w:val="clear" w:color="auto" w:fill="FFFFFF" w:themeFill="background1"/>
                  <w:noWrap/>
                  <w:vAlign w:val="bottom"/>
                  <w:hideMark/>
                </w:tcPr>
                <w:p w14:paraId="3A77BC09" w14:textId="324A3C1C" w:rsidR="001B36F7" w:rsidRPr="00DD477A" w:rsidRDefault="001B36F7" w:rsidP="001B36F7">
                  <w:pPr>
                    <w:pStyle w:val="TableText-SuperSmallBold"/>
                    <w:jc w:val="center"/>
                    <w:rPr>
                      <w:rFonts w:cs="Calibri"/>
                    </w:rPr>
                  </w:pPr>
                  <w:r w:rsidRPr="00DD477A">
                    <w:rPr>
                      <w:rFonts w:cs="Calibri"/>
                    </w:rPr>
                    <w:t>$'000</w:t>
                  </w:r>
                </w:p>
              </w:tc>
              <w:tc>
                <w:tcPr>
                  <w:tcW w:w="1122" w:type="dxa"/>
                  <w:tcBorders>
                    <w:top w:val="nil"/>
                    <w:left w:val="nil"/>
                    <w:bottom w:val="single" w:sz="4" w:space="0" w:color="auto"/>
                    <w:right w:val="nil"/>
                  </w:tcBorders>
                  <w:shd w:val="clear" w:color="auto" w:fill="E6E6E6"/>
                  <w:noWrap/>
                  <w:vAlign w:val="bottom"/>
                  <w:hideMark/>
                </w:tcPr>
                <w:p w14:paraId="1E757525" w14:textId="77777777" w:rsidR="001B36F7" w:rsidRPr="00DD477A" w:rsidRDefault="001B36F7" w:rsidP="001B36F7">
                  <w:pPr>
                    <w:pStyle w:val="TableText-SuperSmallBold"/>
                    <w:jc w:val="center"/>
                    <w:rPr>
                      <w:rFonts w:cs="Calibri"/>
                    </w:rPr>
                  </w:pPr>
                  <w:r w:rsidRPr="00DD477A">
                    <w:rPr>
                      <w:rFonts w:cs="Calibri"/>
                    </w:rPr>
                    <w:t>$'000</w:t>
                  </w:r>
                </w:p>
              </w:tc>
              <w:tc>
                <w:tcPr>
                  <w:tcW w:w="1122" w:type="dxa"/>
                  <w:tcBorders>
                    <w:top w:val="nil"/>
                    <w:left w:val="nil"/>
                    <w:bottom w:val="single" w:sz="4" w:space="0" w:color="auto"/>
                    <w:right w:val="nil"/>
                  </w:tcBorders>
                  <w:shd w:val="clear" w:color="auto" w:fill="FFFFFF" w:themeFill="background1"/>
                  <w:noWrap/>
                  <w:vAlign w:val="bottom"/>
                  <w:hideMark/>
                </w:tcPr>
                <w:p w14:paraId="1B1BD80C" w14:textId="77777777" w:rsidR="001B36F7" w:rsidRPr="00DD477A" w:rsidRDefault="001B36F7" w:rsidP="001B36F7">
                  <w:pPr>
                    <w:pStyle w:val="TableText-SuperSmallBold"/>
                    <w:jc w:val="center"/>
                    <w:rPr>
                      <w:rFonts w:cs="Calibri"/>
                    </w:rPr>
                  </w:pPr>
                  <w:r w:rsidRPr="00DD477A">
                    <w:rPr>
                      <w:rFonts w:cs="Calibri"/>
                    </w:rPr>
                    <w:t>$'000</w:t>
                  </w:r>
                </w:p>
              </w:tc>
              <w:tc>
                <w:tcPr>
                  <w:tcW w:w="1183" w:type="dxa"/>
                  <w:tcBorders>
                    <w:top w:val="nil"/>
                    <w:left w:val="nil"/>
                    <w:bottom w:val="single" w:sz="4" w:space="0" w:color="auto"/>
                    <w:right w:val="nil"/>
                  </w:tcBorders>
                  <w:shd w:val="clear" w:color="auto" w:fill="E6E6E6"/>
                  <w:noWrap/>
                  <w:vAlign w:val="bottom"/>
                  <w:hideMark/>
                </w:tcPr>
                <w:p w14:paraId="163C0267" w14:textId="77777777" w:rsidR="001B36F7" w:rsidRPr="00DD477A" w:rsidRDefault="001B36F7" w:rsidP="001B36F7">
                  <w:pPr>
                    <w:pStyle w:val="TableText-SuperSmallBold"/>
                    <w:jc w:val="center"/>
                    <w:rPr>
                      <w:rFonts w:cs="Calibri"/>
                    </w:rPr>
                  </w:pPr>
                  <w:r w:rsidRPr="00DD477A">
                    <w:rPr>
                      <w:rFonts w:cs="Calibri"/>
                    </w:rPr>
                    <w:t>$'000</w:t>
                  </w:r>
                </w:p>
              </w:tc>
            </w:tr>
            <w:tr w:rsidR="001B36F7" w:rsidRPr="00DD477A" w14:paraId="016EC382"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6455747B" w14:textId="77777777" w:rsidR="001B36F7" w:rsidRPr="00DD477A" w:rsidRDefault="001B36F7" w:rsidP="001B36F7">
                  <w:pPr>
                    <w:pStyle w:val="TableText-SuperSmallBold"/>
                    <w:rPr>
                      <w:rFonts w:cs="Calibri"/>
                    </w:rPr>
                  </w:pPr>
                  <w:r w:rsidRPr="00DD477A">
                    <w:rPr>
                      <w:rFonts w:cs="Calibri"/>
                    </w:rPr>
                    <w:t>Payment measures</w:t>
                  </w:r>
                </w:p>
              </w:tc>
              <w:tc>
                <w:tcPr>
                  <w:tcW w:w="1089" w:type="dxa"/>
                  <w:tcBorders>
                    <w:top w:val="nil"/>
                    <w:left w:val="nil"/>
                    <w:bottom w:val="nil"/>
                    <w:right w:val="nil"/>
                  </w:tcBorders>
                  <w:shd w:val="clear" w:color="auto" w:fill="auto"/>
                  <w:noWrap/>
                  <w:vAlign w:val="bottom"/>
                  <w:hideMark/>
                </w:tcPr>
                <w:p w14:paraId="3D626F5F" w14:textId="77777777" w:rsidR="001B36F7" w:rsidRPr="00DD477A" w:rsidRDefault="001B36F7" w:rsidP="001B36F7">
                  <w:pPr>
                    <w:pStyle w:val="TableText-SuperSmallBold"/>
                    <w:rPr>
                      <w:rFonts w:cs="Calibri"/>
                    </w:rPr>
                  </w:pPr>
                </w:p>
              </w:tc>
              <w:tc>
                <w:tcPr>
                  <w:tcW w:w="1065" w:type="dxa"/>
                  <w:tcBorders>
                    <w:top w:val="nil"/>
                    <w:left w:val="nil"/>
                    <w:bottom w:val="nil"/>
                    <w:right w:val="nil"/>
                  </w:tcBorders>
                  <w:shd w:val="clear" w:color="auto" w:fill="E6E6E6"/>
                  <w:vAlign w:val="bottom"/>
                </w:tcPr>
                <w:p w14:paraId="2FBAA096" w14:textId="15E251ED"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04575D71" w14:textId="239BEC0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26A867EF"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25A7F1ED"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36F8CA1E" w14:textId="77777777" w:rsidR="001B36F7" w:rsidRPr="00DD477A" w:rsidRDefault="001B36F7" w:rsidP="001B36F7">
                  <w:pPr>
                    <w:pStyle w:val="TableText-SuperSmallBold"/>
                    <w:jc w:val="center"/>
                    <w:rPr>
                      <w:rFonts w:cs="Calibri"/>
                    </w:rPr>
                  </w:pPr>
                </w:p>
              </w:tc>
            </w:tr>
            <w:tr w:rsidR="001B36F7" w:rsidRPr="00DD477A" w14:paraId="0EC26CFE"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114F0734" w14:textId="77777777" w:rsidR="001B36F7" w:rsidRPr="00DD477A" w:rsidRDefault="001B36F7" w:rsidP="001B36F7">
                  <w:pPr>
                    <w:pStyle w:val="TableText-SuperSmallBold"/>
                    <w:rPr>
                      <w:rFonts w:cs="Calibri"/>
                    </w:rPr>
                  </w:pPr>
                  <w:r w:rsidRPr="00DD477A">
                    <w:rPr>
                      <w:rFonts w:cs="Calibri"/>
                    </w:rPr>
                    <w:t>X Measure (a)</w:t>
                  </w:r>
                </w:p>
              </w:tc>
              <w:tc>
                <w:tcPr>
                  <w:tcW w:w="1089" w:type="dxa"/>
                  <w:tcBorders>
                    <w:top w:val="nil"/>
                    <w:left w:val="nil"/>
                    <w:bottom w:val="nil"/>
                    <w:right w:val="nil"/>
                  </w:tcBorders>
                  <w:shd w:val="clear" w:color="auto" w:fill="auto"/>
                  <w:noWrap/>
                  <w:vAlign w:val="bottom"/>
                  <w:hideMark/>
                </w:tcPr>
                <w:p w14:paraId="1FD4197B" w14:textId="77777777" w:rsidR="001B36F7" w:rsidRPr="00DD477A" w:rsidRDefault="001B36F7" w:rsidP="001B36F7">
                  <w:pPr>
                    <w:pStyle w:val="TableText-SuperSmallBold"/>
                    <w:jc w:val="center"/>
                    <w:rPr>
                      <w:rFonts w:cs="Calibri"/>
                    </w:rPr>
                  </w:pPr>
                  <w:r w:rsidRPr="00DD477A">
                    <w:rPr>
                      <w:rFonts w:cs="Calibri"/>
                    </w:rPr>
                    <w:t>1.1</w:t>
                  </w:r>
                </w:p>
              </w:tc>
              <w:tc>
                <w:tcPr>
                  <w:tcW w:w="1065" w:type="dxa"/>
                  <w:tcBorders>
                    <w:top w:val="nil"/>
                    <w:left w:val="nil"/>
                    <w:bottom w:val="nil"/>
                    <w:right w:val="nil"/>
                  </w:tcBorders>
                  <w:shd w:val="clear" w:color="auto" w:fill="E6E6E6"/>
                  <w:vAlign w:val="bottom"/>
                </w:tcPr>
                <w:p w14:paraId="3D341DDA" w14:textId="73D33E9F"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26E23C85" w14:textId="334D72A6"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50387852"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216CB440"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624BBDEF" w14:textId="77777777" w:rsidR="001B36F7" w:rsidRPr="00DD477A" w:rsidRDefault="001B36F7" w:rsidP="001B36F7">
                  <w:pPr>
                    <w:pStyle w:val="TableText-SuperSmallBold"/>
                    <w:jc w:val="center"/>
                    <w:rPr>
                      <w:rFonts w:cs="Calibri"/>
                    </w:rPr>
                  </w:pPr>
                </w:p>
              </w:tc>
            </w:tr>
            <w:tr w:rsidR="001B36F7" w:rsidRPr="00DD477A" w14:paraId="3164D05C"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53DC06B7" w14:textId="77777777" w:rsidR="001B36F7" w:rsidRPr="00DD477A" w:rsidRDefault="001B36F7" w:rsidP="001B36F7">
                  <w:pPr>
                    <w:pStyle w:val="TableText-SuperSmallBold"/>
                    <w:rPr>
                      <w:rFonts w:cs="Calibri"/>
                    </w:rPr>
                  </w:pPr>
                  <w:r w:rsidRPr="00DD477A">
                    <w:rPr>
                      <w:rFonts w:cs="Calibri"/>
                    </w:rPr>
                    <w:t>Administered payment</w:t>
                  </w:r>
                </w:p>
              </w:tc>
              <w:tc>
                <w:tcPr>
                  <w:tcW w:w="1089" w:type="dxa"/>
                  <w:tcBorders>
                    <w:top w:val="nil"/>
                    <w:left w:val="nil"/>
                    <w:bottom w:val="nil"/>
                    <w:right w:val="nil"/>
                  </w:tcBorders>
                  <w:shd w:val="clear" w:color="auto" w:fill="auto"/>
                  <w:noWrap/>
                  <w:vAlign w:val="bottom"/>
                  <w:hideMark/>
                </w:tcPr>
                <w:p w14:paraId="3AFA8E65"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74CA08E8" w14:textId="08F0322B" w:rsidR="001B36F7" w:rsidRPr="00DD477A" w:rsidRDefault="001B36F7" w:rsidP="001B36F7">
                  <w:pPr>
                    <w:pStyle w:val="TableText-SuperSmallBold"/>
                    <w:jc w:val="center"/>
                    <w:rPr>
                      <w:rFonts w:cs="Calibri"/>
                    </w:rPr>
                  </w:pPr>
                  <w:r w:rsidRPr="00DD477A">
                    <w:rPr>
                      <w:rFonts w:cs="Calibri"/>
                    </w:rPr>
                    <w:t>1,000</w:t>
                  </w:r>
                </w:p>
              </w:tc>
              <w:tc>
                <w:tcPr>
                  <w:tcW w:w="1065" w:type="dxa"/>
                  <w:gridSpan w:val="2"/>
                  <w:tcBorders>
                    <w:top w:val="nil"/>
                    <w:left w:val="nil"/>
                    <w:bottom w:val="nil"/>
                    <w:right w:val="nil"/>
                  </w:tcBorders>
                  <w:shd w:val="clear" w:color="auto" w:fill="FFFFFF" w:themeFill="background1"/>
                  <w:noWrap/>
                  <w:vAlign w:val="bottom"/>
                  <w:hideMark/>
                </w:tcPr>
                <w:p w14:paraId="39359275" w14:textId="35E3874B" w:rsidR="001B36F7" w:rsidRPr="00DD477A" w:rsidRDefault="001B36F7" w:rsidP="001B36F7">
                  <w:pPr>
                    <w:pStyle w:val="TableText-SuperSmallBold"/>
                    <w:jc w:val="center"/>
                    <w:rPr>
                      <w:rFonts w:cs="Calibri"/>
                    </w:rPr>
                  </w:pPr>
                  <w:r w:rsidRPr="00DD477A">
                    <w:rPr>
                      <w:rFonts w:cs="Calibri"/>
                    </w:rPr>
                    <w:t>2,000</w:t>
                  </w:r>
                </w:p>
              </w:tc>
              <w:tc>
                <w:tcPr>
                  <w:tcW w:w="1122" w:type="dxa"/>
                  <w:tcBorders>
                    <w:top w:val="nil"/>
                    <w:left w:val="nil"/>
                    <w:bottom w:val="nil"/>
                    <w:right w:val="nil"/>
                  </w:tcBorders>
                  <w:shd w:val="clear" w:color="auto" w:fill="E6E6E6"/>
                  <w:noWrap/>
                  <w:vAlign w:val="bottom"/>
                  <w:hideMark/>
                </w:tcPr>
                <w:p w14:paraId="57405D35" w14:textId="77777777" w:rsidR="001B36F7" w:rsidRPr="00DD477A" w:rsidRDefault="001B36F7" w:rsidP="001B36F7">
                  <w:pPr>
                    <w:pStyle w:val="TableText-SuperSmallBold"/>
                    <w:jc w:val="center"/>
                    <w:rPr>
                      <w:rFonts w:cs="Calibri"/>
                    </w:rPr>
                  </w:pPr>
                  <w:r w:rsidRPr="00DD477A">
                    <w:rPr>
                      <w:rFonts w:cs="Calibri"/>
                    </w:rPr>
                    <w:t>3,000</w:t>
                  </w:r>
                </w:p>
              </w:tc>
              <w:tc>
                <w:tcPr>
                  <w:tcW w:w="1122" w:type="dxa"/>
                  <w:tcBorders>
                    <w:top w:val="nil"/>
                    <w:left w:val="nil"/>
                    <w:bottom w:val="nil"/>
                    <w:right w:val="nil"/>
                  </w:tcBorders>
                  <w:shd w:val="clear" w:color="auto" w:fill="FFFFFF" w:themeFill="background1"/>
                  <w:noWrap/>
                  <w:vAlign w:val="bottom"/>
                  <w:hideMark/>
                </w:tcPr>
                <w:p w14:paraId="5B4497C3" w14:textId="77777777" w:rsidR="001B36F7" w:rsidRPr="00DD477A" w:rsidRDefault="001B36F7" w:rsidP="001B36F7">
                  <w:pPr>
                    <w:pStyle w:val="TableText-SuperSmallBold"/>
                    <w:jc w:val="center"/>
                    <w:rPr>
                      <w:rFonts w:cs="Calibri"/>
                    </w:rPr>
                  </w:pPr>
                  <w:r w:rsidRPr="00DD477A">
                    <w:rPr>
                      <w:rFonts w:cs="Calibri"/>
                    </w:rPr>
                    <w:t>4,000</w:t>
                  </w:r>
                </w:p>
              </w:tc>
              <w:tc>
                <w:tcPr>
                  <w:tcW w:w="1183" w:type="dxa"/>
                  <w:tcBorders>
                    <w:top w:val="nil"/>
                    <w:left w:val="nil"/>
                    <w:bottom w:val="nil"/>
                    <w:right w:val="nil"/>
                  </w:tcBorders>
                  <w:shd w:val="clear" w:color="auto" w:fill="E6E6E6"/>
                  <w:noWrap/>
                  <w:vAlign w:val="bottom"/>
                  <w:hideMark/>
                </w:tcPr>
                <w:p w14:paraId="717F080D" w14:textId="77777777" w:rsidR="001B36F7" w:rsidRPr="00DD477A" w:rsidRDefault="001B36F7" w:rsidP="001B36F7">
                  <w:pPr>
                    <w:pStyle w:val="TableText-SuperSmallBold"/>
                    <w:jc w:val="center"/>
                    <w:rPr>
                      <w:rFonts w:cs="Calibri"/>
                    </w:rPr>
                  </w:pPr>
                  <w:r w:rsidRPr="00DD477A">
                    <w:rPr>
                      <w:rFonts w:cs="Calibri"/>
                    </w:rPr>
                    <w:t>5,000</w:t>
                  </w:r>
                </w:p>
              </w:tc>
            </w:tr>
            <w:tr w:rsidR="001B36F7" w:rsidRPr="00DD477A" w14:paraId="10CF67DF"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039A3A29" w14:textId="77777777" w:rsidR="001B36F7" w:rsidRPr="00DD477A" w:rsidRDefault="001B36F7" w:rsidP="001B36F7">
                  <w:pPr>
                    <w:pStyle w:val="TableText-SuperSmallBold"/>
                    <w:rPr>
                      <w:rFonts w:cs="Calibri"/>
                    </w:rPr>
                  </w:pPr>
                  <w:r w:rsidRPr="00DD477A">
                    <w:rPr>
                      <w:rFonts w:cs="Calibri"/>
                    </w:rPr>
                    <w:t xml:space="preserve">Total </w:t>
                  </w:r>
                </w:p>
              </w:tc>
              <w:tc>
                <w:tcPr>
                  <w:tcW w:w="1089" w:type="dxa"/>
                  <w:tcBorders>
                    <w:top w:val="nil"/>
                    <w:left w:val="nil"/>
                    <w:bottom w:val="nil"/>
                    <w:right w:val="nil"/>
                  </w:tcBorders>
                  <w:shd w:val="clear" w:color="auto" w:fill="auto"/>
                  <w:noWrap/>
                  <w:vAlign w:val="bottom"/>
                  <w:hideMark/>
                </w:tcPr>
                <w:p w14:paraId="4EB5D71D"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54432475" w14:textId="595F3254" w:rsidR="001B36F7" w:rsidRPr="00DD477A" w:rsidRDefault="001B36F7" w:rsidP="001B36F7">
                  <w:pPr>
                    <w:pStyle w:val="TableText-SuperSmallBold"/>
                    <w:jc w:val="center"/>
                    <w:rPr>
                      <w:rFonts w:cs="Calibri"/>
                    </w:rPr>
                  </w:pPr>
                  <w:r w:rsidRPr="00DD477A">
                    <w:rPr>
                      <w:rFonts w:cs="Calibri"/>
                    </w:rPr>
                    <w:t>1,000</w:t>
                  </w:r>
                </w:p>
              </w:tc>
              <w:tc>
                <w:tcPr>
                  <w:tcW w:w="1065" w:type="dxa"/>
                  <w:gridSpan w:val="2"/>
                  <w:tcBorders>
                    <w:top w:val="nil"/>
                    <w:left w:val="nil"/>
                    <w:bottom w:val="nil"/>
                    <w:right w:val="nil"/>
                  </w:tcBorders>
                  <w:shd w:val="clear" w:color="auto" w:fill="FFFFFF" w:themeFill="background1"/>
                  <w:noWrap/>
                  <w:vAlign w:val="bottom"/>
                  <w:hideMark/>
                </w:tcPr>
                <w:p w14:paraId="310A516C" w14:textId="54BF91A4" w:rsidR="001B36F7" w:rsidRPr="00DD477A" w:rsidRDefault="001B36F7" w:rsidP="001B36F7">
                  <w:pPr>
                    <w:pStyle w:val="TableText-SuperSmallBold"/>
                    <w:jc w:val="center"/>
                    <w:rPr>
                      <w:rFonts w:cs="Calibri"/>
                    </w:rPr>
                  </w:pPr>
                  <w:r w:rsidRPr="00DD477A">
                    <w:rPr>
                      <w:rFonts w:cs="Calibri"/>
                    </w:rPr>
                    <w:t>2,000</w:t>
                  </w:r>
                </w:p>
              </w:tc>
              <w:tc>
                <w:tcPr>
                  <w:tcW w:w="1122" w:type="dxa"/>
                  <w:tcBorders>
                    <w:top w:val="nil"/>
                    <w:left w:val="nil"/>
                    <w:bottom w:val="nil"/>
                    <w:right w:val="nil"/>
                  </w:tcBorders>
                  <w:shd w:val="clear" w:color="auto" w:fill="E6E6E6"/>
                  <w:noWrap/>
                  <w:vAlign w:val="bottom"/>
                  <w:hideMark/>
                </w:tcPr>
                <w:p w14:paraId="73E2668F" w14:textId="77777777" w:rsidR="001B36F7" w:rsidRPr="00DD477A" w:rsidRDefault="001B36F7" w:rsidP="001B36F7">
                  <w:pPr>
                    <w:pStyle w:val="TableText-SuperSmallBold"/>
                    <w:jc w:val="center"/>
                    <w:rPr>
                      <w:rFonts w:cs="Calibri"/>
                    </w:rPr>
                  </w:pPr>
                  <w:r w:rsidRPr="00DD477A">
                    <w:rPr>
                      <w:rFonts w:cs="Calibri"/>
                    </w:rPr>
                    <w:t>3,000</w:t>
                  </w:r>
                </w:p>
              </w:tc>
              <w:tc>
                <w:tcPr>
                  <w:tcW w:w="1122" w:type="dxa"/>
                  <w:tcBorders>
                    <w:top w:val="nil"/>
                    <w:left w:val="nil"/>
                    <w:bottom w:val="nil"/>
                    <w:right w:val="nil"/>
                  </w:tcBorders>
                  <w:shd w:val="clear" w:color="auto" w:fill="FFFFFF" w:themeFill="background1"/>
                  <w:noWrap/>
                  <w:vAlign w:val="bottom"/>
                  <w:hideMark/>
                </w:tcPr>
                <w:p w14:paraId="4F858358" w14:textId="77777777" w:rsidR="001B36F7" w:rsidRPr="00DD477A" w:rsidRDefault="001B36F7" w:rsidP="001B36F7">
                  <w:pPr>
                    <w:pStyle w:val="TableText-SuperSmallBold"/>
                    <w:jc w:val="center"/>
                    <w:rPr>
                      <w:rFonts w:cs="Calibri"/>
                    </w:rPr>
                  </w:pPr>
                  <w:r w:rsidRPr="00DD477A">
                    <w:rPr>
                      <w:rFonts w:cs="Calibri"/>
                    </w:rPr>
                    <w:t>4,000</w:t>
                  </w:r>
                </w:p>
              </w:tc>
              <w:tc>
                <w:tcPr>
                  <w:tcW w:w="1183" w:type="dxa"/>
                  <w:tcBorders>
                    <w:top w:val="nil"/>
                    <w:left w:val="nil"/>
                    <w:bottom w:val="nil"/>
                    <w:right w:val="nil"/>
                  </w:tcBorders>
                  <w:shd w:val="clear" w:color="auto" w:fill="E6E6E6"/>
                  <w:noWrap/>
                  <w:vAlign w:val="bottom"/>
                  <w:hideMark/>
                </w:tcPr>
                <w:p w14:paraId="500CA980" w14:textId="77777777" w:rsidR="001B36F7" w:rsidRPr="00DD477A" w:rsidRDefault="001B36F7" w:rsidP="001B36F7">
                  <w:pPr>
                    <w:pStyle w:val="TableText-SuperSmallBold"/>
                    <w:jc w:val="center"/>
                    <w:rPr>
                      <w:rFonts w:cs="Calibri"/>
                    </w:rPr>
                  </w:pPr>
                  <w:r w:rsidRPr="00DD477A">
                    <w:rPr>
                      <w:rFonts w:cs="Calibri"/>
                    </w:rPr>
                    <w:t>5,000</w:t>
                  </w:r>
                </w:p>
              </w:tc>
            </w:tr>
            <w:tr w:rsidR="001B36F7" w:rsidRPr="00DD477A" w14:paraId="47156251" w14:textId="77777777" w:rsidTr="00F611EB">
              <w:trPr>
                <w:trHeight w:val="60"/>
                <w:jc w:val="center"/>
              </w:trPr>
              <w:tc>
                <w:tcPr>
                  <w:tcW w:w="2407" w:type="dxa"/>
                  <w:tcBorders>
                    <w:top w:val="nil"/>
                    <w:left w:val="nil"/>
                    <w:bottom w:val="nil"/>
                    <w:right w:val="nil"/>
                  </w:tcBorders>
                  <w:shd w:val="clear" w:color="auto" w:fill="auto"/>
                  <w:noWrap/>
                  <w:vAlign w:val="bottom"/>
                  <w:hideMark/>
                </w:tcPr>
                <w:p w14:paraId="7FD09DB7" w14:textId="77777777" w:rsidR="001B36F7" w:rsidRPr="00DD477A" w:rsidRDefault="001B36F7" w:rsidP="001B36F7">
                  <w:pPr>
                    <w:pStyle w:val="TableText-SuperSmallBold"/>
                    <w:rPr>
                      <w:rFonts w:cs="Calibri"/>
                    </w:rPr>
                  </w:pPr>
                </w:p>
              </w:tc>
              <w:tc>
                <w:tcPr>
                  <w:tcW w:w="1089" w:type="dxa"/>
                  <w:tcBorders>
                    <w:top w:val="nil"/>
                    <w:left w:val="nil"/>
                    <w:bottom w:val="nil"/>
                    <w:right w:val="nil"/>
                  </w:tcBorders>
                  <w:shd w:val="clear" w:color="auto" w:fill="auto"/>
                  <w:noWrap/>
                  <w:vAlign w:val="bottom"/>
                  <w:hideMark/>
                </w:tcPr>
                <w:p w14:paraId="013F6F2B"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6DCEA87F" w14:textId="5FD7607B"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7998777F" w14:textId="6C4352DC"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692D29CA"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04A909EC"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63EE468C" w14:textId="77777777" w:rsidR="001B36F7" w:rsidRPr="00DD477A" w:rsidRDefault="001B36F7" w:rsidP="001B36F7">
                  <w:pPr>
                    <w:pStyle w:val="TableText-SuperSmallBold"/>
                    <w:jc w:val="center"/>
                    <w:rPr>
                      <w:rFonts w:cs="Calibri"/>
                    </w:rPr>
                  </w:pPr>
                </w:p>
              </w:tc>
            </w:tr>
            <w:tr w:rsidR="001B36F7" w:rsidRPr="00DD477A" w14:paraId="7E9AF0A3"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1A69A820" w14:textId="77777777" w:rsidR="001B36F7" w:rsidRPr="00DD477A" w:rsidRDefault="001B36F7" w:rsidP="001B36F7">
                  <w:pPr>
                    <w:pStyle w:val="TableText-SuperSmallBold"/>
                    <w:rPr>
                      <w:rFonts w:cs="Calibri"/>
                    </w:rPr>
                  </w:pPr>
                  <w:r w:rsidRPr="00DD477A">
                    <w:rPr>
                      <w:rFonts w:cs="Calibri"/>
                    </w:rPr>
                    <w:t>Y Measure (b)</w:t>
                  </w:r>
                </w:p>
              </w:tc>
              <w:tc>
                <w:tcPr>
                  <w:tcW w:w="1089" w:type="dxa"/>
                  <w:tcBorders>
                    <w:top w:val="nil"/>
                    <w:left w:val="nil"/>
                    <w:bottom w:val="nil"/>
                    <w:right w:val="nil"/>
                  </w:tcBorders>
                  <w:shd w:val="clear" w:color="auto" w:fill="auto"/>
                  <w:noWrap/>
                  <w:vAlign w:val="bottom"/>
                  <w:hideMark/>
                </w:tcPr>
                <w:p w14:paraId="6263A046" w14:textId="77777777" w:rsidR="001B36F7" w:rsidRPr="00DD477A" w:rsidRDefault="001B36F7" w:rsidP="001B36F7">
                  <w:pPr>
                    <w:pStyle w:val="TableText-SuperSmallBold"/>
                    <w:jc w:val="center"/>
                    <w:rPr>
                      <w:rFonts w:cs="Calibri"/>
                    </w:rPr>
                  </w:pPr>
                  <w:r w:rsidRPr="00DD477A">
                    <w:rPr>
                      <w:rFonts w:cs="Calibri"/>
                    </w:rPr>
                    <w:t>2.2</w:t>
                  </w:r>
                </w:p>
              </w:tc>
              <w:tc>
                <w:tcPr>
                  <w:tcW w:w="1065" w:type="dxa"/>
                  <w:tcBorders>
                    <w:top w:val="nil"/>
                    <w:left w:val="nil"/>
                    <w:bottom w:val="nil"/>
                    <w:right w:val="nil"/>
                  </w:tcBorders>
                  <w:shd w:val="clear" w:color="auto" w:fill="E6E6E6"/>
                  <w:vAlign w:val="bottom"/>
                </w:tcPr>
                <w:p w14:paraId="60EEACB8" w14:textId="5A893AEF" w:rsidR="001B36F7" w:rsidRPr="00DD477A" w:rsidRDefault="001B36F7" w:rsidP="001B36F7">
                  <w:pPr>
                    <w:pStyle w:val="TableText-SuperSmallBold"/>
                    <w:jc w:val="center"/>
                    <w:rPr>
                      <w:rFonts w:cs="Calibri"/>
                    </w:rPr>
                  </w:pPr>
                </w:p>
              </w:tc>
              <w:tc>
                <w:tcPr>
                  <w:tcW w:w="1065" w:type="dxa"/>
                  <w:gridSpan w:val="2"/>
                  <w:tcBorders>
                    <w:top w:val="nil"/>
                    <w:left w:val="nil"/>
                    <w:bottom w:val="nil"/>
                    <w:right w:val="nil"/>
                  </w:tcBorders>
                  <w:shd w:val="clear" w:color="auto" w:fill="FFFFFF" w:themeFill="background1"/>
                  <w:noWrap/>
                  <w:vAlign w:val="bottom"/>
                  <w:hideMark/>
                </w:tcPr>
                <w:p w14:paraId="230896AA" w14:textId="09962AA5"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E6E6E6"/>
                  <w:noWrap/>
                  <w:vAlign w:val="bottom"/>
                  <w:hideMark/>
                </w:tcPr>
                <w:p w14:paraId="1B88CD8E" w14:textId="77777777" w:rsidR="001B36F7" w:rsidRPr="00DD477A" w:rsidRDefault="001B36F7" w:rsidP="001B36F7">
                  <w:pPr>
                    <w:pStyle w:val="TableText-SuperSmallBold"/>
                    <w:jc w:val="center"/>
                    <w:rPr>
                      <w:rFonts w:cs="Calibri"/>
                    </w:rPr>
                  </w:pPr>
                </w:p>
              </w:tc>
              <w:tc>
                <w:tcPr>
                  <w:tcW w:w="1122" w:type="dxa"/>
                  <w:tcBorders>
                    <w:top w:val="nil"/>
                    <w:left w:val="nil"/>
                    <w:bottom w:val="nil"/>
                    <w:right w:val="nil"/>
                  </w:tcBorders>
                  <w:shd w:val="clear" w:color="auto" w:fill="FFFFFF" w:themeFill="background1"/>
                  <w:noWrap/>
                  <w:vAlign w:val="bottom"/>
                  <w:hideMark/>
                </w:tcPr>
                <w:p w14:paraId="6A42733C" w14:textId="77777777" w:rsidR="001B36F7" w:rsidRPr="00DD477A" w:rsidRDefault="001B36F7" w:rsidP="001B36F7">
                  <w:pPr>
                    <w:pStyle w:val="TableText-SuperSmallBold"/>
                    <w:jc w:val="center"/>
                    <w:rPr>
                      <w:rFonts w:cs="Calibri"/>
                    </w:rPr>
                  </w:pPr>
                </w:p>
              </w:tc>
              <w:tc>
                <w:tcPr>
                  <w:tcW w:w="1183" w:type="dxa"/>
                  <w:tcBorders>
                    <w:top w:val="nil"/>
                    <w:left w:val="nil"/>
                    <w:bottom w:val="nil"/>
                    <w:right w:val="nil"/>
                  </w:tcBorders>
                  <w:shd w:val="clear" w:color="auto" w:fill="E6E6E6"/>
                  <w:noWrap/>
                  <w:vAlign w:val="bottom"/>
                  <w:hideMark/>
                </w:tcPr>
                <w:p w14:paraId="124BBCE9" w14:textId="77777777" w:rsidR="001B36F7" w:rsidRPr="00DD477A" w:rsidRDefault="001B36F7" w:rsidP="001B36F7">
                  <w:pPr>
                    <w:pStyle w:val="TableText-SuperSmallBold"/>
                    <w:jc w:val="center"/>
                    <w:rPr>
                      <w:rFonts w:cs="Calibri"/>
                    </w:rPr>
                  </w:pPr>
                </w:p>
              </w:tc>
            </w:tr>
            <w:tr w:rsidR="001B36F7" w:rsidRPr="00DD477A" w14:paraId="5C1EFA3D" w14:textId="77777777" w:rsidTr="00F611EB">
              <w:trPr>
                <w:trHeight w:val="225"/>
                <w:jc w:val="center"/>
              </w:trPr>
              <w:tc>
                <w:tcPr>
                  <w:tcW w:w="2407" w:type="dxa"/>
                  <w:tcBorders>
                    <w:top w:val="nil"/>
                    <w:left w:val="nil"/>
                    <w:bottom w:val="nil"/>
                    <w:right w:val="nil"/>
                  </w:tcBorders>
                  <w:shd w:val="clear" w:color="auto" w:fill="auto"/>
                  <w:noWrap/>
                  <w:vAlign w:val="bottom"/>
                  <w:hideMark/>
                </w:tcPr>
                <w:p w14:paraId="190E8DAF" w14:textId="5EE0DD76" w:rsidR="001B36F7" w:rsidRPr="00DD477A" w:rsidRDefault="001B36F7" w:rsidP="001B36F7">
                  <w:pPr>
                    <w:pStyle w:val="TableText-SuperSmallBold"/>
                    <w:rPr>
                      <w:rFonts w:cs="Calibri"/>
                    </w:rPr>
                  </w:pPr>
                  <w:r w:rsidRPr="00DD477A">
                    <w:rPr>
                      <w:rFonts w:cs="Calibri"/>
                    </w:rPr>
                    <w:t xml:space="preserve">Administered </w:t>
                  </w:r>
                  <w:r w:rsidR="00DF6845" w:rsidRPr="00DD477A">
                    <w:rPr>
                      <w:rFonts w:cs="Calibri"/>
                    </w:rPr>
                    <w:t>p</w:t>
                  </w:r>
                  <w:r w:rsidRPr="00DD477A">
                    <w:rPr>
                      <w:rFonts w:cs="Calibri"/>
                    </w:rPr>
                    <w:t>ayment</w:t>
                  </w:r>
                </w:p>
              </w:tc>
              <w:tc>
                <w:tcPr>
                  <w:tcW w:w="1089" w:type="dxa"/>
                  <w:tcBorders>
                    <w:top w:val="nil"/>
                    <w:left w:val="nil"/>
                    <w:bottom w:val="nil"/>
                    <w:right w:val="nil"/>
                  </w:tcBorders>
                  <w:shd w:val="clear" w:color="auto" w:fill="auto"/>
                  <w:noWrap/>
                  <w:vAlign w:val="bottom"/>
                  <w:hideMark/>
                </w:tcPr>
                <w:p w14:paraId="5E5E3EC6" w14:textId="77777777" w:rsidR="001B36F7" w:rsidRPr="00DD477A" w:rsidRDefault="001B36F7" w:rsidP="001B36F7">
                  <w:pPr>
                    <w:pStyle w:val="TableText-SuperSmallBold"/>
                    <w:jc w:val="center"/>
                    <w:rPr>
                      <w:rFonts w:cs="Calibri"/>
                    </w:rPr>
                  </w:pPr>
                </w:p>
              </w:tc>
              <w:tc>
                <w:tcPr>
                  <w:tcW w:w="1065" w:type="dxa"/>
                  <w:tcBorders>
                    <w:top w:val="nil"/>
                    <w:left w:val="nil"/>
                    <w:bottom w:val="nil"/>
                    <w:right w:val="nil"/>
                  </w:tcBorders>
                  <w:shd w:val="clear" w:color="auto" w:fill="E6E6E6"/>
                  <w:vAlign w:val="bottom"/>
                </w:tcPr>
                <w:p w14:paraId="080748C6" w14:textId="1275377D" w:rsidR="001B36F7" w:rsidRPr="00DD477A" w:rsidRDefault="001B36F7" w:rsidP="001B36F7">
                  <w:pPr>
                    <w:pStyle w:val="TableText-SuperSmallBold"/>
                    <w:rPr>
                      <w:rFonts w:cs="Calibri"/>
                    </w:rPr>
                  </w:pPr>
                  <w:r w:rsidRPr="00DD477A">
                    <w:rPr>
                      <w:rFonts w:cs="Calibri"/>
                    </w:rPr>
                    <w:t>–</w:t>
                  </w:r>
                </w:p>
              </w:tc>
              <w:tc>
                <w:tcPr>
                  <w:tcW w:w="1065" w:type="dxa"/>
                  <w:gridSpan w:val="2"/>
                  <w:tcBorders>
                    <w:top w:val="nil"/>
                    <w:left w:val="nil"/>
                    <w:bottom w:val="nil"/>
                    <w:right w:val="nil"/>
                  </w:tcBorders>
                  <w:shd w:val="clear" w:color="auto" w:fill="FFFFFF" w:themeFill="background1"/>
                  <w:noWrap/>
                  <w:vAlign w:val="bottom"/>
                  <w:hideMark/>
                </w:tcPr>
                <w:p w14:paraId="609B27B7" w14:textId="739CF0E0"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nil"/>
                    <w:right w:val="nil"/>
                  </w:tcBorders>
                  <w:shd w:val="clear" w:color="auto" w:fill="E6E6E6"/>
                  <w:noWrap/>
                  <w:vAlign w:val="bottom"/>
                  <w:hideMark/>
                </w:tcPr>
                <w:p w14:paraId="3B4F8600" w14:textId="66D1A8A0"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nil"/>
                    <w:right w:val="nil"/>
                  </w:tcBorders>
                  <w:shd w:val="clear" w:color="auto" w:fill="FFFFFF" w:themeFill="background1"/>
                  <w:noWrap/>
                  <w:vAlign w:val="bottom"/>
                  <w:hideMark/>
                </w:tcPr>
                <w:p w14:paraId="74D484C4" w14:textId="143EE7A8" w:rsidR="001B36F7" w:rsidRPr="00DD477A" w:rsidRDefault="001B36F7" w:rsidP="001B36F7">
                  <w:pPr>
                    <w:pStyle w:val="TableText-SuperSmallBold"/>
                    <w:rPr>
                      <w:rFonts w:cs="Calibri"/>
                    </w:rPr>
                  </w:pPr>
                  <w:r w:rsidRPr="00DD477A">
                    <w:rPr>
                      <w:rFonts w:cs="Calibri"/>
                    </w:rPr>
                    <w:t>–</w:t>
                  </w:r>
                </w:p>
              </w:tc>
              <w:tc>
                <w:tcPr>
                  <w:tcW w:w="1183" w:type="dxa"/>
                  <w:tcBorders>
                    <w:top w:val="nil"/>
                    <w:left w:val="nil"/>
                    <w:bottom w:val="nil"/>
                    <w:right w:val="nil"/>
                  </w:tcBorders>
                  <w:shd w:val="clear" w:color="auto" w:fill="E6E6E6"/>
                  <w:noWrap/>
                  <w:vAlign w:val="bottom"/>
                  <w:hideMark/>
                </w:tcPr>
                <w:p w14:paraId="17F63A15" w14:textId="4C49D03A" w:rsidR="001B36F7" w:rsidRPr="00DD477A" w:rsidRDefault="001B36F7" w:rsidP="001B36F7">
                  <w:pPr>
                    <w:pStyle w:val="TableText-SuperSmallBold"/>
                    <w:rPr>
                      <w:rFonts w:cs="Calibri"/>
                    </w:rPr>
                  </w:pPr>
                  <w:r w:rsidRPr="00DD477A">
                    <w:rPr>
                      <w:rFonts w:cs="Calibri"/>
                    </w:rPr>
                    <w:t>–</w:t>
                  </w:r>
                </w:p>
              </w:tc>
            </w:tr>
            <w:tr w:rsidR="001B36F7" w:rsidRPr="00DD477A" w14:paraId="02C72842" w14:textId="77777777" w:rsidTr="00F611EB">
              <w:trPr>
                <w:trHeight w:val="225"/>
                <w:jc w:val="center"/>
              </w:trPr>
              <w:tc>
                <w:tcPr>
                  <w:tcW w:w="2407" w:type="dxa"/>
                  <w:tcBorders>
                    <w:top w:val="nil"/>
                    <w:left w:val="nil"/>
                    <w:bottom w:val="single" w:sz="4" w:space="0" w:color="auto"/>
                    <w:right w:val="nil"/>
                  </w:tcBorders>
                  <w:shd w:val="clear" w:color="auto" w:fill="auto"/>
                  <w:noWrap/>
                  <w:vAlign w:val="bottom"/>
                  <w:hideMark/>
                </w:tcPr>
                <w:p w14:paraId="2B72E25C" w14:textId="77777777" w:rsidR="001B36F7" w:rsidRPr="00DD477A" w:rsidRDefault="001B36F7" w:rsidP="001B36F7">
                  <w:pPr>
                    <w:pStyle w:val="TableText-SuperSmallBold"/>
                    <w:rPr>
                      <w:rFonts w:cs="Calibri"/>
                    </w:rPr>
                  </w:pPr>
                  <w:r w:rsidRPr="00DD477A">
                    <w:rPr>
                      <w:rFonts w:cs="Calibri"/>
                    </w:rPr>
                    <w:t xml:space="preserve">Total </w:t>
                  </w:r>
                </w:p>
              </w:tc>
              <w:tc>
                <w:tcPr>
                  <w:tcW w:w="1089" w:type="dxa"/>
                  <w:tcBorders>
                    <w:top w:val="nil"/>
                    <w:left w:val="nil"/>
                    <w:bottom w:val="single" w:sz="4" w:space="0" w:color="auto"/>
                    <w:right w:val="nil"/>
                  </w:tcBorders>
                  <w:shd w:val="clear" w:color="auto" w:fill="auto"/>
                  <w:noWrap/>
                  <w:vAlign w:val="bottom"/>
                  <w:hideMark/>
                </w:tcPr>
                <w:p w14:paraId="7162A1FC" w14:textId="77777777" w:rsidR="001B36F7" w:rsidRPr="00DD477A" w:rsidRDefault="001B36F7" w:rsidP="001B36F7">
                  <w:pPr>
                    <w:pStyle w:val="TableText-SuperSmallBold"/>
                    <w:rPr>
                      <w:rFonts w:cs="Calibri"/>
                    </w:rPr>
                  </w:pPr>
                </w:p>
              </w:tc>
              <w:tc>
                <w:tcPr>
                  <w:tcW w:w="1065" w:type="dxa"/>
                  <w:tcBorders>
                    <w:top w:val="nil"/>
                    <w:left w:val="nil"/>
                    <w:bottom w:val="single" w:sz="4" w:space="0" w:color="auto"/>
                    <w:right w:val="nil"/>
                  </w:tcBorders>
                  <w:shd w:val="clear" w:color="auto" w:fill="E6E6E6"/>
                  <w:vAlign w:val="bottom"/>
                </w:tcPr>
                <w:p w14:paraId="4C4C0DFF" w14:textId="31BFA7D1" w:rsidR="001B36F7" w:rsidRPr="00DD477A" w:rsidRDefault="001B36F7" w:rsidP="001B36F7">
                  <w:pPr>
                    <w:pStyle w:val="TableText-SuperSmallBold"/>
                    <w:rPr>
                      <w:rFonts w:cs="Calibri"/>
                    </w:rPr>
                  </w:pPr>
                  <w:r w:rsidRPr="00DD477A">
                    <w:rPr>
                      <w:rFonts w:cs="Calibri"/>
                    </w:rPr>
                    <w:t>–</w:t>
                  </w:r>
                </w:p>
              </w:tc>
              <w:tc>
                <w:tcPr>
                  <w:tcW w:w="1065" w:type="dxa"/>
                  <w:gridSpan w:val="2"/>
                  <w:tcBorders>
                    <w:top w:val="nil"/>
                    <w:left w:val="nil"/>
                    <w:bottom w:val="single" w:sz="4" w:space="0" w:color="auto"/>
                    <w:right w:val="nil"/>
                  </w:tcBorders>
                  <w:shd w:val="clear" w:color="auto" w:fill="FFFFFF" w:themeFill="background1"/>
                  <w:noWrap/>
                  <w:vAlign w:val="bottom"/>
                  <w:hideMark/>
                </w:tcPr>
                <w:p w14:paraId="6FED3415" w14:textId="46C623C0"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single" w:sz="4" w:space="0" w:color="auto"/>
                    <w:right w:val="nil"/>
                  </w:tcBorders>
                  <w:shd w:val="clear" w:color="auto" w:fill="E6E6E6"/>
                  <w:noWrap/>
                  <w:vAlign w:val="bottom"/>
                  <w:hideMark/>
                </w:tcPr>
                <w:p w14:paraId="79F40D6D" w14:textId="3A565F0E" w:rsidR="001B36F7" w:rsidRPr="00DD477A" w:rsidRDefault="001B36F7" w:rsidP="001B36F7">
                  <w:pPr>
                    <w:pStyle w:val="TableText-SuperSmallBold"/>
                    <w:rPr>
                      <w:rFonts w:cs="Calibri"/>
                    </w:rPr>
                  </w:pPr>
                  <w:r w:rsidRPr="00DD477A">
                    <w:rPr>
                      <w:rFonts w:cs="Calibri"/>
                    </w:rPr>
                    <w:t>–</w:t>
                  </w:r>
                </w:p>
              </w:tc>
              <w:tc>
                <w:tcPr>
                  <w:tcW w:w="1122" w:type="dxa"/>
                  <w:tcBorders>
                    <w:top w:val="nil"/>
                    <w:left w:val="nil"/>
                    <w:bottom w:val="single" w:sz="4" w:space="0" w:color="auto"/>
                    <w:right w:val="nil"/>
                  </w:tcBorders>
                  <w:shd w:val="clear" w:color="auto" w:fill="FFFFFF" w:themeFill="background1"/>
                  <w:noWrap/>
                  <w:vAlign w:val="bottom"/>
                  <w:hideMark/>
                </w:tcPr>
                <w:p w14:paraId="22B3FBEC" w14:textId="1E8981EA" w:rsidR="001B36F7" w:rsidRPr="00DD477A" w:rsidRDefault="001B36F7" w:rsidP="001B36F7">
                  <w:pPr>
                    <w:pStyle w:val="TableText-SuperSmallBold"/>
                    <w:rPr>
                      <w:rFonts w:cs="Calibri"/>
                    </w:rPr>
                  </w:pPr>
                  <w:r w:rsidRPr="00DD477A">
                    <w:rPr>
                      <w:rFonts w:cs="Calibri"/>
                    </w:rPr>
                    <w:t>–</w:t>
                  </w:r>
                </w:p>
              </w:tc>
              <w:tc>
                <w:tcPr>
                  <w:tcW w:w="1183" w:type="dxa"/>
                  <w:tcBorders>
                    <w:top w:val="nil"/>
                    <w:left w:val="nil"/>
                    <w:bottom w:val="single" w:sz="4" w:space="0" w:color="auto"/>
                    <w:right w:val="nil"/>
                  </w:tcBorders>
                  <w:shd w:val="clear" w:color="auto" w:fill="E6E6E6"/>
                  <w:noWrap/>
                  <w:vAlign w:val="bottom"/>
                  <w:hideMark/>
                </w:tcPr>
                <w:p w14:paraId="6DD440CF" w14:textId="1C49C214" w:rsidR="001B36F7" w:rsidRPr="00DD477A" w:rsidRDefault="001B36F7" w:rsidP="001B36F7">
                  <w:pPr>
                    <w:pStyle w:val="TableText-SuperSmallBold"/>
                    <w:rPr>
                      <w:rFonts w:cs="Calibri"/>
                    </w:rPr>
                  </w:pPr>
                  <w:r w:rsidRPr="00DD477A">
                    <w:rPr>
                      <w:rFonts w:cs="Calibri"/>
                    </w:rPr>
                    <w:t>–</w:t>
                  </w:r>
                </w:p>
              </w:tc>
            </w:tr>
          </w:tbl>
          <w:p w14:paraId="2D60248D" w14:textId="5695159A" w:rsidR="004D479A" w:rsidRPr="00DD477A" w:rsidRDefault="53BF0693" w:rsidP="00AA1E87">
            <w:pPr>
              <w:pStyle w:val="TableText-Normal"/>
              <w:numPr>
                <w:ilvl w:val="0"/>
                <w:numId w:val="15"/>
              </w:numPr>
              <w:rPr>
                <w:rStyle w:val="BodyTextChar"/>
                <w:rFonts w:cs="Calibri"/>
                <w:sz w:val="18"/>
                <w:szCs w:val="18"/>
              </w:rPr>
            </w:pPr>
            <w:r w:rsidRPr="00DD477A">
              <w:rPr>
                <w:rStyle w:val="BodyTextChar"/>
                <w:rFonts w:cs="Calibri"/>
                <w:sz w:val="18"/>
                <w:szCs w:val="18"/>
              </w:rPr>
              <w:t>this measure was originally announced in the 20XX Economic Statement/20XX Pre</w:t>
            </w:r>
            <w:r w:rsidR="00401DFC" w:rsidRPr="00DD477A">
              <w:rPr>
                <w:rStyle w:val="BodyTextChar"/>
                <w:rFonts w:cs="Calibri"/>
                <w:sz w:val="18"/>
                <w:szCs w:val="18"/>
              </w:rPr>
              <w:noBreakHyphen/>
            </w:r>
            <w:r w:rsidRPr="00DD477A">
              <w:rPr>
                <w:rStyle w:val="BodyTextChar"/>
                <w:rFonts w:cs="Calibri"/>
                <w:sz w:val="18"/>
                <w:szCs w:val="18"/>
              </w:rPr>
              <w:t>Election Economic and Fiscal Outlook/</w:t>
            </w:r>
            <w:r w:rsidR="008E1BDD" w:rsidRPr="00DD477A">
              <w:rPr>
                <w:rStyle w:val="BodyTextChar"/>
                <w:rFonts w:cs="Calibri"/>
                <w:sz w:val="18"/>
                <w:szCs w:val="18"/>
              </w:rPr>
              <w:t>202</w:t>
            </w:r>
            <w:r w:rsidR="00AC775B" w:rsidRPr="00DD477A">
              <w:rPr>
                <w:rStyle w:val="BodyTextChar"/>
                <w:rFonts w:cs="Calibri"/>
                <w:sz w:val="18"/>
                <w:szCs w:val="18"/>
              </w:rPr>
              <w:t>X</w:t>
            </w:r>
            <w:r w:rsidRPr="00DD477A">
              <w:rPr>
                <w:rStyle w:val="BodyTextChar"/>
                <w:rFonts w:cs="Calibri"/>
                <w:sz w:val="18"/>
                <w:szCs w:val="18"/>
              </w:rPr>
              <w:t>-</w:t>
            </w:r>
            <w:r w:rsidR="008E1BDD" w:rsidRPr="00DD477A">
              <w:rPr>
                <w:rStyle w:val="BodyTextChar"/>
                <w:rFonts w:cs="Calibri"/>
                <w:sz w:val="18"/>
                <w:szCs w:val="18"/>
              </w:rPr>
              <w:t>2</w:t>
            </w:r>
            <w:r w:rsidR="00AC775B" w:rsidRPr="00DD477A">
              <w:rPr>
                <w:rStyle w:val="BodyTextChar"/>
                <w:rFonts w:cs="Calibri"/>
                <w:sz w:val="18"/>
                <w:szCs w:val="18"/>
              </w:rPr>
              <w:t>Y</w:t>
            </w:r>
            <w:r w:rsidR="00DA3033" w:rsidRPr="00DD477A">
              <w:rPr>
                <w:rStyle w:val="BodyTextChar"/>
                <w:rFonts w:cs="Calibri"/>
                <w:sz w:val="18"/>
                <w:szCs w:val="18"/>
              </w:rPr>
              <w:t xml:space="preserve"> </w:t>
            </w:r>
            <w:r w:rsidR="000E3921" w:rsidRPr="00DD477A">
              <w:rPr>
                <w:rStyle w:val="BodyTextChar"/>
                <w:rFonts w:cs="Calibri"/>
                <w:sz w:val="18"/>
                <w:szCs w:val="18"/>
              </w:rPr>
              <w:t>Budget</w:t>
            </w:r>
            <w:r w:rsidRPr="00DD477A">
              <w:rPr>
                <w:rStyle w:val="BodyTextChar"/>
                <w:rFonts w:cs="Calibri"/>
                <w:sz w:val="18"/>
                <w:szCs w:val="18"/>
              </w:rPr>
              <w:t xml:space="preserve"> </w:t>
            </w:r>
            <w:r w:rsidRPr="00DD477A">
              <w:rPr>
                <w:rStyle w:val="BodyTextChar"/>
                <w:rFonts w:cs="Calibri"/>
                <w:color w:val="FF0000"/>
                <w:sz w:val="18"/>
                <w:szCs w:val="18"/>
              </w:rPr>
              <w:t>(whichever applies)</w:t>
            </w:r>
            <w:r w:rsidRPr="00DD477A">
              <w:rPr>
                <w:rStyle w:val="BodyTextChar"/>
                <w:rFonts w:cs="Calibri"/>
                <w:sz w:val="18"/>
                <w:szCs w:val="18"/>
              </w:rPr>
              <w:t xml:space="preserve"> and has been partially reversed by (measure title) announced in the </w:t>
            </w:r>
            <w:r w:rsidR="00B11749" w:rsidRPr="00DD477A">
              <w:rPr>
                <w:rStyle w:val="BodyTextChar"/>
                <w:rFonts w:cs="Calibri"/>
                <w:sz w:val="18"/>
                <w:szCs w:val="18"/>
              </w:rPr>
              <w:t>202</w:t>
            </w:r>
            <w:r w:rsidR="005B1E7D" w:rsidRPr="00DD477A">
              <w:rPr>
                <w:rStyle w:val="BodyTextChar"/>
                <w:rFonts w:cs="Calibri"/>
                <w:sz w:val="18"/>
                <w:szCs w:val="18"/>
              </w:rPr>
              <w:t>4</w:t>
            </w:r>
            <w:r w:rsidR="00B11749" w:rsidRPr="00DD477A">
              <w:rPr>
                <w:rStyle w:val="BodyTextChar"/>
                <w:rFonts w:cs="Calibri"/>
                <w:sz w:val="18"/>
                <w:szCs w:val="18"/>
              </w:rPr>
              <w:t>-2</w:t>
            </w:r>
            <w:r w:rsidR="005B1E7D" w:rsidRPr="00DD477A">
              <w:rPr>
                <w:rStyle w:val="BodyTextChar"/>
                <w:rFonts w:cs="Calibri"/>
                <w:sz w:val="18"/>
                <w:szCs w:val="18"/>
              </w:rPr>
              <w:t>5</w:t>
            </w:r>
            <w:r w:rsidR="0007613A" w:rsidRPr="00DD477A">
              <w:rPr>
                <w:rStyle w:val="BodyTextChar"/>
                <w:rFonts w:cs="Calibri"/>
                <w:sz w:val="18"/>
                <w:szCs w:val="18"/>
              </w:rPr>
              <w:t xml:space="preserve"> </w:t>
            </w:r>
            <w:r w:rsidRPr="00DD477A">
              <w:rPr>
                <w:rStyle w:val="BodyTextChar"/>
                <w:rFonts w:cs="Calibri"/>
                <w:sz w:val="18"/>
                <w:szCs w:val="18"/>
              </w:rPr>
              <w:t>Budget. The above financial figures reflect the current net fiscal impact of the measure</w:t>
            </w:r>
          </w:p>
          <w:p w14:paraId="5C66EE05" w14:textId="5576B1AE" w:rsidR="004D479A" w:rsidRPr="00DD477A" w:rsidRDefault="53BF0693" w:rsidP="00AA1E87">
            <w:pPr>
              <w:pStyle w:val="TableText-Normal"/>
              <w:numPr>
                <w:ilvl w:val="0"/>
                <w:numId w:val="15"/>
              </w:numPr>
              <w:rPr>
                <w:rStyle w:val="BodyTextChar"/>
                <w:rFonts w:cs="Calibri"/>
                <w:sz w:val="18"/>
                <w:szCs w:val="18"/>
              </w:rPr>
            </w:pPr>
            <w:r w:rsidRPr="00DD477A">
              <w:rPr>
                <w:rStyle w:val="BodyTextChar"/>
                <w:rFonts w:cs="Calibri"/>
                <w:sz w:val="18"/>
                <w:szCs w:val="18"/>
              </w:rPr>
              <w:t>this measure was originally announced in the 20XX Economic Statement/20XX Pre</w:t>
            </w:r>
            <w:r w:rsidR="00401DFC" w:rsidRPr="00DD477A">
              <w:rPr>
                <w:rStyle w:val="BodyTextChar"/>
                <w:rFonts w:cs="Calibri"/>
                <w:sz w:val="18"/>
                <w:szCs w:val="18"/>
              </w:rPr>
              <w:noBreakHyphen/>
            </w:r>
            <w:r w:rsidRPr="00DD477A">
              <w:rPr>
                <w:rStyle w:val="BodyTextChar"/>
                <w:rFonts w:cs="Calibri"/>
                <w:sz w:val="18"/>
                <w:szCs w:val="18"/>
              </w:rPr>
              <w:t>Election Economic and Fiscal Outlook/</w:t>
            </w:r>
            <w:r w:rsidR="00B11749" w:rsidRPr="00DD477A">
              <w:rPr>
                <w:rStyle w:val="BodyTextChar"/>
                <w:rFonts w:cs="Calibri"/>
                <w:sz w:val="18"/>
                <w:szCs w:val="18"/>
              </w:rPr>
              <w:t>202</w:t>
            </w:r>
            <w:r w:rsidR="00AC775B" w:rsidRPr="00DD477A">
              <w:rPr>
                <w:rStyle w:val="BodyTextChar"/>
                <w:rFonts w:cs="Calibri"/>
                <w:sz w:val="18"/>
                <w:szCs w:val="18"/>
              </w:rPr>
              <w:t>X</w:t>
            </w:r>
            <w:r w:rsidR="00B11749" w:rsidRPr="00DD477A">
              <w:rPr>
                <w:rStyle w:val="BodyTextChar"/>
                <w:rFonts w:cs="Calibri"/>
                <w:sz w:val="18"/>
                <w:szCs w:val="18"/>
              </w:rPr>
              <w:t>-</w:t>
            </w:r>
            <w:r w:rsidR="00AC775B" w:rsidRPr="00DD477A">
              <w:rPr>
                <w:rStyle w:val="BodyTextChar"/>
                <w:rFonts w:cs="Calibri"/>
                <w:sz w:val="18"/>
                <w:szCs w:val="18"/>
              </w:rPr>
              <w:t>2Y</w:t>
            </w:r>
            <w:r w:rsidR="00DA3033" w:rsidRPr="00DD477A">
              <w:rPr>
                <w:rStyle w:val="BodyTextChar"/>
                <w:rFonts w:cs="Calibri"/>
                <w:sz w:val="18"/>
                <w:szCs w:val="18"/>
              </w:rPr>
              <w:t xml:space="preserve"> </w:t>
            </w:r>
            <w:r w:rsidR="35AE5E95" w:rsidRPr="00DD477A">
              <w:rPr>
                <w:rStyle w:val="BodyTextChar"/>
                <w:rFonts w:cs="Calibri"/>
                <w:sz w:val="18"/>
                <w:szCs w:val="18"/>
              </w:rPr>
              <w:t>Budget</w:t>
            </w:r>
            <w:r w:rsidRPr="00DD477A">
              <w:rPr>
                <w:rStyle w:val="BodyTextChar"/>
                <w:rFonts w:cs="Calibri"/>
                <w:sz w:val="18"/>
                <w:szCs w:val="18"/>
              </w:rPr>
              <w:t xml:space="preserve"> </w:t>
            </w:r>
            <w:r w:rsidRPr="00DD477A">
              <w:rPr>
                <w:rStyle w:val="BodyTextChar"/>
                <w:rFonts w:cs="Calibri"/>
                <w:color w:val="FF0000"/>
                <w:sz w:val="18"/>
                <w:szCs w:val="18"/>
              </w:rPr>
              <w:t>(whichever applies)</w:t>
            </w:r>
            <w:r w:rsidRPr="00DD477A">
              <w:rPr>
                <w:rStyle w:val="BodyTextChar"/>
                <w:rFonts w:cs="Calibri"/>
                <w:sz w:val="18"/>
                <w:szCs w:val="18"/>
              </w:rPr>
              <w:t xml:space="preserve"> and has been fully reversed by (measure title) announced in the </w:t>
            </w:r>
            <w:r w:rsidR="00B11749" w:rsidRPr="00DD477A">
              <w:rPr>
                <w:rStyle w:val="BodyTextChar"/>
                <w:rFonts w:cs="Calibri"/>
                <w:sz w:val="18"/>
                <w:szCs w:val="18"/>
              </w:rPr>
              <w:t>202</w:t>
            </w:r>
            <w:r w:rsidR="005B1E7D" w:rsidRPr="00DD477A">
              <w:rPr>
                <w:rStyle w:val="BodyTextChar"/>
                <w:rFonts w:cs="Calibri"/>
                <w:sz w:val="18"/>
                <w:szCs w:val="18"/>
              </w:rPr>
              <w:t>4</w:t>
            </w:r>
            <w:r w:rsidR="00B11749" w:rsidRPr="00DD477A">
              <w:rPr>
                <w:rStyle w:val="BodyTextChar"/>
                <w:rFonts w:cs="Calibri"/>
                <w:sz w:val="18"/>
                <w:szCs w:val="18"/>
              </w:rPr>
              <w:t>-2</w:t>
            </w:r>
            <w:r w:rsidR="009C6A31" w:rsidRPr="00DD477A">
              <w:rPr>
                <w:rStyle w:val="BodyTextChar"/>
                <w:rFonts w:cs="Calibri"/>
                <w:sz w:val="18"/>
                <w:szCs w:val="18"/>
              </w:rPr>
              <w:t>5</w:t>
            </w:r>
            <w:r w:rsidR="0007613A" w:rsidRPr="00DD477A">
              <w:rPr>
                <w:rStyle w:val="BodyTextChar"/>
                <w:rFonts w:cs="Calibri"/>
                <w:sz w:val="18"/>
                <w:szCs w:val="18"/>
              </w:rPr>
              <w:t xml:space="preserve"> </w:t>
            </w:r>
            <w:r w:rsidRPr="00DD477A">
              <w:rPr>
                <w:rStyle w:val="BodyTextChar"/>
                <w:rFonts w:cs="Calibri"/>
                <w:sz w:val="18"/>
                <w:szCs w:val="18"/>
              </w:rPr>
              <w:t xml:space="preserve">Budget. The above dashes reflect that the measure has no fiscal impact as it has ceased. </w:t>
            </w:r>
          </w:p>
        </w:tc>
      </w:tr>
    </w:tbl>
    <w:p w14:paraId="7062CBC4" w14:textId="7D062A67" w:rsidR="00330A84" w:rsidRPr="00DD477A" w:rsidRDefault="00330A84" w:rsidP="00E548A0">
      <w:pPr>
        <w:pStyle w:val="Heading3"/>
        <w:rPr>
          <w:szCs w:val="28"/>
        </w:rPr>
      </w:pPr>
      <w:bookmarkStart w:id="843" w:name="_Toc160715565"/>
      <w:r w:rsidRPr="00DD477A">
        <w:t>Amounts in the contingency reserve</w:t>
      </w:r>
      <w:bookmarkEnd w:id="843"/>
    </w:p>
    <w:p w14:paraId="79236FED" w14:textId="77777777" w:rsidR="00330A84" w:rsidRPr="00DD477A" w:rsidRDefault="00330A84" w:rsidP="00330A84">
      <w:pPr>
        <w:pStyle w:val="Boxed2Text"/>
        <w:rPr>
          <w:rFonts w:cs="Calibri"/>
        </w:rPr>
      </w:pPr>
      <w:r w:rsidRPr="00DD477A">
        <w:rPr>
          <w:rFonts w:cs="Calibri"/>
        </w:rPr>
        <w:t xml:space="preserve">Amounts held in the </w:t>
      </w:r>
      <w:r w:rsidRPr="00DD477A">
        <w:rPr>
          <w:rFonts w:cs="Calibri"/>
          <w:b/>
          <w:bCs/>
        </w:rPr>
        <w:t xml:space="preserve">contingency reserve (CR) </w:t>
      </w:r>
      <w:r w:rsidRPr="00DD477A">
        <w:rPr>
          <w:rFonts w:cs="Calibri"/>
        </w:rPr>
        <w:t>must not be entered as estimates in the Annual Estimates module under the relevant entity. Whilst the estimates are recorded in the CR, they cannot be appropriated to the entity in the current year.</w:t>
      </w:r>
    </w:p>
    <w:p w14:paraId="509F6AAE" w14:textId="527A3CD6" w:rsidR="00330A84" w:rsidRPr="00DD477A" w:rsidRDefault="00330A84" w:rsidP="00A85E0D">
      <w:pPr>
        <w:rPr>
          <w:rStyle w:val="BodyTextChar"/>
          <w:rFonts w:cs="Calibri"/>
        </w:rPr>
      </w:pPr>
      <w:r w:rsidRPr="00DD477A">
        <w:rPr>
          <w:rStyle w:val="BodyTextChar"/>
          <w:rFonts w:cs="Calibri"/>
        </w:rPr>
        <w:t>In instances where a measure was previously announced, for example during the 2023-24 MYEFO update, with only partial impacts being disclosed in MYEFO and an entity’s own PAES and with the remaining balance sitting in the CR:</w:t>
      </w:r>
    </w:p>
    <w:p w14:paraId="0ECC7EA3" w14:textId="4BAF4B2E" w:rsidR="00330A84" w:rsidRPr="00DD477A" w:rsidRDefault="00330A84" w:rsidP="009E2937">
      <w:pPr>
        <w:pStyle w:val="Boxed2Text"/>
        <w:rPr>
          <w:rStyle w:val="BodyTextChar"/>
          <w:rFonts w:cs="Calibri"/>
        </w:rPr>
      </w:pPr>
      <w:r w:rsidRPr="00DD477A">
        <w:rPr>
          <w:rStyle w:val="BodyTextChar"/>
          <w:rFonts w:cs="Calibri"/>
        </w:rPr>
        <w:lastRenderedPageBreak/>
        <w:t xml:space="preserve">Entities </w:t>
      </w:r>
      <w:r w:rsidRPr="00DD477A">
        <w:rPr>
          <w:rStyle w:val="BodyTextChar"/>
          <w:rFonts w:cs="Calibri"/>
          <w:b/>
        </w:rPr>
        <w:t>must</w:t>
      </w:r>
      <w:r w:rsidRPr="00DD477A">
        <w:rPr>
          <w:rStyle w:val="BodyTextChar"/>
          <w:rFonts w:cs="Calibri"/>
        </w:rPr>
        <w:t xml:space="preserve"> republish the measure, in Table 1.2 Entity 2024-25 Budget measures where the remaining funding is released from the CR and is to be appropriated to the entity through Appropriation Bills (Nos. 1 or 2) 2024-2025.</w:t>
      </w:r>
    </w:p>
    <w:p w14:paraId="7D37141A" w14:textId="704F04B8" w:rsidR="00330A84" w:rsidRPr="00DD477A" w:rsidRDefault="00330A84" w:rsidP="009E2937">
      <w:pPr>
        <w:pStyle w:val="Boxed2Text"/>
        <w:rPr>
          <w:rStyle w:val="BodyTextChar"/>
          <w:rFonts w:cs="Calibri"/>
        </w:rPr>
      </w:pPr>
      <w:r w:rsidRPr="00DD477A">
        <w:rPr>
          <w:rStyle w:val="BodyTextChar"/>
          <w:rFonts w:cs="Calibri"/>
        </w:rPr>
        <w:t>Entities should include a footnote in their PB Statements cross referencing the previously published measure.</w:t>
      </w:r>
    </w:p>
    <w:p w14:paraId="0F1D32A8" w14:textId="31D7B56A" w:rsidR="00DB7808" w:rsidRPr="00DD477A" w:rsidRDefault="00DB7808" w:rsidP="00E548A0">
      <w:pPr>
        <w:pStyle w:val="Heading3"/>
      </w:pPr>
      <w:bookmarkStart w:id="844" w:name="_Toc160715566"/>
      <w:r w:rsidRPr="00DD477A">
        <w:t>Decisions taken but not yet announced</w:t>
      </w:r>
      <w:r w:rsidR="005E1C35" w:rsidRPr="00DD477A">
        <w:t xml:space="preserve"> (DT</w:t>
      </w:r>
      <w:r w:rsidR="009F7AEC" w:rsidRPr="00DD477A">
        <w:t>BNYA)</w:t>
      </w:r>
      <w:bookmarkEnd w:id="844"/>
    </w:p>
    <w:p w14:paraId="621FDA00" w14:textId="5AF2ECED" w:rsidR="00FA0945" w:rsidRPr="00DD477A" w:rsidRDefault="53BF0693" w:rsidP="53BF0693">
      <w:pPr>
        <w:rPr>
          <w:rStyle w:val="BodyTextChar"/>
          <w:rFonts w:cs="Calibri"/>
        </w:rPr>
      </w:pPr>
      <w:r w:rsidRPr="00DD477A">
        <w:rPr>
          <w:rStyle w:val="BodyTextChar"/>
          <w:rFonts w:cs="Calibri"/>
        </w:rPr>
        <w:t xml:space="preserve">Where a measure was included in an economic statement as a DTBNYA but has </w:t>
      </w:r>
      <w:r w:rsidR="0084221B" w:rsidRPr="00DD477A">
        <w:rPr>
          <w:rStyle w:val="BodyTextChar"/>
          <w:rFonts w:cs="Calibri"/>
        </w:rPr>
        <w:t xml:space="preserve">subsequently </w:t>
      </w:r>
      <w:r w:rsidRPr="00DD477A">
        <w:rPr>
          <w:rStyle w:val="BodyTextChar"/>
          <w:rFonts w:cs="Calibri"/>
        </w:rPr>
        <w:t>been announced, it should generally be published in the next available budget stateme</w:t>
      </w:r>
      <w:r w:rsidR="006C1558" w:rsidRPr="00DD477A">
        <w:rPr>
          <w:rStyle w:val="BodyTextChar"/>
          <w:rFonts w:cs="Calibri"/>
        </w:rPr>
        <w:t>nt following that announcement</w:t>
      </w:r>
      <w:r w:rsidR="00037F7F" w:rsidRPr="00DD477A">
        <w:rPr>
          <w:rStyle w:val="BodyTextChar"/>
          <w:rFonts w:cs="Calibri"/>
        </w:rPr>
        <w:t>.</w:t>
      </w:r>
    </w:p>
    <w:p w14:paraId="3ECE4AEF" w14:textId="14DEC301" w:rsidR="00037F7F" w:rsidRPr="00DD477A" w:rsidRDefault="00037F7F" w:rsidP="53BF0693">
      <w:pPr>
        <w:rPr>
          <w:rFonts w:cs="Calibri"/>
        </w:rPr>
      </w:pPr>
      <w:r w:rsidRPr="00DD477A">
        <w:rPr>
          <w:rStyle w:val="BodyTextChar"/>
          <w:rFonts w:cs="Calibri"/>
        </w:rPr>
        <w:t xml:space="preserve">The following details should be included in Table </w:t>
      </w:r>
      <w:r w:rsidR="00A72EA7" w:rsidRPr="00DD477A">
        <w:rPr>
          <w:rStyle w:val="BodyTextChar"/>
          <w:rFonts w:cs="Calibri"/>
        </w:rPr>
        <w:t>1.2:</w:t>
      </w:r>
    </w:p>
    <w:p w14:paraId="7AFB1726" w14:textId="69246DF3" w:rsidR="00FA0945" w:rsidRPr="00DD477A" w:rsidRDefault="53BF0693" w:rsidP="00A7381C">
      <w:pPr>
        <w:pStyle w:val="Bullet1"/>
        <w:rPr>
          <w:rStyle w:val="BodyTextChar"/>
          <w:rFonts w:cs="Calibri"/>
        </w:rPr>
      </w:pPr>
      <w:r w:rsidRPr="00DD477A">
        <w:rPr>
          <w:rStyle w:val="BodyTextChar"/>
          <w:rFonts w:cs="Calibri"/>
        </w:rPr>
        <w:t>the full measure title and dashes ‘</w:t>
      </w:r>
      <w:r w:rsidR="00DA3611" w:rsidRPr="00DD477A">
        <w:rPr>
          <w:rStyle w:val="BodyTextChar"/>
          <w:rFonts w:cs="Calibri"/>
        </w:rPr>
        <w:t>–</w:t>
      </w:r>
      <w:r w:rsidRPr="00DD477A">
        <w:rPr>
          <w:rStyle w:val="BodyTextChar"/>
          <w:rFonts w:cs="Calibri"/>
        </w:rPr>
        <w:t xml:space="preserve">‘ for the financials </w:t>
      </w:r>
      <w:r w:rsidR="00A72EA7" w:rsidRPr="00DD477A">
        <w:rPr>
          <w:rStyle w:val="BodyTextChar"/>
          <w:rFonts w:cs="Calibri"/>
        </w:rPr>
        <w:t>(</w:t>
      </w:r>
      <w:r w:rsidRPr="00DD477A">
        <w:rPr>
          <w:rStyle w:val="BodyTextChar"/>
          <w:rFonts w:cs="Calibri"/>
        </w:rPr>
        <w:t>as these costs were previously included as an aggregate amount</w:t>
      </w:r>
      <w:r w:rsidR="00A72EA7" w:rsidRPr="00DD477A">
        <w:rPr>
          <w:rStyle w:val="BodyTextChar"/>
          <w:rFonts w:cs="Calibri"/>
        </w:rPr>
        <w:t>)</w:t>
      </w:r>
    </w:p>
    <w:p w14:paraId="0DB41541" w14:textId="359AFFB2" w:rsidR="00FA0945" w:rsidRPr="00DD477A" w:rsidRDefault="53BF0693" w:rsidP="00A7381C">
      <w:pPr>
        <w:pStyle w:val="Bullet1"/>
        <w:rPr>
          <w:rStyle w:val="BodyTextChar"/>
          <w:rFonts w:cs="Calibri"/>
        </w:rPr>
      </w:pPr>
      <w:r w:rsidRPr="00DD477A">
        <w:rPr>
          <w:rStyle w:val="BodyTextChar"/>
          <w:rFonts w:cs="Calibri"/>
        </w:rPr>
        <w:t xml:space="preserve">a footnote explaining the item such as </w:t>
      </w:r>
      <w:r w:rsidR="006714EB" w:rsidRPr="00DD477A">
        <w:rPr>
          <w:rStyle w:val="BodyTextChar"/>
          <w:rFonts w:cs="Calibri"/>
        </w:rPr>
        <w:t>‘</w:t>
      </w:r>
      <w:r w:rsidRPr="00DD477A">
        <w:rPr>
          <w:rStyle w:val="BodyTextChar"/>
          <w:rFonts w:cs="Calibri"/>
        </w:rPr>
        <w:t>Decision taken but not yet announced in the 20XX-XX Budget/MYEFO, with the following impact: 20XX-XX $XX.XXX million; 20XX-XX $X.XXX million and 20XX-XX $X.XXX million</w:t>
      </w:r>
      <w:r w:rsidR="006714EB" w:rsidRPr="00DD477A">
        <w:rPr>
          <w:rStyle w:val="BodyTextChar"/>
          <w:rFonts w:cs="Calibri"/>
        </w:rPr>
        <w:t>’</w:t>
      </w:r>
    </w:p>
    <w:p w14:paraId="50A0093F" w14:textId="16502DED" w:rsidR="00FA0945" w:rsidRPr="00DD477A" w:rsidRDefault="009121FD" w:rsidP="009855AD">
      <w:pPr>
        <w:pStyle w:val="Bullet1"/>
        <w:numPr>
          <w:ilvl w:val="0"/>
          <w:numId w:val="0"/>
        </w:numPr>
        <w:rPr>
          <w:rStyle w:val="BodyTextChar"/>
          <w:rFonts w:cs="Calibri"/>
        </w:rPr>
      </w:pPr>
      <w:r w:rsidRPr="00DD477A">
        <w:rPr>
          <w:rStyle w:val="BodyTextChar"/>
          <w:rFonts w:cs="Calibri"/>
        </w:rPr>
        <w:t>W</w:t>
      </w:r>
      <w:r w:rsidR="53BF0693" w:rsidRPr="00DD477A">
        <w:rPr>
          <w:rStyle w:val="BodyTextChar"/>
          <w:rFonts w:cs="Calibri"/>
        </w:rPr>
        <w:t>here the measure has not been or will not be (i.e.</w:t>
      </w:r>
      <w:r w:rsidR="57FF3D58" w:rsidRPr="00DD477A">
        <w:rPr>
          <w:rStyle w:val="BodyTextChar"/>
          <w:rFonts w:cs="Calibri"/>
        </w:rPr>
        <w:t>,</w:t>
      </w:r>
      <w:r w:rsidR="53BF0693" w:rsidRPr="00DD477A">
        <w:rPr>
          <w:rStyle w:val="BodyTextChar"/>
          <w:rFonts w:cs="Calibri"/>
        </w:rPr>
        <w:t xml:space="preserve"> for national security reasons) announced publicly at the release of the next budget statement, the costs for the measure should continue to be included as part of the </w:t>
      </w:r>
      <w:r w:rsidR="006714EB" w:rsidRPr="00DD477A">
        <w:rPr>
          <w:rStyle w:val="BodyTextChar"/>
          <w:rFonts w:cs="Calibri"/>
        </w:rPr>
        <w:t>‘</w:t>
      </w:r>
      <w:r w:rsidR="53BF0693" w:rsidRPr="00DD477A">
        <w:rPr>
          <w:rStyle w:val="BodyTextChar"/>
          <w:rFonts w:cs="Calibri"/>
        </w:rPr>
        <w:t>Decisions taken but not yet announced</w:t>
      </w:r>
      <w:r w:rsidR="006714EB" w:rsidRPr="00DD477A">
        <w:rPr>
          <w:rStyle w:val="BodyTextChar"/>
          <w:rFonts w:cs="Calibri"/>
        </w:rPr>
        <w:t>’</w:t>
      </w:r>
      <w:r w:rsidR="53BF0693" w:rsidRPr="00DD477A">
        <w:rPr>
          <w:rStyle w:val="BodyTextChar"/>
          <w:rFonts w:cs="Calibri"/>
        </w:rPr>
        <w:t xml:space="preserve"> total line at the bottom of Table 1.2. The measure title should not be listed separately.</w:t>
      </w:r>
    </w:p>
    <w:p w14:paraId="268F9D4A" w14:textId="77777777" w:rsidR="001807A9" w:rsidRPr="00DD477A" w:rsidRDefault="53BF0693" w:rsidP="53BF0693">
      <w:pPr>
        <w:rPr>
          <w:rStyle w:val="BodyTextChar"/>
          <w:rFonts w:cs="Calibri"/>
        </w:rPr>
      </w:pPr>
      <w:r w:rsidRPr="00DD477A">
        <w:rPr>
          <w:rStyle w:val="BodyTextChar"/>
          <w:rFonts w:cs="Calibri"/>
        </w:rPr>
        <w:t>For further information the relevant AAU should be contacted in the first instance.</w:t>
      </w:r>
    </w:p>
    <w:p w14:paraId="6E91ECD5" w14:textId="008630B6" w:rsidR="002078B6" w:rsidRPr="00DD477A" w:rsidRDefault="53BF0693" w:rsidP="00580008">
      <w:pPr>
        <w:pStyle w:val="Boxed2Text"/>
        <w:rPr>
          <w:rFonts w:cs="Calibri"/>
        </w:rPr>
      </w:pPr>
      <w:r w:rsidRPr="00DD477A">
        <w:rPr>
          <w:rFonts w:cs="Calibri"/>
        </w:rPr>
        <w:t>Amounts</w:t>
      </w:r>
      <w:r w:rsidR="00C24D0B" w:rsidRPr="00DD477A">
        <w:rPr>
          <w:rFonts w:cs="Calibri"/>
        </w:rPr>
        <w:t xml:space="preserve"> held</w:t>
      </w:r>
      <w:r w:rsidRPr="00DD477A">
        <w:rPr>
          <w:rFonts w:cs="Calibri"/>
        </w:rPr>
        <w:t xml:space="preserve"> in the </w:t>
      </w:r>
      <w:r w:rsidRPr="00DD477A">
        <w:rPr>
          <w:rFonts w:cs="Calibri"/>
          <w:b/>
          <w:bCs/>
        </w:rPr>
        <w:t xml:space="preserve">contingency reserve (CR) </w:t>
      </w:r>
      <w:r w:rsidRPr="00DD477A">
        <w:rPr>
          <w:rFonts w:cs="Calibri"/>
        </w:rPr>
        <w:t xml:space="preserve">must not be entered as estimates in </w:t>
      </w:r>
      <w:r w:rsidR="0077748F" w:rsidRPr="00DD477A">
        <w:rPr>
          <w:rFonts w:cs="Calibri"/>
        </w:rPr>
        <w:t xml:space="preserve">the </w:t>
      </w:r>
      <w:r w:rsidR="00C24D0B" w:rsidRPr="00DD477A">
        <w:rPr>
          <w:rFonts w:cs="Calibri"/>
        </w:rPr>
        <w:t xml:space="preserve">Annual Estimates module </w:t>
      </w:r>
      <w:r w:rsidRPr="00DD477A">
        <w:rPr>
          <w:rFonts w:cs="Calibri"/>
        </w:rPr>
        <w:t xml:space="preserve">under the relevant entity. Whilst the estimates are recorded in the CR, they cannot be appropriated </w:t>
      </w:r>
      <w:r w:rsidR="00C24D0B" w:rsidRPr="00DD477A">
        <w:rPr>
          <w:rFonts w:cs="Calibri"/>
        </w:rPr>
        <w:t xml:space="preserve">to the entity </w:t>
      </w:r>
      <w:r w:rsidRPr="00DD477A">
        <w:rPr>
          <w:rFonts w:cs="Calibri"/>
        </w:rPr>
        <w:t>in the current year.</w:t>
      </w:r>
    </w:p>
    <w:p w14:paraId="4A7F4B01" w14:textId="74AA787F" w:rsidR="00DB7808" w:rsidRPr="00DD477A" w:rsidRDefault="00DB7808" w:rsidP="00E548A0">
      <w:pPr>
        <w:pStyle w:val="Heading3"/>
        <w:rPr>
          <w:szCs w:val="28"/>
        </w:rPr>
      </w:pPr>
      <w:bookmarkStart w:id="845" w:name="_Toc160715567"/>
      <w:r w:rsidRPr="00DD477A">
        <w:t>Measures with indicative costs</w:t>
      </w:r>
      <w:bookmarkEnd w:id="845"/>
    </w:p>
    <w:p w14:paraId="2BF1EFBA" w14:textId="4A5C83FE" w:rsidR="001457EE" w:rsidRPr="00DD477A" w:rsidRDefault="53BF0693" w:rsidP="00636880">
      <w:pPr>
        <w:rPr>
          <w:rStyle w:val="BodyTextChar"/>
          <w:rFonts w:cs="Calibri"/>
        </w:rPr>
      </w:pPr>
      <w:r w:rsidRPr="00DD477A">
        <w:rPr>
          <w:rStyle w:val="BodyTextChar"/>
          <w:rFonts w:cs="Calibri"/>
        </w:rPr>
        <w:t xml:space="preserve">Where measures are published in an economic statement with indicative costs, these measures should be </w:t>
      </w:r>
      <w:r w:rsidR="00EA5EAA" w:rsidRPr="00DD477A">
        <w:rPr>
          <w:rStyle w:val="BodyTextChar"/>
          <w:rFonts w:cs="Calibri"/>
        </w:rPr>
        <w:t xml:space="preserve">subsequently </w:t>
      </w:r>
      <w:r w:rsidRPr="00DD477A">
        <w:rPr>
          <w:rStyle w:val="BodyTextChar"/>
          <w:rFonts w:cs="Calibri"/>
        </w:rPr>
        <w:t xml:space="preserve">listed in Table 1.2 only </w:t>
      </w:r>
      <w:r w:rsidR="002F5E9E" w:rsidRPr="00DD477A">
        <w:rPr>
          <w:rStyle w:val="BodyTextChar"/>
          <w:rFonts w:cs="Calibri"/>
        </w:rPr>
        <w:t>when</w:t>
      </w:r>
      <w:r w:rsidRPr="00DD477A">
        <w:rPr>
          <w:rStyle w:val="BodyTextChar"/>
          <w:rFonts w:cs="Calibri"/>
        </w:rPr>
        <w:t xml:space="preserve"> the </w:t>
      </w:r>
      <w:r w:rsidR="002F5E9E" w:rsidRPr="00DD477A">
        <w:rPr>
          <w:rStyle w:val="BodyTextChar"/>
          <w:rFonts w:cs="Calibri"/>
        </w:rPr>
        <w:t xml:space="preserve">final </w:t>
      </w:r>
      <w:r w:rsidRPr="00DD477A">
        <w:rPr>
          <w:rStyle w:val="BodyTextChar"/>
          <w:rFonts w:cs="Calibri"/>
        </w:rPr>
        <w:t>costs have been agreed</w:t>
      </w:r>
      <w:r w:rsidR="007B04B4" w:rsidRPr="00DD477A">
        <w:rPr>
          <w:rStyle w:val="BodyTextChar"/>
          <w:rFonts w:cs="Calibri"/>
        </w:rPr>
        <w:t>.</w:t>
      </w:r>
    </w:p>
    <w:p w14:paraId="61CBE9FC" w14:textId="77777777" w:rsidR="001457EE" w:rsidRPr="00DD477A" w:rsidRDefault="001457EE" w:rsidP="001457EE">
      <w:pPr>
        <w:pStyle w:val="Bullet1"/>
        <w:numPr>
          <w:ilvl w:val="0"/>
          <w:numId w:val="0"/>
        </w:numPr>
        <w:rPr>
          <w:rStyle w:val="BodyTextChar"/>
          <w:rFonts w:cs="Calibri"/>
        </w:rPr>
      </w:pPr>
      <w:r w:rsidRPr="00DD477A">
        <w:rPr>
          <w:rStyle w:val="BodyTextChar"/>
          <w:rFonts w:cs="Calibri"/>
        </w:rPr>
        <w:t>The measure should be listed in Table 1.2 with its full measure title and dashes ‘–‘ for the financials as these costs have previously been allocated to the entity.</w:t>
      </w:r>
    </w:p>
    <w:p w14:paraId="75199DEA" w14:textId="338945FB" w:rsidR="00FA0945" w:rsidRPr="00DD477A" w:rsidRDefault="00857D0F" w:rsidP="0095142C">
      <w:pPr>
        <w:rPr>
          <w:rStyle w:val="BodyTextChar"/>
          <w:rFonts w:cs="Calibri"/>
        </w:rPr>
      </w:pPr>
      <w:r w:rsidRPr="00DD477A">
        <w:rPr>
          <w:rStyle w:val="BodyTextChar"/>
          <w:rFonts w:cs="Calibri"/>
        </w:rPr>
        <w:t>A</w:t>
      </w:r>
      <w:r w:rsidR="53BF0693" w:rsidRPr="00DD477A">
        <w:rPr>
          <w:rStyle w:val="BodyTextChar"/>
          <w:rFonts w:cs="Calibri"/>
        </w:rPr>
        <w:t xml:space="preserve"> footnote </w:t>
      </w:r>
      <w:r w:rsidRPr="00DD477A">
        <w:rPr>
          <w:rStyle w:val="BodyTextChar"/>
          <w:rFonts w:cs="Calibri"/>
        </w:rPr>
        <w:t xml:space="preserve">should be included, </w:t>
      </w:r>
      <w:r w:rsidR="53BF0693" w:rsidRPr="00DD477A">
        <w:rPr>
          <w:rStyle w:val="BodyTextChar"/>
          <w:rFonts w:cs="Calibri"/>
        </w:rPr>
        <w:t xml:space="preserve">stating that the measure was previously published in </w:t>
      </w:r>
      <w:r w:rsidR="00A1051E" w:rsidRPr="00DD477A">
        <w:rPr>
          <w:rStyle w:val="BodyTextChar"/>
          <w:rFonts w:cs="Calibri"/>
        </w:rPr>
        <w:t>BP </w:t>
      </w:r>
      <w:r w:rsidR="53BF0693" w:rsidRPr="00DD477A">
        <w:rPr>
          <w:rStyle w:val="BodyTextChar"/>
          <w:rFonts w:cs="Calibri"/>
        </w:rPr>
        <w:t>No. 2</w:t>
      </w:r>
      <w:r w:rsidR="007D613F" w:rsidRPr="00DD477A">
        <w:rPr>
          <w:rStyle w:val="BodyTextChar"/>
          <w:rFonts w:cs="Calibri"/>
        </w:rPr>
        <w:t>, MYEFO</w:t>
      </w:r>
      <w:r w:rsidR="004645A6" w:rsidRPr="00DD477A">
        <w:rPr>
          <w:rStyle w:val="BodyTextChar"/>
          <w:rFonts w:cs="Calibri"/>
        </w:rPr>
        <w:t xml:space="preserve"> or </w:t>
      </w:r>
      <w:r w:rsidR="53BF0693" w:rsidRPr="00DD477A">
        <w:rPr>
          <w:rStyle w:val="BodyTextChar"/>
          <w:rFonts w:cs="Calibri"/>
        </w:rPr>
        <w:t>the relevant economic statement and th</w:t>
      </w:r>
      <w:r w:rsidR="00E82604" w:rsidRPr="00DD477A">
        <w:rPr>
          <w:rStyle w:val="BodyTextChar"/>
          <w:rFonts w:cs="Calibri"/>
        </w:rPr>
        <w:t>at</w:t>
      </w:r>
      <w:r w:rsidR="53BF0693" w:rsidRPr="00DD477A">
        <w:rPr>
          <w:rStyle w:val="BodyTextChar"/>
          <w:rFonts w:cs="Calibri"/>
        </w:rPr>
        <w:t xml:space="preserve"> costs shown are now final</w:t>
      </w:r>
      <w:r w:rsidR="00FD1825" w:rsidRPr="00DD477A">
        <w:rPr>
          <w:rStyle w:val="BodyTextChar"/>
          <w:rFonts w:cs="Calibri"/>
        </w:rPr>
        <w:t>.</w:t>
      </w:r>
      <w:r w:rsidR="00636880" w:rsidRPr="00DD477A">
        <w:rPr>
          <w:rStyle w:val="BodyTextChar"/>
          <w:rFonts w:cs="Calibri"/>
        </w:rPr>
        <w:t xml:space="preserve"> </w:t>
      </w:r>
      <w:r w:rsidR="00FD1825" w:rsidRPr="00DD477A">
        <w:rPr>
          <w:rStyle w:val="BodyTextChar"/>
          <w:rFonts w:cs="Calibri"/>
        </w:rPr>
        <w:t xml:space="preserve">For </w:t>
      </w:r>
      <w:r w:rsidR="53BF0693" w:rsidRPr="00DD477A">
        <w:rPr>
          <w:rStyle w:val="BodyTextChar"/>
          <w:rFonts w:cs="Calibri"/>
        </w:rPr>
        <w:t xml:space="preserve">cross-portfolio measures </w:t>
      </w:r>
      <w:r w:rsidR="00636880" w:rsidRPr="00DD477A">
        <w:rPr>
          <w:rStyle w:val="BodyTextChar"/>
          <w:rFonts w:cs="Calibri"/>
        </w:rPr>
        <w:t xml:space="preserve">the </w:t>
      </w:r>
      <w:r w:rsidR="53BF0693" w:rsidRPr="00DD477A">
        <w:rPr>
          <w:rStyle w:val="BodyTextChar"/>
          <w:rFonts w:cs="Calibri"/>
        </w:rPr>
        <w:t xml:space="preserve">footnote </w:t>
      </w:r>
      <w:r w:rsidR="00636880" w:rsidRPr="00DD477A">
        <w:rPr>
          <w:rStyle w:val="BodyTextChar"/>
          <w:rFonts w:cs="Calibri"/>
        </w:rPr>
        <w:t>should detail</w:t>
      </w:r>
      <w:r w:rsidR="53BF0693" w:rsidRPr="00DD477A">
        <w:rPr>
          <w:rStyle w:val="BodyTextChar"/>
          <w:rFonts w:cs="Calibri"/>
        </w:rPr>
        <w:t xml:space="preserve"> that it is a cross-portfolio measure previously published in BP No. 2</w:t>
      </w:r>
      <w:r w:rsidR="007D613F" w:rsidRPr="00DD477A">
        <w:rPr>
          <w:rStyle w:val="BodyTextChar"/>
          <w:rFonts w:cs="Calibri"/>
        </w:rPr>
        <w:t>, MYEFO</w:t>
      </w:r>
      <w:r w:rsidR="00E82604" w:rsidRPr="00DD477A">
        <w:rPr>
          <w:rStyle w:val="BodyTextChar"/>
          <w:rFonts w:cs="Calibri"/>
        </w:rPr>
        <w:t xml:space="preserve"> </w:t>
      </w:r>
      <w:r w:rsidR="00893209" w:rsidRPr="00DD477A">
        <w:rPr>
          <w:rStyle w:val="BodyTextChar"/>
          <w:rFonts w:cs="Calibri"/>
        </w:rPr>
        <w:t xml:space="preserve">or </w:t>
      </w:r>
      <w:r w:rsidR="53BF0693" w:rsidRPr="00DD477A">
        <w:rPr>
          <w:rStyle w:val="BodyTextChar"/>
          <w:rFonts w:cs="Calibri"/>
        </w:rPr>
        <w:t>the relevant economic statement and naming the lead entity</w:t>
      </w:r>
      <w:r w:rsidR="00FD1825" w:rsidRPr="00DD477A">
        <w:rPr>
          <w:rStyle w:val="BodyTextChar"/>
          <w:rFonts w:cs="Calibri"/>
        </w:rPr>
        <w:t>.</w:t>
      </w:r>
    </w:p>
    <w:p w14:paraId="163197FD" w14:textId="48CD35F6" w:rsidR="00DB7808" w:rsidRPr="00DD477A" w:rsidRDefault="00DB7808" w:rsidP="00E548A0">
      <w:pPr>
        <w:pStyle w:val="Heading3"/>
        <w:rPr>
          <w:szCs w:val="28"/>
        </w:rPr>
      </w:pPr>
      <w:bookmarkStart w:id="846" w:name="_Toc160715568"/>
      <w:r w:rsidRPr="00DD477A">
        <w:t xml:space="preserve">Measures earmarked as ‘not for </w:t>
      </w:r>
      <w:r w:rsidRPr="00DD477A">
        <w:rPr>
          <w:iCs/>
          <w:szCs w:val="28"/>
        </w:rPr>
        <w:t>publication’</w:t>
      </w:r>
      <w:r w:rsidR="001457EE" w:rsidRPr="00DD477A">
        <w:rPr>
          <w:iCs/>
          <w:szCs w:val="28"/>
        </w:rPr>
        <w:t xml:space="preserve"> (</w:t>
      </w:r>
      <w:r w:rsidR="00E86807" w:rsidRPr="00DD477A">
        <w:rPr>
          <w:iCs/>
          <w:szCs w:val="28"/>
        </w:rPr>
        <w:t>N</w:t>
      </w:r>
      <w:r w:rsidR="00027F2A" w:rsidRPr="00DD477A">
        <w:rPr>
          <w:iCs/>
          <w:szCs w:val="28"/>
        </w:rPr>
        <w:t>F</w:t>
      </w:r>
      <w:r w:rsidR="00E86807" w:rsidRPr="00DD477A">
        <w:rPr>
          <w:iCs/>
          <w:szCs w:val="28"/>
        </w:rPr>
        <w:t>P)</w:t>
      </w:r>
      <w:bookmarkEnd w:id="846"/>
    </w:p>
    <w:p w14:paraId="4ACAEF35" w14:textId="45862A19" w:rsidR="00E86807" w:rsidRPr="00DD477A" w:rsidRDefault="00E86807" w:rsidP="00E86807">
      <w:r w:rsidRPr="00DD477A">
        <w:rPr>
          <w:rStyle w:val="BodyTextChar"/>
          <w:rFonts w:cs="Calibri"/>
        </w:rPr>
        <w:t xml:space="preserve">Where the </w:t>
      </w:r>
      <w:r w:rsidR="00BE3B03" w:rsidRPr="00DD477A">
        <w:rPr>
          <w:rStyle w:val="BodyTextChar"/>
          <w:rFonts w:cs="Calibri"/>
        </w:rPr>
        <w:t>value</w:t>
      </w:r>
      <w:r w:rsidRPr="00DD477A">
        <w:rPr>
          <w:rStyle w:val="BodyTextChar"/>
          <w:rFonts w:cs="Calibri"/>
        </w:rPr>
        <w:t xml:space="preserve"> of a measure </w:t>
      </w:r>
      <w:r w:rsidR="00BE3B03" w:rsidRPr="00DD477A">
        <w:rPr>
          <w:rStyle w:val="BodyTextChar"/>
          <w:rFonts w:cs="Calibri"/>
        </w:rPr>
        <w:t>is</w:t>
      </w:r>
      <w:r w:rsidRPr="00DD477A">
        <w:rPr>
          <w:rStyle w:val="BodyTextChar"/>
          <w:rFonts w:cs="Calibri"/>
        </w:rPr>
        <w:t xml:space="preserve"> disclosed as ‘nfp’, </w:t>
      </w:r>
      <w:r w:rsidR="00BE3B03" w:rsidRPr="00DD477A">
        <w:rPr>
          <w:rStyle w:val="BodyTextChar"/>
          <w:rFonts w:cs="Calibri"/>
        </w:rPr>
        <w:t xml:space="preserve">it is ordinarily </w:t>
      </w:r>
      <w:r w:rsidRPr="00DD477A">
        <w:rPr>
          <w:rStyle w:val="BodyTextChar"/>
          <w:rFonts w:cs="Calibri"/>
        </w:rPr>
        <w:t>due to national sec</w:t>
      </w:r>
      <w:r w:rsidRPr="00DD477A">
        <w:t>urity</w:t>
      </w:r>
      <w:r w:rsidR="00350FA1" w:rsidRPr="00DD477A">
        <w:t>,</w:t>
      </w:r>
      <w:r w:rsidRPr="00DD477A">
        <w:t xml:space="preserve"> </w:t>
      </w:r>
      <w:r w:rsidR="008439B3" w:rsidRPr="00DD477A">
        <w:t xml:space="preserve">ongoing commercial negotiations, or </w:t>
      </w:r>
      <w:r w:rsidRPr="00DD477A">
        <w:t>commercial</w:t>
      </w:r>
      <w:r w:rsidR="008439B3" w:rsidRPr="00DD477A">
        <w:t>,</w:t>
      </w:r>
      <w:r w:rsidRPr="00DD477A">
        <w:t xml:space="preserve"> legal</w:t>
      </w:r>
      <w:r w:rsidR="008439B3" w:rsidRPr="00DD477A">
        <w:t>,</w:t>
      </w:r>
      <w:r w:rsidRPr="00DD477A">
        <w:t xml:space="preserve"> other sensitivities considerations.</w:t>
      </w:r>
    </w:p>
    <w:p w14:paraId="1E61CEF0" w14:textId="0DA674FE" w:rsidR="002F0743" w:rsidRPr="00DD477A" w:rsidRDefault="00F2184E" w:rsidP="00580008">
      <w:pPr>
        <w:rPr>
          <w:rFonts w:cs="Calibri"/>
        </w:rPr>
      </w:pPr>
      <w:r w:rsidRPr="00DD477A">
        <w:rPr>
          <w:rFonts w:cs="Calibri"/>
        </w:rPr>
        <w:lastRenderedPageBreak/>
        <w:t>E</w:t>
      </w:r>
      <w:r w:rsidR="007E6381" w:rsidRPr="00DD477A">
        <w:rPr>
          <w:rFonts w:cs="Calibri"/>
        </w:rPr>
        <w:t xml:space="preserve">ntities are required to add a footnote to </w:t>
      </w:r>
      <w:r w:rsidRPr="00DD477A">
        <w:rPr>
          <w:rFonts w:cs="Calibri"/>
        </w:rPr>
        <w:t xml:space="preserve">Table 1.2 to </w:t>
      </w:r>
      <w:r w:rsidR="007E6381" w:rsidRPr="00DD477A">
        <w:rPr>
          <w:rFonts w:cs="Calibri"/>
        </w:rPr>
        <w:t xml:space="preserve">provide a high-level explanation clarifying why the measure </w:t>
      </w:r>
      <w:r w:rsidR="008332B6" w:rsidRPr="00DD477A">
        <w:rPr>
          <w:rFonts w:cs="Calibri"/>
        </w:rPr>
        <w:t>was required to be</w:t>
      </w:r>
      <w:r w:rsidR="007E6381" w:rsidRPr="00DD477A">
        <w:rPr>
          <w:rFonts w:cs="Calibri"/>
        </w:rPr>
        <w:t xml:space="preserve"> reported </w:t>
      </w:r>
      <w:r w:rsidR="008332B6" w:rsidRPr="00DD477A">
        <w:rPr>
          <w:rFonts w:cs="Calibri"/>
        </w:rPr>
        <w:t xml:space="preserve">in </w:t>
      </w:r>
      <w:r w:rsidR="007E6381" w:rsidRPr="00DD477A">
        <w:rPr>
          <w:rFonts w:cs="Calibri"/>
        </w:rPr>
        <w:t>this way.</w:t>
      </w:r>
    </w:p>
    <w:p w14:paraId="156935BB" w14:textId="5DF67848" w:rsidR="00DB7808" w:rsidRPr="00DD477A" w:rsidRDefault="00DB7808" w:rsidP="00E548A0">
      <w:pPr>
        <w:pStyle w:val="Heading3"/>
        <w:rPr>
          <w:szCs w:val="28"/>
        </w:rPr>
      </w:pPr>
      <w:bookmarkStart w:id="847" w:name="_Toc160715569"/>
      <w:r w:rsidRPr="00DD477A">
        <w:t>Machinery of government changes</w:t>
      </w:r>
      <w:r w:rsidR="00AD49C2" w:rsidRPr="00DD477A">
        <w:rPr>
          <w:iCs/>
          <w:szCs w:val="28"/>
        </w:rPr>
        <w:t xml:space="preserve"> (MoG)</w:t>
      </w:r>
      <w:bookmarkEnd w:id="847"/>
    </w:p>
    <w:p w14:paraId="7A9C25BF" w14:textId="2D181FF7" w:rsidR="001D5761" w:rsidRPr="00DD477A" w:rsidRDefault="6B6EE5C4" w:rsidP="6B6EE5C4">
      <w:pPr>
        <w:rPr>
          <w:rStyle w:val="BodyTextChar"/>
          <w:rFonts w:cs="Calibri"/>
        </w:rPr>
      </w:pPr>
      <w:r w:rsidRPr="00DD477A">
        <w:rPr>
          <w:rStyle w:val="BodyTextChar"/>
          <w:rFonts w:cs="Calibri"/>
        </w:rPr>
        <w:t>Where MoG changes</w:t>
      </w:r>
      <w:r w:rsidR="00026CA3" w:rsidRPr="00DD477A">
        <w:rPr>
          <w:rStyle w:val="BodyTextChar"/>
          <w:rFonts w:cs="Calibri"/>
        </w:rPr>
        <w:t xml:space="preserve"> have been legislated</w:t>
      </w:r>
      <w:r w:rsidRPr="00DD477A">
        <w:rPr>
          <w:rStyle w:val="BodyTextChar"/>
          <w:rFonts w:cs="Calibri"/>
        </w:rPr>
        <w:t xml:space="preserve">, </w:t>
      </w:r>
      <w:r w:rsidRPr="00DD477A">
        <w:rPr>
          <w:rStyle w:val="BodyTextChar"/>
          <w:rFonts w:eastAsiaTheme="minorEastAsia" w:cs="Calibri"/>
        </w:rPr>
        <w:t>the</w:t>
      </w:r>
      <w:r w:rsidRPr="00DD477A">
        <w:rPr>
          <w:rStyle w:val="BodyTextChar"/>
          <w:rFonts w:cs="Calibri"/>
        </w:rPr>
        <w:t xml:space="preserve"> gaining entity should publish any new measures relating to the function(s) </w:t>
      </w:r>
      <w:r w:rsidR="00026CA3" w:rsidRPr="00DD477A">
        <w:rPr>
          <w:rStyle w:val="BodyTextChar"/>
          <w:rFonts w:cs="Calibri"/>
        </w:rPr>
        <w:t xml:space="preserve">that have been transferred </w:t>
      </w:r>
      <w:r w:rsidR="00805479" w:rsidRPr="00DD477A">
        <w:rPr>
          <w:rStyle w:val="BodyTextChar"/>
          <w:rFonts w:cs="Calibri"/>
        </w:rPr>
        <w:t>to them in Table 1.2 of their PB Statements</w:t>
      </w:r>
      <w:r w:rsidRPr="00DD477A">
        <w:rPr>
          <w:rStyle w:val="BodyTextChar"/>
          <w:rFonts w:cs="Calibri"/>
        </w:rPr>
        <w:t>.</w:t>
      </w:r>
    </w:p>
    <w:p w14:paraId="45E47508" w14:textId="77777777" w:rsidR="00755929" w:rsidRPr="00DD477A" w:rsidRDefault="00755929" w:rsidP="000A7DEC">
      <w:pPr>
        <w:rPr>
          <w:rFonts w:cs="Calibri"/>
        </w:rPr>
      </w:pPr>
      <w:r w:rsidRPr="00DD477A">
        <w:rPr>
          <w:rFonts w:cs="Calibri"/>
        </w:rPr>
        <w:br w:type="page"/>
      </w:r>
    </w:p>
    <w:p w14:paraId="686A91F0" w14:textId="1CA16BB2" w:rsidR="00FA0945" w:rsidRPr="00DD477A" w:rsidRDefault="53BF0693" w:rsidP="00E548A0">
      <w:pPr>
        <w:pStyle w:val="Heading1"/>
        <w:rPr>
          <w:sz w:val="36"/>
          <w:szCs w:val="36"/>
        </w:rPr>
      </w:pPr>
      <w:bookmarkStart w:id="848" w:name="_Toc534459664"/>
      <w:bookmarkStart w:id="849" w:name="_Toc534519159"/>
      <w:bookmarkStart w:id="850" w:name="_Toc534520069"/>
      <w:bookmarkStart w:id="851" w:name="_Toc534520339"/>
      <w:bookmarkStart w:id="852" w:name="_Toc534527551"/>
      <w:bookmarkStart w:id="853" w:name="_Toc534528281"/>
      <w:bookmarkStart w:id="854" w:name="_Toc534803502"/>
      <w:bookmarkStart w:id="855" w:name="_Toc534814193"/>
      <w:bookmarkStart w:id="856" w:name="_Toc536108566"/>
      <w:bookmarkStart w:id="857" w:name="_Toc534458876"/>
      <w:bookmarkStart w:id="858" w:name="_Toc534459665"/>
      <w:bookmarkStart w:id="859" w:name="_Toc534519160"/>
      <w:bookmarkStart w:id="860" w:name="_Toc534520070"/>
      <w:bookmarkStart w:id="861" w:name="_Toc534520340"/>
      <w:bookmarkStart w:id="862" w:name="_Toc534527552"/>
      <w:bookmarkStart w:id="863" w:name="_Toc534528282"/>
      <w:bookmarkStart w:id="864" w:name="_Toc534803503"/>
      <w:bookmarkStart w:id="865" w:name="_Toc534814194"/>
      <w:bookmarkStart w:id="866" w:name="_Toc536108567"/>
      <w:bookmarkStart w:id="867" w:name="_Toc411852679"/>
      <w:bookmarkStart w:id="868" w:name="_Toc534382559"/>
      <w:bookmarkStart w:id="869" w:name="_Toc63347710"/>
      <w:bookmarkStart w:id="870" w:name="_Toc160715570"/>
      <w:bookmarkStart w:id="871" w:name="OLE_LINK3"/>
      <w:bookmarkStart w:id="872" w:name="OLE_LINK4"/>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sidRPr="00DD477A">
        <w:lastRenderedPageBreak/>
        <w:t>Outcomes and planned performance</w:t>
      </w:r>
      <w:bookmarkEnd w:id="867"/>
      <w:bookmarkEnd w:id="868"/>
      <w:bookmarkEnd w:id="869"/>
      <w:r w:rsidR="00FD1E69">
        <w:br/>
      </w:r>
      <w:r w:rsidR="008E77DE" w:rsidRPr="00DD477A">
        <w:t>- Section 2</w:t>
      </w:r>
      <w:bookmarkEnd w:id="870"/>
    </w:p>
    <w:p w14:paraId="5B6DA2D1" w14:textId="0006637C" w:rsidR="00945BF5" w:rsidRPr="00DD477A" w:rsidRDefault="53BF0693" w:rsidP="000A7DEC">
      <w:pPr>
        <w:pStyle w:val="Boxed2Text"/>
        <w:rPr>
          <w:rFonts w:cs="Calibri"/>
        </w:rPr>
      </w:pPr>
      <w:r w:rsidRPr="00DD477A">
        <w:rPr>
          <w:rStyle w:val="BodyTextChar"/>
          <w:rFonts w:cs="Calibri"/>
        </w:rPr>
        <w:t xml:space="preserve">For </w:t>
      </w:r>
      <w:r w:rsidR="009D4B71" w:rsidRPr="00DD477A">
        <w:rPr>
          <w:rFonts w:cs="Calibri"/>
        </w:rPr>
        <w:t xml:space="preserve">information </w:t>
      </w:r>
      <w:r w:rsidRPr="00DD477A">
        <w:rPr>
          <w:rFonts w:cs="Calibri"/>
        </w:rPr>
        <w:t xml:space="preserve">regarding performance reporting in the PB Statements, please </w:t>
      </w:r>
      <w:r w:rsidR="009D4B71" w:rsidRPr="00DD477A">
        <w:rPr>
          <w:rFonts w:cs="Calibri"/>
        </w:rPr>
        <w:t xml:space="preserve">refer to </w:t>
      </w:r>
      <w:hyperlink r:id="rId132" w:history="1">
        <w:r w:rsidR="003A47EE" w:rsidRPr="00DD477A">
          <w:rPr>
            <w:rStyle w:val="Hyperlink"/>
          </w:rPr>
          <w:t>Reporting performance information in Portfolio Budget Statements (RMG 129)</w:t>
        </w:r>
      </w:hyperlink>
      <w:r w:rsidR="009D4B71" w:rsidRPr="00DD477A">
        <w:rPr>
          <w:rStyle w:val="Hyperlink"/>
        </w:rPr>
        <w:t xml:space="preserve"> </w:t>
      </w:r>
      <w:r w:rsidR="009D4B71" w:rsidRPr="00DD477A">
        <w:rPr>
          <w:rStyle w:val="Hyperlink"/>
          <w:u w:val="none"/>
        </w:rPr>
        <w:t xml:space="preserve">or </w:t>
      </w:r>
      <w:r w:rsidRPr="00DD477A">
        <w:rPr>
          <w:rStyle w:val="Hyperlink"/>
          <w:u w:val="none"/>
        </w:rPr>
        <w:t xml:space="preserve">contact the </w:t>
      </w:r>
      <w:r w:rsidR="00B50E22" w:rsidRPr="00DD477A">
        <w:rPr>
          <w:rStyle w:val="Hyperlink"/>
          <w:u w:val="none"/>
        </w:rPr>
        <w:t>PGPA and Digital Reportin</w:t>
      </w:r>
      <w:r w:rsidR="00B50E22" w:rsidRPr="00DD477A">
        <w:rPr>
          <w:rFonts w:cs="Calibri"/>
        </w:rPr>
        <w:t>g</w:t>
      </w:r>
      <w:r w:rsidRPr="00DD477A">
        <w:rPr>
          <w:rFonts w:cs="Calibri"/>
        </w:rPr>
        <w:t xml:space="preserve"> Branch in Finance </w:t>
      </w:r>
      <w:hyperlink r:id="rId133">
        <w:r w:rsidRPr="00DD477A">
          <w:rPr>
            <w:rStyle w:val="Hyperlink"/>
          </w:rPr>
          <w:t>PGPA@finance.gov.au</w:t>
        </w:r>
      </w:hyperlink>
      <w:r w:rsidRPr="00DD477A">
        <w:rPr>
          <w:rFonts w:cs="Calibri"/>
        </w:rPr>
        <w:t xml:space="preserve"> or on (02) 6215 3130.</w:t>
      </w:r>
    </w:p>
    <w:p w14:paraId="180C04B8" w14:textId="77777777" w:rsidR="00945BF5" w:rsidRPr="00DD477A" w:rsidRDefault="53BF0693" w:rsidP="000A7DEC">
      <w:pPr>
        <w:pStyle w:val="Boxed2Text"/>
        <w:rPr>
          <w:rFonts w:cs="Calibri"/>
        </w:rPr>
      </w:pPr>
      <w:r w:rsidRPr="00DD477A">
        <w:rPr>
          <w:rFonts w:cs="Calibri"/>
        </w:rPr>
        <w:t>For advice on changing outcome statements or programs, please contact your AAU in Finance in the first instance.</w:t>
      </w:r>
    </w:p>
    <w:p w14:paraId="35CF0CBA" w14:textId="0F4A3D41" w:rsidR="00E569F4" w:rsidRPr="00DD477A" w:rsidRDefault="53BF0693" w:rsidP="53BF0693">
      <w:pPr>
        <w:rPr>
          <w:rStyle w:val="BodyTextChar"/>
          <w:rFonts w:cs="Calibri"/>
        </w:rPr>
      </w:pPr>
      <w:r w:rsidRPr="00DD477A">
        <w:rPr>
          <w:rStyle w:val="BodyTextChar"/>
          <w:rFonts w:cs="Calibri"/>
        </w:rPr>
        <w:t xml:space="preserve">The PB Statements </w:t>
      </w:r>
      <w:r w:rsidRPr="00DD477A">
        <w:rPr>
          <w:rStyle w:val="BodyTextChar"/>
          <w:rFonts w:cs="Calibri"/>
          <w:i/>
          <w:iCs/>
        </w:rPr>
        <w:t>Outcomes and planned performance</w:t>
      </w:r>
      <w:r w:rsidRPr="00DD477A">
        <w:rPr>
          <w:rStyle w:val="BodyTextChar"/>
          <w:rFonts w:cs="Calibri"/>
        </w:rPr>
        <w:t xml:space="preserve"> section (Section 2) details </w:t>
      </w:r>
      <w:r w:rsidR="00466425" w:rsidRPr="00DD477A">
        <w:rPr>
          <w:rStyle w:val="BodyTextChar"/>
          <w:rFonts w:cs="Calibri"/>
        </w:rPr>
        <w:t xml:space="preserve">how much an entity </w:t>
      </w:r>
      <w:r w:rsidR="000E2D89" w:rsidRPr="00DD477A">
        <w:rPr>
          <w:rStyle w:val="BodyTextChar"/>
          <w:rFonts w:cs="Calibri"/>
        </w:rPr>
        <w:t>plans</w:t>
      </w:r>
      <w:r w:rsidR="00466425" w:rsidRPr="00DD477A">
        <w:rPr>
          <w:rStyle w:val="BodyTextChar"/>
          <w:rFonts w:cs="Calibri"/>
        </w:rPr>
        <w:t xml:space="preserve"> to spend </w:t>
      </w:r>
      <w:r w:rsidR="00E45548" w:rsidRPr="00DD477A">
        <w:rPr>
          <w:rStyle w:val="BodyTextChar"/>
          <w:rFonts w:cs="Calibri"/>
        </w:rPr>
        <w:t xml:space="preserve">on achieving </w:t>
      </w:r>
      <w:r w:rsidR="001240DF" w:rsidRPr="00DD477A">
        <w:rPr>
          <w:rStyle w:val="BodyTextChar"/>
          <w:rFonts w:cs="Calibri"/>
        </w:rPr>
        <w:t>planned outcomes</w:t>
      </w:r>
      <w:r w:rsidR="00B073E6" w:rsidRPr="00DD477A">
        <w:rPr>
          <w:rStyle w:val="BodyTextChar"/>
          <w:rFonts w:cs="Calibri"/>
        </w:rPr>
        <w:t>, broken down by program within each outcome</w:t>
      </w:r>
      <w:r w:rsidR="006D44F1" w:rsidRPr="00DD477A">
        <w:rPr>
          <w:rStyle w:val="BodyTextChar"/>
          <w:rFonts w:cs="Calibri"/>
        </w:rPr>
        <w:t>,</w:t>
      </w:r>
      <w:r w:rsidR="00B073E6" w:rsidRPr="00DD477A">
        <w:rPr>
          <w:rStyle w:val="BodyTextChar"/>
          <w:rFonts w:cs="Calibri"/>
        </w:rPr>
        <w:t xml:space="preserve"> </w:t>
      </w:r>
      <w:r w:rsidR="00CA0593" w:rsidRPr="00DD477A">
        <w:rPr>
          <w:rStyle w:val="BodyTextChar"/>
          <w:rFonts w:cs="Calibri"/>
        </w:rPr>
        <w:t xml:space="preserve">and </w:t>
      </w:r>
      <w:r w:rsidR="0092724C" w:rsidRPr="00DD477A">
        <w:rPr>
          <w:rStyle w:val="BodyTextChar"/>
          <w:rFonts w:cs="Calibri"/>
        </w:rPr>
        <w:t>the associated performance measures</w:t>
      </w:r>
      <w:r w:rsidR="006D44F1" w:rsidRPr="00DD477A">
        <w:rPr>
          <w:rStyle w:val="BodyTextChar"/>
          <w:rFonts w:cs="Calibri"/>
        </w:rPr>
        <w:t xml:space="preserve"> of those </w:t>
      </w:r>
      <w:r w:rsidR="00244BA7" w:rsidRPr="00DD477A">
        <w:rPr>
          <w:rStyle w:val="BodyTextChar"/>
          <w:rFonts w:cs="Calibri"/>
        </w:rPr>
        <w:t>programs.</w:t>
      </w:r>
      <w:r w:rsidR="00A84EAE" w:rsidRPr="00DD477A">
        <w:rPr>
          <w:rStyle w:val="BodyTextChar"/>
          <w:rFonts w:cs="Calibri"/>
        </w:rPr>
        <w:t xml:space="preserve"> </w:t>
      </w:r>
      <w:r w:rsidR="00D43990" w:rsidRPr="00DD477A">
        <w:rPr>
          <w:rStyle w:val="BodyTextChar"/>
          <w:rFonts w:cs="Calibri"/>
        </w:rPr>
        <w:t xml:space="preserve">It </w:t>
      </w:r>
      <w:r w:rsidR="000E2D89" w:rsidRPr="00DD477A">
        <w:rPr>
          <w:rStyle w:val="BodyTextChar"/>
          <w:rFonts w:cs="Calibri"/>
        </w:rPr>
        <w:t>outlines</w:t>
      </w:r>
      <w:r w:rsidR="000276A4" w:rsidRPr="00DD477A">
        <w:rPr>
          <w:rStyle w:val="BodyTextChar"/>
          <w:rFonts w:cs="Calibri"/>
        </w:rPr>
        <w:t xml:space="preserve"> </w:t>
      </w:r>
      <w:r w:rsidR="00EF42A4" w:rsidRPr="00DD477A">
        <w:rPr>
          <w:rStyle w:val="BodyTextChar"/>
          <w:rFonts w:cs="Calibri"/>
        </w:rPr>
        <w:t xml:space="preserve">entities </w:t>
      </w:r>
      <w:r w:rsidR="000E2D89" w:rsidRPr="00DD477A">
        <w:rPr>
          <w:rStyle w:val="BodyTextChar"/>
          <w:rFonts w:cs="Calibri"/>
        </w:rPr>
        <w:t>intend</w:t>
      </w:r>
      <w:r w:rsidR="00D84F26" w:rsidRPr="00DD477A">
        <w:rPr>
          <w:rStyle w:val="BodyTextChar"/>
          <w:rFonts w:cs="Calibri"/>
        </w:rPr>
        <w:t>ed</w:t>
      </w:r>
      <w:r w:rsidR="00EF42A4" w:rsidRPr="00DD477A">
        <w:rPr>
          <w:rStyle w:val="BodyTextChar"/>
          <w:rFonts w:cs="Calibri"/>
        </w:rPr>
        <w:t xml:space="preserve"> performance in a logical and consistent manner</w:t>
      </w:r>
      <w:r w:rsidR="000E2D89" w:rsidRPr="00DD477A">
        <w:rPr>
          <w:rStyle w:val="BodyTextChar"/>
          <w:rFonts w:cs="Calibri"/>
        </w:rPr>
        <w:t>,</w:t>
      </w:r>
      <w:r w:rsidR="0004519C" w:rsidRPr="00DD477A">
        <w:rPr>
          <w:rStyle w:val="BodyTextChar"/>
          <w:rFonts w:cs="Calibri"/>
        </w:rPr>
        <w:t xml:space="preserve"> detailing</w:t>
      </w:r>
      <w:r w:rsidR="00EF42A4" w:rsidRPr="00DD477A">
        <w:rPr>
          <w:rStyle w:val="BodyTextChar"/>
          <w:rFonts w:cs="Calibri"/>
        </w:rPr>
        <w:t xml:space="preserve"> the resourcing provided and expected progress towards achieving government policy objectives</w:t>
      </w:r>
      <w:r w:rsidR="00187438" w:rsidRPr="00DD477A">
        <w:rPr>
          <w:rStyle w:val="BodyTextChar"/>
          <w:rFonts w:cs="Calibri"/>
        </w:rPr>
        <w:t>.</w:t>
      </w:r>
    </w:p>
    <w:p w14:paraId="754A1596" w14:textId="7019DB55" w:rsidR="00FA0945" w:rsidRPr="00DD477A" w:rsidRDefault="6B6EE5C4" w:rsidP="6B6EE5C4">
      <w:pPr>
        <w:rPr>
          <w:rStyle w:val="BodyTextChar"/>
          <w:rFonts w:cs="Calibri"/>
        </w:rPr>
      </w:pPr>
      <w:r w:rsidRPr="00DD477A">
        <w:rPr>
          <w:rStyle w:val="BodyTextChar"/>
          <w:rFonts w:cs="Calibri"/>
        </w:rPr>
        <w:t xml:space="preserve">Performance </w:t>
      </w:r>
      <w:r w:rsidR="00171243" w:rsidRPr="00DD477A">
        <w:rPr>
          <w:rStyle w:val="BodyTextChar"/>
          <w:rFonts w:cs="Calibri"/>
        </w:rPr>
        <w:t>measure</w:t>
      </w:r>
      <w:r w:rsidRPr="00DD477A">
        <w:rPr>
          <w:rStyle w:val="BodyTextChar"/>
          <w:rFonts w:cs="Calibri"/>
        </w:rPr>
        <w:t xml:space="preserve"> </w:t>
      </w:r>
      <w:r w:rsidR="00B76446" w:rsidRPr="00DD477A">
        <w:rPr>
          <w:rStyle w:val="BodyTextChar"/>
          <w:rFonts w:cs="Calibri"/>
        </w:rPr>
        <w:t xml:space="preserve">information in this </w:t>
      </w:r>
      <w:r w:rsidR="004710CC" w:rsidRPr="00DD477A">
        <w:rPr>
          <w:rStyle w:val="BodyTextChar"/>
          <w:rFonts w:cs="Calibri"/>
        </w:rPr>
        <w:t>section facilitates</w:t>
      </w:r>
      <w:r w:rsidRPr="00DD477A">
        <w:rPr>
          <w:rStyle w:val="BodyTextChar"/>
          <w:rFonts w:cs="Calibri"/>
        </w:rPr>
        <w:t xml:space="preserve"> meet</w:t>
      </w:r>
      <w:r w:rsidR="004710CC" w:rsidRPr="00DD477A">
        <w:rPr>
          <w:rStyle w:val="BodyTextChar"/>
          <w:rFonts w:cs="Calibri"/>
        </w:rPr>
        <w:t>ing</w:t>
      </w:r>
      <w:r w:rsidRPr="00DD477A">
        <w:rPr>
          <w:rStyle w:val="BodyTextChar"/>
          <w:rFonts w:cs="Calibri"/>
        </w:rPr>
        <w:t xml:space="preserve"> the requirements of the Commonwealth performance framework</w:t>
      </w:r>
      <w:r w:rsidR="006872F8" w:rsidRPr="00DD477A">
        <w:rPr>
          <w:rStyle w:val="BodyTextChar"/>
          <w:rFonts w:cs="Calibri"/>
        </w:rPr>
        <w:t>, with the framework</w:t>
      </w:r>
      <w:r w:rsidRPr="00DD477A">
        <w:rPr>
          <w:rStyle w:val="BodyTextChar"/>
          <w:rFonts w:cs="Calibri"/>
        </w:rPr>
        <w:t xml:space="preserve"> </w:t>
      </w:r>
      <w:r w:rsidR="009D7857" w:rsidRPr="00DD477A">
        <w:rPr>
          <w:rStyle w:val="BodyTextChar"/>
          <w:rFonts w:cs="Calibri"/>
        </w:rPr>
        <w:t>requiring p</w:t>
      </w:r>
      <w:r w:rsidRPr="00DD477A">
        <w:rPr>
          <w:rStyle w:val="BodyTextChar"/>
          <w:rFonts w:cs="Calibri"/>
        </w:rPr>
        <w:t xml:space="preserve">erformance information </w:t>
      </w:r>
      <w:r w:rsidR="00471B2A" w:rsidRPr="00DD477A">
        <w:rPr>
          <w:rStyle w:val="BodyTextChar"/>
          <w:rFonts w:cs="Calibri"/>
        </w:rPr>
        <w:t>to</w:t>
      </w:r>
      <w:r w:rsidRPr="00DD477A">
        <w:rPr>
          <w:rStyle w:val="BodyTextChar"/>
          <w:rFonts w:cs="Calibri"/>
        </w:rPr>
        <w:t xml:space="preserve"> be presented clearly and consistently across reporting documents</w:t>
      </w:r>
      <w:r w:rsidR="004F2E37" w:rsidRPr="00DD477A">
        <w:rPr>
          <w:rStyle w:val="BodyTextChar"/>
          <w:rFonts w:cs="Calibri"/>
        </w:rPr>
        <w:t xml:space="preserve">, </w:t>
      </w:r>
      <w:r w:rsidR="009C3CA7" w:rsidRPr="00DD477A">
        <w:rPr>
          <w:rStyle w:val="BodyTextChar"/>
          <w:rFonts w:cs="Calibri"/>
        </w:rPr>
        <w:t>through the</w:t>
      </w:r>
      <w:r w:rsidR="000D0413" w:rsidRPr="00DD477A">
        <w:rPr>
          <w:rStyle w:val="BodyTextChar"/>
          <w:rFonts w:cs="Calibri"/>
        </w:rPr>
        <w:t xml:space="preserve"> </w:t>
      </w:r>
      <w:r w:rsidRPr="00DD477A">
        <w:rPr>
          <w:rStyle w:val="BodyTextChar"/>
          <w:rFonts w:cs="Calibri"/>
        </w:rPr>
        <w:t>PB Statements, corporate plans and annual performance statements</w:t>
      </w:r>
      <w:r w:rsidR="009C3CA7" w:rsidRPr="00DD477A">
        <w:rPr>
          <w:rStyle w:val="BodyTextChar"/>
          <w:rFonts w:cs="Calibri"/>
        </w:rPr>
        <w:t>,</w:t>
      </w:r>
      <w:r w:rsidRPr="00DD477A">
        <w:rPr>
          <w:rStyle w:val="BodyTextChar"/>
          <w:rFonts w:cs="Calibri"/>
        </w:rPr>
        <w:t xml:space="preserve"> and cycles.</w:t>
      </w:r>
    </w:p>
    <w:p w14:paraId="362B188C" w14:textId="5B625E7C" w:rsidR="00FA0945" w:rsidRPr="00DD477A" w:rsidRDefault="53BF0693" w:rsidP="53BF0693">
      <w:pPr>
        <w:rPr>
          <w:rStyle w:val="BodyTextChar"/>
          <w:rFonts w:cs="Calibri"/>
        </w:rPr>
      </w:pPr>
      <w:r w:rsidRPr="00DD477A">
        <w:rPr>
          <w:rStyle w:val="BodyTextChar"/>
          <w:rFonts w:cs="Calibri"/>
        </w:rPr>
        <w:t xml:space="preserve">Further explanation of the relationship between reporting documents is provided in </w:t>
      </w:r>
      <w:r w:rsidR="00A40CE5" w:rsidRPr="00DD477A">
        <w:rPr>
          <w:rStyle w:val="BodyTextChar"/>
          <w:rFonts w:cs="Calibri"/>
        </w:rPr>
        <w:t>the</w:t>
      </w:r>
      <w:r w:rsidRPr="00DD477A">
        <w:rPr>
          <w:rStyle w:val="BodyTextChar"/>
          <w:rFonts w:cs="Calibri"/>
        </w:rPr>
        <w:t xml:space="preserve"> ‘Commonwealth Performance Framework – key components of relevant publications’</w:t>
      </w:r>
      <w:r w:rsidR="00CB3E3D" w:rsidRPr="00DD477A">
        <w:rPr>
          <w:rStyle w:val="BodyTextChar"/>
          <w:rFonts w:cs="Calibri"/>
        </w:rPr>
        <w:t xml:space="preserve"> diagram</w:t>
      </w:r>
      <w:r w:rsidRPr="00DD477A">
        <w:rPr>
          <w:rStyle w:val="BodyTextChar"/>
          <w:rFonts w:cs="Calibri"/>
        </w:rPr>
        <w:t>, situated in the User Guide section of the PB Statements Word template</w:t>
      </w:r>
      <w:r w:rsidR="00ED6CA3" w:rsidRPr="00DD477A">
        <w:rPr>
          <w:rStyle w:val="BodyTextChar"/>
          <w:rFonts w:cs="Calibri"/>
        </w:rPr>
        <w:t xml:space="preserve"> (Attachment C)</w:t>
      </w:r>
      <w:r w:rsidRPr="00DD477A">
        <w:rPr>
          <w:rStyle w:val="BodyTextChar"/>
          <w:rFonts w:cs="Calibri"/>
        </w:rPr>
        <w:t>.</w:t>
      </w:r>
    </w:p>
    <w:p w14:paraId="57265A37" w14:textId="67CFB0E8" w:rsidR="004950C9" w:rsidRPr="00DD477A" w:rsidRDefault="00F667A0" w:rsidP="00E548A0">
      <w:pPr>
        <w:pStyle w:val="Heading1"/>
      </w:pPr>
      <w:bookmarkStart w:id="873" w:name="_Toc160715571"/>
      <w:r w:rsidRPr="00DD477A">
        <w:t xml:space="preserve">Minimum Program </w:t>
      </w:r>
      <w:r w:rsidR="007241EB" w:rsidRPr="00DD477A">
        <w:t>Performance Reporting</w:t>
      </w:r>
      <w:bookmarkEnd w:id="873"/>
    </w:p>
    <w:p w14:paraId="3D633618" w14:textId="34D9A793" w:rsidR="00E47F62" w:rsidRPr="00DD477A" w:rsidRDefault="53BF0693" w:rsidP="53BF0693">
      <w:pPr>
        <w:rPr>
          <w:rStyle w:val="BodyTextChar"/>
          <w:rFonts w:cs="Calibri"/>
          <w:color w:val="1C1C1C" w:themeColor="text2"/>
          <w:sz w:val="34"/>
          <w:szCs w:val="34"/>
        </w:rPr>
      </w:pPr>
      <w:r w:rsidRPr="00DD477A">
        <w:rPr>
          <w:rStyle w:val="BodyTextChar"/>
          <w:rFonts w:cs="Calibri"/>
        </w:rPr>
        <w:t xml:space="preserve">The </w:t>
      </w:r>
      <w:r w:rsidR="00A14419" w:rsidRPr="00DD477A">
        <w:rPr>
          <w:rStyle w:val="BodyTextChar"/>
          <w:rFonts w:cs="Calibri"/>
        </w:rPr>
        <w:t xml:space="preserve">minimum mandatory </w:t>
      </w:r>
      <w:r w:rsidRPr="00DD477A">
        <w:rPr>
          <w:rStyle w:val="BodyTextChar"/>
          <w:rFonts w:cs="Calibri"/>
        </w:rPr>
        <w:t>requirements for reporting program performance in PB Statements are set out in a</w:t>
      </w:r>
      <w:hyperlink r:id="rId134" w:history="1">
        <w:r w:rsidRPr="00DD477A">
          <w:t xml:space="preserve"> </w:t>
        </w:r>
        <w:r w:rsidR="00DA73DA" w:rsidRPr="00DD477A">
          <w:rPr>
            <w:rStyle w:val="Hyperlink"/>
          </w:rPr>
          <w:t>Direction issued by the Finance Secretary under subsection 36(3) of the PGPA Act</w:t>
        </w:r>
      </w:hyperlink>
      <w:r w:rsidR="0059137E" w:rsidRPr="00DD477A">
        <w:t xml:space="preserve"> (</w:t>
      </w:r>
      <w:r w:rsidR="00965309" w:rsidRPr="00DD477A">
        <w:t>the Direction</w:t>
      </w:r>
      <w:r w:rsidR="0059137E" w:rsidRPr="00DD477A">
        <w:t>)</w:t>
      </w:r>
      <w:r w:rsidRPr="00DD477A">
        <w:rPr>
          <w:rStyle w:val="BodyTextChar"/>
          <w:rFonts w:cs="Calibri"/>
        </w:rPr>
        <w:t xml:space="preserve">. </w:t>
      </w:r>
      <w:r w:rsidR="00D64CEA" w:rsidRPr="00DD477A">
        <w:rPr>
          <w:rStyle w:val="BodyTextChar"/>
          <w:rFonts w:cs="Calibri"/>
        </w:rPr>
        <w:t>T</w:t>
      </w:r>
      <w:r w:rsidR="00E7449F" w:rsidRPr="00DD477A">
        <w:rPr>
          <w:rStyle w:val="BodyTextChar"/>
          <w:rFonts w:cs="Calibri"/>
        </w:rPr>
        <w:t>he PGPA Act requires accountable authorities of entities to comply with the Finance Secretary’s Direction.</w:t>
      </w:r>
    </w:p>
    <w:p w14:paraId="221F1774" w14:textId="1CFE8952" w:rsidR="00C25CF4" w:rsidRPr="00DD477A" w:rsidRDefault="0059137E">
      <w:pPr>
        <w:pStyle w:val="BodyText"/>
        <w:rPr>
          <w:rFonts w:cs="Calibri"/>
        </w:rPr>
      </w:pPr>
      <w:r w:rsidRPr="00DD477A">
        <w:rPr>
          <w:rStyle w:val="BodyTextChar"/>
          <w:rFonts w:cs="Calibri"/>
        </w:rPr>
        <w:t>Under the Direction, t</w:t>
      </w:r>
      <w:r w:rsidR="53BF0693" w:rsidRPr="00DD477A">
        <w:rPr>
          <w:rStyle w:val="BodyTextChar"/>
          <w:rFonts w:cs="Calibri"/>
        </w:rPr>
        <w:t xml:space="preserve">he </w:t>
      </w:r>
      <w:r w:rsidR="004120AD" w:rsidRPr="00DD477A">
        <w:rPr>
          <w:rStyle w:val="BodyTextChar"/>
          <w:rFonts w:cs="Calibri"/>
        </w:rPr>
        <w:t xml:space="preserve">minimum </w:t>
      </w:r>
      <w:r w:rsidR="53BF0693" w:rsidRPr="00DD477A">
        <w:rPr>
          <w:rFonts w:cs="Calibri"/>
        </w:rPr>
        <w:t>mandatory disclosure requirements are</w:t>
      </w:r>
      <w:r w:rsidR="00851EFB" w:rsidRPr="00DD477A">
        <w:rPr>
          <w:rFonts w:cs="Calibri"/>
        </w:rPr>
        <w:t xml:space="preserve"> that</w:t>
      </w:r>
      <w:r w:rsidR="53BF0693" w:rsidRPr="00DD477A">
        <w:rPr>
          <w:rFonts w:cs="Calibri"/>
        </w:rPr>
        <w:t>:</w:t>
      </w:r>
    </w:p>
    <w:p w14:paraId="1DD383BA" w14:textId="144C349E" w:rsidR="00374DC8" w:rsidRPr="00DD477A" w:rsidRDefault="009772EE" w:rsidP="00AA1E87">
      <w:pPr>
        <w:pStyle w:val="Numbered"/>
        <w:numPr>
          <w:ilvl w:val="0"/>
          <w:numId w:val="47"/>
        </w:numPr>
      </w:pPr>
      <w:r w:rsidRPr="00DD477A">
        <w:t>A</w:t>
      </w:r>
      <w:r w:rsidR="00A6141B" w:rsidRPr="00DD477A">
        <w:t xml:space="preserve">ll </w:t>
      </w:r>
      <w:r w:rsidR="00DA73DA" w:rsidRPr="00DD477A">
        <w:t xml:space="preserve">outcomes, programs and performance measures must be mapped to the entity’s key activities as </w:t>
      </w:r>
      <w:r w:rsidR="00D12F8D" w:rsidRPr="00DD477A">
        <w:t>reported</w:t>
      </w:r>
      <w:r w:rsidR="00DA73DA" w:rsidRPr="00DD477A">
        <w:t xml:space="preserve"> in the current corporate plan</w:t>
      </w:r>
      <w:r w:rsidR="003D623C" w:rsidRPr="00DD477A">
        <w:t>.</w:t>
      </w:r>
    </w:p>
    <w:p w14:paraId="56712E17" w14:textId="2D5C6662" w:rsidR="00374DC8" w:rsidRPr="00DD477A" w:rsidRDefault="003D623C" w:rsidP="00157BAB">
      <w:pPr>
        <w:pStyle w:val="Numbered"/>
      </w:pPr>
      <w:r w:rsidRPr="00DD477A">
        <w:rPr>
          <w:u w:val="single"/>
        </w:rPr>
        <w:t>For e</w:t>
      </w:r>
      <w:r w:rsidR="00DA73DA" w:rsidRPr="00DD477A">
        <w:rPr>
          <w:u w:val="single"/>
        </w:rPr>
        <w:t>xisting programs</w:t>
      </w:r>
      <w:r w:rsidR="00FC7C4E" w:rsidRPr="00DD477A">
        <w:t>,</w:t>
      </w:r>
      <w:r w:rsidR="00DA73DA" w:rsidRPr="00DD477A">
        <w:t xml:space="preserve"> for the Budget year and three forward estimate years, </w:t>
      </w:r>
      <w:r w:rsidR="00DA73DA" w:rsidRPr="00DD477A">
        <w:rPr>
          <w:u w:val="single"/>
        </w:rPr>
        <w:t>report at least one</w:t>
      </w:r>
      <w:r w:rsidR="00DA73DA" w:rsidRPr="00DD477A">
        <w:t xml:space="preserve"> high</w:t>
      </w:r>
      <w:r w:rsidR="191D572E" w:rsidRPr="00DD477A">
        <w:t>-</w:t>
      </w:r>
      <w:r w:rsidR="00DA73DA" w:rsidRPr="00DD477A">
        <w:t>level performance measure</w:t>
      </w:r>
      <w:r w:rsidR="00E35EC5" w:rsidRPr="00DD477A">
        <w:t>,</w:t>
      </w:r>
      <w:r w:rsidR="00DA73DA" w:rsidRPr="00DD477A">
        <w:t xml:space="preserve"> and</w:t>
      </w:r>
      <w:r w:rsidR="00382459" w:rsidRPr="00DD477A">
        <w:t xml:space="preserve"> the associated</w:t>
      </w:r>
      <w:r w:rsidR="001B02FE" w:rsidRPr="00DD477A">
        <w:t xml:space="preserve"> </w:t>
      </w:r>
      <w:r w:rsidR="00DA73DA" w:rsidRPr="00DD477A">
        <w:t>planned performance result, including targets where it is reasonably practicable to set a target</w:t>
      </w:r>
      <w:r w:rsidR="00382459" w:rsidRPr="00DD477A">
        <w:t>.</w:t>
      </w:r>
      <w:r w:rsidR="007B31E8" w:rsidRPr="00DD477A">
        <w:t xml:space="preserve"> </w:t>
      </w:r>
      <w:r w:rsidR="0091515A" w:rsidRPr="00DD477A">
        <w:t>Where applicable, report the estimated date of achievement of the program objectives</w:t>
      </w:r>
      <w:r w:rsidR="00562BE7" w:rsidRPr="00DD477A">
        <w:rPr>
          <w:rStyle w:val="CrossReferenceChar"/>
          <w:rFonts w:cstheme="minorHAnsi"/>
          <w:color w:val="auto"/>
          <w:szCs w:val="28"/>
          <w:u w:val="none"/>
        </w:rPr>
        <w:fldChar w:fldCharType="begin"/>
      </w:r>
      <w:r w:rsidR="00562BE7" w:rsidRPr="00DD477A">
        <w:rPr>
          <w:rStyle w:val="CrossReferenceChar"/>
          <w:rFonts w:cstheme="minorHAnsi"/>
          <w:color w:val="auto"/>
          <w:szCs w:val="28"/>
          <w:u w:val="none"/>
        </w:rPr>
        <w:instrText xml:space="preserve"> REF _Ref62052762 \h </w:instrText>
      </w:r>
      <w:r w:rsidR="00B31ED0" w:rsidRPr="00DD477A">
        <w:rPr>
          <w:rStyle w:val="CrossReferenceChar"/>
          <w:rFonts w:cstheme="minorHAnsi"/>
          <w:color w:val="auto"/>
          <w:szCs w:val="28"/>
          <w:u w:val="none"/>
        </w:rPr>
        <w:instrText xml:space="preserve"> \* MERGEFORMAT </w:instrText>
      </w:r>
      <w:r w:rsidR="00562BE7" w:rsidRPr="00DD477A">
        <w:rPr>
          <w:rStyle w:val="CrossReferenceChar"/>
          <w:rFonts w:cstheme="minorHAnsi"/>
          <w:color w:val="auto"/>
          <w:szCs w:val="28"/>
          <w:u w:val="none"/>
        </w:rPr>
      </w:r>
      <w:r w:rsidR="00000000">
        <w:rPr>
          <w:rStyle w:val="CrossReferenceChar"/>
          <w:rFonts w:cstheme="minorHAnsi"/>
          <w:color w:val="auto"/>
          <w:szCs w:val="28"/>
          <w:u w:val="none"/>
        </w:rPr>
        <w:fldChar w:fldCharType="separate"/>
      </w:r>
      <w:r w:rsidR="00562BE7" w:rsidRPr="00DD477A">
        <w:rPr>
          <w:rStyle w:val="CrossReferenceChar"/>
          <w:rFonts w:cstheme="minorHAnsi"/>
          <w:color w:val="auto"/>
          <w:szCs w:val="28"/>
          <w:u w:val="none"/>
        </w:rPr>
        <w:fldChar w:fldCharType="end"/>
      </w:r>
      <w:r w:rsidR="009772EE" w:rsidRPr="00DD477A">
        <w:t>.</w:t>
      </w:r>
    </w:p>
    <w:p w14:paraId="59D7C822" w14:textId="07AD1F24" w:rsidR="00965309" w:rsidRPr="00DD477A" w:rsidRDefault="007553E4" w:rsidP="00157BAB">
      <w:pPr>
        <w:pStyle w:val="Numbered"/>
      </w:pPr>
      <w:r w:rsidRPr="00DD477A">
        <w:rPr>
          <w:u w:val="single"/>
        </w:rPr>
        <w:t>For n</w:t>
      </w:r>
      <w:r w:rsidR="0091515A" w:rsidRPr="00DD477A">
        <w:rPr>
          <w:u w:val="single"/>
        </w:rPr>
        <w:t>ew or materially changed programs</w:t>
      </w:r>
      <w:r w:rsidR="0006590F" w:rsidRPr="00DD477A">
        <w:t>,</w:t>
      </w:r>
      <w:r w:rsidR="0091515A" w:rsidRPr="00DD477A">
        <w:t xml:space="preserve"> for the budget year and the three forward estimate years, </w:t>
      </w:r>
      <w:r w:rsidR="0091515A" w:rsidRPr="00DD477A">
        <w:rPr>
          <w:u w:val="single"/>
        </w:rPr>
        <w:t>report all performance measures and planned performance results</w:t>
      </w:r>
      <w:r w:rsidR="0091515A" w:rsidRPr="00DD477A">
        <w:t>, including targets where it is reasonably practicable to set a target. Where applicable, report the estimated date of achievement of the program objectives</w:t>
      </w:r>
      <w:r w:rsidR="00A6141B" w:rsidRPr="00DD477A">
        <w:t xml:space="preserve"> </w:t>
      </w:r>
      <w:r w:rsidR="00037182" w:rsidRPr="00DD477A">
        <w:t>(s</w:t>
      </w:r>
      <w:r w:rsidR="009A1479" w:rsidRPr="00DD477A">
        <w:t xml:space="preserve">ee </w:t>
      </w:r>
      <w:r w:rsidR="00647827" w:rsidRPr="00DD477A">
        <w:rPr>
          <w:rStyle w:val="CrossReferenceChar"/>
          <w:rFonts w:cstheme="minorHAnsi"/>
          <w:color w:val="auto"/>
          <w:szCs w:val="28"/>
          <w:u w:val="none"/>
        </w:rPr>
        <w:fldChar w:fldCharType="begin"/>
      </w:r>
      <w:r w:rsidR="00647827" w:rsidRPr="00DD477A">
        <w:rPr>
          <w:rStyle w:val="CrossReferenceChar"/>
          <w:rFonts w:cstheme="minorHAnsi"/>
          <w:color w:val="auto"/>
          <w:szCs w:val="28"/>
          <w:u w:val="none"/>
        </w:rPr>
        <w:instrText xml:space="preserve"> REF _Ref94874397 \h  \* MERGEFORMAT </w:instrText>
      </w:r>
      <w:r w:rsidR="00647827" w:rsidRPr="00DD477A">
        <w:rPr>
          <w:rStyle w:val="CrossReferenceChar"/>
          <w:rFonts w:cstheme="minorHAnsi"/>
          <w:color w:val="auto"/>
          <w:szCs w:val="28"/>
          <w:u w:val="none"/>
        </w:rPr>
      </w:r>
      <w:r w:rsidR="00000000">
        <w:rPr>
          <w:rStyle w:val="CrossReferenceChar"/>
          <w:rFonts w:cstheme="minorHAnsi"/>
          <w:color w:val="auto"/>
          <w:szCs w:val="28"/>
          <w:u w:val="none"/>
        </w:rPr>
        <w:fldChar w:fldCharType="separate"/>
      </w:r>
      <w:r w:rsidR="00647827" w:rsidRPr="00DD477A">
        <w:rPr>
          <w:rStyle w:val="CrossReferenceChar"/>
          <w:rFonts w:cstheme="minorHAnsi"/>
          <w:color w:val="auto"/>
          <w:szCs w:val="28"/>
          <w:u w:val="none"/>
        </w:rPr>
        <w:fldChar w:fldCharType="end"/>
      </w:r>
      <w:r w:rsidR="00647827" w:rsidRPr="00DD477A">
        <w:t>).</w:t>
      </w:r>
    </w:p>
    <w:p w14:paraId="1E87C265" w14:textId="4CA373F1" w:rsidR="00926879" w:rsidRPr="00DD477A" w:rsidRDefault="0091515A" w:rsidP="00157BAB">
      <w:pPr>
        <w:pStyle w:val="Numbered"/>
      </w:pPr>
      <w:r w:rsidRPr="00DD477A">
        <w:t xml:space="preserve">Expected performance results for the current </w:t>
      </w:r>
      <w:r w:rsidR="00D51BFD" w:rsidRPr="00DD477A">
        <w:t xml:space="preserve">financial </w:t>
      </w:r>
      <w:r w:rsidRPr="00DD477A">
        <w:t xml:space="preserve">year </w:t>
      </w:r>
      <w:r w:rsidR="00356972" w:rsidRPr="00DD477A">
        <w:t>are</w:t>
      </w:r>
      <w:r w:rsidRPr="00DD477A">
        <w:t xml:space="preserve"> report</w:t>
      </w:r>
      <w:r w:rsidR="00F74160" w:rsidRPr="00DD477A">
        <w:t>ed</w:t>
      </w:r>
      <w:r w:rsidR="00562BE7" w:rsidRPr="00DD477A">
        <w:rPr>
          <w:rStyle w:val="CrossReferenceChar"/>
          <w:rFonts w:cstheme="minorHAnsi"/>
          <w:color w:val="auto"/>
          <w:szCs w:val="28"/>
          <w:u w:val="none"/>
        </w:rPr>
        <w:fldChar w:fldCharType="begin"/>
      </w:r>
      <w:r w:rsidR="00562BE7" w:rsidRPr="00DD477A">
        <w:rPr>
          <w:rStyle w:val="CrossReferenceChar"/>
          <w:rFonts w:cstheme="minorHAnsi"/>
          <w:color w:val="auto"/>
          <w:szCs w:val="28"/>
          <w:u w:val="none"/>
        </w:rPr>
        <w:instrText xml:space="preserve"> REF _Ref62052788 \h </w:instrText>
      </w:r>
      <w:r w:rsidR="00557F46" w:rsidRPr="00DD477A">
        <w:rPr>
          <w:rStyle w:val="CrossReferenceChar"/>
          <w:rFonts w:cstheme="minorHAnsi"/>
          <w:color w:val="auto"/>
          <w:szCs w:val="28"/>
          <w:u w:val="none"/>
        </w:rPr>
        <w:instrText xml:space="preserve"> \* MERGEFORMAT </w:instrText>
      </w:r>
      <w:r w:rsidR="00562BE7" w:rsidRPr="00DD477A">
        <w:rPr>
          <w:rStyle w:val="CrossReferenceChar"/>
          <w:rFonts w:cstheme="minorHAnsi"/>
          <w:color w:val="auto"/>
          <w:szCs w:val="28"/>
          <w:u w:val="none"/>
        </w:rPr>
      </w:r>
      <w:r w:rsidR="00000000">
        <w:rPr>
          <w:rStyle w:val="CrossReferenceChar"/>
          <w:rFonts w:cstheme="minorHAnsi"/>
          <w:color w:val="auto"/>
          <w:szCs w:val="28"/>
          <w:u w:val="none"/>
        </w:rPr>
        <w:fldChar w:fldCharType="separate"/>
      </w:r>
      <w:r w:rsidR="00562BE7" w:rsidRPr="00DD477A">
        <w:rPr>
          <w:rStyle w:val="CrossReferenceChar"/>
          <w:rFonts w:cstheme="minorHAnsi"/>
          <w:color w:val="auto"/>
          <w:szCs w:val="28"/>
          <w:u w:val="none"/>
        </w:rPr>
        <w:fldChar w:fldCharType="end"/>
      </w:r>
      <w:r w:rsidR="009772EE" w:rsidRPr="00DD477A">
        <w:t>.</w:t>
      </w:r>
    </w:p>
    <w:p w14:paraId="24D46455" w14:textId="521C55D1" w:rsidR="008E65EE" w:rsidRPr="00DD477A" w:rsidRDefault="0091515A" w:rsidP="00157BAB">
      <w:pPr>
        <w:pStyle w:val="Numbered"/>
      </w:pPr>
      <w:r w:rsidRPr="00DD477A">
        <w:t xml:space="preserve">Linked programs </w:t>
      </w:r>
      <w:r w:rsidR="009B4602" w:rsidRPr="00DD477A">
        <w:t>–</w:t>
      </w:r>
      <w:r w:rsidRPr="00DD477A">
        <w:t xml:space="preserve"> for</w:t>
      </w:r>
      <w:r w:rsidR="009B4602" w:rsidRPr="00DD477A">
        <w:t xml:space="preserve"> </w:t>
      </w:r>
      <w:r w:rsidRPr="00DD477A">
        <w:t>each outcome, report the programs of other entities that link to that outcome</w:t>
      </w:r>
      <w:r w:rsidR="00562BE7" w:rsidRPr="00DD477A">
        <w:rPr>
          <w:rStyle w:val="CrossReferenceChar"/>
          <w:rFonts w:cstheme="minorHAnsi"/>
          <w:color w:val="auto"/>
          <w:szCs w:val="28"/>
          <w:u w:val="none"/>
        </w:rPr>
        <w:fldChar w:fldCharType="begin"/>
      </w:r>
      <w:r w:rsidR="00562BE7" w:rsidRPr="00DD477A">
        <w:rPr>
          <w:rStyle w:val="CrossReferenceChar"/>
          <w:rFonts w:cstheme="minorHAnsi"/>
          <w:color w:val="auto"/>
          <w:szCs w:val="28"/>
          <w:u w:val="none"/>
        </w:rPr>
        <w:instrText xml:space="preserve"> REF _Ref62052824 \h </w:instrText>
      </w:r>
      <w:r w:rsidR="00557F46" w:rsidRPr="00DD477A">
        <w:rPr>
          <w:rStyle w:val="CrossReferenceChar"/>
          <w:rFonts w:cstheme="minorHAnsi"/>
          <w:color w:val="auto"/>
          <w:szCs w:val="28"/>
          <w:u w:val="none"/>
        </w:rPr>
        <w:instrText xml:space="preserve"> \* MERGEFORMAT </w:instrText>
      </w:r>
      <w:r w:rsidR="00562BE7" w:rsidRPr="00DD477A">
        <w:rPr>
          <w:rStyle w:val="CrossReferenceChar"/>
          <w:rFonts w:cstheme="minorHAnsi"/>
          <w:color w:val="auto"/>
          <w:szCs w:val="28"/>
          <w:u w:val="none"/>
        </w:rPr>
      </w:r>
      <w:r w:rsidR="00000000">
        <w:rPr>
          <w:rStyle w:val="CrossReferenceChar"/>
          <w:rFonts w:cstheme="minorHAnsi"/>
          <w:color w:val="auto"/>
          <w:szCs w:val="28"/>
          <w:u w:val="none"/>
        </w:rPr>
        <w:fldChar w:fldCharType="separate"/>
      </w:r>
      <w:r w:rsidR="00562BE7" w:rsidRPr="00DD477A">
        <w:rPr>
          <w:rStyle w:val="CrossReferenceChar"/>
          <w:rFonts w:cstheme="minorHAnsi"/>
          <w:color w:val="auto"/>
          <w:szCs w:val="28"/>
          <w:u w:val="none"/>
        </w:rPr>
        <w:fldChar w:fldCharType="end"/>
      </w:r>
      <w:r w:rsidR="00814F2A" w:rsidRPr="00DD477A">
        <w:t>.</w:t>
      </w:r>
    </w:p>
    <w:p w14:paraId="64BACF0F" w14:textId="005FA7DB" w:rsidR="00FA0945" w:rsidRPr="00DD477A" w:rsidRDefault="53BF0693" w:rsidP="00A85E0D">
      <w:pPr>
        <w:pStyle w:val="NormalIndented"/>
        <w:keepNext/>
        <w:ind w:left="0"/>
        <w:rPr>
          <w:b/>
          <w:bCs/>
          <w:sz w:val="24"/>
          <w:szCs w:val="24"/>
        </w:rPr>
      </w:pPr>
      <w:bookmarkStart w:id="874" w:name="_Toc534382561"/>
      <w:bookmarkStart w:id="875" w:name="_Toc63347712"/>
      <w:r w:rsidRPr="00DD477A">
        <w:rPr>
          <w:b/>
          <w:bCs/>
          <w:sz w:val="24"/>
          <w:szCs w:val="24"/>
        </w:rPr>
        <w:lastRenderedPageBreak/>
        <w:t xml:space="preserve">Structure of </w:t>
      </w:r>
      <w:r w:rsidR="00653F6A" w:rsidRPr="00DD477A">
        <w:rPr>
          <w:b/>
          <w:bCs/>
          <w:sz w:val="24"/>
          <w:szCs w:val="24"/>
        </w:rPr>
        <w:t>S</w:t>
      </w:r>
      <w:r w:rsidRPr="00DD477A">
        <w:rPr>
          <w:b/>
          <w:bCs/>
          <w:sz w:val="24"/>
          <w:szCs w:val="24"/>
        </w:rPr>
        <w:t>ection 2</w:t>
      </w:r>
      <w:bookmarkEnd w:id="874"/>
      <w:bookmarkEnd w:id="875"/>
      <w:r w:rsidR="002851CB" w:rsidRPr="00DD477A">
        <w:rPr>
          <w:b/>
          <w:bCs/>
          <w:sz w:val="24"/>
          <w:szCs w:val="24"/>
        </w:rPr>
        <w:t>:</w:t>
      </w:r>
      <w:r w:rsidR="002B7516" w:rsidRPr="00DD477A">
        <w:rPr>
          <w:b/>
          <w:bCs/>
          <w:sz w:val="24"/>
          <w:szCs w:val="24"/>
        </w:rPr>
        <w:t xml:space="preserve"> Outcomes and planned performance</w:t>
      </w:r>
    </w:p>
    <w:p w14:paraId="58CEFB46" w14:textId="27DE0293" w:rsidR="00913329" w:rsidRPr="00DD477A" w:rsidRDefault="53BF0693" w:rsidP="53BF0693">
      <w:pPr>
        <w:rPr>
          <w:rStyle w:val="BodyTextChar"/>
          <w:rFonts w:cs="Calibri"/>
        </w:rPr>
      </w:pPr>
      <w:r w:rsidRPr="00DD477A">
        <w:rPr>
          <w:rStyle w:val="BodyTextChar"/>
          <w:rFonts w:cs="Calibri"/>
        </w:rPr>
        <w:t>The recommended structure for Section 2 of the PB Statements</w:t>
      </w:r>
      <w:r w:rsidR="00970C73" w:rsidRPr="00DD477A">
        <w:rPr>
          <w:rStyle w:val="BodyTextChar"/>
          <w:rFonts w:cs="Calibri"/>
        </w:rPr>
        <w:t xml:space="preserve"> encompasses five </w:t>
      </w:r>
      <w:r w:rsidR="00445AB2" w:rsidRPr="00DD477A">
        <w:rPr>
          <w:rStyle w:val="BodyTextChar"/>
          <w:rFonts w:cs="Calibri"/>
        </w:rPr>
        <w:t xml:space="preserve">components, </w:t>
      </w:r>
      <w:r w:rsidR="00756C59" w:rsidRPr="00DD477A">
        <w:rPr>
          <w:rStyle w:val="BodyTextChar"/>
          <w:rFonts w:cs="Calibri"/>
        </w:rPr>
        <w:t>with</w:t>
      </w:r>
      <w:r w:rsidRPr="00DD477A">
        <w:rPr>
          <w:rStyle w:val="BodyTextChar"/>
          <w:rFonts w:cs="Calibri"/>
        </w:rPr>
        <w:t xml:space="preserve"> </w:t>
      </w:r>
      <w:r w:rsidR="009F3A02" w:rsidRPr="00DD477A">
        <w:rPr>
          <w:rStyle w:val="BodyTextChar"/>
          <w:rFonts w:cs="Calibri"/>
        </w:rPr>
        <w:t>e</w:t>
      </w:r>
      <w:r w:rsidRPr="00DD477A">
        <w:rPr>
          <w:rStyle w:val="BodyTextChar"/>
          <w:rFonts w:cs="Calibri"/>
        </w:rPr>
        <w:t xml:space="preserve">ach outcome described in a </w:t>
      </w:r>
      <w:r w:rsidR="001F72A9" w:rsidRPr="00DD477A">
        <w:rPr>
          <w:rStyle w:val="BodyTextChar"/>
          <w:rFonts w:cs="Calibri"/>
        </w:rPr>
        <w:t>separ</w:t>
      </w:r>
      <w:r w:rsidR="008C411A" w:rsidRPr="00DD477A">
        <w:rPr>
          <w:rStyle w:val="BodyTextChar"/>
          <w:rFonts w:cs="Calibri"/>
        </w:rPr>
        <w:t xml:space="preserve">ate </w:t>
      </w:r>
      <w:r w:rsidRPr="00DD477A">
        <w:rPr>
          <w:rStyle w:val="BodyTextChar"/>
          <w:rFonts w:cs="Calibri"/>
        </w:rPr>
        <w:t>subsection:</w:t>
      </w:r>
    </w:p>
    <w:p w14:paraId="30F866C6" w14:textId="79BB2D03" w:rsidR="004E3102" w:rsidRPr="00DD477A" w:rsidRDefault="0035430A" w:rsidP="00A85E0D">
      <w:pPr>
        <w:pStyle w:val="Bullet1"/>
        <w:rPr>
          <w:rStyle w:val="BodyTextChar"/>
          <w:rFonts w:cs="Calibri"/>
        </w:rPr>
      </w:pPr>
      <w:r w:rsidRPr="00DD477A">
        <w:rPr>
          <w:rStyle w:val="BodyTextChar"/>
          <w:rFonts w:cs="Calibri"/>
        </w:rPr>
        <w:t>Outcome Statement</w:t>
      </w:r>
    </w:p>
    <w:p w14:paraId="01D54EB4" w14:textId="2EA4E713" w:rsidR="0035430A" w:rsidRPr="00DD477A" w:rsidRDefault="0035430A" w:rsidP="00A85E0D">
      <w:pPr>
        <w:pStyle w:val="Bullet1"/>
        <w:rPr>
          <w:rStyle w:val="BodyTextChar"/>
          <w:rFonts w:cs="Calibri"/>
        </w:rPr>
      </w:pPr>
      <w:r w:rsidRPr="00DD477A">
        <w:rPr>
          <w:rStyle w:val="BodyTextChar"/>
          <w:rFonts w:cs="Calibri"/>
        </w:rPr>
        <w:t>Linked programs</w:t>
      </w:r>
    </w:p>
    <w:p w14:paraId="33EB85B4" w14:textId="5F7E2274" w:rsidR="0035430A" w:rsidRPr="00DD477A" w:rsidRDefault="0035430A" w:rsidP="00A85E0D">
      <w:pPr>
        <w:pStyle w:val="Bullet1"/>
        <w:rPr>
          <w:rStyle w:val="BodyTextChar"/>
          <w:rFonts w:cs="Calibri"/>
        </w:rPr>
      </w:pPr>
      <w:r w:rsidRPr="00DD477A">
        <w:rPr>
          <w:rStyle w:val="BodyTextChar"/>
          <w:rFonts w:cs="Calibri"/>
        </w:rPr>
        <w:t>Table 2.X.1: Budgeted expenses for Outcome</w:t>
      </w:r>
    </w:p>
    <w:p w14:paraId="5488DDDD" w14:textId="5F63CF81" w:rsidR="0035430A" w:rsidRPr="00DD477A" w:rsidRDefault="0035430A" w:rsidP="00A85E0D">
      <w:pPr>
        <w:pStyle w:val="Bullet1"/>
        <w:rPr>
          <w:rStyle w:val="BodyTextChar"/>
          <w:rFonts w:cs="Calibri"/>
        </w:rPr>
      </w:pPr>
      <w:r w:rsidRPr="00DD477A">
        <w:rPr>
          <w:rStyle w:val="BodyTextChar"/>
          <w:rFonts w:cs="Calibri"/>
        </w:rPr>
        <w:t>Table 2.X.2: Program components for Outcome (optional)</w:t>
      </w:r>
    </w:p>
    <w:p w14:paraId="2F2E8563" w14:textId="12136C64" w:rsidR="0035430A" w:rsidRPr="00DD477A" w:rsidRDefault="0035430A" w:rsidP="00A85E0D">
      <w:pPr>
        <w:pStyle w:val="Bullet1"/>
        <w:rPr>
          <w:rStyle w:val="BodyTextChar"/>
          <w:rFonts w:cs="Calibri"/>
        </w:rPr>
      </w:pPr>
      <w:r w:rsidRPr="00DD477A">
        <w:rPr>
          <w:rStyle w:val="BodyTextChar"/>
          <w:rFonts w:cs="Calibri"/>
        </w:rPr>
        <w:t xml:space="preserve">Table 2.X.3: Performance measure for Outcome </w:t>
      </w:r>
    </w:p>
    <w:p w14:paraId="19BE2F3D" w14:textId="06A88E51" w:rsidR="00FA0945" w:rsidRPr="00DD477A" w:rsidRDefault="00D3045E" w:rsidP="53BF0693">
      <w:pPr>
        <w:rPr>
          <w:rStyle w:val="BodyTextChar"/>
          <w:rFonts w:cs="Calibri"/>
        </w:rPr>
      </w:pPr>
      <w:r w:rsidRPr="00DD477A">
        <w:rPr>
          <w:rStyle w:val="BodyTextChar"/>
          <w:rFonts w:cs="Calibri"/>
        </w:rPr>
        <w:t xml:space="preserve">Entities with a single outcome would include the </w:t>
      </w:r>
      <w:r w:rsidR="001B5281" w:rsidRPr="00DD477A">
        <w:rPr>
          <w:rStyle w:val="BodyTextChar"/>
          <w:rFonts w:cs="Calibri"/>
        </w:rPr>
        <w:t xml:space="preserve">above </w:t>
      </w:r>
      <w:r w:rsidRPr="00DD477A">
        <w:rPr>
          <w:rStyle w:val="BodyTextChar"/>
          <w:rFonts w:cs="Calibri"/>
        </w:rPr>
        <w:t>components and structure under a single subsection 2.1.</w:t>
      </w:r>
      <w:r w:rsidR="00EB128B" w:rsidRPr="00DD477A">
        <w:rPr>
          <w:rStyle w:val="BodyTextChar"/>
          <w:rFonts w:cs="Calibri"/>
        </w:rPr>
        <w:t xml:space="preserve"> </w:t>
      </w:r>
      <w:r w:rsidR="001E7112" w:rsidRPr="00DD477A">
        <w:rPr>
          <w:rStyle w:val="BodyTextChar"/>
          <w:rFonts w:cs="Calibri"/>
        </w:rPr>
        <w:t xml:space="preserve">A </w:t>
      </w:r>
      <w:r w:rsidR="53BF0693" w:rsidRPr="00DD477A">
        <w:rPr>
          <w:rStyle w:val="BodyTextChar"/>
          <w:rFonts w:cs="Calibri"/>
        </w:rPr>
        <w:t xml:space="preserve">subsection 2.X for each and every outcome </w:t>
      </w:r>
      <w:r w:rsidR="00730168" w:rsidRPr="00DD477A">
        <w:rPr>
          <w:rStyle w:val="BodyTextChar"/>
          <w:rFonts w:cs="Calibri"/>
        </w:rPr>
        <w:t xml:space="preserve">of the entity is required </w:t>
      </w:r>
      <w:r w:rsidR="53BF0693" w:rsidRPr="00DD477A">
        <w:rPr>
          <w:rStyle w:val="BodyTextChar"/>
          <w:rFonts w:cs="Calibri"/>
        </w:rPr>
        <w:t>(i.e.</w:t>
      </w:r>
      <w:r w:rsidR="65EF63DA" w:rsidRPr="00DD477A">
        <w:rPr>
          <w:rStyle w:val="BodyTextChar"/>
          <w:rFonts w:cs="Calibri"/>
        </w:rPr>
        <w:t>,</w:t>
      </w:r>
      <w:r w:rsidR="53BF0693" w:rsidRPr="00DD477A">
        <w:rPr>
          <w:rStyle w:val="BodyTextChar"/>
          <w:rFonts w:cs="Calibri"/>
        </w:rPr>
        <w:t> 2.1 for Outcome 1, 2.2 for Outcome 2, etc</w:t>
      </w:r>
      <w:r w:rsidR="4E3984E4" w:rsidRPr="00DD477A">
        <w:rPr>
          <w:rStyle w:val="BodyTextChar"/>
          <w:rFonts w:cs="Calibri"/>
        </w:rPr>
        <w:t>.</w:t>
      </w:r>
      <w:r w:rsidR="53BF0693" w:rsidRPr="00DD477A">
        <w:rPr>
          <w:rStyle w:val="BodyTextChar"/>
          <w:rFonts w:cs="Calibri"/>
        </w:rPr>
        <w:t>).</w:t>
      </w:r>
    </w:p>
    <w:p w14:paraId="608E3AAD" w14:textId="27DB9566" w:rsidR="00FA0945" w:rsidRPr="00DD477A" w:rsidRDefault="6B6EE5C4" w:rsidP="53BF0693">
      <w:pPr>
        <w:rPr>
          <w:rStyle w:val="BodyTextChar"/>
          <w:rFonts w:cs="Calibri"/>
        </w:rPr>
      </w:pPr>
      <w:r w:rsidRPr="00DD477A">
        <w:rPr>
          <w:rStyle w:val="BodyTextChar"/>
          <w:rFonts w:cs="Calibri"/>
        </w:rPr>
        <w:t xml:space="preserve">Entities should use the </w:t>
      </w:r>
      <w:r w:rsidR="00083822" w:rsidRPr="00DD477A">
        <w:rPr>
          <w:rStyle w:val="BodyTextChar"/>
          <w:rFonts w:cs="Calibri"/>
        </w:rPr>
        <w:t xml:space="preserve">above </w:t>
      </w:r>
      <w:r w:rsidRPr="00DD477A">
        <w:rPr>
          <w:rStyle w:val="BodyTextChar"/>
          <w:rFonts w:cs="Calibri"/>
        </w:rPr>
        <w:t>table numbering scheme</w:t>
      </w:r>
      <w:r w:rsidR="00FB1CB0" w:rsidRPr="00DD477A">
        <w:rPr>
          <w:rStyle w:val="BodyTextChar"/>
          <w:rFonts w:cs="Calibri"/>
        </w:rPr>
        <w:t xml:space="preserve"> to improve readability </w:t>
      </w:r>
      <w:r w:rsidR="00093A6E" w:rsidRPr="00DD477A">
        <w:rPr>
          <w:rStyle w:val="BodyTextChar"/>
          <w:rFonts w:cs="Calibri"/>
        </w:rPr>
        <w:t xml:space="preserve">across information </w:t>
      </w:r>
      <w:r w:rsidR="0067747C" w:rsidRPr="00DD477A">
        <w:rPr>
          <w:rStyle w:val="BodyTextChar"/>
          <w:rFonts w:cs="Calibri"/>
        </w:rPr>
        <w:t>sources and provide consistency across PB Statements tabled by different Ministers.</w:t>
      </w:r>
    </w:p>
    <w:p w14:paraId="4B6DF89B" w14:textId="77777777" w:rsidR="00FA0945" w:rsidRPr="00DD477A" w:rsidRDefault="53BF0693" w:rsidP="00E548A0">
      <w:pPr>
        <w:pStyle w:val="Heading2"/>
      </w:pPr>
      <w:bookmarkStart w:id="876" w:name="_Toc534382562"/>
      <w:bookmarkStart w:id="877" w:name="_Ref33520614"/>
      <w:bookmarkStart w:id="878" w:name="_Ref33520641"/>
      <w:bookmarkStart w:id="879" w:name="_Ref33520649"/>
      <w:bookmarkStart w:id="880" w:name="_Ref33521882"/>
      <w:bookmarkStart w:id="881" w:name="_Ref33521889"/>
      <w:bookmarkStart w:id="882" w:name="_Ref33521893"/>
      <w:bookmarkStart w:id="883" w:name="_Ref33522094"/>
      <w:bookmarkStart w:id="884" w:name="_Ref33522098"/>
      <w:bookmarkStart w:id="885" w:name="_Ref33522148"/>
      <w:bookmarkStart w:id="886" w:name="_Ref33522177"/>
      <w:bookmarkStart w:id="887" w:name="_Ref33522182"/>
      <w:bookmarkStart w:id="888" w:name="_Ref33522184"/>
      <w:bookmarkStart w:id="889" w:name="_Toc63347713"/>
      <w:bookmarkStart w:id="890" w:name="_Toc160715572"/>
      <w:r w:rsidRPr="00DD477A">
        <w:t>Outcome statements</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54E73284" w14:textId="5345AF46" w:rsidR="00265990" w:rsidRPr="00DD477A" w:rsidRDefault="005622E2" w:rsidP="53BF0693">
      <w:pPr>
        <w:rPr>
          <w:rStyle w:val="BodyTextChar"/>
          <w:rFonts w:cs="Calibri"/>
        </w:rPr>
      </w:pPr>
      <w:r w:rsidRPr="00DD477A">
        <w:rPr>
          <w:rStyle w:val="BodyTextChar"/>
          <w:rFonts w:cs="Calibri"/>
        </w:rPr>
        <w:t>Outcome statements articulate government objectives and form an integral part of the appropriations framework.</w:t>
      </w:r>
    </w:p>
    <w:p w14:paraId="4489D47C" w14:textId="5E10D29A" w:rsidR="00265990" w:rsidRPr="00DD477A" w:rsidRDefault="00C772FC" w:rsidP="53BF0693">
      <w:pPr>
        <w:rPr>
          <w:rStyle w:val="BodyTextChar"/>
          <w:rFonts w:cs="Calibri"/>
        </w:rPr>
      </w:pPr>
      <w:r w:rsidRPr="00DD477A">
        <w:rPr>
          <w:rStyle w:val="BodyTextChar"/>
          <w:rFonts w:cs="Calibri"/>
        </w:rPr>
        <w:t>T</w:t>
      </w:r>
      <w:r w:rsidR="53BF0693" w:rsidRPr="00DD477A">
        <w:rPr>
          <w:rStyle w:val="BodyTextChar"/>
          <w:rFonts w:cs="Calibri"/>
        </w:rPr>
        <w:t>he</w:t>
      </w:r>
      <w:r w:rsidRPr="00DD477A">
        <w:rPr>
          <w:rStyle w:val="BodyTextChar"/>
          <w:rFonts w:cs="Calibri"/>
        </w:rPr>
        <w:t xml:space="preserve"> statement, mirroring the </w:t>
      </w:r>
      <w:r w:rsidR="009C007F" w:rsidRPr="00DD477A">
        <w:rPr>
          <w:rStyle w:val="BodyTextChar"/>
          <w:rFonts w:cs="Calibri"/>
        </w:rPr>
        <w:t>Minister for Finance</w:t>
      </w:r>
      <w:r w:rsidRPr="00DD477A">
        <w:rPr>
          <w:rStyle w:val="BodyTextChar"/>
          <w:rFonts w:cs="Calibri"/>
        </w:rPr>
        <w:t xml:space="preserve"> approved description </w:t>
      </w:r>
      <w:r w:rsidR="006A5628" w:rsidRPr="00DD477A">
        <w:rPr>
          <w:rStyle w:val="BodyTextChar"/>
          <w:rFonts w:cs="Calibri"/>
        </w:rPr>
        <w:t xml:space="preserve">included </w:t>
      </w:r>
      <w:r w:rsidR="004D0254" w:rsidRPr="00DD477A">
        <w:rPr>
          <w:rStyle w:val="BodyTextChar"/>
          <w:rFonts w:cs="Calibri"/>
        </w:rPr>
        <w:t xml:space="preserve">at </w:t>
      </w:r>
      <w:r w:rsidRPr="00DD477A">
        <w:rPr>
          <w:rStyle w:val="BodyTextChar"/>
          <w:rFonts w:cs="Calibri"/>
        </w:rPr>
        <w:t>the Outcome and Programs policy</w:t>
      </w:r>
      <w:r w:rsidR="53BF0693" w:rsidRPr="00DD477A">
        <w:rPr>
          <w:rStyle w:val="BodyTextChar"/>
          <w:rFonts w:cs="Calibri"/>
        </w:rPr>
        <w:t>:</w:t>
      </w:r>
    </w:p>
    <w:p w14:paraId="03F0233D" w14:textId="797101A2" w:rsidR="001C779F" w:rsidRPr="00157BAB" w:rsidRDefault="53BF0693" w:rsidP="00AA1E87">
      <w:pPr>
        <w:pStyle w:val="Numbered"/>
        <w:numPr>
          <w:ilvl w:val="0"/>
          <w:numId w:val="48"/>
        </w:numPr>
        <w:rPr>
          <w:rStyle w:val="BodyTextChar"/>
          <w:rFonts w:cstheme="minorHAnsi"/>
        </w:rPr>
      </w:pPr>
      <w:r w:rsidRPr="00157BAB">
        <w:rPr>
          <w:rStyle w:val="BodyTextChar"/>
          <w:rFonts w:cstheme="minorHAnsi"/>
        </w:rPr>
        <w:t>explain</w:t>
      </w:r>
      <w:r w:rsidR="00D67291" w:rsidRPr="00157BAB">
        <w:rPr>
          <w:rStyle w:val="BodyTextChar"/>
          <w:rFonts w:cstheme="minorHAnsi"/>
        </w:rPr>
        <w:t>s</w:t>
      </w:r>
      <w:r w:rsidRPr="00157BAB">
        <w:rPr>
          <w:rStyle w:val="BodyTextChar"/>
          <w:rFonts w:cstheme="minorHAnsi"/>
        </w:rPr>
        <w:t xml:space="preserve"> the purpose for which </w:t>
      </w:r>
      <w:r w:rsidR="00050350" w:rsidRPr="00157BAB">
        <w:rPr>
          <w:rStyle w:val="BodyTextChar"/>
          <w:rFonts w:cstheme="minorHAnsi"/>
        </w:rPr>
        <w:t>a</w:t>
      </w:r>
      <w:r w:rsidRPr="00157BAB">
        <w:rPr>
          <w:rStyle w:val="BodyTextChar"/>
          <w:rFonts w:cstheme="minorHAnsi"/>
        </w:rPr>
        <w:t xml:space="preserve">nnual </w:t>
      </w:r>
      <w:r w:rsidR="00050350" w:rsidRPr="00157BAB">
        <w:rPr>
          <w:rStyle w:val="BodyTextChar"/>
          <w:rFonts w:cstheme="minorHAnsi"/>
        </w:rPr>
        <w:t>a</w:t>
      </w:r>
      <w:r w:rsidRPr="00157BAB">
        <w:rPr>
          <w:rStyle w:val="BodyTextChar"/>
          <w:rFonts w:cstheme="minorHAnsi"/>
        </w:rPr>
        <w:t>ppropriations are approved by the Parliament for use by entities</w:t>
      </w:r>
      <w:r w:rsidR="001C779F" w:rsidRPr="00157BAB">
        <w:rPr>
          <w:rStyle w:val="BodyTextChar"/>
          <w:rFonts w:cstheme="minorHAnsi"/>
        </w:rPr>
        <w:t xml:space="preserve"> and</w:t>
      </w:r>
    </w:p>
    <w:p w14:paraId="5CD76993" w14:textId="33709D19" w:rsidR="00265990" w:rsidRPr="00DD477A" w:rsidRDefault="53BF0693" w:rsidP="00157BAB">
      <w:pPr>
        <w:pStyle w:val="Numbered"/>
        <w:rPr>
          <w:rStyle w:val="BodyTextChar"/>
          <w:rFonts w:cstheme="minorHAnsi"/>
        </w:rPr>
      </w:pPr>
      <w:r w:rsidRPr="00DD477A">
        <w:rPr>
          <w:rStyle w:val="BodyTextChar"/>
          <w:rFonts w:cstheme="minorHAnsi"/>
        </w:rPr>
        <w:t>provide</w:t>
      </w:r>
      <w:r w:rsidR="00D67291" w:rsidRPr="00DD477A">
        <w:rPr>
          <w:rStyle w:val="BodyTextChar"/>
          <w:rFonts w:cstheme="minorHAnsi"/>
        </w:rPr>
        <w:t>s</w:t>
      </w:r>
      <w:r w:rsidRPr="00DD477A">
        <w:rPr>
          <w:rStyle w:val="BodyTextChar"/>
          <w:rFonts w:cstheme="minorHAnsi"/>
        </w:rPr>
        <w:t xml:space="preserve"> a basis for budgeting and reporting </w:t>
      </w:r>
      <w:r w:rsidR="005A63E4" w:rsidRPr="00DD477A">
        <w:rPr>
          <w:rStyle w:val="BodyTextChar"/>
          <w:rFonts w:cstheme="minorHAnsi"/>
        </w:rPr>
        <w:t>on</w:t>
      </w:r>
      <w:r w:rsidRPr="00DD477A">
        <w:rPr>
          <w:rStyle w:val="BodyTextChar"/>
          <w:rFonts w:cstheme="minorHAnsi"/>
        </w:rPr>
        <w:t xml:space="preserve"> the use of appropriated funds.</w:t>
      </w:r>
    </w:p>
    <w:p w14:paraId="4EFA2629" w14:textId="3A9BF8B0" w:rsidR="00265990" w:rsidRPr="00DD477A" w:rsidRDefault="00265990" w:rsidP="00265990">
      <w:pPr>
        <w:rPr>
          <w:rFonts w:cs="Calibri"/>
        </w:rPr>
      </w:pPr>
      <w:r w:rsidRPr="00DD477A">
        <w:rPr>
          <w:rStyle w:val="BodyTextChar"/>
          <w:rFonts w:eastAsiaTheme="minorEastAsia" w:cs="Calibri"/>
        </w:rPr>
        <w:t xml:space="preserve">An outcome statement should provide an immediate impression of what success looks like. It should provide readers with a sense of what performance information is likely to be useful in assessing whether a specific outcome is delivered satisfactorily. </w:t>
      </w:r>
      <w:r w:rsidR="002C7DEA" w:rsidRPr="00DD477A">
        <w:rPr>
          <w:rStyle w:val="BodyTextChar"/>
          <w:rFonts w:eastAsiaTheme="minorEastAsia" w:cs="Calibri"/>
        </w:rPr>
        <w:t xml:space="preserve">Subsequent </w:t>
      </w:r>
      <w:r w:rsidR="000C4820" w:rsidRPr="00DD477A">
        <w:rPr>
          <w:rStyle w:val="BodyTextChar"/>
          <w:rFonts w:eastAsiaTheme="minorEastAsia" w:cs="Calibri"/>
        </w:rPr>
        <w:t xml:space="preserve">PB Statements </w:t>
      </w:r>
      <w:r w:rsidR="002C7DEA" w:rsidRPr="00DD477A">
        <w:rPr>
          <w:rStyle w:val="BodyTextChar"/>
          <w:rFonts w:eastAsiaTheme="minorEastAsia" w:cs="Calibri"/>
        </w:rPr>
        <w:t>p</w:t>
      </w:r>
      <w:r w:rsidRPr="00DD477A">
        <w:rPr>
          <w:rStyle w:val="BodyTextChar"/>
          <w:rFonts w:eastAsiaTheme="minorEastAsia" w:cs="Calibri"/>
        </w:rPr>
        <w:t xml:space="preserve">erformance information </w:t>
      </w:r>
      <w:r w:rsidRPr="00DD477A">
        <w:rPr>
          <w:rFonts w:cs="Calibri"/>
        </w:rPr>
        <w:t xml:space="preserve">should relate to the expectation </w:t>
      </w:r>
      <w:r w:rsidR="000C4820" w:rsidRPr="00DD477A">
        <w:rPr>
          <w:rFonts w:cs="Calibri"/>
        </w:rPr>
        <w:t>generated</w:t>
      </w:r>
      <w:r w:rsidRPr="00DD477A">
        <w:rPr>
          <w:rFonts w:cs="Calibri"/>
        </w:rPr>
        <w:t xml:space="preserve"> by the relevant outcome statement.</w:t>
      </w:r>
    </w:p>
    <w:p w14:paraId="6D96D31A" w14:textId="5B2F125E" w:rsidR="00FA0945" w:rsidRPr="00DD477A" w:rsidRDefault="53BF0693">
      <w:pPr>
        <w:rPr>
          <w:rFonts w:cs="Calibri"/>
        </w:rPr>
      </w:pPr>
      <w:r w:rsidRPr="00DD477A">
        <w:rPr>
          <w:rStyle w:val="BodyTextChar"/>
          <w:rFonts w:cs="Calibri"/>
        </w:rPr>
        <w:t xml:space="preserve">Entities that wish to vary their outcome statements to reflect changes in government policy or its strategic environment should consult their AAU well in advance of the preparation of the </w:t>
      </w:r>
      <w:r w:rsidR="001E2A5F" w:rsidRPr="00DD477A">
        <w:rPr>
          <w:rStyle w:val="BodyTextChar"/>
          <w:rFonts w:cs="Calibri"/>
        </w:rPr>
        <w:t xml:space="preserve">annual </w:t>
      </w:r>
      <w:r w:rsidRPr="00DD477A">
        <w:rPr>
          <w:rStyle w:val="BodyTextChar"/>
          <w:rFonts w:cs="Calibri"/>
        </w:rPr>
        <w:t xml:space="preserve">Budget Appropriation Bills (and PB Statements). </w:t>
      </w:r>
      <w:r w:rsidR="00AE60D0" w:rsidRPr="00DD477A">
        <w:rPr>
          <w:rStyle w:val="BodyTextChar"/>
          <w:rFonts w:cs="Calibri"/>
        </w:rPr>
        <w:t>Key dates for making changes to outcome statements in the 202</w:t>
      </w:r>
      <w:r w:rsidR="003D6FCF" w:rsidRPr="00DD477A">
        <w:rPr>
          <w:rStyle w:val="BodyTextChar"/>
          <w:rFonts w:cs="Calibri"/>
        </w:rPr>
        <w:t>4</w:t>
      </w:r>
      <w:r w:rsidR="00AE60D0" w:rsidRPr="00DD477A">
        <w:rPr>
          <w:rStyle w:val="BodyTextChar"/>
          <w:rFonts w:cs="Calibri"/>
        </w:rPr>
        <w:t>-2</w:t>
      </w:r>
      <w:r w:rsidR="003D6FCF" w:rsidRPr="00DD477A">
        <w:rPr>
          <w:rStyle w:val="BodyTextChar"/>
          <w:rFonts w:cs="Calibri"/>
        </w:rPr>
        <w:t>5</w:t>
      </w:r>
      <w:r w:rsidR="00AE60D0" w:rsidRPr="00DD477A">
        <w:rPr>
          <w:rStyle w:val="BodyTextChar"/>
          <w:rFonts w:cs="Calibri"/>
        </w:rPr>
        <w:t xml:space="preserve"> Budget context are published in EM </w:t>
      </w:r>
      <w:r w:rsidR="00AE60D0" w:rsidRPr="00DD477A">
        <w:rPr>
          <w:rStyle w:val="BodyTextChar"/>
          <w:rFonts w:cs="Calibri"/>
          <w:i/>
        </w:rPr>
        <w:t>202-</w:t>
      </w:r>
      <w:r w:rsidR="00E45217" w:rsidRPr="00DD477A">
        <w:rPr>
          <w:rStyle w:val="BodyTextChar"/>
          <w:rFonts w:cs="Calibri"/>
          <w:i/>
          <w:iCs/>
        </w:rPr>
        <w:t>04 2024-25 Budget:  Changes to Outcome Statements and CBMS Reference Dataset</w:t>
      </w:r>
      <w:r w:rsidR="00E45217" w:rsidRPr="00DD477A">
        <w:rPr>
          <w:rStyle w:val="BodyTextChar"/>
          <w:rFonts w:cs="Calibri"/>
        </w:rPr>
        <w:t>.</w:t>
      </w:r>
    </w:p>
    <w:p w14:paraId="40074144" w14:textId="7D65D88A" w:rsidR="000C42A6" w:rsidRPr="00DD477A" w:rsidRDefault="53BF0693" w:rsidP="00913329">
      <w:pPr>
        <w:rPr>
          <w:rStyle w:val="Hyperlink"/>
          <w:rFonts w:eastAsia="Cambria" w:cs="Calibri"/>
        </w:rPr>
      </w:pPr>
      <w:r w:rsidRPr="00DD477A">
        <w:rPr>
          <w:rStyle w:val="BodyTextChar"/>
          <w:rFonts w:cs="Calibri"/>
        </w:rPr>
        <w:t xml:space="preserve">For </w:t>
      </w:r>
      <w:r w:rsidRPr="00DD477A">
        <w:rPr>
          <w:rFonts w:cs="Calibri"/>
        </w:rPr>
        <w:t xml:space="preserve">information on the purpose, or process </w:t>
      </w:r>
      <w:r w:rsidR="5C0FD798" w:rsidRPr="00DD477A">
        <w:rPr>
          <w:rFonts w:cs="Calibri"/>
        </w:rPr>
        <w:t xml:space="preserve">for </w:t>
      </w:r>
      <w:r w:rsidRPr="00DD477A">
        <w:rPr>
          <w:rFonts w:cs="Calibri"/>
        </w:rPr>
        <w:t xml:space="preserve">amending an entity’s existing </w:t>
      </w:r>
      <w:r w:rsidR="00644FC6" w:rsidRPr="00DD477A">
        <w:rPr>
          <w:rFonts w:cs="Calibri"/>
        </w:rPr>
        <w:t>o</w:t>
      </w:r>
      <w:r w:rsidRPr="00DD477A">
        <w:rPr>
          <w:rFonts w:cs="Calibri"/>
        </w:rPr>
        <w:t xml:space="preserve">utcome </w:t>
      </w:r>
      <w:r w:rsidR="00644FC6" w:rsidRPr="00DD477A">
        <w:rPr>
          <w:rFonts w:cs="Calibri"/>
        </w:rPr>
        <w:t>s</w:t>
      </w:r>
      <w:r w:rsidRPr="00DD477A">
        <w:rPr>
          <w:rFonts w:cs="Calibri"/>
        </w:rPr>
        <w:t xml:space="preserve">tatement(s) or program structure, refer to </w:t>
      </w:r>
      <w:r w:rsidRPr="00DD477A">
        <w:t xml:space="preserve">the </w:t>
      </w:r>
      <w:hyperlink r:id="rId135" w:history="1">
        <w:r w:rsidR="00E6025C" w:rsidRPr="00DD477A">
          <w:rPr>
            <w:rStyle w:val="Hyperlink"/>
            <w:rFonts w:cstheme="minorBidi"/>
            <w:i/>
            <w:iCs/>
          </w:rPr>
          <w:t>O</w:t>
        </w:r>
        <w:r w:rsidR="00B1452B" w:rsidRPr="00DD477A">
          <w:rPr>
            <w:rStyle w:val="Hyperlink"/>
            <w:rFonts w:cstheme="minorBidi"/>
            <w:i/>
            <w:iCs/>
          </w:rPr>
          <w:t xml:space="preserve">utcomes </w:t>
        </w:r>
        <w:r w:rsidR="00E6025C" w:rsidRPr="00DD477A">
          <w:rPr>
            <w:rStyle w:val="Hyperlink"/>
            <w:rFonts w:cstheme="minorBidi"/>
            <w:i/>
            <w:iCs/>
          </w:rPr>
          <w:t>S</w:t>
        </w:r>
        <w:r w:rsidR="00B1452B" w:rsidRPr="00DD477A">
          <w:rPr>
            <w:rStyle w:val="Hyperlink"/>
            <w:rFonts w:cstheme="minorBidi"/>
            <w:i/>
            <w:iCs/>
          </w:rPr>
          <w:t xml:space="preserve">tatement </w:t>
        </w:r>
        <w:r w:rsidR="00E6025C" w:rsidRPr="00DD477A">
          <w:rPr>
            <w:rStyle w:val="Hyperlink"/>
            <w:rFonts w:cstheme="minorBidi"/>
            <w:i/>
            <w:iCs/>
          </w:rPr>
          <w:t>P</w:t>
        </w:r>
        <w:r w:rsidR="00B1452B" w:rsidRPr="00DD477A">
          <w:rPr>
            <w:rStyle w:val="Hyperlink"/>
            <w:rFonts w:cstheme="minorBidi"/>
            <w:i/>
            <w:iCs/>
          </w:rPr>
          <w:t>olicy</w:t>
        </w:r>
        <w:r w:rsidR="000F5797" w:rsidRPr="00DD477A">
          <w:rPr>
            <w:rStyle w:val="Hyperlink"/>
            <w:rFonts w:cstheme="minorBidi"/>
            <w:i/>
            <w:iCs/>
          </w:rPr>
          <w:t xml:space="preserve"> and Approval Process</w:t>
        </w:r>
      </w:hyperlink>
      <w:r w:rsidRPr="00DD477A">
        <w:t xml:space="preserve"> and </w:t>
      </w:r>
      <w:hyperlink r:id="rId136" w:history="1">
        <w:r w:rsidR="00B1452B" w:rsidRPr="00DD477A">
          <w:rPr>
            <w:rStyle w:val="Hyperlink"/>
            <w:rFonts w:cstheme="minorBidi"/>
            <w:i/>
            <w:iCs/>
          </w:rPr>
          <w:t>Commonwealth’s</w:t>
        </w:r>
        <w:r w:rsidR="00B1452B" w:rsidRPr="00DD477A">
          <w:rPr>
            <w:rStyle w:val="Hyperlink"/>
            <w:rFonts w:cs="Calibri"/>
            <w:i/>
            <w:iCs/>
          </w:rPr>
          <w:t xml:space="preserve"> </w:t>
        </w:r>
        <w:r w:rsidR="00E6025C" w:rsidRPr="00DD477A">
          <w:rPr>
            <w:rStyle w:val="Hyperlink"/>
            <w:rFonts w:cs="Calibri"/>
            <w:i/>
            <w:iCs/>
          </w:rPr>
          <w:t>P</w:t>
        </w:r>
        <w:r w:rsidR="00B1452B" w:rsidRPr="00DD477A">
          <w:rPr>
            <w:rStyle w:val="Hyperlink"/>
            <w:rFonts w:cstheme="minorBidi"/>
            <w:i/>
            <w:iCs/>
          </w:rPr>
          <w:t xml:space="preserve">rograms </w:t>
        </w:r>
        <w:r w:rsidR="00E6025C" w:rsidRPr="00DD477A">
          <w:rPr>
            <w:rStyle w:val="Hyperlink"/>
            <w:rFonts w:cstheme="minorBidi"/>
            <w:i/>
            <w:iCs/>
          </w:rPr>
          <w:t>P</w:t>
        </w:r>
        <w:r w:rsidR="00B1452B" w:rsidRPr="00DD477A">
          <w:rPr>
            <w:rStyle w:val="Hyperlink"/>
            <w:rFonts w:cstheme="minorBidi"/>
            <w:i/>
            <w:iCs/>
          </w:rPr>
          <w:t>olicy</w:t>
        </w:r>
        <w:r w:rsidR="00E6025C" w:rsidRPr="00DD477A">
          <w:rPr>
            <w:rStyle w:val="Hyperlink"/>
            <w:rFonts w:cstheme="minorBidi"/>
            <w:i/>
            <w:iCs/>
          </w:rPr>
          <w:t xml:space="preserve"> and Approval Process</w:t>
        </w:r>
      </w:hyperlink>
      <w:r w:rsidR="00102A2A" w:rsidRPr="00DD477A">
        <w:rPr>
          <w:i/>
          <w:iCs/>
        </w:rPr>
        <w:t xml:space="preserve"> </w:t>
      </w:r>
      <w:r w:rsidRPr="00DD477A">
        <w:rPr>
          <w:rFonts w:cs="Calibri"/>
        </w:rPr>
        <w:t xml:space="preserve">available </w:t>
      </w:r>
      <w:r w:rsidR="00C4760C" w:rsidRPr="00DD477A">
        <w:rPr>
          <w:rFonts w:cs="Calibri"/>
        </w:rPr>
        <w:t>on</w:t>
      </w:r>
      <w:r w:rsidRPr="00DD477A">
        <w:rPr>
          <w:rFonts w:cs="Calibri"/>
        </w:rPr>
        <w:t xml:space="preserve"> Finance</w:t>
      </w:r>
      <w:r w:rsidR="00B1452B" w:rsidRPr="00DD477A">
        <w:rPr>
          <w:rFonts w:cs="Calibri"/>
        </w:rPr>
        <w:t>’s</w:t>
      </w:r>
      <w:r w:rsidRPr="00DD477A">
        <w:rPr>
          <w:rFonts w:cs="Calibri"/>
        </w:rPr>
        <w:t xml:space="preserve"> website</w:t>
      </w:r>
      <w:r w:rsidR="00C4760C" w:rsidRPr="00DD477A">
        <w:rPr>
          <w:rFonts w:cs="Calibri"/>
        </w:rPr>
        <w:t>.</w:t>
      </w:r>
    </w:p>
    <w:p w14:paraId="715F9C60" w14:textId="47313386" w:rsidR="00FA0945" w:rsidRPr="00DD477A" w:rsidRDefault="53BF0693" w:rsidP="00E548A0">
      <w:pPr>
        <w:pStyle w:val="Heading2"/>
      </w:pPr>
      <w:bookmarkStart w:id="891" w:name="_Toc47369890"/>
      <w:bookmarkStart w:id="892" w:name="_Toc534382563"/>
      <w:bookmarkStart w:id="893" w:name="_Ref62052820"/>
      <w:bookmarkStart w:id="894" w:name="_Ref62052824"/>
      <w:bookmarkStart w:id="895" w:name="_Toc63347714"/>
      <w:bookmarkStart w:id="896" w:name="_Toc160715573"/>
      <w:bookmarkEnd w:id="891"/>
      <w:r w:rsidRPr="00DD477A">
        <w:t>Linked programs</w:t>
      </w:r>
      <w:bookmarkEnd w:id="892"/>
      <w:bookmarkEnd w:id="893"/>
      <w:bookmarkEnd w:id="894"/>
      <w:bookmarkEnd w:id="895"/>
      <w:bookmarkEnd w:id="896"/>
    </w:p>
    <w:p w14:paraId="7BFF046F" w14:textId="1507B184" w:rsidR="0015783F" w:rsidRPr="00DD477A" w:rsidRDefault="53BF0693" w:rsidP="53BF0693">
      <w:pPr>
        <w:rPr>
          <w:rStyle w:val="BodyTextChar"/>
          <w:rFonts w:cs="Calibri"/>
        </w:rPr>
      </w:pPr>
      <w:r w:rsidRPr="00DD477A">
        <w:rPr>
          <w:rStyle w:val="BodyTextChar"/>
          <w:rFonts w:cs="Calibri"/>
        </w:rPr>
        <w:t xml:space="preserve">Linked programs are those undertaken by other entities that contribute to the achievement of </w:t>
      </w:r>
      <w:r w:rsidR="002377D9" w:rsidRPr="00DD477A" w:rsidDel="00816D86">
        <w:rPr>
          <w:rStyle w:val="BodyTextChar"/>
          <w:rFonts w:cs="Calibri"/>
        </w:rPr>
        <w:t xml:space="preserve">another </w:t>
      </w:r>
      <w:r w:rsidRPr="00DD477A" w:rsidDel="00816D86">
        <w:rPr>
          <w:rStyle w:val="BodyTextChar"/>
          <w:rFonts w:cs="Calibri"/>
        </w:rPr>
        <w:t>entity’s</w:t>
      </w:r>
      <w:r w:rsidRPr="00DD477A">
        <w:rPr>
          <w:rStyle w:val="BodyTextChar"/>
          <w:rFonts w:cs="Calibri"/>
        </w:rPr>
        <w:t xml:space="preserve"> outcomes</w:t>
      </w:r>
      <w:r w:rsidRPr="00DD477A" w:rsidDel="003C3C28">
        <w:rPr>
          <w:rStyle w:val="BodyTextChar"/>
          <w:rFonts w:cs="Calibri"/>
        </w:rPr>
        <w:t xml:space="preserve">. </w:t>
      </w:r>
      <w:r w:rsidR="00611899" w:rsidRPr="00DD477A" w:rsidDel="003C3C28">
        <w:rPr>
          <w:rStyle w:val="BodyTextChar"/>
          <w:rFonts w:cs="Calibri"/>
        </w:rPr>
        <w:t xml:space="preserve">This reporting is ‘one way’ in nature, </w:t>
      </w:r>
      <w:r w:rsidR="00611899" w:rsidRPr="00DD477A">
        <w:rPr>
          <w:rStyle w:val="BodyTextChar"/>
          <w:rFonts w:cs="Calibri"/>
        </w:rPr>
        <w:t>the contribution your entity</w:t>
      </w:r>
      <w:r w:rsidR="00BD0DA3" w:rsidRPr="00DD477A">
        <w:rPr>
          <w:rStyle w:val="BodyTextChar"/>
          <w:rFonts w:cs="Calibri"/>
        </w:rPr>
        <w:t xml:space="preserve"> </w:t>
      </w:r>
      <w:r w:rsidR="00611899" w:rsidRPr="00DD477A" w:rsidDel="00BD0DA3">
        <w:rPr>
          <w:rStyle w:val="BodyTextChar"/>
          <w:rFonts w:cs="Calibri"/>
        </w:rPr>
        <w:t xml:space="preserve">makes to the achievement of another entity’s outcomes </w:t>
      </w:r>
      <w:r w:rsidR="00611899" w:rsidRPr="00DD477A">
        <w:rPr>
          <w:rStyle w:val="BodyTextChar"/>
          <w:rFonts w:cs="Calibri"/>
        </w:rPr>
        <w:t xml:space="preserve">should not be reported. </w:t>
      </w:r>
      <w:r w:rsidRPr="00DD477A">
        <w:rPr>
          <w:rStyle w:val="BodyTextChar"/>
          <w:rFonts w:cs="Calibri"/>
        </w:rPr>
        <w:t>The</w:t>
      </w:r>
      <w:r w:rsidR="009A435A" w:rsidRPr="00DD477A">
        <w:rPr>
          <w:rStyle w:val="BodyTextChar"/>
          <w:rFonts w:cs="Calibri"/>
        </w:rPr>
        <w:t xml:space="preserve"> </w:t>
      </w:r>
      <w:r w:rsidR="009A435A" w:rsidRPr="00DD477A">
        <w:rPr>
          <w:rStyle w:val="BodyTextChar"/>
          <w:rFonts w:cs="Calibri"/>
          <w:i/>
        </w:rPr>
        <w:t xml:space="preserve">linked programs </w:t>
      </w:r>
      <w:r w:rsidRPr="00DD477A">
        <w:rPr>
          <w:rStyle w:val="BodyTextChar"/>
          <w:rFonts w:cs="Calibri"/>
        </w:rPr>
        <w:t xml:space="preserve">box should appear immediately after the </w:t>
      </w:r>
      <w:r w:rsidR="00E0636D" w:rsidRPr="00DD477A" w:rsidDel="00336FC6">
        <w:rPr>
          <w:rStyle w:val="BodyTextChar"/>
          <w:rFonts w:cs="Calibri"/>
        </w:rPr>
        <w:t>o</w:t>
      </w:r>
      <w:r w:rsidRPr="00DD477A">
        <w:rPr>
          <w:rStyle w:val="BodyTextChar"/>
          <w:rFonts w:cs="Calibri"/>
        </w:rPr>
        <w:t xml:space="preserve">utcome </w:t>
      </w:r>
      <w:r w:rsidR="00E0636D" w:rsidRPr="00DD477A">
        <w:rPr>
          <w:rStyle w:val="BodyTextChar"/>
          <w:rFonts w:cs="Calibri"/>
        </w:rPr>
        <w:t>s</w:t>
      </w:r>
      <w:r w:rsidRPr="00DD477A">
        <w:rPr>
          <w:rStyle w:val="BodyTextChar"/>
          <w:rFonts w:cs="Calibri"/>
        </w:rPr>
        <w:t xml:space="preserve">tatement in subsection 2.X relevant to Outcome X. </w:t>
      </w:r>
    </w:p>
    <w:p w14:paraId="015A1661" w14:textId="681E04BC" w:rsidR="0015783F" w:rsidRPr="00DD477A" w:rsidRDefault="00336FC6" w:rsidP="0015783F">
      <w:pPr>
        <w:rPr>
          <w:rFonts w:cs="Calibri"/>
        </w:rPr>
      </w:pPr>
      <w:r w:rsidRPr="00DD477A">
        <w:rPr>
          <w:rFonts w:cs="Calibri"/>
        </w:rPr>
        <w:lastRenderedPageBreak/>
        <w:t xml:space="preserve">The </w:t>
      </w:r>
      <w:r w:rsidR="53BF0693" w:rsidRPr="00DD477A">
        <w:rPr>
          <w:rFonts w:cs="Calibri"/>
        </w:rPr>
        <w:t xml:space="preserve">Linked programs </w:t>
      </w:r>
      <w:r w:rsidR="007B7D74" w:rsidRPr="00DD477A">
        <w:rPr>
          <w:rFonts w:cs="Calibri"/>
        </w:rPr>
        <w:t xml:space="preserve">box </w:t>
      </w:r>
      <w:r w:rsidR="000A11B2" w:rsidRPr="00DD477A">
        <w:rPr>
          <w:rFonts w:cs="Calibri"/>
        </w:rPr>
        <w:t xml:space="preserve">template, as below, </w:t>
      </w:r>
      <w:r w:rsidR="001C40B8" w:rsidRPr="00DD477A">
        <w:rPr>
          <w:rFonts w:cs="Calibri"/>
        </w:rPr>
        <w:t xml:space="preserve">is included </w:t>
      </w:r>
      <w:r w:rsidR="00612C51" w:rsidRPr="00DD477A">
        <w:rPr>
          <w:rFonts w:cs="Calibri"/>
        </w:rPr>
        <w:t xml:space="preserve">in </w:t>
      </w:r>
      <w:r w:rsidR="00396E4B" w:rsidRPr="00DD477A">
        <w:rPr>
          <w:rFonts w:cs="Calibri"/>
        </w:rPr>
        <w:t xml:space="preserve">Attachment C </w:t>
      </w:r>
      <w:r w:rsidR="00002FDE" w:rsidRPr="00DD477A">
        <w:rPr>
          <w:rFonts w:cs="Calibri"/>
        </w:rPr>
        <w:t>of the EM</w:t>
      </w:r>
      <w:r w:rsidR="000A11B2" w:rsidRPr="00DD477A">
        <w:rPr>
          <w:rFonts w:cs="Calibri"/>
        </w:rPr>
        <w:t xml:space="preserve"> under the heading </w:t>
      </w:r>
      <w:r w:rsidR="000A11B2" w:rsidRPr="00DD477A">
        <w:rPr>
          <w:rFonts w:cs="Calibri"/>
          <w:i/>
          <w:iCs/>
        </w:rPr>
        <w:t>Linked Programs</w:t>
      </w:r>
      <w:r w:rsidR="000A11B2" w:rsidRPr="00DD477A">
        <w:rPr>
          <w:rFonts w:cs="Calibri"/>
        </w:rPr>
        <w:t>. The red text provides a description of what information is to be provided in each row.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tblGrid>
      <w:tr w:rsidR="000A11B2" w:rsidRPr="00DD477A" w14:paraId="0409BD78" w14:textId="77777777" w:rsidTr="00A85E0D">
        <w:trPr>
          <w:trHeight w:val="113"/>
          <w:tblHeader/>
        </w:trPr>
        <w:tc>
          <w:tcPr>
            <w:tcW w:w="7792" w:type="dxa"/>
            <w:tcBorders>
              <w:bottom w:val="dotted" w:sz="4" w:space="0" w:color="auto"/>
            </w:tcBorders>
          </w:tcPr>
          <w:p w14:paraId="77CCBA08" w14:textId="77777777" w:rsidR="000A11B2" w:rsidRPr="00DD477A" w:rsidRDefault="000A11B2" w:rsidP="000A77C7">
            <w:pPr>
              <w:pStyle w:val="BoxHeading"/>
            </w:pPr>
            <w:r w:rsidRPr="00DD477A">
              <w:rPr>
                <w:bCs/>
              </w:rPr>
              <w:t>Entity X</w:t>
            </w:r>
            <w:r w:rsidRPr="00DD477A">
              <w:t xml:space="preserve"> </w:t>
            </w:r>
            <w:r w:rsidRPr="00DD477A">
              <w:rPr>
                <w:rStyle w:val="ExampletextCharChar"/>
                <w:lang w:val="en-AU"/>
              </w:rPr>
              <w:fldChar w:fldCharType="begin"/>
            </w:r>
            <w:r w:rsidRPr="00DD477A">
              <w:rPr>
                <w:rStyle w:val="ExampletextCharChar"/>
                <w:lang w:val="en-AU"/>
              </w:rPr>
              <w:instrText xml:space="preserve"> MACROBUTTON  AcceptAllChangesInDoc Entity X (insert the name of the entity with programs linked to Outcome X) </w:instrText>
            </w:r>
            <w:r w:rsidRPr="00DD477A">
              <w:rPr>
                <w:rStyle w:val="ExampletextCharChar"/>
                <w:lang w:val="en-AU"/>
              </w:rPr>
              <w:fldChar w:fldCharType="end"/>
            </w:r>
          </w:p>
        </w:tc>
      </w:tr>
      <w:tr w:rsidR="000A11B2" w:rsidRPr="00DD477A" w14:paraId="0A122EFE" w14:textId="77777777" w:rsidTr="00A85E0D">
        <w:trPr>
          <w:trHeight w:val="113"/>
        </w:trPr>
        <w:tc>
          <w:tcPr>
            <w:tcW w:w="7792" w:type="dxa"/>
            <w:tcBorders>
              <w:top w:val="dotted" w:sz="4" w:space="0" w:color="auto"/>
              <w:bottom w:val="single" w:sz="4" w:space="0" w:color="auto"/>
            </w:tcBorders>
          </w:tcPr>
          <w:p w14:paraId="04B6621D" w14:textId="77777777" w:rsidR="000A11B2" w:rsidRPr="00DD477A" w:rsidRDefault="000A11B2" w:rsidP="000A77C7">
            <w:pPr>
              <w:pStyle w:val="BoxText"/>
              <w:rPr>
                <w:rStyle w:val="ExampletextCharChar"/>
                <w:b/>
                <w:bCs/>
                <w:i w:val="0"/>
                <w:lang w:val="en-AU"/>
              </w:rPr>
            </w:pPr>
            <w:r w:rsidRPr="00DD477A">
              <w:rPr>
                <w:b/>
                <w:bCs/>
              </w:rPr>
              <w:t>Programs</w:t>
            </w:r>
          </w:p>
          <w:p w14:paraId="63DEAAE1" w14:textId="77777777" w:rsidR="000A11B2" w:rsidRPr="007737BB" w:rsidRDefault="000A11B2" w:rsidP="000A77C7">
            <w:pPr>
              <w:pStyle w:val="BoxBullet"/>
              <w:rPr>
                <w:rStyle w:val="ExampletextCharChar"/>
                <w:rFonts w:eastAsia="Book Antiqua" w:cs="Book Antiqua"/>
                <w:color w:val="auto"/>
                <w:lang w:val="en-AU"/>
              </w:rPr>
            </w:pPr>
            <w:r w:rsidRPr="00DD477A">
              <w:t>Program X.</w:t>
            </w:r>
            <w:r w:rsidRPr="00DD477A">
              <w:rPr>
                <w:rFonts w:eastAsia="Book Antiqua" w:cs="Book Antiqua"/>
              </w:rPr>
              <w:t>X –</w:t>
            </w:r>
            <w:r w:rsidRPr="00DD477A">
              <w:rPr>
                <w:rStyle w:val="ExampletextCharChar"/>
                <w:rFonts w:eastAsia="Book Antiqua" w:cs="Book Antiqua"/>
                <w:b/>
                <w:lang w:val="en-AU"/>
              </w:rPr>
              <w:t xml:space="preserve"> </w:t>
            </w:r>
            <w:r w:rsidRPr="00DD477A">
              <w:rPr>
                <w:rStyle w:val="ExampletextCharChar"/>
                <w:rFonts w:eastAsia="Book Antiqua" w:cs="Book Antiqua"/>
                <w:lang w:val="en-AU"/>
              </w:rPr>
              <w:t>insert program name</w:t>
            </w:r>
          </w:p>
          <w:p w14:paraId="704E6A5A" w14:textId="77777777" w:rsidR="000A11B2" w:rsidRPr="00DD477A" w:rsidRDefault="000A11B2" w:rsidP="000A77C7">
            <w:pPr>
              <w:pStyle w:val="BoxBullet"/>
            </w:pPr>
            <w:r w:rsidRPr="007737BB">
              <w:t>P</w:t>
            </w:r>
            <w:r w:rsidRPr="00DD477A">
              <w:t xml:space="preserve">rogram X.X – </w:t>
            </w:r>
            <w:r w:rsidRPr="00DD477A">
              <w:rPr>
                <w:rFonts w:eastAsia="Book Antiqua"/>
                <w:i/>
                <w:color w:val="FF0000"/>
              </w:rPr>
              <w:t xml:space="preserve">insert program </w:t>
            </w:r>
            <w:r w:rsidRPr="00DD477A">
              <w:rPr>
                <w:i/>
                <w:color w:val="FF0000"/>
              </w:rPr>
              <w:t>name</w:t>
            </w:r>
          </w:p>
          <w:p w14:paraId="0B52FF20" w14:textId="77777777" w:rsidR="000A11B2" w:rsidRPr="00DD477A" w:rsidRDefault="000A11B2" w:rsidP="000A77C7">
            <w:pPr>
              <w:pStyle w:val="BoxBullet"/>
            </w:pPr>
            <w:r w:rsidRPr="00DD477A">
              <w:rPr>
                <w:color w:val="FF0000"/>
              </w:rPr>
              <w:t>Etc ...</w:t>
            </w:r>
          </w:p>
        </w:tc>
      </w:tr>
      <w:tr w:rsidR="000A11B2" w:rsidRPr="00DD477A" w14:paraId="2BF3AA7C" w14:textId="77777777" w:rsidTr="00A85E0D">
        <w:trPr>
          <w:trHeight w:val="113"/>
        </w:trPr>
        <w:tc>
          <w:tcPr>
            <w:tcW w:w="7792" w:type="dxa"/>
            <w:tcBorders>
              <w:bottom w:val="dotted" w:sz="4" w:space="0" w:color="auto"/>
            </w:tcBorders>
          </w:tcPr>
          <w:p w14:paraId="76A17ADF" w14:textId="77777777" w:rsidR="000A11B2" w:rsidRPr="00DD477A" w:rsidRDefault="000A11B2" w:rsidP="000A77C7">
            <w:pPr>
              <w:pStyle w:val="BoxHeading"/>
            </w:pPr>
            <w:r w:rsidRPr="00DD477A">
              <w:rPr>
                <w:bCs/>
              </w:rPr>
              <w:t>Entity</w:t>
            </w:r>
            <w:r w:rsidRPr="00DD477A">
              <w:t xml:space="preserve"> Y</w:t>
            </w:r>
            <w:r w:rsidRPr="00DD477A">
              <w:rPr>
                <w:rStyle w:val="ExampletextCharChar"/>
                <w:lang w:val="en-AU"/>
              </w:rPr>
              <w:t xml:space="preserve"> Entity Y (insert the name of the entity with programs linked to Outcome X)</w:t>
            </w:r>
          </w:p>
        </w:tc>
      </w:tr>
      <w:tr w:rsidR="000A11B2" w:rsidRPr="00DD477A" w14:paraId="721C05AE" w14:textId="77777777" w:rsidTr="00A85E0D">
        <w:trPr>
          <w:trHeight w:val="113"/>
        </w:trPr>
        <w:tc>
          <w:tcPr>
            <w:tcW w:w="7792" w:type="dxa"/>
            <w:tcBorders>
              <w:top w:val="dotted" w:sz="4" w:space="0" w:color="auto"/>
              <w:bottom w:val="single" w:sz="4" w:space="0" w:color="auto"/>
            </w:tcBorders>
          </w:tcPr>
          <w:p w14:paraId="3DE0190F" w14:textId="77777777" w:rsidR="000A11B2" w:rsidRPr="00DD477A" w:rsidRDefault="000A11B2" w:rsidP="000A77C7">
            <w:pPr>
              <w:pStyle w:val="BoxText"/>
              <w:rPr>
                <w:b/>
                <w:bCs/>
              </w:rPr>
            </w:pPr>
            <w:r w:rsidRPr="00DD477A">
              <w:rPr>
                <w:b/>
                <w:bCs/>
              </w:rPr>
              <w:t>Programs</w:t>
            </w:r>
          </w:p>
          <w:p w14:paraId="592E2F43" w14:textId="77777777" w:rsidR="000A11B2" w:rsidRPr="00DD477A" w:rsidRDefault="000A11B2" w:rsidP="000A77C7">
            <w:pPr>
              <w:pStyle w:val="BoxBullet"/>
            </w:pPr>
            <w:r w:rsidRPr="00DD477A">
              <w:t>Program X.X –</w:t>
            </w:r>
            <w:r w:rsidRPr="00DD477A">
              <w:rPr>
                <w:rStyle w:val="ExampletextCharChar"/>
                <w:rFonts w:eastAsia="Book Antiqua" w:cs="Book Antiqua"/>
                <w:lang w:val="en-AU"/>
              </w:rPr>
              <w:t xml:space="preserve"> insert program name</w:t>
            </w:r>
          </w:p>
          <w:p w14:paraId="5BD7FCDF" w14:textId="77777777" w:rsidR="000A11B2" w:rsidRPr="00DD477A" w:rsidRDefault="000A11B2" w:rsidP="000A77C7">
            <w:pPr>
              <w:pStyle w:val="BoxBullet"/>
            </w:pPr>
            <w:r w:rsidRPr="00DD477A">
              <w:t>Program X.X –</w:t>
            </w:r>
            <w:r w:rsidRPr="00DD477A">
              <w:rPr>
                <w:rStyle w:val="ExampletextCharChar"/>
                <w:b/>
                <w:lang w:val="en-AU"/>
              </w:rPr>
              <w:t xml:space="preserve"> </w:t>
            </w:r>
            <w:r w:rsidRPr="00DD477A">
              <w:rPr>
                <w:rStyle w:val="ExampletextCharChar"/>
                <w:rFonts w:eastAsia="Book Antiqua" w:cs="Book Antiqua"/>
                <w:lang w:val="en-AU"/>
              </w:rPr>
              <w:t>insert program name</w:t>
            </w:r>
          </w:p>
          <w:p w14:paraId="080CE78F" w14:textId="77777777" w:rsidR="000A11B2" w:rsidRPr="00DD477A" w:rsidRDefault="000A11B2" w:rsidP="000A77C7">
            <w:pPr>
              <w:pStyle w:val="BoxBullet"/>
            </w:pPr>
            <w:r w:rsidRPr="00DD477A">
              <w:rPr>
                <w:color w:val="FF0000"/>
              </w:rPr>
              <w:t>Etc ...</w:t>
            </w:r>
          </w:p>
        </w:tc>
      </w:tr>
      <w:tr w:rsidR="000A11B2" w:rsidRPr="00DD477A" w14:paraId="2B716F7B" w14:textId="77777777" w:rsidTr="00A85E0D">
        <w:trPr>
          <w:trHeight w:val="113"/>
        </w:trPr>
        <w:tc>
          <w:tcPr>
            <w:tcW w:w="7792" w:type="dxa"/>
            <w:tcBorders>
              <w:bottom w:val="single" w:sz="4" w:space="0" w:color="auto"/>
            </w:tcBorders>
          </w:tcPr>
          <w:p w14:paraId="3812CEE9" w14:textId="77777777" w:rsidR="000A11B2" w:rsidRPr="00DD477A" w:rsidRDefault="000A11B2" w:rsidP="000A77C7">
            <w:pPr>
              <w:pStyle w:val="BoxText"/>
            </w:pPr>
            <w:r w:rsidRPr="00DD477A">
              <w:t>Contribution to Outcome X made by linked programs</w:t>
            </w:r>
          </w:p>
          <w:p w14:paraId="44988D4C" w14:textId="77777777" w:rsidR="000A11B2" w:rsidRPr="00DD477A" w:rsidRDefault="000A11B2" w:rsidP="000A77C7">
            <w:pPr>
              <w:pStyle w:val="Exampletext"/>
              <w:rPr>
                <w:lang w:val="en-AU"/>
              </w:rPr>
            </w:pPr>
            <w:r w:rsidRPr="00DD477A">
              <w:rPr>
                <w:lang w:val="en-AU"/>
              </w:rPr>
              <w:fldChar w:fldCharType="begin"/>
            </w:r>
            <w:r w:rsidRPr="00DD477A">
              <w:rPr>
                <w:lang w:val="en-AU"/>
              </w:rPr>
              <w:instrText xml:space="preserve"> MACROBUTTON  AcceptAllChangesInDoc Insert one or two sentences on how Outcome X benefits from the linked programs </w:instrText>
            </w:r>
            <w:r w:rsidRPr="00DD477A">
              <w:rPr>
                <w:lang w:val="en-AU"/>
              </w:rPr>
              <w:fldChar w:fldCharType="end"/>
            </w:r>
          </w:p>
        </w:tc>
      </w:tr>
    </w:tbl>
    <w:p w14:paraId="640DF78B" w14:textId="77777777" w:rsidR="000A11B2" w:rsidRPr="00DD477A" w:rsidRDefault="000A11B2" w:rsidP="000A11B2">
      <w:pPr>
        <w:pStyle w:val="ChartandTableFootnoteAlpha"/>
        <w:numPr>
          <w:ilvl w:val="0"/>
          <w:numId w:val="0"/>
        </w:numPr>
        <w:spacing w:before="30"/>
        <w:ind w:left="284" w:hanging="284"/>
        <w:jc w:val="left"/>
      </w:pPr>
      <w:r w:rsidRPr="00DD477A">
        <w:rPr>
          <w:color w:val="FF0000"/>
        </w:rPr>
        <w:t>Insert footnote if required</w:t>
      </w:r>
      <w:r w:rsidRPr="00DD477A">
        <w:t>.</w:t>
      </w:r>
    </w:p>
    <w:p w14:paraId="06DE6FEF" w14:textId="77777777" w:rsidR="000A11B2" w:rsidRPr="00DD477A" w:rsidRDefault="000A11B2" w:rsidP="000A11B2">
      <w:pPr>
        <w:pStyle w:val="ChartandTableFootnoteAlpha"/>
        <w:numPr>
          <w:ilvl w:val="0"/>
          <w:numId w:val="0"/>
        </w:numPr>
        <w:spacing w:before="30"/>
        <w:ind w:left="284" w:hanging="284"/>
        <w:jc w:val="left"/>
      </w:pPr>
      <w:r w:rsidRPr="00DD477A">
        <w:rPr>
          <w:color w:val="FF0000"/>
        </w:rPr>
        <w:t>Insert footnote if required</w:t>
      </w:r>
      <w:r w:rsidRPr="00DD477A">
        <w:t>.</w:t>
      </w:r>
    </w:p>
    <w:p w14:paraId="1E78CE89" w14:textId="77777777" w:rsidR="000A11B2" w:rsidRPr="00DD477A" w:rsidRDefault="000A11B2" w:rsidP="000A11B2">
      <w:pPr>
        <w:pStyle w:val="ChartandTableFootnoteAlpha"/>
        <w:numPr>
          <w:ilvl w:val="0"/>
          <w:numId w:val="0"/>
        </w:numPr>
        <w:spacing w:before="30"/>
        <w:ind w:left="284" w:hanging="284"/>
        <w:jc w:val="left"/>
        <w:rPr>
          <w:color w:val="FF0000"/>
        </w:rPr>
      </w:pPr>
      <w:r w:rsidRPr="00DD477A">
        <w:rPr>
          <w:color w:val="FF0000"/>
        </w:rPr>
        <w:t>Insert footnote if required.</w:t>
      </w:r>
    </w:p>
    <w:p w14:paraId="70FB9FFF" w14:textId="2C089557" w:rsidR="000A11B2" w:rsidRPr="00DD477A" w:rsidRDefault="000A11B2" w:rsidP="00663CAE">
      <w:pPr>
        <w:rPr>
          <w:rStyle w:val="BodyTextChar"/>
          <w:rFonts w:cs="Calibri"/>
        </w:rPr>
      </w:pPr>
      <w:r w:rsidRPr="00DD477A">
        <w:rPr>
          <w:rStyle w:val="BodyTextChar"/>
          <w:rFonts w:cs="Calibri"/>
        </w:rPr>
        <w:t>An example of a Linked program from the Department of Finance’s 2023–24 PB Statements is below</w:t>
      </w:r>
      <w:r w:rsidR="00663CAE" w:rsidRPr="00DD477A">
        <w:rPr>
          <w:rStyle w:val="BodyTextChar"/>
          <w:rFonts w:cs="Calibri"/>
        </w:rPr>
        <w:t>:</w:t>
      </w:r>
    </w:p>
    <w:tbl>
      <w:tblPr>
        <w:tblStyle w:val="TableGrid"/>
        <w:tblW w:w="0" w:type="auto"/>
        <w:shd w:val="clear" w:color="auto" w:fill="F2F2F2" w:themeFill="background1" w:themeFillShade="F2"/>
        <w:tblLook w:val="04A0" w:firstRow="1" w:lastRow="0" w:firstColumn="1" w:lastColumn="0" w:noHBand="0" w:noVBand="1"/>
      </w:tblPr>
      <w:tblGrid>
        <w:gridCol w:w="7792"/>
      </w:tblGrid>
      <w:tr w:rsidR="000A11B2" w:rsidRPr="00DD477A" w14:paraId="02865FA2" w14:textId="77777777" w:rsidTr="00A85E0D">
        <w:tc>
          <w:tcPr>
            <w:tcW w:w="7792" w:type="dxa"/>
            <w:shd w:val="clear" w:color="auto" w:fill="F2F2F2" w:themeFill="background1" w:themeFillShade="F2"/>
          </w:tcPr>
          <w:p w14:paraId="18229A4E" w14:textId="40CE3310" w:rsidR="000A11B2" w:rsidRPr="00DD477A" w:rsidRDefault="000A11B2" w:rsidP="00A85E0D">
            <w:pPr>
              <w:pStyle w:val="TableColumnHeadingLeft"/>
              <w:rPr>
                <w:rStyle w:val="BodyTextChar"/>
                <w:rFonts w:eastAsia="Times New Roman"/>
              </w:rPr>
            </w:pPr>
            <w:r w:rsidRPr="00DD477A">
              <w:t>Outcome 2</w:t>
            </w:r>
            <w:r w:rsidRPr="00DD477A">
              <w:rPr>
                <w:rFonts w:cs="Arial"/>
              </w:rPr>
              <w:t xml:space="preserve"> </w:t>
            </w:r>
            <w:r w:rsidRPr="00DD477A">
              <w:rPr>
                <w:rFonts w:cs="Arial"/>
                <w:szCs w:val="16"/>
              </w:rPr>
              <w:t>–</w:t>
            </w:r>
            <w:r w:rsidRPr="00DD477A">
              <w:rPr>
                <w:rFonts w:cs="Arial"/>
              </w:rPr>
              <w:t xml:space="preserve"> </w:t>
            </w:r>
            <w:r w:rsidRPr="00DD477A">
              <w:t>Support an efficient and high-performing public sector through providing leadership to Commonwealth entities in ongoing improvements to public sector governance, including through systems, frameworks, policy advice, service delivery, and managing, acquiring and divesting government investments.</w:t>
            </w:r>
          </w:p>
        </w:tc>
      </w:tr>
    </w:tbl>
    <w:p w14:paraId="25404CCD" w14:textId="77777777" w:rsidR="000A11B2" w:rsidRPr="00DD477A" w:rsidRDefault="000A11B2" w:rsidP="000A11B2">
      <w:pPr>
        <w:rPr>
          <w:rStyle w:val="BodyTextChar"/>
          <w:rFonts w:cs="Calibri"/>
          <w:b/>
        </w:rPr>
      </w:pPr>
      <w:r w:rsidRPr="00DD477A">
        <w:rPr>
          <w:rStyle w:val="BodyTextChar"/>
          <w:rFonts w:cs="Calibri"/>
          <w:b/>
          <w:bCs/>
        </w:rPr>
        <w:t>Linked Programs</w:t>
      </w:r>
    </w:p>
    <w:tbl>
      <w:tblPr>
        <w:tblW w:w="7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9"/>
      </w:tblGrid>
      <w:tr w:rsidR="000A11B2" w:rsidRPr="00DD477A" w14:paraId="5BAF5610" w14:textId="77777777" w:rsidTr="000A77C7">
        <w:trPr>
          <w:trHeight w:val="113"/>
          <w:tblHeader/>
        </w:trPr>
        <w:tc>
          <w:tcPr>
            <w:tcW w:w="7699" w:type="dxa"/>
            <w:tcBorders>
              <w:bottom w:val="dotted" w:sz="4" w:space="0" w:color="auto"/>
            </w:tcBorders>
          </w:tcPr>
          <w:p w14:paraId="2ECF2446" w14:textId="77777777" w:rsidR="000A11B2" w:rsidRPr="00DD477A" w:rsidRDefault="000A11B2" w:rsidP="000A77C7">
            <w:pPr>
              <w:pStyle w:val="ExampleText0"/>
              <w:spacing w:before="60" w:after="60" w:line="240" w:lineRule="auto"/>
              <w:rPr>
                <w:rFonts w:ascii="Arial" w:hAnsi="Arial" w:cs="Arial"/>
                <w:color w:val="auto"/>
                <w:sz w:val="20"/>
              </w:rPr>
            </w:pPr>
            <w:r w:rsidRPr="00DD477A">
              <w:rPr>
                <w:rStyle w:val="ExampletextCharChar"/>
                <w:rFonts w:ascii="Arial" w:hAnsi="Arial" w:cs="Arial"/>
                <w:b/>
                <w:color w:val="auto"/>
                <w:lang w:val="en-AU"/>
              </w:rPr>
              <w:t>Commonwealth Superannuation Corporation</w:t>
            </w:r>
          </w:p>
        </w:tc>
      </w:tr>
      <w:tr w:rsidR="000A11B2" w:rsidRPr="00DD477A" w14:paraId="2CEA92B7" w14:textId="77777777" w:rsidTr="000A77C7">
        <w:trPr>
          <w:trHeight w:val="113"/>
        </w:trPr>
        <w:tc>
          <w:tcPr>
            <w:tcW w:w="7699" w:type="dxa"/>
            <w:tcBorders>
              <w:top w:val="dotted" w:sz="4" w:space="0" w:color="auto"/>
              <w:bottom w:val="single" w:sz="4" w:space="0" w:color="auto"/>
            </w:tcBorders>
          </w:tcPr>
          <w:p w14:paraId="70858C56" w14:textId="77777777" w:rsidR="000A11B2" w:rsidRPr="00DD477A" w:rsidRDefault="000A11B2" w:rsidP="000A77C7">
            <w:pPr>
              <w:spacing w:before="60" w:line="240" w:lineRule="auto"/>
              <w:rPr>
                <w:rStyle w:val="ExampletextCharChar"/>
                <w:rFonts w:ascii="Calibri" w:eastAsiaTheme="minorHAnsi" w:hAnsi="Calibri" w:cs="Calibri"/>
                <w:b/>
                <w:i w:val="0"/>
                <w:iCs/>
                <w:color w:val="auto"/>
                <w:sz w:val="22"/>
                <w:szCs w:val="22"/>
                <w:lang w:val="en-AU"/>
              </w:rPr>
            </w:pPr>
            <w:r w:rsidRPr="00DD477A">
              <w:rPr>
                <w:rStyle w:val="ExampletextCharChar"/>
                <w:rFonts w:ascii="Calibri" w:eastAsiaTheme="minorHAnsi" w:hAnsi="Calibri" w:cs="Calibri"/>
                <w:b/>
                <w:i w:val="0"/>
                <w:iCs/>
                <w:color w:val="auto"/>
                <w:sz w:val="22"/>
                <w:szCs w:val="22"/>
                <w:lang w:val="en-AU"/>
              </w:rPr>
              <w:t>Program</w:t>
            </w:r>
          </w:p>
          <w:p w14:paraId="4E65A7FE" w14:textId="77777777" w:rsidR="000A11B2" w:rsidRPr="00DD477A" w:rsidRDefault="000A11B2" w:rsidP="00AA1E87">
            <w:pPr>
              <w:numPr>
                <w:ilvl w:val="0"/>
                <w:numId w:val="40"/>
              </w:numPr>
              <w:suppressAutoHyphens w:val="0"/>
              <w:spacing w:before="120" w:after="120" w:line="240" w:lineRule="auto"/>
              <w:ind w:left="527" w:hanging="357"/>
              <w:rPr>
                <w:rStyle w:val="ExampletextCharChar"/>
                <w:rFonts w:ascii="Calibri" w:eastAsiaTheme="minorHAnsi" w:hAnsi="Calibri" w:cs="Calibri"/>
                <w:i w:val="0"/>
                <w:iCs/>
                <w:color w:val="auto"/>
                <w:sz w:val="22"/>
                <w:szCs w:val="22"/>
                <w:lang w:val="en-AU"/>
              </w:rPr>
            </w:pPr>
            <w:r w:rsidRPr="00DD477A">
              <w:rPr>
                <w:rStyle w:val="ExampletextCharChar"/>
                <w:rFonts w:ascii="Calibri" w:eastAsiaTheme="minorHAnsi" w:hAnsi="Calibri" w:cs="Calibri"/>
                <w:i w:val="0"/>
                <w:iCs/>
                <w:color w:val="auto"/>
                <w:sz w:val="22"/>
                <w:szCs w:val="22"/>
                <w:lang w:val="en-AU"/>
              </w:rPr>
              <w:t>Program 1.1 – Superannuation Scheme Governance</w:t>
            </w:r>
          </w:p>
        </w:tc>
      </w:tr>
      <w:tr w:rsidR="000A11B2" w:rsidRPr="00DD477A" w14:paraId="52EFCD24" w14:textId="77777777" w:rsidTr="000A77C7">
        <w:trPr>
          <w:trHeight w:val="113"/>
        </w:trPr>
        <w:tc>
          <w:tcPr>
            <w:tcW w:w="7699" w:type="dxa"/>
            <w:tcBorders>
              <w:bottom w:val="dotted" w:sz="4" w:space="0" w:color="auto"/>
            </w:tcBorders>
          </w:tcPr>
          <w:p w14:paraId="3E0B4F59" w14:textId="77777777" w:rsidR="000A11B2" w:rsidRPr="00DD477A" w:rsidRDefault="000A11B2" w:rsidP="000A77C7">
            <w:pPr>
              <w:pStyle w:val="ExampleText0"/>
              <w:spacing w:before="60" w:after="60" w:line="240" w:lineRule="auto"/>
              <w:rPr>
                <w:rFonts w:ascii="Calibri" w:hAnsi="Calibri" w:cs="Calibri"/>
                <w:i w:val="0"/>
                <w:iCs/>
                <w:color w:val="auto"/>
                <w:sz w:val="22"/>
                <w:szCs w:val="22"/>
              </w:rPr>
            </w:pPr>
            <w:r w:rsidRPr="00DD477A">
              <w:rPr>
                <w:rStyle w:val="ExampletextCharChar"/>
                <w:rFonts w:ascii="Calibri" w:hAnsi="Calibri" w:cs="Calibri"/>
                <w:b/>
                <w:iCs/>
                <w:color w:val="auto"/>
                <w:sz w:val="22"/>
                <w:szCs w:val="22"/>
                <w:lang w:val="en-AU"/>
              </w:rPr>
              <w:t>Future Fund Management Agency</w:t>
            </w:r>
          </w:p>
        </w:tc>
      </w:tr>
      <w:tr w:rsidR="000A11B2" w:rsidRPr="00DD477A" w14:paraId="595C2322" w14:textId="77777777" w:rsidTr="00A85E0D">
        <w:trPr>
          <w:trHeight w:val="113"/>
        </w:trPr>
        <w:tc>
          <w:tcPr>
            <w:tcW w:w="7699" w:type="dxa"/>
            <w:tcBorders>
              <w:top w:val="dotted" w:sz="4" w:space="0" w:color="auto"/>
              <w:bottom w:val="dotted" w:sz="4" w:space="0" w:color="auto"/>
            </w:tcBorders>
          </w:tcPr>
          <w:p w14:paraId="549DC6AD" w14:textId="77777777" w:rsidR="000A11B2" w:rsidRPr="00DD477A" w:rsidRDefault="000A11B2" w:rsidP="000A77C7">
            <w:pPr>
              <w:spacing w:before="60" w:line="240" w:lineRule="auto"/>
              <w:rPr>
                <w:rStyle w:val="ExampletextCharChar"/>
                <w:rFonts w:ascii="Calibri" w:eastAsiaTheme="minorHAnsi" w:hAnsi="Calibri" w:cs="Calibri"/>
                <w:b/>
                <w:i w:val="0"/>
                <w:iCs/>
                <w:color w:val="auto"/>
                <w:sz w:val="22"/>
                <w:szCs w:val="22"/>
                <w:lang w:val="en-AU"/>
              </w:rPr>
            </w:pPr>
            <w:r w:rsidRPr="00DD477A">
              <w:rPr>
                <w:rStyle w:val="ExampletextCharChar"/>
                <w:rFonts w:ascii="Calibri" w:eastAsiaTheme="minorHAnsi" w:hAnsi="Calibri" w:cs="Calibri"/>
                <w:b/>
                <w:i w:val="0"/>
                <w:iCs/>
                <w:color w:val="auto"/>
                <w:sz w:val="22"/>
                <w:szCs w:val="22"/>
                <w:lang w:val="en-AU"/>
              </w:rPr>
              <w:t>Programs</w:t>
            </w:r>
          </w:p>
          <w:p w14:paraId="43DBCA91" w14:textId="77777777" w:rsidR="000A11B2" w:rsidRPr="00DD477A" w:rsidRDefault="000A11B2" w:rsidP="00AA1E87">
            <w:pPr>
              <w:numPr>
                <w:ilvl w:val="0"/>
                <w:numId w:val="40"/>
              </w:numPr>
              <w:suppressAutoHyphens w:val="0"/>
              <w:spacing w:before="120" w:after="120" w:line="240" w:lineRule="auto"/>
              <w:ind w:left="527" w:hanging="357"/>
              <w:rPr>
                <w:rFonts w:cs="Calibri"/>
                <w:iCs/>
                <w:szCs w:val="22"/>
              </w:rPr>
            </w:pPr>
            <w:r w:rsidRPr="00DD477A">
              <w:rPr>
                <w:rFonts w:cs="Calibri"/>
                <w:iCs/>
                <w:szCs w:val="22"/>
              </w:rPr>
              <w:t>Program 1.1 – Management of the Investment of the Future Fund</w:t>
            </w:r>
          </w:p>
          <w:p w14:paraId="61F6EFD8" w14:textId="77777777" w:rsidR="000A11B2" w:rsidRPr="00DD477A" w:rsidRDefault="000A11B2" w:rsidP="00AA1E87">
            <w:pPr>
              <w:numPr>
                <w:ilvl w:val="0"/>
                <w:numId w:val="40"/>
              </w:numPr>
              <w:suppressAutoHyphens w:val="0"/>
              <w:spacing w:before="120" w:after="120" w:line="240" w:lineRule="auto"/>
              <w:ind w:left="527" w:hanging="357"/>
              <w:rPr>
                <w:rStyle w:val="ExampletextCharChar"/>
                <w:rFonts w:ascii="Calibri" w:eastAsiaTheme="minorHAnsi" w:hAnsi="Calibri" w:cs="Calibri"/>
                <w:i w:val="0"/>
                <w:iCs/>
                <w:color w:val="auto"/>
                <w:sz w:val="22"/>
                <w:szCs w:val="22"/>
                <w:lang w:val="en-AU"/>
              </w:rPr>
            </w:pPr>
            <w:r w:rsidRPr="00DD477A">
              <w:rPr>
                <w:rFonts w:cs="Calibri"/>
                <w:iCs/>
                <w:szCs w:val="22"/>
              </w:rPr>
              <w:t>Program 1.2 – Management of the Investment of the Australian Government Investment Funds</w:t>
            </w:r>
          </w:p>
        </w:tc>
      </w:tr>
      <w:tr w:rsidR="006437D6" w:rsidRPr="00DD477A" w14:paraId="590E9204" w14:textId="77777777" w:rsidTr="000A77C7">
        <w:trPr>
          <w:trHeight w:val="113"/>
        </w:trPr>
        <w:tc>
          <w:tcPr>
            <w:tcW w:w="7699" w:type="dxa"/>
            <w:tcBorders>
              <w:top w:val="dotted" w:sz="4" w:space="0" w:color="auto"/>
              <w:bottom w:val="single" w:sz="4" w:space="0" w:color="auto"/>
            </w:tcBorders>
          </w:tcPr>
          <w:p w14:paraId="5834FAEA" w14:textId="77777777" w:rsidR="006437D6" w:rsidRPr="00DD477A" w:rsidRDefault="006437D6" w:rsidP="006437D6">
            <w:pPr>
              <w:rPr>
                <w:rStyle w:val="ExampletextCharChar"/>
                <w:rFonts w:eastAsiaTheme="minorHAnsi"/>
                <w:b/>
                <w:i w:val="0"/>
                <w:iCs/>
                <w:color w:val="auto"/>
                <w:lang w:val="en-AU"/>
              </w:rPr>
            </w:pPr>
            <w:r w:rsidRPr="00DD477A">
              <w:rPr>
                <w:rStyle w:val="ExampletextCharChar"/>
                <w:rFonts w:eastAsiaTheme="minorHAnsi"/>
                <w:b/>
                <w:i w:val="0"/>
                <w:iCs/>
                <w:color w:val="auto"/>
                <w:lang w:val="en-AU"/>
              </w:rPr>
              <w:t>Contribution to Outcome 2 made by linked programs</w:t>
            </w:r>
          </w:p>
          <w:p w14:paraId="038ACD09" w14:textId="77777777" w:rsidR="006437D6" w:rsidRPr="00DD477A" w:rsidRDefault="006437D6" w:rsidP="006437D6">
            <w:pPr>
              <w:autoSpaceDE w:val="0"/>
              <w:autoSpaceDN w:val="0"/>
              <w:adjustRightInd w:val="0"/>
              <w:rPr>
                <w:rStyle w:val="ExampletextCharChar"/>
                <w:rFonts w:ascii="Calibri" w:eastAsiaTheme="minorHAnsi" w:hAnsi="Calibri" w:cs="Calibri"/>
                <w:i w:val="0"/>
                <w:iCs/>
                <w:color w:val="auto"/>
                <w:sz w:val="22"/>
                <w:szCs w:val="22"/>
                <w:lang w:val="en-AU"/>
              </w:rPr>
            </w:pPr>
            <w:r w:rsidRPr="00DD477A">
              <w:rPr>
                <w:rStyle w:val="ExampletextCharChar"/>
                <w:rFonts w:ascii="Calibri" w:eastAsiaTheme="minorHAnsi" w:hAnsi="Calibri" w:cs="Calibri"/>
                <w:i w:val="0"/>
                <w:iCs/>
                <w:color w:val="auto"/>
                <w:sz w:val="22"/>
                <w:szCs w:val="22"/>
                <w:lang w:val="en-AU"/>
              </w:rPr>
              <w:t>Finance works with the Commonwealth Superannuation Corporation to ensure that the management of public sector superannuation is consistent with legislative obligations.</w:t>
            </w:r>
          </w:p>
          <w:p w14:paraId="174BFBFB" w14:textId="7EE88691" w:rsidR="006437D6" w:rsidRPr="00DD477A" w:rsidRDefault="006437D6" w:rsidP="006437D6">
            <w:pPr>
              <w:spacing w:before="60" w:line="240" w:lineRule="auto"/>
              <w:rPr>
                <w:rStyle w:val="ExampletextCharChar"/>
                <w:rFonts w:ascii="Calibri" w:eastAsiaTheme="minorHAnsi" w:hAnsi="Calibri" w:cs="Calibri"/>
                <w:b/>
                <w:i w:val="0"/>
                <w:iCs/>
                <w:color w:val="auto"/>
                <w:sz w:val="22"/>
                <w:szCs w:val="22"/>
                <w:lang w:val="en-AU"/>
              </w:rPr>
            </w:pPr>
            <w:r w:rsidRPr="00DD477A">
              <w:rPr>
                <w:rStyle w:val="ExampletextCharChar"/>
                <w:rFonts w:ascii="Calibri" w:eastAsiaTheme="minorHAnsi" w:hAnsi="Calibri" w:cs="Calibri"/>
                <w:i w:val="0"/>
                <w:iCs/>
                <w:color w:val="auto"/>
                <w:sz w:val="22"/>
                <w:szCs w:val="22"/>
                <w:lang w:val="en-AU"/>
              </w:rPr>
              <w:lastRenderedPageBreak/>
              <w:t>Finance works with the Future Fund Management Agency to ensure that the management of the Future Fund and the Australian Government Investment Funds is consistent with legislation and maximises returns to taxpayers.</w:t>
            </w:r>
          </w:p>
        </w:tc>
      </w:tr>
    </w:tbl>
    <w:p w14:paraId="57EB040B" w14:textId="50DB6018" w:rsidR="0015783F" w:rsidRPr="00DD477A" w:rsidRDefault="0015783F" w:rsidP="001D30A2">
      <w:pPr>
        <w:spacing w:before="0"/>
        <w:rPr>
          <w:rStyle w:val="BodyTextChar"/>
          <w:rFonts w:cs="Calibri"/>
        </w:rPr>
      </w:pPr>
    </w:p>
    <w:p w14:paraId="1DADD46E" w14:textId="6C5A390B" w:rsidR="00FA0945" w:rsidRPr="00DD477A" w:rsidRDefault="00FA0945" w:rsidP="000A7DEC">
      <w:pPr>
        <w:rPr>
          <w:rFonts w:cs="Calibri"/>
        </w:rPr>
      </w:pPr>
      <w:r w:rsidRPr="00DD477A">
        <w:rPr>
          <w:rFonts w:cs="Calibri"/>
        </w:rPr>
        <w:t>Where linked programs are covered by a cross-entity arrangement (</w:t>
      </w:r>
      <w:r w:rsidR="00D775DB" w:rsidRPr="00DD477A">
        <w:rPr>
          <w:rFonts w:cs="Calibri"/>
        </w:rPr>
        <w:t>i.e.</w:t>
      </w:r>
      <w:r w:rsidRPr="00DD477A">
        <w:rPr>
          <w:rFonts w:cs="Calibri"/>
        </w:rPr>
        <w:t xml:space="preserve"> a Memorandum of Understanding) or an intergovernmental agreement (</w:t>
      </w:r>
      <w:r w:rsidR="00D775DB" w:rsidRPr="00DD477A">
        <w:rPr>
          <w:rFonts w:cs="Calibri"/>
        </w:rPr>
        <w:t>i.e.</w:t>
      </w:r>
      <w:r w:rsidRPr="00DD477A">
        <w:rPr>
          <w:rFonts w:cs="Calibri"/>
        </w:rPr>
        <w:t xml:space="preserve"> a National Partnership Agreement)</w:t>
      </w:r>
      <w:r w:rsidR="0052256F" w:rsidRPr="00DD477A">
        <w:rPr>
          <w:rFonts w:cs="Calibri"/>
        </w:rPr>
        <w:t>,</w:t>
      </w:r>
      <w:r w:rsidRPr="00DD477A">
        <w:rPr>
          <w:rFonts w:cs="Calibri"/>
        </w:rPr>
        <w:t xml:space="preserve"> </w:t>
      </w:r>
      <w:r w:rsidR="00D47BA8" w:rsidRPr="00DD477A">
        <w:rPr>
          <w:rFonts w:cs="Calibri"/>
        </w:rPr>
        <w:t xml:space="preserve">entities are encouraged to </w:t>
      </w:r>
      <w:r w:rsidRPr="00DD477A">
        <w:rPr>
          <w:rFonts w:cs="Calibri"/>
        </w:rPr>
        <w:t xml:space="preserve">name this arrangement </w:t>
      </w:r>
      <w:r w:rsidR="00D47BA8" w:rsidRPr="00DD477A">
        <w:rPr>
          <w:rFonts w:cs="Calibri"/>
        </w:rPr>
        <w:t>in the explanation of the</w:t>
      </w:r>
      <w:r w:rsidRPr="00DD477A">
        <w:rPr>
          <w:rFonts w:cs="Calibri"/>
        </w:rPr>
        <w:t xml:space="preserve"> </w:t>
      </w:r>
      <w:r w:rsidR="00D47BA8" w:rsidRPr="00DD477A">
        <w:rPr>
          <w:rFonts w:cs="Calibri"/>
        </w:rPr>
        <w:t>l</w:t>
      </w:r>
      <w:r w:rsidRPr="00DD477A">
        <w:rPr>
          <w:rFonts w:cs="Calibri"/>
        </w:rPr>
        <w:t>inked programs.</w:t>
      </w:r>
    </w:p>
    <w:p w14:paraId="0F2A0CF7" w14:textId="70B4819E" w:rsidR="00FA0945" w:rsidRPr="00DD477A" w:rsidRDefault="53BF0693" w:rsidP="00E548A0">
      <w:pPr>
        <w:pStyle w:val="Heading2"/>
      </w:pPr>
      <w:bookmarkStart w:id="897" w:name="_Toc63357890"/>
      <w:bookmarkStart w:id="898" w:name="_Toc65165122"/>
      <w:bookmarkStart w:id="899" w:name="_Toc65230625"/>
      <w:bookmarkStart w:id="900" w:name="_Toc534458882"/>
      <w:bookmarkStart w:id="901" w:name="_Toc534459671"/>
      <w:bookmarkStart w:id="902" w:name="_Toc534519166"/>
      <w:bookmarkStart w:id="903" w:name="_Toc534520076"/>
      <w:bookmarkStart w:id="904" w:name="_Toc534520346"/>
      <w:bookmarkStart w:id="905" w:name="_Toc534527558"/>
      <w:bookmarkStart w:id="906" w:name="_Toc534528288"/>
      <w:bookmarkStart w:id="907" w:name="_Toc534803509"/>
      <w:bookmarkStart w:id="908" w:name="_Toc534814200"/>
      <w:bookmarkStart w:id="909" w:name="_Toc536108573"/>
      <w:bookmarkStart w:id="910" w:name="_Toc536802121"/>
      <w:bookmarkStart w:id="911" w:name="_Toc411852681"/>
      <w:bookmarkStart w:id="912" w:name="_Toc534382564"/>
      <w:bookmarkStart w:id="913" w:name="_Toc63347715"/>
      <w:bookmarkStart w:id="914" w:name="_Toc160715574"/>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DD477A">
        <w:t>Budgeted expenses by outcome table</w:t>
      </w:r>
      <w:bookmarkEnd w:id="911"/>
      <w:bookmarkEnd w:id="912"/>
      <w:bookmarkEnd w:id="913"/>
      <w:r w:rsidR="00765257" w:rsidRPr="00DD477A">
        <w:t xml:space="preserve"> – Table 2.X.1</w:t>
      </w:r>
      <w:bookmarkEnd w:id="914"/>
    </w:p>
    <w:p w14:paraId="23682720" w14:textId="4CC59137" w:rsidR="00C1241A" w:rsidRPr="00DD477A" w:rsidRDefault="00C1241A" w:rsidP="000A7DEC">
      <w:pPr>
        <w:rPr>
          <w:rStyle w:val="BodyTextChar"/>
          <w:rFonts w:cs="Calibri"/>
        </w:rPr>
      </w:pPr>
      <w:r w:rsidRPr="00DD477A">
        <w:rPr>
          <w:rFonts w:eastAsia="Cambria" w:cs="Calibri"/>
          <w:noProof/>
        </w:rPr>
        <w:drawing>
          <wp:inline distT="0" distB="0" distL="0" distR="0" wp14:anchorId="5260CDCF" wp14:editId="2AA0DA9A">
            <wp:extent cx="5835650" cy="780443"/>
            <wp:effectExtent l="0" t="0" r="0" b="0"/>
            <wp:docPr id="790165377" name="Diagram 7901653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7" r:lo="rId138" r:qs="rId139" r:cs="rId140"/>
              </a:graphicData>
            </a:graphic>
          </wp:inline>
        </w:drawing>
      </w:r>
    </w:p>
    <w:p w14:paraId="4738BDE2" w14:textId="1196935A" w:rsidR="00FA0945" w:rsidRPr="00DD477A" w:rsidRDefault="00DB7A5E" w:rsidP="000A7DEC">
      <w:pPr>
        <w:rPr>
          <w:rStyle w:val="BodyTextChar"/>
          <w:rFonts w:cs="Calibri"/>
        </w:rPr>
      </w:pPr>
      <w:r w:rsidRPr="00DD477A">
        <w:rPr>
          <w:rStyle w:val="BodyTextChar"/>
          <w:rFonts w:cs="Calibri"/>
        </w:rPr>
        <w:t>Table 2.X.1</w:t>
      </w:r>
      <w:r w:rsidR="005604BC" w:rsidRPr="00DD477A">
        <w:rPr>
          <w:rStyle w:val="BodyTextChar"/>
          <w:rFonts w:cs="Calibri"/>
        </w:rPr>
        <w:t>, where</w:t>
      </w:r>
      <w:r w:rsidR="00C85F95" w:rsidRPr="00DD477A">
        <w:rPr>
          <w:rStyle w:val="BodyTextChar"/>
          <w:rFonts w:cs="Calibri"/>
        </w:rPr>
        <w:t xml:space="preserve"> X relates to the number of the Outcome being reported</w:t>
      </w:r>
      <w:r w:rsidR="00524985" w:rsidRPr="00DD477A">
        <w:rPr>
          <w:rStyle w:val="BodyTextChar"/>
          <w:rFonts w:cs="Calibri"/>
        </w:rPr>
        <w:t>,</w:t>
      </w:r>
      <w:r w:rsidR="53BF0693" w:rsidRPr="00DD477A">
        <w:rPr>
          <w:rStyle w:val="BodyTextChar"/>
          <w:rFonts w:cs="Calibri"/>
        </w:rPr>
        <w:t xml:space="preserve"> detail</w:t>
      </w:r>
      <w:r w:rsidR="00FB4AE5" w:rsidRPr="00DD477A">
        <w:rPr>
          <w:rStyle w:val="BodyTextChar"/>
          <w:rFonts w:cs="Calibri"/>
        </w:rPr>
        <w:t xml:space="preserve">s </w:t>
      </w:r>
      <w:r w:rsidR="00EE4D9E" w:rsidRPr="00DD477A">
        <w:rPr>
          <w:rStyle w:val="BodyTextChar"/>
          <w:rFonts w:cs="Calibri"/>
        </w:rPr>
        <w:t xml:space="preserve">the </w:t>
      </w:r>
      <w:r w:rsidR="00996113" w:rsidRPr="00DD477A">
        <w:rPr>
          <w:rStyle w:val="BodyTextChar"/>
          <w:rFonts w:cs="Calibri"/>
        </w:rPr>
        <w:t xml:space="preserve">proposed </w:t>
      </w:r>
      <w:r w:rsidR="00432E8E" w:rsidRPr="00DD477A">
        <w:rPr>
          <w:rStyle w:val="BodyTextChar"/>
          <w:rFonts w:cs="Calibri"/>
        </w:rPr>
        <w:t xml:space="preserve">use </w:t>
      </w:r>
      <w:r w:rsidR="53BF0693" w:rsidRPr="00DD477A">
        <w:rPr>
          <w:rStyle w:val="BodyTextChar"/>
          <w:rFonts w:cs="Calibri"/>
        </w:rPr>
        <w:t xml:space="preserve">of an entity’s </w:t>
      </w:r>
      <w:r w:rsidR="002E7CE0" w:rsidRPr="00DD477A">
        <w:rPr>
          <w:rStyle w:val="BodyTextChar"/>
          <w:rFonts w:cs="Calibri"/>
        </w:rPr>
        <w:t>appropriations</w:t>
      </w:r>
      <w:r w:rsidR="00FC34B5" w:rsidRPr="00DD477A">
        <w:rPr>
          <w:rStyle w:val="BodyTextChar"/>
          <w:rFonts w:cs="Calibri"/>
        </w:rPr>
        <w:t xml:space="preserve"> by outcome</w:t>
      </w:r>
      <w:r w:rsidR="00A031ED" w:rsidRPr="00DD477A">
        <w:rPr>
          <w:rStyle w:val="BodyTextChar"/>
          <w:rFonts w:cs="Calibri"/>
        </w:rPr>
        <w:t>, with each outcome</w:t>
      </w:r>
      <w:r w:rsidR="00C2510C" w:rsidRPr="00DD477A">
        <w:rPr>
          <w:rStyle w:val="BodyTextChar"/>
          <w:rFonts w:cs="Calibri"/>
        </w:rPr>
        <w:t xml:space="preserve"> reported in a separate table</w:t>
      </w:r>
      <w:r w:rsidR="00432E8E" w:rsidRPr="00DD477A">
        <w:rPr>
          <w:rStyle w:val="BodyTextChar"/>
          <w:rFonts w:cs="Calibri"/>
        </w:rPr>
        <w:t>. It provides a breakdown of the entit</w:t>
      </w:r>
      <w:r w:rsidR="00FC34B5" w:rsidRPr="00DD477A">
        <w:rPr>
          <w:rStyle w:val="BodyTextChar"/>
          <w:rFonts w:cs="Calibri"/>
        </w:rPr>
        <w:t>y’s</w:t>
      </w:r>
      <w:r w:rsidR="00D44BCC" w:rsidRPr="00DD477A">
        <w:rPr>
          <w:rStyle w:val="BodyTextChar"/>
          <w:rFonts w:cs="Calibri"/>
        </w:rPr>
        <w:t xml:space="preserve"> </w:t>
      </w:r>
      <w:r w:rsidR="00D44BCC" w:rsidRPr="00DD477A">
        <w:rPr>
          <w:rStyle w:val="BodyTextChar"/>
          <w:rFonts w:cs="Calibri"/>
          <w:b/>
          <w:bCs/>
        </w:rPr>
        <w:t xml:space="preserve">expenses </w:t>
      </w:r>
      <w:r w:rsidR="00654674" w:rsidRPr="00DD477A">
        <w:rPr>
          <w:rStyle w:val="BodyTextChar"/>
          <w:rFonts w:cs="Calibri"/>
          <w:b/>
          <w:bCs/>
        </w:rPr>
        <w:t>attributed to</w:t>
      </w:r>
      <w:r w:rsidR="00FD1D04" w:rsidRPr="00DD477A">
        <w:rPr>
          <w:rStyle w:val="BodyTextChar"/>
          <w:rFonts w:cs="Calibri"/>
          <w:b/>
          <w:bCs/>
        </w:rPr>
        <w:t xml:space="preserve"> </w:t>
      </w:r>
      <w:r w:rsidR="53BF0693" w:rsidRPr="00DD477A">
        <w:rPr>
          <w:rStyle w:val="BodyTextChar"/>
          <w:rFonts w:cs="Calibri"/>
          <w:b/>
          <w:bCs/>
        </w:rPr>
        <w:t>program</w:t>
      </w:r>
      <w:r w:rsidR="00654674" w:rsidRPr="00DD477A">
        <w:rPr>
          <w:rStyle w:val="BodyTextChar"/>
          <w:rFonts w:cs="Calibri"/>
          <w:b/>
          <w:bCs/>
        </w:rPr>
        <w:t xml:space="preserve">s </w:t>
      </w:r>
      <w:r w:rsidR="00BA155F" w:rsidRPr="00DD477A">
        <w:rPr>
          <w:rStyle w:val="BodyTextChar"/>
          <w:rFonts w:cs="Calibri"/>
          <w:b/>
          <w:bCs/>
        </w:rPr>
        <w:t>by funding source</w:t>
      </w:r>
      <w:r w:rsidR="009B00E4" w:rsidRPr="00DD477A">
        <w:rPr>
          <w:rStyle w:val="BodyTextChar"/>
          <w:rFonts w:cs="Calibri"/>
          <w:b/>
          <w:bCs/>
        </w:rPr>
        <w:t xml:space="preserve"> </w:t>
      </w:r>
      <w:r w:rsidR="009B00E4" w:rsidRPr="00DD477A">
        <w:rPr>
          <w:rStyle w:val="BodyTextChar"/>
          <w:rFonts w:cs="Calibri"/>
        </w:rPr>
        <w:t>in each of the budget cycle financial years</w:t>
      </w:r>
      <w:r w:rsidR="00AE1DAD" w:rsidRPr="00DD477A">
        <w:rPr>
          <w:rStyle w:val="BodyTextChar"/>
          <w:rFonts w:cs="Calibri"/>
        </w:rPr>
        <w:t>.</w:t>
      </w:r>
      <w:r w:rsidR="00AE1DAD" w:rsidRPr="00DD477A">
        <w:rPr>
          <w:rStyle w:val="BodyTextChar"/>
          <w:rFonts w:cs="Calibri"/>
          <w:b/>
          <w:bCs/>
        </w:rPr>
        <w:t xml:space="preserve"> </w:t>
      </w:r>
      <w:r w:rsidR="007620BB" w:rsidRPr="00DD477A">
        <w:rPr>
          <w:rStyle w:val="BodyTextChar"/>
          <w:rFonts w:cs="Calibri"/>
        </w:rPr>
        <w:t>Th</w:t>
      </w:r>
      <w:r w:rsidR="002A712C" w:rsidRPr="00DD477A">
        <w:rPr>
          <w:rStyle w:val="BodyTextChar"/>
          <w:rFonts w:cs="Calibri"/>
        </w:rPr>
        <w:t>is</w:t>
      </w:r>
      <w:r w:rsidR="007620BB" w:rsidRPr="00DD477A">
        <w:rPr>
          <w:rStyle w:val="BodyTextChar"/>
          <w:rFonts w:cs="Calibri"/>
        </w:rPr>
        <w:t xml:space="preserve"> </w:t>
      </w:r>
      <w:r w:rsidR="0049208E" w:rsidRPr="00DD477A">
        <w:rPr>
          <w:rStyle w:val="BodyTextChar"/>
          <w:rFonts w:cs="Calibri"/>
        </w:rPr>
        <w:t xml:space="preserve">expenditure </w:t>
      </w:r>
      <w:r w:rsidR="007620BB" w:rsidRPr="00DD477A">
        <w:rPr>
          <w:rStyle w:val="BodyTextChar"/>
          <w:rFonts w:cs="Calibri"/>
        </w:rPr>
        <w:t>information</w:t>
      </w:r>
      <w:r w:rsidR="53BF0693" w:rsidRPr="00DD477A">
        <w:rPr>
          <w:rStyle w:val="BodyTextChar"/>
          <w:rFonts w:cs="Calibri"/>
        </w:rPr>
        <w:t xml:space="preserve"> </w:t>
      </w:r>
      <w:r w:rsidR="00EF4959" w:rsidRPr="00DD477A">
        <w:rPr>
          <w:rStyle w:val="BodyTextChar"/>
          <w:rFonts w:cs="Calibri"/>
        </w:rPr>
        <w:t xml:space="preserve">provides </w:t>
      </w:r>
      <w:r w:rsidR="53BF0693" w:rsidRPr="00DD477A">
        <w:rPr>
          <w:rStyle w:val="BodyTextChar"/>
          <w:rFonts w:cs="Calibri"/>
        </w:rPr>
        <w:t>links to the entity’s financial statements (</w:t>
      </w:r>
      <w:r w:rsidR="00A84FEF" w:rsidRPr="00DD477A">
        <w:rPr>
          <w:rStyle w:val="BodyTextChar"/>
          <w:rFonts w:cs="Calibri"/>
        </w:rPr>
        <w:t xml:space="preserve">primarily </w:t>
      </w:r>
      <w:r w:rsidR="53BF0693" w:rsidRPr="00DD477A">
        <w:rPr>
          <w:rStyle w:val="BodyTextChar"/>
          <w:rFonts w:cs="Calibri"/>
        </w:rPr>
        <w:t>the income statement)</w:t>
      </w:r>
      <w:r w:rsidR="00055486" w:rsidRPr="00DD477A">
        <w:rPr>
          <w:rStyle w:val="BodyTextChar"/>
          <w:rFonts w:cs="Calibri"/>
        </w:rPr>
        <w:t xml:space="preserve"> and complements Table 1.1, which in contrast, provides a summary of funding sources in the Budget year </w:t>
      </w:r>
      <w:r w:rsidR="007E7959" w:rsidRPr="00DD477A">
        <w:rPr>
          <w:rStyle w:val="BodyTextChar"/>
          <w:rFonts w:cs="Calibri"/>
        </w:rPr>
        <w:t>alone</w:t>
      </w:r>
      <w:r w:rsidR="00055486" w:rsidRPr="00DD477A">
        <w:rPr>
          <w:rStyle w:val="BodyTextChar"/>
          <w:rFonts w:cs="Calibri"/>
        </w:rPr>
        <w:t>.</w:t>
      </w:r>
    </w:p>
    <w:p w14:paraId="64885FE7" w14:textId="37EF8C13" w:rsidR="00C76801" w:rsidRPr="00DD477A" w:rsidRDefault="00CD7617" w:rsidP="000A7DEC">
      <w:pPr>
        <w:rPr>
          <w:rFonts w:cs="Calibri"/>
        </w:rPr>
      </w:pPr>
      <w:r w:rsidRPr="00DD477A">
        <w:rPr>
          <w:rFonts w:cs="Calibri"/>
        </w:rPr>
        <w:t xml:space="preserve">The </w:t>
      </w:r>
      <w:r w:rsidR="001C4488" w:rsidRPr="00DD477A">
        <w:rPr>
          <w:rFonts w:cs="Calibri"/>
        </w:rPr>
        <w:t xml:space="preserve">outcome and </w:t>
      </w:r>
      <w:r w:rsidRPr="00DD477A">
        <w:rPr>
          <w:rFonts w:cs="Calibri"/>
        </w:rPr>
        <w:t xml:space="preserve">program title </w:t>
      </w:r>
      <w:r w:rsidR="00EA2A38" w:rsidRPr="00DD477A">
        <w:rPr>
          <w:rFonts w:cs="Calibri"/>
        </w:rPr>
        <w:t xml:space="preserve">does not need to </w:t>
      </w:r>
      <w:r w:rsidR="00BC4EF0" w:rsidRPr="00DD477A">
        <w:rPr>
          <w:rFonts w:cs="Calibri"/>
        </w:rPr>
        <w:t xml:space="preserve">mirror the formal </w:t>
      </w:r>
      <w:r w:rsidR="008356CD" w:rsidRPr="00DD477A">
        <w:rPr>
          <w:rFonts w:cs="Calibri"/>
        </w:rPr>
        <w:t>titles</w:t>
      </w:r>
      <w:r w:rsidR="00BC4EF0" w:rsidRPr="00DD477A">
        <w:rPr>
          <w:rFonts w:cs="Calibri"/>
        </w:rPr>
        <w:t xml:space="preserve"> and should </w:t>
      </w:r>
      <w:r w:rsidR="00D2446C" w:rsidRPr="00DD477A">
        <w:rPr>
          <w:rFonts w:cs="Calibri"/>
        </w:rPr>
        <w:t>be a short description of the activity.</w:t>
      </w:r>
    </w:p>
    <w:p w14:paraId="66D95327" w14:textId="3232C039" w:rsidR="00FA0945" w:rsidRPr="00DD477A" w:rsidRDefault="00FA0945" w:rsidP="00A7381C">
      <w:pPr>
        <w:pStyle w:val="Bullet1"/>
        <w:rPr>
          <w:rStyle w:val="BodyTextChar"/>
          <w:rFonts w:cs="Calibri"/>
        </w:rPr>
      </w:pPr>
      <w:r w:rsidRPr="00DD477A">
        <w:rPr>
          <w:rStyle w:val="BodyTextChar"/>
          <w:rFonts w:cs="Calibri"/>
        </w:rPr>
        <w:t xml:space="preserve">Where an entity wishes to describe a program in greater detail, for example, </w:t>
      </w:r>
      <w:r w:rsidR="00BA4CF3" w:rsidRPr="00DD477A">
        <w:rPr>
          <w:rStyle w:val="BodyTextChar"/>
          <w:rFonts w:cs="Calibri"/>
        </w:rPr>
        <w:t xml:space="preserve">if </w:t>
      </w:r>
      <w:r w:rsidR="00A74A48" w:rsidRPr="00DD477A">
        <w:rPr>
          <w:rStyle w:val="BodyTextChar"/>
          <w:rFonts w:cs="Calibri"/>
        </w:rPr>
        <w:t>the program has</w:t>
      </w:r>
      <w:r w:rsidRPr="00DD477A">
        <w:rPr>
          <w:rStyle w:val="BodyTextChar"/>
          <w:rFonts w:cs="Calibri"/>
        </w:rPr>
        <w:t xml:space="preserve"> </w:t>
      </w:r>
      <w:r w:rsidR="00EB2E04" w:rsidRPr="00DD477A">
        <w:rPr>
          <w:rStyle w:val="BodyTextChar"/>
          <w:rFonts w:cs="Calibri"/>
        </w:rPr>
        <w:t>several</w:t>
      </w:r>
      <w:r w:rsidRPr="00DD477A">
        <w:rPr>
          <w:rStyle w:val="BodyTextChar"/>
          <w:rFonts w:cs="Calibri"/>
        </w:rPr>
        <w:t xml:space="preserve"> sub-components, th</w:t>
      </w:r>
      <w:r w:rsidR="00E051D9" w:rsidRPr="00DD477A">
        <w:rPr>
          <w:rStyle w:val="BodyTextChar"/>
          <w:rFonts w:cs="Calibri"/>
        </w:rPr>
        <w:t xml:space="preserve">e </w:t>
      </w:r>
      <w:r w:rsidR="007110F5" w:rsidRPr="00DD477A">
        <w:rPr>
          <w:rStyle w:val="BodyTextChar"/>
          <w:rFonts w:cs="Calibri"/>
        </w:rPr>
        <w:t xml:space="preserve">more comprehensive descriptors </w:t>
      </w:r>
      <w:r w:rsidRPr="00DD477A">
        <w:rPr>
          <w:rStyle w:val="BodyTextChar"/>
          <w:rFonts w:cs="Calibri"/>
        </w:rPr>
        <w:t xml:space="preserve">should be </w:t>
      </w:r>
      <w:r w:rsidR="007110F5" w:rsidRPr="00DD477A">
        <w:rPr>
          <w:rStyle w:val="BodyTextChar"/>
          <w:rFonts w:cs="Calibri"/>
        </w:rPr>
        <w:t>included</w:t>
      </w:r>
      <w:r w:rsidRPr="00DD477A">
        <w:rPr>
          <w:rStyle w:val="BodyTextChar"/>
          <w:rFonts w:cs="Calibri"/>
        </w:rPr>
        <w:t xml:space="preserve"> in Table 2.X.2: Program components</w:t>
      </w:r>
      <w:r w:rsidR="00007226" w:rsidRPr="00DD477A">
        <w:rPr>
          <w:rStyle w:val="BodyTextChar"/>
          <w:rFonts w:cs="Calibri"/>
        </w:rPr>
        <w:t>.</w:t>
      </w:r>
      <w:r w:rsidRPr="00DD477A">
        <w:rPr>
          <w:rStyle w:val="BodyTextChar"/>
          <w:rFonts w:cs="Calibri"/>
        </w:rPr>
        <w:t xml:space="preserve"> </w:t>
      </w:r>
    </w:p>
    <w:p w14:paraId="25F7E20B" w14:textId="44E09AEF" w:rsidR="00276FB4" w:rsidRPr="00DD477A" w:rsidRDefault="00DE0FBD" w:rsidP="00A27DB6">
      <w:pPr>
        <w:pStyle w:val="Bullet1"/>
        <w:numPr>
          <w:ilvl w:val="0"/>
          <w:numId w:val="0"/>
        </w:numPr>
        <w:rPr>
          <w:rStyle w:val="BodyTextChar"/>
          <w:rFonts w:cs="Calibri"/>
        </w:rPr>
      </w:pPr>
      <w:r w:rsidRPr="00DD477A">
        <w:rPr>
          <w:rStyle w:val="BodyTextChar"/>
          <w:rFonts w:cs="Calibri"/>
        </w:rPr>
        <w:t xml:space="preserve">Details of </w:t>
      </w:r>
      <w:r w:rsidR="00337B17" w:rsidRPr="00DD477A">
        <w:rPr>
          <w:rStyle w:val="BodyTextChar"/>
          <w:rFonts w:cs="Calibri"/>
        </w:rPr>
        <w:t xml:space="preserve">agreed </w:t>
      </w:r>
      <w:r w:rsidR="00CB28E3" w:rsidRPr="00DD477A">
        <w:rPr>
          <w:rStyle w:val="BodyTextChar"/>
          <w:rFonts w:cs="Calibri"/>
        </w:rPr>
        <w:t>m</w:t>
      </w:r>
      <w:r w:rsidR="00276FB4" w:rsidRPr="00DD477A">
        <w:rPr>
          <w:rStyle w:val="BodyTextChar"/>
          <w:rFonts w:cs="Calibri"/>
        </w:rPr>
        <w:t>ovement</w:t>
      </w:r>
      <w:r w:rsidR="00823456" w:rsidRPr="00DD477A">
        <w:rPr>
          <w:rStyle w:val="BodyTextChar"/>
          <w:rFonts w:cs="Calibri"/>
        </w:rPr>
        <w:t>/reallocation</w:t>
      </w:r>
      <w:r w:rsidR="00276FB4" w:rsidRPr="00DD477A">
        <w:rPr>
          <w:rStyle w:val="BodyTextChar"/>
          <w:rFonts w:cs="Calibri"/>
        </w:rPr>
        <w:t xml:space="preserve"> of </w:t>
      </w:r>
      <w:r w:rsidR="00A8289B" w:rsidRPr="00DD477A">
        <w:rPr>
          <w:rStyle w:val="BodyTextChar"/>
          <w:rFonts w:cs="Calibri"/>
        </w:rPr>
        <w:t xml:space="preserve">unspent </w:t>
      </w:r>
      <w:r w:rsidR="00276FB4" w:rsidRPr="00DD477A">
        <w:rPr>
          <w:rStyle w:val="BodyTextChar"/>
          <w:rFonts w:cs="Calibri"/>
        </w:rPr>
        <w:t xml:space="preserve">administered </w:t>
      </w:r>
      <w:r w:rsidR="00337B17" w:rsidRPr="00DD477A">
        <w:rPr>
          <w:rStyle w:val="BodyTextChar"/>
          <w:rFonts w:cs="Calibri"/>
        </w:rPr>
        <w:t xml:space="preserve">program </w:t>
      </w:r>
      <w:r w:rsidR="00276FB4" w:rsidRPr="00DD477A">
        <w:rPr>
          <w:rStyle w:val="BodyTextChar"/>
          <w:rFonts w:cs="Calibri"/>
        </w:rPr>
        <w:t xml:space="preserve">funds </w:t>
      </w:r>
      <w:r w:rsidR="0080774B" w:rsidRPr="00DD477A">
        <w:rPr>
          <w:rStyle w:val="BodyTextChar"/>
          <w:rFonts w:cs="Calibri"/>
        </w:rPr>
        <w:t xml:space="preserve">from current or prior financial year to the budget and forward years </w:t>
      </w:r>
      <w:r w:rsidR="00CB28E3" w:rsidRPr="00DD477A">
        <w:rPr>
          <w:rStyle w:val="BodyTextChar"/>
          <w:rFonts w:cs="Calibri"/>
        </w:rPr>
        <w:t>are provided as</w:t>
      </w:r>
      <w:r w:rsidR="00276FB4" w:rsidRPr="00DD477A">
        <w:rPr>
          <w:rStyle w:val="BodyTextChar"/>
          <w:rFonts w:cs="Calibri"/>
        </w:rPr>
        <w:t xml:space="preserve"> </w:t>
      </w:r>
      <w:r w:rsidR="009A2DB2" w:rsidRPr="00DD477A">
        <w:rPr>
          <w:rStyle w:val="BodyTextChar"/>
          <w:rFonts w:cs="Calibri"/>
        </w:rPr>
        <w:t>a component of Table 2.X.1</w:t>
      </w:r>
      <w:r w:rsidR="00276FB4" w:rsidRPr="00DD477A">
        <w:rPr>
          <w:rStyle w:val="BodyTextChar"/>
          <w:rFonts w:cs="Calibri"/>
        </w:rPr>
        <w:t>.</w:t>
      </w:r>
      <w:r w:rsidR="008720E3" w:rsidRPr="00DD477A">
        <w:t xml:space="preserve"> </w:t>
      </w:r>
      <w:r w:rsidR="00B37218" w:rsidRPr="00DD477A">
        <w:t xml:space="preserve">Details </w:t>
      </w:r>
      <w:r w:rsidR="008720E3" w:rsidRPr="00DD477A">
        <w:rPr>
          <w:rStyle w:val="BodyTextChar"/>
          <w:rFonts w:cs="Calibri"/>
        </w:rPr>
        <w:t xml:space="preserve">should be sourced from </w:t>
      </w:r>
      <w:r w:rsidR="00CA0030" w:rsidRPr="00DD477A">
        <w:rPr>
          <w:rStyle w:val="BodyTextChar"/>
          <w:rFonts w:cs="Calibri"/>
        </w:rPr>
        <w:t xml:space="preserve">the relevant </w:t>
      </w:r>
      <w:r w:rsidR="009C007F" w:rsidRPr="00DD477A">
        <w:rPr>
          <w:rStyle w:val="BodyTextChar"/>
          <w:rFonts w:cs="Calibri"/>
        </w:rPr>
        <w:t>Minister for Finance</w:t>
      </w:r>
      <w:r w:rsidR="00CA0030" w:rsidRPr="00DD477A">
        <w:rPr>
          <w:rStyle w:val="BodyTextChar"/>
          <w:rFonts w:cs="Calibri"/>
        </w:rPr>
        <w:t xml:space="preserve"> </w:t>
      </w:r>
      <w:r w:rsidR="008720E3" w:rsidRPr="00DD477A">
        <w:rPr>
          <w:rStyle w:val="BodyTextChar"/>
          <w:rFonts w:cs="Calibri"/>
        </w:rPr>
        <w:t xml:space="preserve">approved movement of funds requests and/or </w:t>
      </w:r>
      <w:r w:rsidR="000A033F" w:rsidRPr="00DD477A">
        <w:rPr>
          <w:rStyle w:val="BodyTextChar"/>
          <w:rFonts w:cs="Calibri"/>
        </w:rPr>
        <w:t xml:space="preserve">CBMS </w:t>
      </w:r>
      <w:r w:rsidR="008720E3" w:rsidRPr="00DD477A">
        <w:rPr>
          <w:rStyle w:val="BodyTextChar"/>
          <w:rFonts w:cs="Calibri"/>
        </w:rPr>
        <w:t xml:space="preserve">adjustments </w:t>
      </w:r>
      <w:r w:rsidR="00DB09E1" w:rsidRPr="00DD477A">
        <w:rPr>
          <w:rStyle w:val="BodyTextChar"/>
          <w:rFonts w:cs="Calibri"/>
        </w:rPr>
        <w:t xml:space="preserve">reported </w:t>
      </w:r>
      <w:r w:rsidR="00874E9E" w:rsidRPr="00DD477A">
        <w:rPr>
          <w:rStyle w:val="BodyTextChar"/>
          <w:rFonts w:cs="Calibri"/>
        </w:rPr>
        <w:t>against</w:t>
      </w:r>
      <w:r w:rsidR="008720E3" w:rsidRPr="00DD477A">
        <w:rPr>
          <w:rStyle w:val="BodyTextChar"/>
          <w:rFonts w:cs="Calibri"/>
        </w:rPr>
        <w:t xml:space="preserve"> the reason code ‘Movement of Funds’.</w:t>
      </w:r>
      <w:r w:rsidR="00276FB4" w:rsidRPr="00DD477A">
        <w:rPr>
          <w:rStyle w:val="BodyTextChar"/>
          <w:rFonts w:cs="Calibri"/>
        </w:rPr>
        <w:t xml:space="preserve"> </w:t>
      </w:r>
      <w:r w:rsidR="008720E3" w:rsidRPr="00DD477A">
        <w:rPr>
          <w:rStyle w:val="BodyTextChar"/>
          <w:rFonts w:cs="Calibri"/>
        </w:rPr>
        <w:t>For information on the Movement of Funds process, please contact your AAU</w:t>
      </w:r>
      <w:r w:rsidR="002158CB" w:rsidRPr="00DD477A">
        <w:rPr>
          <w:rStyle w:val="BodyTextChar"/>
          <w:rFonts w:cs="Calibri"/>
        </w:rPr>
        <w:t>.</w:t>
      </w:r>
    </w:p>
    <w:p w14:paraId="3A57E705" w14:textId="5AE45F01" w:rsidR="00FA0945" w:rsidRPr="00DD477A" w:rsidRDefault="002C2872" w:rsidP="53BF0693">
      <w:pPr>
        <w:rPr>
          <w:rStyle w:val="BodyTextChar"/>
          <w:rFonts w:cs="Calibri"/>
        </w:rPr>
      </w:pPr>
      <w:r w:rsidRPr="00DD477A">
        <w:rPr>
          <w:rStyle w:val="BodyTextChar"/>
          <w:rFonts w:cs="Calibri"/>
        </w:rPr>
        <w:t>A</w:t>
      </w:r>
      <w:r w:rsidR="00FA0945" w:rsidRPr="00DD477A">
        <w:rPr>
          <w:rStyle w:val="BodyTextChar"/>
          <w:rFonts w:cs="Calibri"/>
        </w:rPr>
        <w:t>n estimate of ASL by outcome for the budget and prior year</w:t>
      </w:r>
      <w:r w:rsidR="003737B1" w:rsidRPr="00DD477A">
        <w:rPr>
          <w:rStyle w:val="BodyTextChar"/>
          <w:rFonts w:cs="Calibri"/>
        </w:rPr>
        <w:t xml:space="preserve"> is included at the conclusion of the table</w:t>
      </w:r>
      <w:r w:rsidR="00FA0945" w:rsidRPr="00DD477A">
        <w:rPr>
          <w:rStyle w:val="BodyTextChar"/>
          <w:rFonts w:cs="Calibri"/>
        </w:rPr>
        <w:t xml:space="preserve">. The total ASL figures </w:t>
      </w:r>
      <w:r w:rsidR="003B2E7F" w:rsidRPr="00DD477A">
        <w:rPr>
          <w:rStyle w:val="BodyTextChar"/>
          <w:rFonts w:cs="Calibri"/>
        </w:rPr>
        <w:t xml:space="preserve">represented </w:t>
      </w:r>
      <w:r w:rsidR="00FA0945" w:rsidRPr="00DD477A">
        <w:rPr>
          <w:rStyle w:val="BodyTextChar"/>
          <w:rFonts w:cs="Calibri"/>
        </w:rPr>
        <w:t xml:space="preserve">across all outcomes should reconcile with </w:t>
      </w:r>
      <w:r w:rsidR="003B2E7F" w:rsidRPr="00DD477A">
        <w:rPr>
          <w:rStyle w:val="BodyTextChar"/>
          <w:rFonts w:cs="Calibri"/>
        </w:rPr>
        <w:t xml:space="preserve">both </w:t>
      </w:r>
      <w:r w:rsidR="00FA0945" w:rsidRPr="00DD477A">
        <w:rPr>
          <w:rStyle w:val="BodyTextChar"/>
          <w:rFonts w:cs="Calibri"/>
        </w:rPr>
        <w:t xml:space="preserve">the ASL figures to be published in </w:t>
      </w:r>
      <w:r w:rsidR="00DD71E6" w:rsidRPr="00DD477A">
        <w:rPr>
          <w:rStyle w:val="BodyTextChar"/>
          <w:rFonts w:cs="Calibri"/>
        </w:rPr>
        <w:t xml:space="preserve">Table 1.1 and </w:t>
      </w:r>
      <w:r w:rsidR="00FA0945" w:rsidRPr="00DD477A">
        <w:rPr>
          <w:rStyle w:val="BodyTextChar"/>
          <w:rFonts w:cs="Calibri"/>
        </w:rPr>
        <w:t>BP No. 4.</w:t>
      </w:r>
      <w:r w:rsidR="008720E3" w:rsidRPr="00DD477A">
        <w:rPr>
          <w:rStyle w:val="BodyTextChar"/>
          <w:rFonts w:cs="Calibri"/>
          <w:b/>
        </w:rPr>
        <w:t xml:space="preserve"> ASL figures</w:t>
      </w:r>
      <w:r w:rsidR="008720E3" w:rsidRPr="00DD477A">
        <w:rPr>
          <w:rStyle w:val="BodyTextChar"/>
          <w:rFonts w:cs="Calibri"/>
        </w:rPr>
        <w:t xml:space="preserve"> across all outcomes should be discussed with Finance</w:t>
      </w:r>
      <w:r w:rsidR="00411B91" w:rsidRPr="00DD477A">
        <w:rPr>
          <w:rStyle w:val="BodyTextChar"/>
          <w:rFonts w:cs="Calibri"/>
        </w:rPr>
        <w:t xml:space="preserve"> </w:t>
      </w:r>
      <w:r w:rsidR="004539FF" w:rsidRPr="00DD477A">
        <w:rPr>
          <w:rStyle w:val="BodyTextChar"/>
          <w:rFonts w:cs="Calibri"/>
        </w:rPr>
        <w:t>and</w:t>
      </w:r>
      <w:r w:rsidR="00411B91" w:rsidRPr="00DD477A">
        <w:rPr>
          <w:rStyle w:val="BodyTextChar"/>
          <w:rFonts w:cs="Calibri"/>
        </w:rPr>
        <w:t xml:space="preserve"> </w:t>
      </w:r>
      <w:r w:rsidR="00B37218" w:rsidRPr="00DD477A">
        <w:rPr>
          <w:rStyle w:val="BodyTextChar"/>
          <w:rFonts w:cs="Calibri"/>
        </w:rPr>
        <w:t>assistance</w:t>
      </w:r>
      <w:r w:rsidR="00411B91" w:rsidRPr="00DD477A">
        <w:rPr>
          <w:rStyle w:val="BodyTextChar"/>
          <w:rFonts w:cs="Calibri"/>
        </w:rPr>
        <w:t xml:space="preserve"> </w:t>
      </w:r>
      <w:r w:rsidR="0090305B" w:rsidRPr="00DD477A">
        <w:rPr>
          <w:rStyle w:val="BodyTextChar"/>
          <w:rFonts w:cs="Calibri"/>
        </w:rPr>
        <w:t>sourced from</w:t>
      </w:r>
      <w:r w:rsidR="00411B91" w:rsidRPr="00DD477A">
        <w:rPr>
          <w:rStyle w:val="BodyTextChar"/>
          <w:rFonts w:cs="Calibri"/>
        </w:rPr>
        <w:t xml:space="preserve"> the latest Finance guid</w:t>
      </w:r>
      <w:r w:rsidR="00B37218" w:rsidRPr="00DD477A">
        <w:rPr>
          <w:rStyle w:val="BodyTextChar"/>
          <w:rFonts w:cs="Calibri"/>
        </w:rPr>
        <w:t>ance</w:t>
      </w:r>
      <w:r w:rsidR="00411B91" w:rsidRPr="00DD477A">
        <w:rPr>
          <w:rStyle w:val="BodyTextChar"/>
          <w:rFonts w:cs="Calibri"/>
        </w:rPr>
        <w:t xml:space="preserve"> on ASL </w:t>
      </w:r>
      <w:r w:rsidR="004539FF" w:rsidRPr="00DD477A">
        <w:rPr>
          <w:rStyle w:val="BodyTextChar"/>
          <w:rFonts w:cs="Calibri"/>
        </w:rPr>
        <w:t xml:space="preserve">and associated </w:t>
      </w:r>
      <w:r w:rsidR="00411B91" w:rsidRPr="00DD477A">
        <w:rPr>
          <w:rStyle w:val="BodyTextChar"/>
          <w:rFonts w:cs="Calibri"/>
        </w:rPr>
        <w:t>reporting.</w:t>
      </w:r>
      <w:r w:rsidR="008720E3" w:rsidRPr="00DD477A">
        <w:rPr>
          <w:rStyle w:val="BodyTextChar"/>
          <w:rFonts w:cs="Calibri"/>
        </w:rPr>
        <w:t xml:space="preserve"> </w:t>
      </w:r>
    </w:p>
    <w:p w14:paraId="1D56499E" w14:textId="6D0D30E9" w:rsidR="004950C9" w:rsidRPr="00DD477A" w:rsidRDefault="004950C9" w:rsidP="00E548A0">
      <w:pPr>
        <w:pStyle w:val="Heading3"/>
      </w:pPr>
      <w:bookmarkStart w:id="915" w:name="_Toc160715575"/>
      <w:r w:rsidRPr="00DD477A">
        <w:t>Minimum reporting requirements</w:t>
      </w:r>
      <w:r w:rsidR="007F587C" w:rsidRPr="00DD477A">
        <w:t xml:space="preserve"> for </w:t>
      </w:r>
      <w:r w:rsidR="007F587C" w:rsidRPr="00DD477A">
        <w:rPr>
          <w:rStyle w:val="BodyTextChar"/>
          <w:rFonts w:cs="Calibri"/>
        </w:rPr>
        <w:t>Table 2.X.1</w:t>
      </w:r>
      <w:bookmarkEnd w:id="915"/>
    </w:p>
    <w:p w14:paraId="43199968" w14:textId="61491E04" w:rsidR="00FA0945" w:rsidRPr="00DD477A" w:rsidRDefault="00403DC4" w:rsidP="00A7381C">
      <w:pPr>
        <w:pStyle w:val="Bullet1"/>
        <w:rPr>
          <w:rStyle w:val="BodyTextChar"/>
          <w:rFonts w:cs="Calibri"/>
        </w:rPr>
      </w:pPr>
      <w:r w:rsidRPr="00DD477A">
        <w:rPr>
          <w:rStyle w:val="BodyTextChar"/>
          <w:rFonts w:cs="Calibri"/>
        </w:rPr>
        <w:t>E</w:t>
      </w:r>
      <w:r w:rsidR="53BF0693" w:rsidRPr="00DD477A">
        <w:rPr>
          <w:rStyle w:val="BodyTextChar"/>
          <w:rFonts w:cs="Calibri"/>
        </w:rPr>
        <w:t xml:space="preserve">ach outcome delivered by an entity </w:t>
      </w:r>
      <w:r w:rsidRPr="00DD477A">
        <w:rPr>
          <w:rStyle w:val="BodyTextChar"/>
          <w:rFonts w:cs="Calibri"/>
        </w:rPr>
        <w:t xml:space="preserve">requires a separate </w:t>
      </w:r>
      <w:r w:rsidR="007F587C" w:rsidRPr="00DD477A">
        <w:rPr>
          <w:rStyle w:val="BodyTextChar"/>
          <w:rFonts w:cs="Calibri"/>
        </w:rPr>
        <w:t>t</w:t>
      </w:r>
      <w:r w:rsidRPr="00DD477A">
        <w:rPr>
          <w:rStyle w:val="BodyTextChar"/>
          <w:rFonts w:cs="Calibri"/>
        </w:rPr>
        <w:t xml:space="preserve">able </w:t>
      </w:r>
      <w:r w:rsidR="53BF0693" w:rsidRPr="00DD477A">
        <w:rPr>
          <w:rStyle w:val="BodyTextChar"/>
          <w:rFonts w:cs="Calibri"/>
        </w:rPr>
        <w:t xml:space="preserve">(where X is </w:t>
      </w:r>
      <w:r w:rsidR="006714EB" w:rsidRPr="00DD477A">
        <w:rPr>
          <w:rStyle w:val="BodyTextChar"/>
          <w:rFonts w:cs="Calibri"/>
        </w:rPr>
        <w:t>‘</w:t>
      </w:r>
      <w:r w:rsidR="53BF0693" w:rsidRPr="00DD477A">
        <w:rPr>
          <w:rStyle w:val="BodyTextChar"/>
          <w:rFonts w:cs="Calibri"/>
        </w:rPr>
        <w:t>1</w:t>
      </w:r>
      <w:r w:rsidR="006714EB" w:rsidRPr="00DD477A">
        <w:rPr>
          <w:rStyle w:val="BodyTextChar"/>
          <w:rFonts w:cs="Calibri"/>
        </w:rPr>
        <w:t>’</w:t>
      </w:r>
      <w:r w:rsidR="53BF0693" w:rsidRPr="00DD477A">
        <w:rPr>
          <w:rStyle w:val="BodyTextChar"/>
          <w:rFonts w:cs="Calibri"/>
        </w:rPr>
        <w:t xml:space="preserve"> for Outcome 1, </w:t>
      </w:r>
      <w:r w:rsidR="006714EB" w:rsidRPr="00DD477A">
        <w:rPr>
          <w:rStyle w:val="BodyTextChar"/>
          <w:rFonts w:cs="Calibri"/>
        </w:rPr>
        <w:t>‘</w:t>
      </w:r>
      <w:r w:rsidR="53BF0693" w:rsidRPr="00DD477A">
        <w:rPr>
          <w:rStyle w:val="BodyTextChar"/>
          <w:rFonts w:cs="Calibri"/>
        </w:rPr>
        <w:t>2</w:t>
      </w:r>
      <w:r w:rsidR="006714EB" w:rsidRPr="00DD477A">
        <w:rPr>
          <w:rStyle w:val="BodyTextChar"/>
          <w:rFonts w:cs="Calibri"/>
        </w:rPr>
        <w:t>’</w:t>
      </w:r>
      <w:r w:rsidR="53BF0693" w:rsidRPr="00DD477A">
        <w:rPr>
          <w:rStyle w:val="BodyTextChar"/>
          <w:rFonts w:cs="Calibri"/>
        </w:rPr>
        <w:t xml:space="preserve"> for Outcome 2, etc)</w:t>
      </w:r>
      <w:r w:rsidR="00BC0DB5" w:rsidRPr="00DD477A">
        <w:rPr>
          <w:rStyle w:val="BodyTextChar"/>
          <w:rFonts w:cs="Calibri"/>
        </w:rPr>
        <w:t>.</w:t>
      </w:r>
    </w:p>
    <w:p w14:paraId="41CDEFCF" w14:textId="0DDD2A66" w:rsidR="00E124AE" w:rsidRPr="00DD477A" w:rsidRDefault="00BC0DB5" w:rsidP="00A7381C">
      <w:pPr>
        <w:pStyle w:val="Bullet1"/>
        <w:rPr>
          <w:rStyle w:val="BodyTextChar"/>
          <w:rFonts w:cs="Calibri"/>
        </w:rPr>
      </w:pPr>
      <w:r w:rsidRPr="00DD477A">
        <w:rPr>
          <w:rStyle w:val="BodyTextChar"/>
          <w:rFonts w:cs="Calibri"/>
        </w:rPr>
        <w:t>T</w:t>
      </w:r>
      <w:r w:rsidR="53BF0693" w:rsidRPr="00DD477A">
        <w:rPr>
          <w:rStyle w:val="BodyTextChar"/>
          <w:rFonts w:cs="Calibri"/>
        </w:rPr>
        <w:t xml:space="preserve">he total budgeted expenses </w:t>
      </w:r>
      <w:r w:rsidR="00CD4863" w:rsidRPr="00DD477A">
        <w:rPr>
          <w:rStyle w:val="BodyTextChar"/>
          <w:rFonts w:cs="Calibri"/>
        </w:rPr>
        <w:t>across</w:t>
      </w:r>
      <w:r w:rsidR="53BF0693" w:rsidRPr="00DD477A">
        <w:rPr>
          <w:rStyle w:val="BodyTextChar"/>
          <w:rFonts w:cs="Calibri"/>
        </w:rPr>
        <w:t xml:space="preserve"> all outcomes </w:t>
      </w:r>
      <w:r w:rsidR="53BF0693" w:rsidRPr="00DD477A">
        <w:rPr>
          <w:rStyle w:val="BodyTextChar"/>
          <w:rFonts w:cs="Calibri"/>
          <w:b/>
          <w:bCs/>
        </w:rPr>
        <w:t>must</w:t>
      </w:r>
      <w:r w:rsidR="53BF0693" w:rsidRPr="00DD477A">
        <w:rPr>
          <w:rStyle w:val="BodyTextChar"/>
          <w:rFonts w:cs="Calibri"/>
        </w:rPr>
        <w:t xml:space="preserve"> equal the aggregate of total Departmental and Administered expenses </w:t>
      </w:r>
      <w:r w:rsidR="00F13710" w:rsidRPr="00DD477A">
        <w:rPr>
          <w:rStyle w:val="BodyTextChar"/>
          <w:rFonts w:cs="Calibri"/>
        </w:rPr>
        <w:t>included</w:t>
      </w:r>
      <w:r w:rsidR="53BF0693" w:rsidRPr="00DD477A">
        <w:rPr>
          <w:rStyle w:val="BodyTextChar"/>
          <w:rFonts w:cs="Calibri"/>
        </w:rPr>
        <w:t xml:space="preserve"> in</w:t>
      </w:r>
      <w:r w:rsidR="00E124AE" w:rsidRPr="00DD477A">
        <w:rPr>
          <w:rStyle w:val="BodyTextChar"/>
          <w:rFonts w:cs="Calibri"/>
        </w:rPr>
        <w:t>:</w:t>
      </w:r>
    </w:p>
    <w:p w14:paraId="18C33B3B" w14:textId="78B05634" w:rsidR="00E124AE" w:rsidRPr="00DD477A" w:rsidRDefault="00E14D83" w:rsidP="00A85E0D">
      <w:pPr>
        <w:pStyle w:val="Bullet2"/>
        <w:rPr>
          <w:rStyle w:val="BodyTextChar"/>
          <w:rFonts w:cs="Calibri"/>
        </w:rPr>
      </w:pPr>
      <w:r w:rsidRPr="00DD477A">
        <w:rPr>
          <w:rStyle w:val="BodyTextChar"/>
          <w:rFonts w:cs="Calibri"/>
        </w:rPr>
        <w:t>Table 3.1</w:t>
      </w:r>
      <w:r w:rsidR="53BF0693" w:rsidRPr="00DD477A">
        <w:rPr>
          <w:rStyle w:val="BodyTextChar"/>
          <w:rFonts w:cs="Calibri"/>
        </w:rPr>
        <w:t xml:space="preserve"> Comprehensive income statement and</w:t>
      </w:r>
    </w:p>
    <w:p w14:paraId="481F134E" w14:textId="1FE81037" w:rsidR="00FA0945" w:rsidRPr="00DD477A" w:rsidRDefault="00E161D1" w:rsidP="00A85E0D">
      <w:pPr>
        <w:pStyle w:val="Bullet2"/>
        <w:rPr>
          <w:rStyle w:val="BodyTextChar"/>
          <w:rFonts w:cs="Calibri"/>
        </w:rPr>
      </w:pPr>
      <w:r w:rsidRPr="00DD477A">
        <w:rPr>
          <w:rStyle w:val="BodyTextChar"/>
          <w:rFonts w:cs="Calibri"/>
        </w:rPr>
        <w:t xml:space="preserve">Table 3.7 </w:t>
      </w:r>
      <w:r w:rsidR="53BF0693" w:rsidRPr="00DD477A">
        <w:rPr>
          <w:rStyle w:val="BodyTextChar"/>
          <w:rFonts w:cs="Calibri"/>
        </w:rPr>
        <w:t xml:space="preserve">Schedule of budgeted income and expenses administered on behalf of </w:t>
      </w:r>
      <w:r w:rsidR="006418EA" w:rsidRPr="00DD477A">
        <w:rPr>
          <w:rStyle w:val="BodyTextChar"/>
          <w:rFonts w:cs="Calibri"/>
        </w:rPr>
        <w:t>government</w:t>
      </w:r>
      <w:r w:rsidR="00BC0DB5" w:rsidRPr="00DD477A">
        <w:rPr>
          <w:rStyle w:val="BodyTextChar"/>
          <w:rFonts w:cs="Calibri"/>
        </w:rPr>
        <w:t>.</w:t>
      </w:r>
    </w:p>
    <w:p w14:paraId="6B348015" w14:textId="7176C01C" w:rsidR="00FA0945" w:rsidRPr="00DD477A" w:rsidRDefault="00BC0DB5" w:rsidP="00A7381C">
      <w:pPr>
        <w:pStyle w:val="Bullet1"/>
        <w:rPr>
          <w:rStyle w:val="BodyTextChar"/>
          <w:rFonts w:cs="Calibri"/>
        </w:rPr>
      </w:pPr>
      <w:r w:rsidRPr="00DD477A">
        <w:rPr>
          <w:rStyle w:val="BodyTextChar"/>
          <w:rFonts w:cs="Calibri"/>
        </w:rPr>
        <w:lastRenderedPageBreak/>
        <w:t>T</w:t>
      </w:r>
      <w:r w:rsidR="53BF0693" w:rsidRPr="00DD477A">
        <w:rPr>
          <w:rStyle w:val="BodyTextChar"/>
          <w:rFonts w:cs="Calibri"/>
        </w:rPr>
        <w:t xml:space="preserve">otal expenses </w:t>
      </w:r>
      <w:r w:rsidR="007F587C" w:rsidRPr="00DD477A">
        <w:rPr>
          <w:rStyle w:val="BodyTextChar"/>
          <w:rFonts w:cs="Calibri"/>
        </w:rPr>
        <w:t>in each table</w:t>
      </w:r>
      <w:r w:rsidR="53BF0693" w:rsidRPr="00DD477A">
        <w:rPr>
          <w:rStyle w:val="BodyTextChar"/>
          <w:rFonts w:cs="Calibri"/>
        </w:rPr>
        <w:t xml:space="preserve"> </w:t>
      </w:r>
      <w:r w:rsidR="007F587C" w:rsidRPr="00DD477A">
        <w:rPr>
          <w:rStyle w:val="BodyTextChar"/>
          <w:rFonts w:cs="Calibri"/>
        </w:rPr>
        <w:t xml:space="preserve">must </w:t>
      </w:r>
      <w:r w:rsidR="53BF0693" w:rsidRPr="00DD477A">
        <w:rPr>
          <w:rStyle w:val="BodyTextChar"/>
          <w:rFonts w:cs="Calibri"/>
        </w:rPr>
        <w:t>reconcile to program and outcome expenses captured in CBMS</w:t>
      </w:r>
      <w:r w:rsidR="009772EE" w:rsidRPr="00DD477A">
        <w:rPr>
          <w:rStyle w:val="BodyTextChar"/>
          <w:rFonts w:cs="Calibri"/>
        </w:rPr>
        <w:t>.</w:t>
      </w:r>
    </w:p>
    <w:p w14:paraId="5822A348" w14:textId="0E9925FE" w:rsidR="00FA0945" w:rsidRPr="00DD477A" w:rsidRDefault="0063005D" w:rsidP="006437D6">
      <w:pPr>
        <w:pStyle w:val="Bullet1"/>
        <w:rPr>
          <w:rStyle w:val="BodyTextChar"/>
          <w:rFonts w:cs="Calibri"/>
        </w:rPr>
      </w:pPr>
      <w:r w:rsidRPr="00DD477A">
        <w:rPr>
          <w:rStyle w:val="BodyTextChar"/>
          <w:rFonts w:cs="Calibri"/>
        </w:rPr>
        <w:t>A</w:t>
      </w:r>
      <w:r w:rsidR="53BF0693" w:rsidRPr="00DD477A">
        <w:rPr>
          <w:rStyle w:val="BodyTextChar"/>
          <w:rFonts w:cs="Calibri"/>
        </w:rPr>
        <w:t>mounts drawn down from an annual</w:t>
      </w:r>
      <w:r w:rsidRPr="00DD477A">
        <w:rPr>
          <w:rStyle w:val="BodyTextChar"/>
          <w:rFonts w:cs="Calibri"/>
        </w:rPr>
        <w:t>/</w:t>
      </w:r>
      <w:r w:rsidR="53BF0693" w:rsidRPr="00DD477A">
        <w:rPr>
          <w:rStyle w:val="BodyTextChar"/>
          <w:rFonts w:cs="Calibri"/>
        </w:rPr>
        <w:t>special appropriation and credited to a special account</w:t>
      </w:r>
      <w:r w:rsidRPr="00DD477A">
        <w:rPr>
          <w:rStyle w:val="BodyTextChar"/>
          <w:rFonts w:cs="Calibri"/>
        </w:rPr>
        <w:t xml:space="preserve"> </w:t>
      </w:r>
      <w:r w:rsidR="0090185F" w:rsidRPr="00DD477A">
        <w:rPr>
          <w:rStyle w:val="BodyTextChar"/>
          <w:rFonts w:cs="Calibri"/>
        </w:rPr>
        <w:t>then</w:t>
      </w:r>
      <w:r w:rsidR="00FB07E3" w:rsidRPr="00DD477A">
        <w:rPr>
          <w:rStyle w:val="BodyTextChar"/>
          <w:rFonts w:cs="Calibri"/>
        </w:rPr>
        <w:t xml:space="preserve"> subsequently expensed </w:t>
      </w:r>
      <w:r w:rsidR="00E60942" w:rsidRPr="00DD477A">
        <w:rPr>
          <w:rStyle w:val="BodyTextChar"/>
          <w:rFonts w:cs="Calibri"/>
        </w:rPr>
        <w:t>from the special account</w:t>
      </w:r>
      <w:r w:rsidR="0002296F" w:rsidRPr="00DD477A">
        <w:rPr>
          <w:rStyle w:val="BodyTextChar"/>
          <w:rFonts w:cs="Calibri"/>
        </w:rPr>
        <w:t>,</w:t>
      </w:r>
      <w:r w:rsidR="00E60942" w:rsidRPr="00DD477A">
        <w:rPr>
          <w:rStyle w:val="BodyTextChar"/>
          <w:rFonts w:cs="Calibri"/>
        </w:rPr>
        <w:t xml:space="preserve"> </w:t>
      </w:r>
      <w:r w:rsidRPr="00DD477A">
        <w:rPr>
          <w:rStyle w:val="BodyTextChar"/>
          <w:rFonts w:cs="Calibri"/>
        </w:rPr>
        <w:t xml:space="preserve">must only </w:t>
      </w:r>
      <w:r w:rsidR="00DE2146" w:rsidRPr="00DD477A">
        <w:rPr>
          <w:rStyle w:val="BodyTextChar"/>
          <w:rFonts w:cs="Calibri"/>
        </w:rPr>
        <w:t xml:space="preserve">be </w:t>
      </w:r>
      <w:r w:rsidR="00E60942" w:rsidRPr="00DD477A">
        <w:rPr>
          <w:rStyle w:val="BodyTextChar"/>
          <w:rFonts w:cs="Calibri"/>
        </w:rPr>
        <w:t>reported once in the Tables of the entity.</w:t>
      </w:r>
      <w:r w:rsidR="008720E3" w:rsidRPr="00DD477A">
        <w:rPr>
          <w:rStyle w:val="BodyTextChar"/>
          <w:rFonts w:cs="Calibri"/>
        </w:rPr>
        <w:t xml:space="preserve"> </w:t>
      </w:r>
      <w:r w:rsidR="00FA5F4A" w:rsidRPr="00DD477A">
        <w:rPr>
          <w:rStyle w:val="BodyTextChar"/>
          <w:rFonts w:cs="Calibri"/>
        </w:rPr>
        <w:t>This</w:t>
      </w:r>
      <w:r w:rsidR="53BF0693" w:rsidRPr="00DD477A">
        <w:rPr>
          <w:rStyle w:val="BodyTextChar"/>
          <w:rFonts w:cs="Calibri"/>
        </w:rPr>
        <w:t xml:space="preserve"> ensure</w:t>
      </w:r>
      <w:r w:rsidR="00FA5F4A" w:rsidRPr="00DD477A">
        <w:rPr>
          <w:rStyle w:val="BodyTextChar"/>
          <w:rFonts w:cs="Calibri"/>
        </w:rPr>
        <w:t>s</w:t>
      </w:r>
      <w:r w:rsidR="53BF0693" w:rsidRPr="00DD477A">
        <w:rPr>
          <w:rStyle w:val="BodyTextChar"/>
          <w:rFonts w:cs="Calibri"/>
        </w:rPr>
        <w:t xml:space="preserve"> that expenses are not double counted</w:t>
      </w:r>
      <w:r w:rsidR="00AC356E" w:rsidRPr="00DD477A">
        <w:rPr>
          <w:rStyle w:val="BodyTextChar"/>
          <w:rFonts w:cs="Calibri"/>
        </w:rPr>
        <w:t xml:space="preserve">. </w:t>
      </w:r>
      <w:r w:rsidR="53BF0693" w:rsidRPr="00DD477A">
        <w:rPr>
          <w:rStyle w:val="BodyTextChar"/>
          <w:rFonts w:cs="Calibri"/>
        </w:rPr>
        <w:t xml:space="preserve">Entities may wish to include a </w:t>
      </w:r>
      <w:r w:rsidR="00AC356E" w:rsidRPr="00DD477A">
        <w:rPr>
          <w:rStyle w:val="BodyTextChar"/>
          <w:rFonts w:cs="Calibri"/>
        </w:rPr>
        <w:t xml:space="preserve">program-level </w:t>
      </w:r>
      <w:r w:rsidR="53BF0693" w:rsidRPr="00DD477A">
        <w:rPr>
          <w:rStyle w:val="BodyTextChar"/>
          <w:rFonts w:cs="Calibri"/>
        </w:rPr>
        <w:t>footnote describing such transfers</w:t>
      </w:r>
      <w:r w:rsidR="00AC356E" w:rsidRPr="00DD477A">
        <w:rPr>
          <w:rStyle w:val="BodyTextChar"/>
          <w:rFonts w:cs="Calibri"/>
        </w:rPr>
        <w:t>.</w:t>
      </w:r>
    </w:p>
    <w:p w14:paraId="43DEF286" w14:textId="77777777" w:rsidR="00FA0945" w:rsidRPr="00DD477A" w:rsidRDefault="00BC0DB5" w:rsidP="00A7381C">
      <w:pPr>
        <w:pStyle w:val="Bullet1"/>
        <w:rPr>
          <w:rStyle w:val="BodyTextChar"/>
          <w:rFonts w:cs="Calibri"/>
        </w:rPr>
      </w:pPr>
      <w:r w:rsidRPr="00DD477A">
        <w:rPr>
          <w:rStyle w:val="BodyTextChar"/>
          <w:rFonts w:cs="Calibri"/>
        </w:rPr>
        <w:t>F</w:t>
      </w:r>
      <w:r w:rsidR="53BF0693" w:rsidRPr="00DD477A">
        <w:rPr>
          <w:rStyle w:val="BodyTextChar"/>
          <w:rFonts w:cs="Calibri"/>
        </w:rPr>
        <w:t xml:space="preserve">or </w:t>
      </w:r>
      <w:r w:rsidR="00396887" w:rsidRPr="00DD477A">
        <w:rPr>
          <w:rStyle w:val="BodyTextChar"/>
          <w:rFonts w:cs="Calibri"/>
        </w:rPr>
        <w:t>portfolio department</w:t>
      </w:r>
      <w:r w:rsidR="53BF0693" w:rsidRPr="00DD477A">
        <w:rPr>
          <w:rStyle w:val="BodyTextChar"/>
          <w:rFonts w:cs="Calibri"/>
        </w:rPr>
        <w:t>s, payments made to corporate entities should be disclosed as a separate line item under the relevant outcome and program</w:t>
      </w:r>
      <w:r w:rsidRPr="00DD477A">
        <w:rPr>
          <w:rStyle w:val="BodyTextChar"/>
          <w:rFonts w:cs="Calibri"/>
        </w:rPr>
        <w:t>.</w:t>
      </w:r>
    </w:p>
    <w:p w14:paraId="5B0AD1B3" w14:textId="66CBF96C" w:rsidR="00FA0945" w:rsidRPr="00DD477A" w:rsidRDefault="001B435E" w:rsidP="00A7381C">
      <w:pPr>
        <w:pStyle w:val="Bullet1"/>
        <w:rPr>
          <w:rStyle w:val="BodyTextChar"/>
          <w:rFonts w:cs="Calibri"/>
        </w:rPr>
      </w:pPr>
      <w:r w:rsidRPr="00DD477A">
        <w:rPr>
          <w:rStyle w:val="BodyTextChar"/>
          <w:rFonts w:cs="Calibri"/>
        </w:rPr>
        <w:t>C</w:t>
      </w:r>
      <w:r w:rsidR="53BF0693" w:rsidRPr="00DD477A">
        <w:rPr>
          <w:rStyle w:val="BodyTextChar"/>
          <w:rFonts w:cs="Calibri"/>
        </w:rPr>
        <w:t>osts of delivering administered programs</w:t>
      </w:r>
      <w:r w:rsidR="008843C3" w:rsidRPr="00DD477A">
        <w:rPr>
          <w:rStyle w:val="BodyTextChar"/>
          <w:rFonts w:cs="Calibri"/>
        </w:rPr>
        <w:t>,</w:t>
      </w:r>
      <w:r w:rsidR="53BF0693" w:rsidRPr="00DD477A">
        <w:rPr>
          <w:rStyle w:val="BodyTextChar"/>
          <w:rFonts w:cs="Calibri"/>
        </w:rPr>
        <w:t xml:space="preserve"> referred to as program support</w:t>
      </w:r>
      <w:r w:rsidR="008843C3" w:rsidRPr="00DD477A">
        <w:rPr>
          <w:rStyle w:val="BodyTextChar"/>
          <w:rFonts w:cs="Calibri"/>
        </w:rPr>
        <w:t>,</w:t>
      </w:r>
      <w:r w:rsidRPr="00DD477A">
        <w:rPr>
          <w:rStyle w:val="BodyTextChar"/>
          <w:rFonts w:cs="Calibri"/>
        </w:rPr>
        <w:t xml:space="preserve"> </w:t>
      </w:r>
      <w:r w:rsidR="00D63A26" w:rsidRPr="00DD477A">
        <w:rPr>
          <w:rStyle w:val="BodyTextChar"/>
          <w:rFonts w:cs="Calibri"/>
        </w:rPr>
        <w:t xml:space="preserve">are </w:t>
      </w:r>
      <w:r w:rsidR="00FD6311" w:rsidRPr="00DD477A">
        <w:rPr>
          <w:rStyle w:val="BodyTextChar"/>
          <w:rFonts w:cs="Calibri"/>
        </w:rPr>
        <w:t>attributed at the program level</w:t>
      </w:r>
      <w:r w:rsidR="53BF0693" w:rsidRPr="00DD477A">
        <w:rPr>
          <w:rStyle w:val="BodyTextChar"/>
          <w:rFonts w:cs="Calibri"/>
        </w:rPr>
        <w:t>. As program support typically include</w:t>
      </w:r>
      <w:r w:rsidR="00D4140B" w:rsidRPr="00DD477A">
        <w:rPr>
          <w:rStyle w:val="BodyTextChar"/>
          <w:rFonts w:cs="Calibri"/>
        </w:rPr>
        <w:t>s</w:t>
      </w:r>
      <w:r w:rsidR="53BF0693" w:rsidRPr="00DD477A">
        <w:rPr>
          <w:rStyle w:val="BodyTextChar"/>
          <w:rFonts w:cs="Calibri"/>
        </w:rPr>
        <w:t xml:space="preserve"> a portion of corporate/overhead expenses (in addition to direct costs), a reliable and consistent allocation methodology should be used to produce accurate information</w:t>
      </w:r>
      <w:r w:rsidR="00BC0DB5" w:rsidRPr="00DD477A">
        <w:rPr>
          <w:rStyle w:val="BodyTextChar"/>
          <w:rFonts w:cs="Calibri"/>
        </w:rPr>
        <w:t>.</w:t>
      </w:r>
    </w:p>
    <w:p w14:paraId="491BA3C2" w14:textId="13F48418" w:rsidR="00FA0945" w:rsidRPr="00DD477A" w:rsidRDefault="53BF0693" w:rsidP="00A7381C">
      <w:pPr>
        <w:pStyle w:val="Bullet1"/>
        <w:rPr>
          <w:rStyle w:val="BodyTextChar"/>
          <w:rFonts w:cs="Calibri"/>
        </w:rPr>
      </w:pPr>
      <w:r w:rsidRPr="00DD477A">
        <w:rPr>
          <w:rStyle w:val="BodyTextChar"/>
          <w:rFonts w:cs="Calibri"/>
        </w:rPr>
        <w:t xml:space="preserve">Where </w:t>
      </w:r>
      <w:r w:rsidR="00876A11" w:rsidRPr="00DD477A">
        <w:rPr>
          <w:rStyle w:val="BodyTextChar"/>
          <w:rFonts w:cs="Calibri"/>
        </w:rPr>
        <w:t xml:space="preserve">a portion of the ‘Other Departmental’ program expenses </w:t>
      </w:r>
      <w:r w:rsidR="00227438" w:rsidRPr="00DD477A">
        <w:rPr>
          <w:rStyle w:val="BodyTextChar"/>
          <w:rFonts w:cs="Calibri"/>
        </w:rPr>
        <w:t>i</w:t>
      </w:r>
      <w:r w:rsidR="00876A11" w:rsidRPr="00DD477A">
        <w:rPr>
          <w:rStyle w:val="BodyTextChar"/>
          <w:rFonts w:cs="Calibri"/>
        </w:rPr>
        <w:t xml:space="preserve">n CBMS </w:t>
      </w:r>
      <w:r w:rsidRPr="00DD477A">
        <w:rPr>
          <w:rStyle w:val="BodyTextChar"/>
          <w:rFonts w:cs="Calibri"/>
        </w:rPr>
        <w:t xml:space="preserve">are apportioned as </w:t>
      </w:r>
      <w:r w:rsidR="006714EB" w:rsidRPr="00DD477A">
        <w:rPr>
          <w:rStyle w:val="BodyTextChar"/>
          <w:rFonts w:cs="Calibri"/>
        </w:rPr>
        <w:t>‘</w:t>
      </w:r>
      <w:r w:rsidR="00992FF5" w:rsidRPr="00DD477A">
        <w:rPr>
          <w:rStyle w:val="BodyTextChar"/>
          <w:rFonts w:cs="Calibri"/>
        </w:rPr>
        <w:t>program </w:t>
      </w:r>
      <w:r w:rsidRPr="00DD477A">
        <w:rPr>
          <w:rStyle w:val="BodyTextChar"/>
          <w:rFonts w:cs="Calibri"/>
        </w:rPr>
        <w:t>support</w:t>
      </w:r>
      <w:r w:rsidR="006714EB" w:rsidRPr="00DD477A">
        <w:rPr>
          <w:rStyle w:val="BodyTextChar"/>
          <w:rFonts w:cs="Calibri"/>
        </w:rPr>
        <w:t>’</w:t>
      </w:r>
      <w:r w:rsidRPr="00DD477A">
        <w:rPr>
          <w:rStyle w:val="BodyTextChar"/>
          <w:rFonts w:cs="Calibri"/>
        </w:rPr>
        <w:t xml:space="preserve">, entities should ensure that </w:t>
      </w:r>
      <w:r w:rsidR="00BE4C2E" w:rsidRPr="00DD477A">
        <w:rPr>
          <w:rStyle w:val="BodyTextChar"/>
          <w:rFonts w:cs="Calibri"/>
        </w:rPr>
        <w:t xml:space="preserve">amounts </w:t>
      </w:r>
      <w:r w:rsidR="004704BD" w:rsidRPr="00DD477A">
        <w:rPr>
          <w:rStyle w:val="BodyTextChar"/>
          <w:rFonts w:cs="Calibri"/>
        </w:rPr>
        <w:t xml:space="preserve">reported </w:t>
      </w:r>
      <w:r w:rsidRPr="00DD477A">
        <w:rPr>
          <w:rStyle w:val="BodyTextChar"/>
          <w:rFonts w:cs="Calibri"/>
        </w:rPr>
        <w:t>in the Outcome expense tables reconcile to the data in CBMS</w:t>
      </w:r>
      <w:r w:rsidR="00BC0DB5" w:rsidRPr="00DD477A">
        <w:rPr>
          <w:rStyle w:val="BodyTextChar"/>
          <w:rFonts w:cs="Calibri"/>
        </w:rPr>
        <w:t>.</w:t>
      </w:r>
    </w:p>
    <w:p w14:paraId="44661A40" w14:textId="36396B54" w:rsidR="00FA0945" w:rsidRPr="00DD477A" w:rsidRDefault="008A5B27" w:rsidP="008843C3">
      <w:pPr>
        <w:pStyle w:val="Bullet2"/>
        <w:rPr>
          <w:rStyle w:val="BodyTextChar"/>
          <w:rFonts w:cs="Calibri"/>
        </w:rPr>
      </w:pPr>
      <w:r w:rsidRPr="00DD477A">
        <w:rPr>
          <w:rStyle w:val="BodyTextChar"/>
          <w:rFonts w:cs="Calibri"/>
        </w:rPr>
        <w:t xml:space="preserve">Departmental expenses attributed </w:t>
      </w:r>
      <w:r w:rsidR="001E6C29" w:rsidRPr="00DD477A">
        <w:rPr>
          <w:rStyle w:val="BodyTextChar"/>
          <w:rFonts w:cs="Calibri"/>
        </w:rPr>
        <w:t>by</w:t>
      </w:r>
      <w:r w:rsidRPr="00DD477A">
        <w:rPr>
          <w:rStyle w:val="BodyTextChar"/>
          <w:rFonts w:cs="Calibri"/>
        </w:rPr>
        <w:t xml:space="preserve"> program in the </w:t>
      </w:r>
      <w:r w:rsidR="001E6C29" w:rsidRPr="00DD477A">
        <w:t>PB Statements</w:t>
      </w:r>
      <w:r w:rsidR="001E6C29" w:rsidRPr="00DD477A">
        <w:rPr>
          <w:rStyle w:val="BodyTextChar"/>
          <w:rFonts w:cs="Calibri"/>
        </w:rPr>
        <w:t xml:space="preserve"> expense tables </w:t>
      </w:r>
      <w:r w:rsidR="53BF0693" w:rsidRPr="00DD477A">
        <w:rPr>
          <w:rStyle w:val="BodyTextChar"/>
          <w:rFonts w:cs="Calibri"/>
          <w:b/>
          <w:bCs/>
        </w:rPr>
        <w:t>must not</w:t>
      </w:r>
      <w:r w:rsidR="53BF0693" w:rsidRPr="00DD477A">
        <w:rPr>
          <w:rStyle w:val="BodyTextChar"/>
          <w:rFonts w:cs="Calibri"/>
        </w:rPr>
        <w:t xml:space="preserve"> be </w:t>
      </w:r>
      <w:r w:rsidR="001E6C29" w:rsidRPr="00DD477A">
        <w:rPr>
          <w:rStyle w:val="BodyTextChar"/>
          <w:rFonts w:cs="Calibri"/>
        </w:rPr>
        <w:t>titled ‘Other Departmental’</w:t>
      </w:r>
      <w:r w:rsidR="53BF0693" w:rsidRPr="00DD477A">
        <w:rPr>
          <w:rStyle w:val="BodyTextChar"/>
          <w:rFonts w:cs="Calibri"/>
        </w:rPr>
        <w:t xml:space="preserve">. For CBMS programs named </w:t>
      </w:r>
      <w:r w:rsidR="006714EB" w:rsidRPr="00DD477A">
        <w:rPr>
          <w:rStyle w:val="BodyTextChar"/>
          <w:rFonts w:cs="Calibri"/>
        </w:rPr>
        <w:t>‘</w:t>
      </w:r>
      <w:r w:rsidR="53BF0693" w:rsidRPr="00DD477A">
        <w:rPr>
          <w:rStyle w:val="BodyTextChar"/>
          <w:rFonts w:cs="Calibri"/>
        </w:rPr>
        <w:t>Other Departmental</w:t>
      </w:r>
      <w:r w:rsidR="006714EB" w:rsidRPr="00DD477A">
        <w:rPr>
          <w:rStyle w:val="BodyTextChar"/>
          <w:rFonts w:cs="Calibri"/>
        </w:rPr>
        <w:t>’</w:t>
      </w:r>
      <w:r w:rsidR="53BF0693" w:rsidRPr="00DD477A">
        <w:rPr>
          <w:rStyle w:val="BodyTextChar"/>
          <w:rFonts w:cs="Calibri"/>
        </w:rPr>
        <w:t>, should be reported as either:</w:t>
      </w:r>
    </w:p>
    <w:p w14:paraId="1C09DBC0" w14:textId="45CEF367" w:rsidR="00FA0945" w:rsidRPr="00074797" w:rsidRDefault="006714EB" w:rsidP="00074797">
      <w:pPr>
        <w:pStyle w:val="Bullet3"/>
        <w:rPr>
          <w:rStyle w:val="BodyTextChar"/>
          <w:rFonts w:cs="Calibri"/>
        </w:rPr>
      </w:pPr>
      <w:r w:rsidRPr="00074797">
        <w:rPr>
          <w:rStyle w:val="BodyTextChar"/>
          <w:rFonts w:cs="Calibri"/>
        </w:rPr>
        <w:t>‘</w:t>
      </w:r>
      <w:r w:rsidR="53BF0693" w:rsidRPr="00074797">
        <w:rPr>
          <w:rStyle w:val="BodyTextChar"/>
          <w:rFonts w:cs="Calibri"/>
        </w:rPr>
        <w:t>program support</w:t>
      </w:r>
      <w:r w:rsidRPr="00074797">
        <w:rPr>
          <w:rStyle w:val="BodyTextChar"/>
          <w:rFonts w:cs="Calibri"/>
        </w:rPr>
        <w:t>’</w:t>
      </w:r>
      <w:r w:rsidR="53BF0693" w:rsidRPr="00074797">
        <w:rPr>
          <w:rStyle w:val="BodyTextChar"/>
          <w:rFonts w:cs="Calibri"/>
        </w:rPr>
        <w:t xml:space="preserve"> or </w:t>
      </w:r>
    </w:p>
    <w:p w14:paraId="414007B4" w14:textId="686B132E" w:rsidR="00FA0945" w:rsidRPr="00074797" w:rsidRDefault="53BF0693" w:rsidP="00074797">
      <w:pPr>
        <w:pStyle w:val="Bullet3"/>
        <w:rPr>
          <w:rStyle w:val="BodyTextChar"/>
          <w:rFonts w:cs="Calibri"/>
        </w:rPr>
      </w:pPr>
      <w:r w:rsidRPr="00074797">
        <w:rPr>
          <w:rStyle w:val="BodyTextChar"/>
          <w:rFonts w:cs="Calibri"/>
        </w:rPr>
        <w:t xml:space="preserve">where the entity only has one program </w:t>
      </w:r>
      <w:r w:rsidR="001D1076" w:rsidRPr="00074797">
        <w:rPr>
          <w:rStyle w:val="BodyTextChar"/>
          <w:rFonts w:cs="Calibri"/>
        </w:rPr>
        <w:t>with</w:t>
      </w:r>
      <w:r w:rsidRPr="00074797">
        <w:rPr>
          <w:rStyle w:val="BodyTextChar"/>
          <w:rFonts w:cs="Calibri"/>
        </w:rPr>
        <w:t xml:space="preserve"> th</w:t>
      </w:r>
      <w:r w:rsidR="001D1076" w:rsidRPr="00074797">
        <w:rPr>
          <w:rStyle w:val="BodyTextChar"/>
          <w:rFonts w:cs="Calibri"/>
        </w:rPr>
        <w:t xml:space="preserve">e Other Departmental </w:t>
      </w:r>
      <w:r w:rsidRPr="00074797">
        <w:rPr>
          <w:rStyle w:val="BodyTextChar"/>
          <w:rFonts w:cs="Calibri"/>
        </w:rPr>
        <w:t>funding cover</w:t>
      </w:r>
      <w:r w:rsidR="00BC0386" w:rsidRPr="00074797">
        <w:rPr>
          <w:rStyle w:val="BodyTextChar"/>
          <w:rFonts w:cs="Calibri"/>
        </w:rPr>
        <w:t>ing</w:t>
      </w:r>
      <w:r w:rsidRPr="00074797">
        <w:rPr>
          <w:rStyle w:val="BodyTextChar"/>
          <w:rFonts w:cs="Calibri"/>
        </w:rPr>
        <w:t xml:space="preserve"> </w:t>
      </w:r>
      <w:r w:rsidR="00F13710" w:rsidRPr="00074797">
        <w:rPr>
          <w:rStyle w:val="BodyTextChar"/>
          <w:rFonts w:cs="Calibri"/>
        </w:rPr>
        <w:t>all</w:t>
      </w:r>
      <w:r w:rsidRPr="00074797">
        <w:rPr>
          <w:rStyle w:val="BodyTextChar"/>
          <w:rFonts w:cs="Calibri"/>
        </w:rPr>
        <w:t xml:space="preserve"> functions of the entity, </w:t>
      </w:r>
      <w:r w:rsidR="00BC0386" w:rsidRPr="00074797">
        <w:rPr>
          <w:rStyle w:val="BodyTextChar"/>
          <w:rFonts w:cs="Calibri"/>
        </w:rPr>
        <w:t xml:space="preserve">these </w:t>
      </w:r>
      <w:r w:rsidR="0002795E" w:rsidRPr="00074797">
        <w:rPr>
          <w:rStyle w:val="BodyTextChar"/>
          <w:rFonts w:cs="Calibri"/>
        </w:rPr>
        <w:t xml:space="preserve">funds should be titled as </w:t>
      </w:r>
      <w:r w:rsidRPr="00074797">
        <w:rPr>
          <w:rStyle w:val="BodyTextChar"/>
          <w:rFonts w:cs="Calibri"/>
        </w:rPr>
        <w:t>the entity’s name (</w:t>
      </w:r>
      <w:r w:rsidR="0002795E" w:rsidRPr="00074797">
        <w:rPr>
          <w:rStyle w:val="BodyTextChar"/>
          <w:rFonts w:cs="Calibri"/>
        </w:rPr>
        <w:t>e</w:t>
      </w:r>
      <w:r w:rsidR="00096C37" w:rsidRPr="00074797">
        <w:rPr>
          <w:rStyle w:val="BodyTextChar"/>
          <w:rFonts w:cs="Calibri"/>
        </w:rPr>
        <w:t>.</w:t>
      </w:r>
      <w:r w:rsidR="0002795E" w:rsidRPr="00074797">
        <w:rPr>
          <w:rStyle w:val="BodyTextChar"/>
          <w:rFonts w:cs="Calibri"/>
        </w:rPr>
        <w:t>g</w:t>
      </w:r>
      <w:r w:rsidR="00096C37" w:rsidRPr="00074797">
        <w:rPr>
          <w:rStyle w:val="BodyTextChar"/>
          <w:rFonts w:cs="Calibri"/>
        </w:rPr>
        <w:t>.</w:t>
      </w:r>
      <w:r w:rsidR="670085A2" w:rsidRPr="00074797">
        <w:rPr>
          <w:rStyle w:val="BodyTextChar"/>
          <w:rFonts w:cs="Calibri"/>
        </w:rPr>
        <w:t>,</w:t>
      </w:r>
      <w:r w:rsidRPr="00074797">
        <w:rPr>
          <w:rStyle w:val="BodyTextChar"/>
          <w:rFonts w:cs="Calibri"/>
        </w:rPr>
        <w:t xml:space="preserve"> the Productivity Commission reports a single program titled </w:t>
      </w:r>
      <w:r w:rsidR="006714EB" w:rsidRPr="00074797">
        <w:rPr>
          <w:rStyle w:val="BodyTextChar"/>
          <w:rFonts w:cs="Calibri"/>
        </w:rPr>
        <w:t>‘</w:t>
      </w:r>
      <w:r w:rsidRPr="00074797">
        <w:rPr>
          <w:rStyle w:val="BodyTextChar"/>
          <w:rFonts w:cs="Calibri"/>
        </w:rPr>
        <w:t>Productivity Commission</w:t>
      </w:r>
      <w:r w:rsidR="006714EB" w:rsidRPr="00074797">
        <w:rPr>
          <w:rStyle w:val="BodyTextChar"/>
          <w:rFonts w:cs="Calibri"/>
        </w:rPr>
        <w:t>’</w:t>
      </w:r>
      <w:r w:rsidRPr="00074797">
        <w:rPr>
          <w:rStyle w:val="BodyTextChar"/>
          <w:rFonts w:cs="Calibri"/>
        </w:rPr>
        <w:t>)</w:t>
      </w:r>
      <w:r w:rsidR="00D14759" w:rsidRPr="00074797">
        <w:rPr>
          <w:rStyle w:val="BodyTextChar"/>
          <w:rFonts w:cs="Calibri"/>
        </w:rPr>
        <w:t>.</w:t>
      </w:r>
    </w:p>
    <w:p w14:paraId="50744BA6" w14:textId="1EA7EA44" w:rsidR="00FA0945" w:rsidRPr="00DD477A" w:rsidRDefault="00BC0DB5" w:rsidP="00A7381C">
      <w:pPr>
        <w:pStyle w:val="Bullet1"/>
        <w:rPr>
          <w:rStyle w:val="BodyTextChar"/>
          <w:rFonts w:cs="Calibri"/>
        </w:rPr>
      </w:pPr>
      <w:r w:rsidRPr="00DD477A">
        <w:rPr>
          <w:rStyle w:val="BodyTextChar"/>
          <w:rFonts w:cs="Calibri"/>
        </w:rPr>
        <w:t>W</w:t>
      </w:r>
      <w:r w:rsidR="53BF0693" w:rsidRPr="00DD477A">
        <w:rPr>
          <w:rStyle w:val="BodyTextChar"/>
          <w:rFonts w:cs="Calibri"/>
        </w:rPr>
        <w:t xml:space="preserve">here relevant, entities may footnote relevant tables explaining that </w:t>
      </w:r>
      <w:r w:rsidR="0002795E" w:rsidRPr="00DD477A">
        <w:rPr>
          <w:rStyle w:val="BodyTextChar"/>
          <w:rFonts w:cs="Calibri"/>
        </w:rPr>
        <w:t xml:space="preserve">departmental expenses are notionally </w:t>
      </w:r>
      <w:r w:rsidR="53BF0693" w:rsidRPr="00DD477A">
        <w:rPr>
          <w:rStyle w:val="BodyTextChar"/>
          <w:rFonts w:cs="Calibri"/>
        </w:rPr>
        <w:t>allocat</w:t>
      </w:r>
      <w:r w:rsidR="0002795E" w:rsidRPr="00DD477A">
        <w:rPr>
          <w:rStyle w:val="BodyTextChar"/>
          <w:rFonts w:cs="Calibri"/>
        </w:rPr>
        <w:t xml:space="preserve">ed </w:t>
      </w:r>
      <w:r w:rsidR="53BF0693" w:rsidRPr="00DD477A">
        <w:rPr>
          <w:rStyle w:val="BodyTextChar"/>
          <w:rFonts w:cs="Calibri"/>
        </w:rPr>
        <w:t>to programs based on attribution models maintained by entities.</w:t>
      </w:r>
    </w:p>
    <w:p w14:paraId="19BB4BB8" w14:textId="2AD2E92D" w:rsidR="00EF179A" w:rsidRPr="009E2937" w:rsidRDefault="00EF179A" w:rsidP="00E548A0">
      <w:pPr>
        <w:pStyle w:val="Heading3"/>
        <w:rPr>
          <w:rStyle w:val="BodyTextChar"/>
          <w:rFonts w:eastAsiaTheme="majorEastAsia" w:cs="Calibri"/>
        </w:rPr>
      </w:pPr>
      <w:bookmarkStart w:id="916" w:name="_Toc160715576"/>
      <w:r w:rsidRPr="009E2937">
        <w:rPr>
          <w:rStyle w:val="BodyTextChar"/>
          <w:rFonts w:eastAsiaTheme="majorEastAsia" w:cs="Calibri"/>
        </w:rPr>
        <w:t>Expenses not requiring appropriation</w:t>
      </w:r>
      <w:bookmarkEnd w:id="916"/>
    </w:p>
    <w:p w14:paraId="63E220B5" w14:textId="682A052F" w:rsidR="006150E4" w:rsidRPr="00DD477A" w:rsidRDefault="005B560C" w:rsidP="005B560C">
      <w:pPr>
        <w:rPr>
          <w:rStyle w:val="BodyTextChar"/>
          <w:rFonts w:cs="Calibri"/>
        </w:rPr>
      </w:pPr>
      <w:r w:rsidRPr="00DD477A">
        <w:rPr>
          <w:rStyle w:val="BodyTextChar"/>
          <w:rFonts w:cs="Calibri"/>
        </w:rPr>
        <w:t xml:space="preserve">The </w:t>
      </w:r>
      <w:r w:rsidRPr="00DD477A">
        <w:rPr>
          <w:rStyle w:val="BodyTextChar"/>
          <w:rFonts w:cs="Calibri"/>
          <w:b/>
          <w:bCs/>
        </w:rPr>
        <w:t>Expenses not requiring appropriation in Budget year</w:t>
      </w:r>
      <w:r w:rsidRPr="00DD477A">
        <w:rPr>
          <w:rStyle w:val="BodyTextChar"/>
          <w:rFonts w:cs="Calibri"/>
        </w:rPr>
        <w:t xml:space="preserve"> line is to be used by entities where</w:t>
      </w:r>
      <w:r w:rsidR="006150E4" w:rsidRPr="00DD477A">
        <w:rPr>
          <w:rStyle w:val="BodyTextChar"/>
          <w:rFonts w:cs="Calibri"/>
        </w:rPr>
        <w:t>:</w:t>
      </w:r>
    </w:p>
    <w:p w14:paraId="4DEBD747" w14:textId="06ADC89F" w:rsidR="006150E4" w:rsidRPr="00DD477A" w:rsidRDefault="005B560C" w:rsidP="00A85E0D">
      <w:pPr>
        <w:pStyle w:val="Bullet1"/>
        <w:rPr>
          <w:rStyle w:val="BodyTextChar"/>
          <w:rFonts w:cs="Calibri"/>
        </w:rPr>
      </w:pPr>
      <w:r w:rsidRPr="00DD477A">
        <w:rPr>
          <w:rStyle w:val="BodyTextChar"/>
          <w:rFonts w:cs="Calibri"/>
        </w:rPr>
        <w:t xml:space="preserve">there is a </w:t>
      </w:r>
      <w:r w:rsidR="008843C3" w:rsidRPr="00DD477A">
        <w:rPr>
          <w:rStyle w:val="BodyTextChar"/>
          <w:rFonts w:cs="Calibri"/>
        </w:rPr>
        <w:t xml:space="preserve">Government </w:t>
      </w:r>
      <w:r w:rsidRPr="00DD477A">
        <w:rPr>
          <w:rStyle w:val="BodyTextChar"/>
          <w:rFonts w:cs="Calibri"/>
        </w:rPr>
        <w:t>policy not to fund those expenses within the year</w:t>
      </w:r>
      <w:r w:rsidR="005C79C6" w:rsidRPr="00DD477A">
        <w:rPr>
          <w:rStyle w:val="BodyTextChar"/>
          <w:rFonts w:cs="Calibri"/>
        </w:rPr>
        <w:t>,</w:t>
      </w:r>
    </w:p>
    <w:p w14:paraId="646FEF5E" w14:textId="28591D79" w:rsidR="006150E4" w:rsidRPr="00DD477A" w:rsidRDefault="005B560C" w:rsidP="00A85E0D">
      <w:pPr>
        <w:pStyle w:val="Bullet1"/>
        <w:rPr>
          <w:rStyle w:val="BodyTextChar"/>
          <w:rFonts w:cs="Calibri"/>
        </w:rPr>
      </w:pPr>
      <w:r w:rsidRPr="00DD477A">
        <w:rPr>
          <w:rStyle w:val="BodyTextChar"/>
          <w:rFonts w:cs="Calibri"/>
        </w:rPr>
        <w:t xml:space="preserve">the funding </w:t>
      </w:r>
      <w:r w:rsidR="005C79C6" w:rsidRPr="00DD477A">
        <w:rPr>
          <w:rStyle w:val="BodyTextChar"/>
          <w:rFonts w:cs="Calibri"/>
        </w:rPr>
        <w:t>was</w:t>
      </w:r>
      <w:r w:rsidRPr="00DD477A">
        <w:rPr>
          <w:rStyle w:val="BodyTextChar"/>
          <w:rFonts w:cs="Calibri"/>
        </w:rPr>
        <w:t xml:space="preserve"> provided in a prior year, but the expense will be incurred in the current year</w:t>
      </w:r>
      <w:r w:rsidR="005C79C6" w:rsidRPr="00DD477A">
        <w:rPr>
          <w:rStyle w:val="BodyTextChar"/>
          <w:rFonts w:cs="Calibri"/>
        </w:rPr>
        <w:t>,</w:t>
      </w:r>
      <w:r w:rsidRPr="00DD477A">
        <w:rPr>
          <w:rStyle w:val="BodyTextChar"/>
          <w:rFonts w:cs="Calibri"/>
        </w:rPr>
        <w:t xml:space="preserve"> or </w:t>
      </w:r>
    </w:p>
    <w:p w14:paraId="79D3941B" w14:textId="7DCC822C" w:rsidR="005B560C" w:rsidRPr="00DD477A" w:rsidRDefault="005B560C" w:rsidP="00A85E0D">
      <w:pPr>
        <w:pStyle w:val="Bullet1"/>
      </w:pPr>
      <w:r w:rsidRPr="00DD477A">
        <w:rPr>
          <w:rStyle w:val="BodyTextChar"/>
          <w:rFonts w:cs="Calibri"/>
        </w:rPr>
        <w:t>the expenses reflect the usage of services provided free of charge.</w:t>
      </w:r>
    </w:p>
    <w:p w14:paraId="5E78079E" w14:textId="77777777" w:rsidR="006437D6" w:rsidRPr="00DD477A" w:rsidRDefault="006437D6" w:rsidP="005D170E">
      <w:pPr>
        <w:pStyle w:val="Bullet1"/>
        <w:numPr>
          <w:ilvl w:val="0"/>
          <w:numId w:val="0"/>
        </w:numPr>
        <w:rPr>
          <w:rStyle w:val="BodyTextChar"/>
          <w:rFonts w:cs="Calibri"/>
        </w:rPr>
      </w:pPr>
    </w:p>
    <w:p w14:paraId="4222F1FF" w14:textId="1606F2F3" w:rsidR="00A931F6" w:rsidRPr="00DD477A" w:rsidRDefault="000034FA" w:rsidP="005D170E">
      <w:pPr>
        <w:pStyle w:val="Bullet1"/>
        <w:numPr>
          <w:ilvl w:val="0"/>
          <w:numId w:val="0"/>
        </w:numPr>
        <w:rPr>
          <w:rStyle w:val="BodyTextChar"/>
          <w:rFonts w:ascii="Cambria" w:hAnsi="Cambria" w:cs="Calibri"/>
        </w:rPr>
      </w:pPr>
      <w:r w:rsidRPr="00DD477A">
        <w:rPr>
          <w:rStyle w:val="BodyTextChar"/>
          <w:rFonts w:cs="Calibri"/>
        </w:rPr>
        <w:t>E</w:t>
      </w:r>
      <w:r w:rsidR="005B560C" w:rsidRPr="00DD477A">
        <w:rPr>
          <w:rStyle w:val="BodyTextChar"/>
          <w:rFonts w:cs="Calibri"/>
        </w:rPr>
        <w:t>xample</w:t>
      </w:r>
      <w:r w:rsidRPr="00DD477A">
        <w:rPr>
          <w:rStyle w:val="BodyTextChar"/>
          <w:rFonts w:cs="Calibri"/>
        </w:rPr>
        <w:t xml:space="preserve">s </w:t>
      </w:r>
      <w:r w:rsidR="00A931F6" w:rsidRPr="00DD477A">
        <w:rPr>
          <w:rStyle w:val="BodyTextChar"/>
          <w:rFonts w:cs="Calibri"/>
        </w:rPr>
        <w:t>include:</w:t>
      </w:r>
    </w:p>
    <w:p w14:paraId="1448EB27" w14:textId="057B5CA8" w:rsidR="00A931F6" w:rsidRPr="00DD477A" w:rsidRDefault="005B560C" w:rsidP="00A85E0D">
      <w:pPr>
        <w:pStyle w:val="Bullet1"/>
        <w:rPr>
          <w:rStyle w:val="BodyTextChar"/>
          <w:rFonts w:cs="Calibri"/>
        </w:rPr>
      </w:pPr>
      <w:r w:rsidRPr="00DD477A">
        <w:rPr>
          <w:rStyle w:val="BodyTextChar"/>
          <w:rFonts w:cs="Calibri"/>
        </w:rPr>
        <w:t xml:space="preserve">depreciation expenses </w:t>
      </w:r>
      <w:r w:rsidR="008843C3" w:rsidRPr="00DD477A">
        <w:rPr>
          <w:rStyle w:val="BodyTextChar"/>
          <w:rFonts w:cs="Calibri"/>
        </w:rPr>
        <w:t xml:space="preserve">where </w:t>
      </w:r>
      <w:r w:rsidRPr="00DD477A">
        <w:rPr>
          <w:rStyle w:val="BodyTextChar"/>
          <w:rFonts w:cs="Calibri"/>
        </w:rPr>
        <w:t>the government has provided a separate capital budget</w:t>
      </w:r>
      <w:r w:rsidR="008843C3" w:rsidRPr="00DD477A">
        <w:rPr>
          <w:rStyle w:val="BodyTextChar"/>
          <w:rFonts w:cs="Calibri"/>
        </w:rPr>
        <w:t xml:space="preserve">, such as a </w:t>
      </w:r>
      <w:r w:rsidR="00994760" w:rsidRPr="00DD477A">
        <w:rPr>
          <w:rStyle w:val="BodyTextChar"/>
          <w:rFonts w:cs="Calibri"/>
        </w:rPr>
        <w:t>DCB</w:t>
      </w:r>
      <w:r w:rsidR="008843C3" w:rsidRPr="00DD477A">
        <w:rPr>
          <w:rStyle w:val="BodyTextChar"/>
          <w:rFonts w:cs="Calibri"/>
        </w:rPr>
        <w:t xml:space="preserve"> or </w:t>
      </w:r>
      <w:r w:rsidRPr="00DD477A">
        <w:rPr>
          <w:rStyle w:val="BodyTextChar"/>
          <w:rFonts w:cs="Calibri"/>
        </w:rPr>
        <w:t>Collection Development Acquisition Budget</w:t>
      </w:r>
      <w:r w:rsidR="00852646" w:rsidRPr="00DD477A">
        <w:rPr>
          <w:rStyle w:val="BodyTextChar"/>
          <w:rFonts w:cs="Calibri"/>
        </w:rPr>
        <w:t xml:space="preserve"> (</w:t>
      </w:r>
      <w:r w:rsidR="00641C6D" w:rsidRPr="00DD477A">
        <w:rPr>
          <w:rStyle w:val="BodyTextChar"/>
          <w:rFonts w:cs="Calibri"/>
        </w:rPr>
        <w:t>C</w:t>
      </w:r>
      <w:r w:rsidR="00852646" w:rsidRPr="00DD477A">
        <w:rPr>
          <w:rStyle w:val="BodyTextChar"/>
          <w:rFonts w:cs="Calibri"/>
        </w:rPr>
        <w:t>D</w:t>
      </w:r>
      <w:r w:rsidR="00641C6D" w:rsidRPr="00DD477A">
        <w:rPr>
          <w:rStyle w:val="BodyTextChar"/>
          <w:rFonts w:cs="Calibri"/>
        </w:rPr>
        <w:t>A</w:t>
      </w:r>
      <w:r w:rsidR="00852646" w:rsidRPr="00DD477A">
        <w:rPr>
          <w:rStyle w:val="BodyTextChar"/>
          <w:rFonts w:cs="Calibri"/>
        </w:rPr>
        <w:t>B)</w:t>
      </w:r>
      <w:r w:rsidR="00A931F6" w:rsidRPr="00DD477A">
        <w:rPr>
          <w:rStyle w:val="BodyTextChar"/>
          <w:rFonts w:cs="Calibri"/>
        </w:rPr>
        <w:t>.</w:t>
      </w:r>
    </w:p>
    <w:p w14:paraId="299A618D" w14:textId="1D108BA5" w:rsidR="00A931F6" w:rsidRPr="00DD477A" w:rsidRDefault="005B560C" w:rsidP="00A85E0D">
      <w:pPr>
        <w:pStyle w:val="Bullet1"/>
        <w:rPr>
          <w:rStyle w:val="BodyTextChar"/>
          <w:rFonts w:cs="Calibri"/>
        </w:rPr>
      </w:pPr>
      <w:r w:rsidRPr="00DD477A">
        <w:rPr>
          <w:rStyle w:val="BodyTextChar"/>
          <w:rFonts w:cs="Calibri"/>
        </w:rPr>
        <w:t xml:space="preserve">expenses </w:t>
      </w:r>
      <w:r w:rsidR="00DF03EB" w:rsidRPr="00DD477A">
        <w:rPr>
          <w:rStyle w:val="BodyTextChar"/>
          <w:rFonts w:cs="Calibri"/>
        </w:rPr>
        <w:t>related to</w:t>
      </w:r>
      <w:r w:rsidRPr="00DD477A">
        <w:rPr>
          <w:rStyle w:val="BodyTextChar"/>
          <w:rFonts w:cs="Calibri"/>
        </w:rPr>
        <w:t xml:space="preserve"> audit services provided </w:t>
      </w:r>
      <w:r w:rsidR="008843C3" w:rsidRPr="00DD477A">
        <w:rPr>
          <w:rStyle w:val="BodyTextChar"/>
          <w:rFonts w:cs="Calibri"/>
        </w:rPr>
        <w:t xml:space="preserve">free of charge </w:t>
      </w:r>
      <w:r w:rsidRPr="00DD477A">
        <w:rPr>
          <w:rStyle w:val="BodyTextChar"/>
          <w:rFonts w:cs="Calibri"/>
        </w:rPr>
        <w:t>by the Australian National Audit Office</w:t>
      </w:r>
      <w:r w:rsidR="00B34C22" w:rsidRPr="00DD477A">
        <w:rPr>
          <w:rStyle w:val="BodyTextChar"/>
          <w:rFonts w:cs="Calibri"/>
        </w:rPr>
        <w:t xml:space="preserve"> (ANAO)</w:t>
      </w:r>
      <w:r w:rsidR="00A931F6" w:rsidRPr="00DD477A">
        <w:rPr>
          <w:rStyle w:val="BodyTextChar"/>
          <w:rFonts w:cs="Calibri"/>
        </w:rPr>
        <w:t>.</w:t>
      </w:r>
    </w:p>
    <w:p w14:paraId="44E5C033" w14:textId="463FD6DC" w:rsidR="005B560C" w:rsidRPr="00DD477A" w:rsidRDefault="005B560C" w:rsidP="00A85E0D">
      <w:pPr>
        <w:pStyle w:val="Bullet1"/>
        <w:rPr>
          <w:rStyle w:val="BodyTextChar"/>
          <w:rFonts w:cs="Calibri"/>
        </w:rPr>
      </w:pPr>
      <w:r w:rsidRPr="00DD477A">
        <w:rPr>
          <w:rStyle w:val="BodyTextChar"/>
          <w:rFonts w:cs="Calibri"/>
        </w:rPr>
        <w:t>non-cash expenses for which the entity has received operating loss approval.</w:t>
      </w:r>
    </w:p>
    <w:p w14:paraId="00E0FC7B" w14:textId="1949930B" w:rsidR="00855385" w:rsidRPr="00DD477A" w:rsidRDefault="00855385" w:rsidP="00A85E0D">
      <w:pPr>
        <w:pStyle w:val="Bullet1"/>
        <w:rPr>
          <w:rStyle w:val="BodyTextChar"/>
          <w:rFonts w:cs="Calibri"/>
        </w:rPr>
      </w:pPr>
      <w:r w:rsidRPr="00DD477A">
        <w:rPr>
          <w:rStyle w:val="BodyTextChar"/>
          <w:rFonts w:cs="Calibri"/>
        </w:rPr>
        <w:t>Items which do not or will not involve a cash flow impact (such as bad debt expenses).</w:t>
      </w:r>
    </w:p>
    <w:p w14:paraId="1886EF2E" w14:textId="78F98D7E" w:rsidR="00E02C97" w:rsidRPr="00DD477A" w:rsidRDefault="53BF0693" w:rsidP="00D14759">
      <w:pPr>
        <w:keepNext/>
        <w:rPr>
          <w:rStyle w:val="BodyTextChar"/>
          <w:rFonts w:cs="Calibri"/>
        </w:rPr>
      </w:pPr>
      <w:r w:rsidRPr="00DD477A">
        <w:rPr>
          <w:rStyle w:val="BodyTextChar"/>
          <w:rFonts w:cs="Calibri"/>
        </w:rPr>
        <w:lastRenderedPageBreak/>
        <w:t>A summary of the relationship between Table 2.X.1 and the income statements is provided below:</w:t>
      </w:r>
    </w:p>
    <w:p w14:paraId="0B928351" w14:textId="77777777" w:rsidR="000E69EB" w:rsidRPr="00DD477A" w:rsidRDefault="00FA0945" w:rsidP="001D30A2">
      <w:pPr>
        <w:pStyle w:val="BodyText"/>
        <w:rPr>
          <w:rStyle w:val="BodyTextChar"/>
          <w:rFonts w:eastAsia="MS Gothic" w:cs="Calibri"/>
          <w:iCs/>
          <w:color w:val="005A77"/>
          <w:spacing w:val="-6"/>
          <w:sz w:val="32"/>
          <w:szCs w:val="24"/>
        </w:rPr>
      </w:pPr>
      <w:r w:rsidRPr="00DD477A">
        <w:rPr>
          <w:rStyle w:val="BodyTextChar"/>
          <w:rFonts w:cs="Calibri"/>
          <w:noProof/>
          <w:lang w:eastAsia="en-AU"/>
        </w:rPr>
        <mc:AlternateContent>
          <mc:Choice Requires="wpc">
            <w:drawing>
              <wp:inline distT="0" distB="0" distL="0" distR="0" wp14:anchorId="3EEB1626" wp14:editId="2F8F8AFD">
                <wp:extent cx="5981457" cy="2026285"/>
                <wp:effectExtent l="0" t="0" r="19685" b="12065"/>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lumMod val="85000"/>
                          </a:schemeClr>
                        </a:solidFill>
                      </wpc:bg>
                      <wpc:whole>
                        <a:ln>
                          <a:solidFill>
                            <a:schemeClr val="tx1"/>
                          </a:solidFill>
                        </a:ln>
                      </wpc:whole>
                      <wps:wsp>
                        <wps:cNvPr id="34" name="Text Box 20"/>
                        <wps:cNvSpPr txBox="1">
                          <a:spLocks noChangeArrowheads="1"/>
                        </wps:cNvSpPr>
                        <wps:spPr bwMode="auto">
                          <a:xfrm>
                            <a:off x="3514881" y="87354"/>
                            <a:ext cx="2396686" cy="1799679"/>
                          </a:xfrm>
                          <a:prstGeom prst="rect">
                            <a:avLst/>
                          </a:prstGeom>
                          <a:solidFill>
                            <a:schemeClr val="bg1"/>
                          </a:solidFill>
                          <a:ln w="9525">
                            <a:solidFill>
                              <a:srgbClr val="000000"/>
                            </a:solidFill>
                            <a:miter lim="800000"/>
                            <a:headEnd/>
                            <a:tailEnd/>
                          </a:ln>
                        </wps:spPr>
                        <wps:txbx>
                          <w:txbxContent>
                            <w:p w14:paraId="3253B4D4" w14:textId="77777777" w:rsidR="000D76A1" w:rsidRPr="00A27DB6" w:rsidRDefault="000D76A1" w:rsidP="000A7DEC">
                              <w:pPr>
                                <w:rPr>
                                  <w:sz w:val="16"/>
                                  <w:szCs w:val="16"/>
                                </w:rPr>
                              </w:pPr>
                              <w:bookmarkStart w:id="917" w:name="_Hlk410817650"/>
                              <w:r w:rsidRPr="00A27DB6">
                                <w:rPr>
                                  <w:sz w:val="16"/>
                                  <w:szCs w:val="16"/>
                                </w:rPr>
                                <w:t>Table 3.1: Comprehensive income statement (Departmental)</w:t>
                              </w:r>
                            </w:p>
                            <w:p w14:paraId="504D05B4" w14:textId="77777777" w:rsidR="000D76A1" w:rsidRPr="00A27DB6" w:rsidRDefault="000D76A1">
                              <w:pPr>
                                <w:pStyle w:val="NormalTextRed"/>
                                <w:rPr>
                                  <w:sz w:val="16"/>
                                  <w:szCs w:val="16"/>
                                </w:rPr>
                              </w:pPr>
                              <w:r w:rsidRPr="00A27DB6">
                                <w:rPr>
                                  <w:sz w:val="16"/>
                                  <w:szCs w:val="16"/>
                                </w:rPr>
                                <w:t>Total expenses</w:t>
                              </w:r>
                            </w:p>
                            <w:p w14:paraId="35E09851" w14:textId="7A545269" w:rsidR="000D76A1" w:rsidRPr="00A27DB6" w:rsidRDefault="00994760" w:rsidP="000A7DEC">
                              <w:pPr>
                                <w:rPr>
                                  <w:b/>
                                  <w:sz w:val="16"/>
                                  <w:szCs w:val="16"/>
                                </w:rPr>
                              </w:pPr>
                              <w:r>
                                <w:rPr>
                                  <w:sz w:val="16"/>
                                  <w:szCs w:val="16"/>
                                </w:rPr>
                                <w:t xml:space="preserve">          </w:t>
                              </w:r>
                              <w:r w:rsidR="000D76A1" w:rsidRPr="00A27DB6">
                                <w:rPr>
                                  <w:b/>
                                  <w:sz w:val="16"/>
                                  <w:szCs w:val="16"/>
                                </w:rPr>
                                <w:t>+</w:t>
                              </w:r>
                            </w:p>
                            <w:p w14:paraId="044031AC" w14:textId="77777777" w:rsidR="000D76A1" w:rsidRPr="00A27DB6" w:rsidRDefault="000D76A1" w:rsidP="000A7DEC">
                              <w:pPr>
                                <w:rPr>
                                  <w:sz w:val="16"/>
                                  <w:szCs w:val="16"/>
                                </w:rPr>
                              </w:pPr>
                              <w:r w:rsidRPr="00A27DB6">
                                <w:rPr>
                                  <w:sz w:val="16"/>
                                  <w:szCs w:val="16"/>
                                </w:rPr>
                                <w:t>Table 3.7: Schedule of budgeted income and expenses administered on behalf of Government</w:t>
                              </w:r>
                            </w:p>
                            <w:p w14:paraId="2DBE4996" w14:textId="77777777" w:rsidR="000D76A1" w:rsidRPr="00A27DB6" w:rsidRDefault="000D76A1">
                              <w:pPr>
                                <w:pStyle w:val="NormalTextRed"/>
                                <w:rPr>
                                  <w:sz w:val="16"/>
                                  <w:szCs w:val="16"/>
                                </w:rPr>
                              </w:pPr>
                              <w:r w:rsidRPr="00A27DB6">
                                <w:rPr>
                                  <w:sz w:val="16"/>
                                  <w:szCs w:val="16"/>
                                </w:rPr>
                                <w:t>Total expenses</w:t>
                              </w:r>
                              <w:bookmarkEnd w:id="917"/>
                            </w:p>
                          </w:txbxContent>
                        </wps:txbx>
                        <wps:bodyPr rot="0" vert="horz" wrap="square" lIns="91440" tIns="45720" rIns="91440" bIns="45720" anchor="t" anchorCtr="0" upright="1">
                          <a:noAutofit/>
                        </wps:bodyPr>
                      </wps:wsp>
                      <wps:wsp>
                        <wps:cNvPr id="35" name="Text Box 21"/>
                        <wps:cNvSpPr txBox="1">
                          <a:spLocks noChangeArrowheads="1"/>
                        </wps:cNvSpPr>
                        <wps:spPr bwMode="auto">
                          <a:xfrm>
                            <a:off x="86232" y="320302"/>
                            <a:ext cx="2493890" cy="1159017"/>
                          </a:xfrm>
                          <a:prstGeom prst="rect">
                            <a:avLst/>
                          </a:prstGeom>
                          <a:solidFill>
                            <a:schemeClr val="bg1"/>
                          </a:solidFill>
                          <a:ln w="9525">
                            <a:solidFill>
                              <a:srgbClr val="000000"/>
                            </a:solidFill>
                            <a:miter lim="800000"/>
                            <a:headEnd/>
                            <a:tailEnd/>
                          </a:ln>
                        </wps:spPr>
                        <wps:txbx>
                          <w:txbxContent>
                            <w:p w14:paraId="5A85C580" w14:textId="34E2E2A0" w:rsidR="000D76A1" w:rsidRPr="00A85E0D" w:rsidRDefault="000D76A1" w:rsidP="000A7DEC">
                              <w:pPr>
                                <w:rPr>
                                  <w:sz w:val="16"/>
                                  <w:szCs w:val="16"/>
                                </w:rPr>
                              </w:pPr>
                              <w:r w:rsidRPr="00A27DB6">
                                <w:rPr>
                                  <w:sz w:val="16"/>
                                  <w:szCs w:val="16"/>
                                </w:rPr>
                                <w:t>Table 2.</w:t>
                              </w:r>
                              <w:r w:rsidR="003D54E7">
                                <w:rPr>
                                  <w:sz w:val="16"/>
                                  <w:szCs w:val="16"/>
                                </w:rPr>
                                <w:t xml:space="preserve">[relevant Outcome </w:t>
                              </w:r>
                              <w:r w:rsidR="00380547">
                                <w:rPr>
                                  <w:sz w:val="16"/>
                                  <w:szCs w:val="16"/>
                                </w:rPr>
                                <w:t>number</w:t>
                              </w:r>
                              <w:r w:rsidR="003D54E7">
                                <w:rPr>
                                  <w:sz w:val="16"/>
                                  <w:szCs w:val="16"/>
                                </w:rPr>
                                <w:t>]</w:t>
                              </w:r>
                              <w:r w:rsidRPr="00A85E0D">
                                <w:rPr>
                                  <w:sz w:val="16"/>
                                  <w:szCs w:val="16"/>
                                </w:rPr>
                                <w:t xml:space="preserve">.1: Budgeted expenses for Outcome </w:t>
                              </w:r>
                              <w:r w:rsidR="002413A0">
                                <w:rPr>
                                  <w:sz w:val="16"/>
                                  <w:szCs w:val="16"/>
                                </w:rPr>
                                <w:t xml:space="preserve">[relevant </w:t>
                              </w:r>
                              <w:r w:rsidR="00380547">
                                <w:rPr>
                                  <w:sz w:val="16"/>
                                  <w:szCs w:val="16"/>
                                </w:rPr>
                                <w:t>Outcome</w:t>
                              </w:r>
                              <w:r w:rsidR="002413A0">
                                <w:rPr>
                                  <w:sz w:val="16"/>
                                  <w:szCs w:val="16"/>
                                </w:rPr>
                                <w:t xml:space="preserve"> number</w:t>
                              </w:r>
                              <w:r w:rsidR="00380547">
                                <w:rPr>
                                  <w:sz w:val="16"/>
                                  <w:szCs w:val="16"/>
                                </w:rPr>
                                <w:t>]</w:t>
                              </w:r>
                            </w:p>
                            <w:p w14:paraId="58F6A973" w14:textId="77777777" w:rsidR="000D76A1" w:rsidRPr="00A85E0D" w:rsidRDefault="000D76A1">
                              <w:pPr>
                                <w:pStyle w:val="NormalTextRed"/>
                                <w:rPr>
                                  <w:sz w:val="16"/>
                                  <w:szCs w:val="16"/>
                                </w:rPr>
                              </w:pPr>
                              <w:r w:rsidRPr="00A85E0D">
                                <w:rPr>
                                  <w:sz w:val="16"/>
                                  <w:szCs w:val="16"/>
                                </w:rPr>
                                <w:t>Total Departmental expenses</w:t>
                              </w:r>
                            </w:p>
                            <w:p w14:paraId="09CF747A" w14:textId="529D366D" w:rsidR="000D76A1" w:rsidRPr="00A85E0D" w:rsidRDefault="00994760">
                              <w:pPr>
                                <w:rPr>
                                  <w:b/>
                                  <w:sz w:val="16"/>
                                  <w:szCs w:val="16"/>
                                </w:rPr>
                              </w:pPr>
                              <w:r>
                                <w:rPr>
                                  <w:sz w:val="16"/>
                                  <w:szCs w:val="16"/>
                                </w:rPr>
                                <w:t xml:space="preserve">          </w:t>
                              </w:r>
                              <w:r w:rsidR="000D76A1" w:rsidRPr="00A85E0D">
                                <w:rPr>
                                  <w:b/>
                                  <w:sz w:val="16"/>
                                  <w:szCs w:val="16"/>
                                </w:rPr>
                                <w:t>+</w:t>
                              </w:r>
                            </w:p>
                            <w:p w14:paraId="76B41BAC" w14:textId="77777777" w:rsidR="000D76A1" w:rsidRPr="00A85E0D" w:rsidRDefault="000D76A1">
                              <w:pPr>
                                <w:pStyle w:val="NormalTextRed"/>
                                <w:rPr>
                                  <w:sz w:val="16"/>
                                  <w:szCs w:val="16"/>
                                </w:rPr>
                              </w:pPr>
                              <w:r w:rsidRPr="00A85E0D">
                                <w:rPr>
                                  <w:sz w:val="16"/>
                                  <w:szCs w:val="16"/>
                                </w:rPr>
                                <w:t>Total Administered expenses</w:t>
                              </w:r>
                            </w:p>
                          </w:txbxContent>
                        </wps:txbx>
                        <wps:bodyPr rot="0" vert="horz" wrap="square" lIns="91440" tIns="45720" rIns="91440" bIns="45720" anchor="t" anchorCtr="0" upright="1">
                          <a:noAutofit/>
                        </wps:bodyPr>
                      </wps:wsp>
                      <wps:wsp>
                        <wps:cNvPr id="36" name="Text Box 22"/>
                        <wps:cNvSpPr txBox="1">
                          <a:spLocks noChangeArrowheads="1"/>
                        </wps:cNvSpPr>
                        <wps:spPr bwMode="auto">
                          <a:xfrm>
                            <a:off x="2944132" y="598602"/>
                            <a:ext cx="307968" cy="458066"/>
                          </a:xfrm>
                          <a:prstGeom prst="rect">
                            <a:avLst/>
                          </a:prstGeom>
                          <a:solidFill>
                            <a:schemeClr val="bg1">
                              <a:lumMod val="85000"/>
                            </a:schemeClr>
                          </a:solidFill>
                          <a:ln>
                            <a:noFill/>
                          </a:ln>
                        </wps:spPr>
                        <wps:txbx>
                          <w:txbxContent>
                            <w:p w14:paraId="704ADF60" w14:textId="77777777" w:rsidR="000D76A1" w:rsidRPr="00A27DB6" w:rsidRDefault="000D76A1">
                              <w:pPr>
                                <w:rPr>
                                  <w:b/>
                                  <w:bCs/>
                                  <w:sz w:val="16"/>
                                  <w:szCs w:val="16"/>
                                </w:rPr>
                              </w:pPr>
                              <w:r w:rsidRPr="00A27DB6">
                                <w:rPr>
                                  <w:b/>
                                  <w:bCs/>
                                  <w:sz w:val="16"/>
                                  <w:szCs w:val="16"/>
                                </w:rPr>
                                <w:t>=</w:t>
                              </w:r>
                            </w:p>
                          </w:txbxContent>
                        </wps:txbx>
                        <wps:bodyPr rot="0" vert="horz" wrap="square" lIns="91440" tIns="45720" rIns="91440" bIns="45720" anchor="t" anchorCtr="0" upright="1">
                          <a:noAutofit/>
                        </wps:bodyPr>
                      </wps:wsp>
                    </wpc:wpc>
                  </a:graphicData>
                </a:graphic>
              </wp:inline>
            </w:drawing>
          </mc:Choice>
          <mc:Fallback>
            <w:pict>
              <v:group w14:anchorId="3EEB1626" id="Canvas 37" o:spid="_x0000_s1026" editas="canvas" style="width:471pt;height:159.55pt;mso-position-horizontal-relative:char;mso-position-vertical-relative:line" coordsize="59810,2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10;height:20262;visibility:visible;mso-wrap-style:square" filled="t" fillcolor="#d8d8d8 [2732]" stroked="t" strokecolor="black [3213]">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35148;top:873;width:23967;height:1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" fillcolor="white [3212]">
                  <v:textbox>
                    <w:txbxContent>
                      <w:p w14:paraId="3253B4D4" w14:textId="77777777" w:rsidR="000D76A1" w:rsidRPr="00A27DB6" w:rsidRDefault="000D76A1" w:rsidP="000A7DEC">
                        <w:pPr>
                          <w:rPr>
                            <w:sz w:val="16"/>
                            <w:szCs w:val="16"/>
                          </w:rPr>
                        </w:pPr>
                        <w:bookmarkStart w:id="918" w:name="_Hlk410817650"/>
                        <w:r w:rsidRPr="00A27DB6">
                          <w:rPr>
                            <w:sz w:val="16"/>
                            <w:szCs w:val="16"/>
                          </w:rPr>
                          <w:t>Table 3.1: Comprehensive income statement (Departmental)</w:t>
                        </w:r>
                      </w:p>
                      <w:p w14:paraId="504D05B4" w14:textId="77777777" w:rsidR="000D76A1" w:rsidRPr="00A27DB6" w:rsidRDefault="000D76A1">
                        <w:pPr>
                          <w:pStyle w:val="NormalTextRed"/>
                          <w:rPr>
                            <w:sz w:val="16"/>
                            <w:szCs w:val="16"/>
                          </w:rPr>
                        </w:pPr>
                        <w:r w:rsidRPr="00A27DB6">
                          <w:rPr>
                            <w:sz w:val="16"/>
                            <w:szCs w:val="16"/>
                          </w:rPr>
                          <w:t>Total expenses</w:t>
                        </w:r>
                      </w:p>
                      <w:p w14:paraId="35E09851" w14:textId="7A545269" w:rsidR="000D76A1" w:rsidRPr="00A27DB6" w:rsidRDefault="00994760" w:rsidP="000A7DEC">
                        <w:pPr>
                          <w:rPr>
                            <w:b/>
                            <w:sz w:val="16"/>
                            <w:szCs w:val="16"/>
                          </w:rPr>
                        </w:pPr>
                        <w:r>
                          <w:rPr>
                            <w:sz w:val="16"/>
                            <w:szCs w:val="16"/>
                          </w:rPr>
                          <w:t xml:space="preserve">          </w:t>
                        </w:r>
                        <w:r w:rsidR="000D76A1" w:rsidRPr="00A27DB6">
                          <w:rPr>
                            <w:b/>
                            <w:sz w:val="16"/>
                            <w:szCs w:val="16"/>
                          </w:rPr>
                          <w:t>+</w:t>
                        </w:r>
                      </w:p>
                      <w:p w14:paraId="044031AC" w14:textId="77777777" w:rsidR="000D76A1" w:rsidRPr="00A27DB6" w:rsidRDefault="000D76A1" w:rsidP="000A7DEC">
                        <w:pPr>
                          <w:rPr>
                            <w:sz w:val="16"/>
                            <w:szCs w:val="16"/>
                          </w:rPr>
                        </w:pPr>
                        <w:r w:rsidRPr="00A27DB6">
                          <w:rPr>
                            <w:sz w:val="16"/>
                            <w:szCs w:val="16"/>
                          </w:rPr>
                          <w:t>Table 3.7: Schedule of budgeted income and expenses administered on behalf of Government</w:t>
                        </w:r>
                      </w:p>
                      <w:p w14:paraId="2DBE4996" w14:textId="77777777" w:rsidR="000D76A1" w:rsidRPr="00A27DB6" w:rsidRDefault="000D76A1">
                        <w:pPr>
                          <w:pStyle w:val="NormalTextRed"/>
                          <w:rPr>
                            <w:sz w:val="16"/>
                            <w:szCs w:val="16"/>
                          </w:rPr>
                        </w:pPr>
                        <w:r w:rsidRPr="00A27DB6">
                          <w:rPr>
                            <w:sz w:val="16"/>
                            <w:szCs w:val="16"/>
                          </w:rPr>
                          <w:t>Total expenses</w:t>
                        </w:r>
                        <w:bookmarkEnd w:id="918"/>
                      </w:p>
                    </w:txbxContent>
                  </v:textbox>
                </v:shape>
                <v:shape id="Text Box 21" o:spid="_x0000_s1029" type="#_x0000_t202" style="position:absolute;left:862;top:3203;width:24939;height:1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" fillcolor="white [3212]">
                  <v:textbox>
                    <w:txbxContent>
                      <w:p w14:paraId="5A85C580" w14:textId="34E2E2A0" w:rsidR="000D76A1" w:rsidRPr="00A85E0D" w:rsidRDefault="000D76A1" w:rsidP="000A7DEC">
                        <w:pPr>
                          <w:rPr>
                            <w:sz w:val="16"/>
                            <w:szCs w:val="16"/>
                          </w:rPr>
                        </w:pPr>
                        <w:r w:rsidRPr="00A27DB6">
                          <w:rPr>
                            <w:sz w:val="16"/>
                            <w:szCs w:val="16"/>
                          </w:rPr>
                          <w:t>Table 2.</w:t>
                        </w:r>
                        <w:r w:rsidR="003D54E7">
                          <w:rPr>
                            <w:sz w:val="16"/>
                            <w:szCs w:val="16"/>
                          </w:rPr>
                          <w:t xml:space="preserve">[relevant Outcome </w:t>
                        </w:r>
                        <w:r w:rsidR="00380547">
                          <w:rPr>
                            <w:sz w:val="16"/>
                            <w:szCs w:val="16"/>
                          </w:rPr>
                          <w:t>number</w:t>
                        </w:r>
                        <w:r w:rsidR="003D54E7">
                          <w:rPr>
                            <w:sz w:val="16"/>
                            <w:szCs w:val="16"/>
                          </w:rPr>
                          <w:t>]</w:t>
                        </w:r>
                        <w:r w:rsidRPr="00A85E0D">
                          <w:rPr>
                            <w:sz w:val="16"/>
                            <w:szCs w:val="16"/>
                          </w:rPr>
                          <w:t xml:space="preserve">.1: Budgeted expenses for Outcome </w:t>
                        </w:r>
                        <w:r w:rsidR="002413A0">
                          <w:rPr>
                            <w:sz w:val="16"/>
                            <w:szCs w:val="16"/>
                          </w:rPr>
                          <w:t xml:space="preserve">[relevant </w:t>
                        </w:r>
                        <w:r w:rsidR="00380547">
                          <w:rPr>
                            <w:sz w:val="16"/>
                            <w:szCs w:val="16"/>
                          </w:rPr>
                          <w:t>Outcome</w:t>
                        </w:r>
                        <w:r w:rsidR="002413A0">
                          <w:rPr>
                            <w:sz w:val="16"/>
                            <w:szCs w:val="16"/>
                          </w:rPr>
                          <w:t xml:space="preserve"> number</w:t>
                        </w:r>
                        <w:r w:rsidR="00380547">
                          <w:rPr>
                            <w:sz w:val="16"/>
                            <w:szCs w:val="16"/>
                          </w:rPr>
                          <w:t>]</w:t>
                        </w:r>
                      </w:p>
                      <w:p w14:paraId="58F6A973" w14:textId="77777777" w:rsidR="000D76A1" w:rsidRPr="00A85E0D" w:rsidRDefault="000D76A1">
                        <w:pPr>
                          <w:pStyle w:val="NormalTextRed"/>
                          <w:rPr>
                            <w:sz w:val="16"/>
                            <w:szCs w:val="16"/>
                          </w:rPr>
                        </w:pPr>
                        <w:r w:rsidRPr="00A85E0D">
                          <w:rPr>
                            <w:sz w:val="16"/>
                            <w:szCs w:val="16"/>
                          </w:rPr>
                          <w:t>Total Departmental expenses</w:t>
                        </w:r>
                      </w:p>
                      <w:p w14:paraId="09CF747A" w14:textId="529D366D" w:rsidR="000D76A1" w:rsidRPr="00A85E0D" w:rsidRDefault="00994760">
                        <w:pPr>
                          <w:rPr>
                            <w:b/>
                            <w:sz w:val="16"/>
                            <w:szCs w:val="16"/>
                          </w:rPr>
                        </w:pPr>
                        <w:r>
                          <w:rPr>
                            <w:sz w:val="16"/>
                            <w:szCs w:val="16"/>
                          </w:rPr>
                          <w:t xml:space="preserve">          </w:t>
                        </w:r>
                        <w:r w:rsidR="000D76A1" w:rsidRPr="00A85E0D">
                          <w:rPr>
                            <w:b/>
                            <w:sz w:val="16"/>
                            <w:szCs w:val="16"/>
                          </w:rPr>
                          <w:t>+</w:t>
                        </w:r>
                      </w:p>
                      <w:p w14:paraId="76B41BAC" w14:textId="77777777" w:rsidR="000D76A1" w:rsidRPr="00A85E0D" w:rsidRDefault="000D76A1">
                        <w:pPr>
                          <w:pStyle w:val="NormalTextRed"/>
                          <w:rPr>
                            <w:sz w:val="16"/>
                            <w:szCs w:val="16"/>
                          </w:rPr>
                        </w:pPr>
                        <w:r w:rsidRPr="00A85E0D">
                          <w:rPr>
                            <w:sz w:val="16"/>
                            <w:szCs w:val="16"/>
                          </w:rPr>
                          <w:t>Total Administered expenses</w:t>
                        </w:r>
                      </w:p>
                    </w:txbxContent>
                  </v:textbox>
                </v:shape>
                <v:shape id="Text Box 22" o:spid="_x0000_s1030" type="#_x0000_t202" style="position:absolute;left:29441;top:5986;width:3080;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" fillcolor="#d8d8d8 [2732]" stroked="f">
                  <v:textbox>
                    <w:txbxContent>
                      <w:p w14:paraId="704ADF60" w14:textId="77777777" w:rsidR="000D76A1" w:rsidRPr="00A27DB6" w:rsidRDefault="000D76A1">
                        <w:pPr>
                          <w:rPr>
                            <w:b/>
                            <w:bCs/>
                            <w:sz w:val="16"/>
                            <w:szCs w:val="16"/>
                          </w:rPr>
                        </w:pPr>
                        <w:r w:rsidRPr="00A27DB6">
                          <w:rPr>
                            <w:b/>
                            <w:bCs/>
                            <w:sz w:val="16"/>
                            <w:szCs w:val="16"/>
                          </w:rPr>
                          <w:t>=</w:t>
                        </w:r>
                      </w:p>
                    </w:txbxContent>
                  </v:textbox>
                </v:shape>
                <w10:anchorlock/>
              </v:group>
            </w:pict>
          </mc:Fallback>
        </mc:AlternateContent>
      </w:r>
      <w:bookmarkStart w:id="918" w:name="_Toc26963584"/>
    </w:p>
    <w:p w14:paraId="43BE1547" w14:textId="11778AEF" w:rsidR="004950C9" w:rsidRPr="00DD477A" w:rsidRDefault="00994760" w:rsidP="00E548A0">
      <w:pPr>
        <w:pStyle w:val="Heading3"/>
      </w:pPr>
      <w:bookmarkStart w:id="919" w:name="_Toc160715577"/>
      <w:bookmarkEnd w:id="918"/>
      <w:r w:rsidRPr="00DD477A">
        <w:rPr>
          <w:rStyle w:val="BodyTextChar"/>
          <w:rFonts w:cs="Calibri"/>
        </w:rPr>
        <w:t>Adjustments for interest</w:t>
      </w:r>
      <w:r w:rsidRPr="00DD477A">
        <w:t xml:space="preserve"> </w:t>
      </w:r>
      <w:r w:rsidR="004950C9" w:rsidRPr="00DD477A">
        <w:t>and depreciation of Right-of-Use (RoU) assets</w:t>
      </w:r>
      <w:bookmarkEnd w:id="919"/>
      <w:r w:rsidRPr="00DD477A">
        <w:t xml:space="preserve"> </w:t>
      </w:r>
    </w:p>
    <w:p w14:paraId="4AB981FC" w14:textId="7C9AB060" w:rsidR="00DE5C35" w:rsidRPr="00DD477A" w:rsidRDefault="53BF0693" w:rsidP="53BF0693">
      <w:pPr>
        <w:rPr>
          <w:rFonts w:cs="Calibri"/>
        </w:rPr>
      </w:pPr>
      <w:r w:rsidRPr="00DD477A">
        <w:rPr>
          <w:rFonts w:cs="Calibri"/>
        </w:rPr>
        <w:t xml:space="preserve">There are </w:t>
      </w:r>
      <w:r w:rsidR="00D4487F" w:rsidRPr="00DD477A">
        <w:rPr>
          <w:rFonts w:cs="Calibri"/>
        </w:rPr>
        <w:t>two</w:t>
      </w:r>
      <w:r w:rsidRPr="00DD477A">
        <w:rPr>
          <w:rFonts w:cs="Calibri"/>
        </w:rPr>
        <w:t xml:space="preserve"> main </w:t>
      </w:r>
      <w:r w:rsidR="0015195A" w:rsidRPr="00DD477A">
        <w:rPr>
          <w:rFonts w:cs="Calibri"/>
        </w:rPr>
        <w:t xml:space="preserve">asset </w:t>
      </w:r>
      <w:r w:rsidRPr="00DD477A">
        <w:rPr>
          <w:rFonts w:cs="Calibri"/>
        </w:rPr>
        <w:t xml:space="preserve">leasing components that </w:t>
      </w:r>
      <w:r w:rsidR="00994760" w:rsidRPr="00DD477A">
        <w:rPr>
          <w:rFonts w:cs="Calibri"/>
        </w:rPr>
        <w:t xml:space="preserve">should be included when calculating the </w:t>
      </w:r>
      <w:r w:rsidR="00AB4332" w:rsidRPr="00DD477A">
        <w:rPr>
          <w:rFonts w:cs="Calibri"/>
        </w:rPr>
        <w:t>Departmental appropriation expense</w:t>
      </w:r>
      <w:r w:rsidR="00994760" w:rsidRPr="00DD477A">
        <w:rPr>
          <w:rFonts w:cs="Calibri"/>
        </w:rPr>
        <w:t>s to be reported</w:t>
      </w:r>
      <w:r w:rsidR="00AB4332" w:rsidRPr="00DD477A">
        <w:rPr>
          <w:rFonts w:cs="Calibri"/>
        </w:rPr>
        <w:t xml:space="preserve"> </w:t>
      </w:r>
      <w:r w:rsidRPr="00DD477A">
        <w:rPr>
          <w:rFonts w:cs="Calibri"/>
        </w:rPr>
        <w:t xml:space="preserve">in </w:t>
      </w:r>
      <w:r w:rsidR="00454218" w:rsidRPr="00DD477A">
        <w:rPr>
          <w:rStyle w:val="BodyTextChar"/>
          <w:rFonts w:cs="Calibri"/>
          <w:iCs/>
        </w:rPr>
        <w:t>Table </w:t>
      </w:r>
      <w:r w:rsidRPr="00DD477A">
        <w:rPr>
          <w:rStyle w:val="BodyTextChar"/>
          <w:rFonts w:cs="Calibri"/>
          <w:iCs/>
        </w:rPr>
        <w:t>2.X.1</w:t>
      </w:r>
      <w:r w:rsidR="00187C4E" w:rsidRPr="00DD477A">
        <w:rPr>
          <w:rStyle w:val="BodyTextChar"/>
          <w:rFonts w:cs="Calibri"/>
          <w:iCs/>
        </w:rPr>
        <w:t>, including</w:t>
      </w:r>
      <w:r w:rsidR="00187C4E" w:rsidRPr="00DD477A">
        <w:rPr>
          <w:rFonts w:cs="Calibri"/>
        </w:rPr>
        <w:t>:</w:t>
      </w:r>
    </w:p>
    <w:p w14:paraId="49BC846D" w14:textId="6BB07CA9" w:rsidR="00DE5C35" w:rsidRPr="00DD477A" w:rsidRDefault="00A067C2" w:rsidP="007737BB">
      <w:pPr>
        <w:pStyle w:val="Numbered"/>
        <w:numPr>
          <w:ilvl w:val="0"/>
          <w:numId w:val="52"/>
        </w:numPr>
      </w:pPr>
      <w:r w:rsidRPr="007737BB">
        <w:rPr>
          <w:b/>
          <w:bCs/>
        </w:rPr>
        <w:t>I</w:t>
      </w:r>
      <w:r w:rsidR="6B6EE5C4" w:rsidRPr="007737BB">
        <w:rPr>
          <w:b/>
          <w:bCs/>
        </w:rPr>
        <w:t xml:space="preserve">nterest on </w:t>
      </w:r>
      <w:r w:rsidR="003C43AC" w:rsidRPr="007737BB">
        <w:rPr>
          <w:b/>
          <w:bCs/>
        </w:rPr>
        <w:t xml:space="preserve">RoU </w:t>
      </w:r>
      <w:r w:rsidR="006707E8" w:rsidRPr="007737BB">
        <w:rPr>
          <w:b/>
          <w:bCs/>
        </w:rPr>
        <w:t xml:space="preserve">lease </w:t>
      </w:r>
      <w:r w:rsidR="00994760" w:rsidRPr="007737BB">
        <w:rPr>
          <w:b/>
          <w:bCs/>
        </w:rPr>
        <w:t>liabilities</w:t>
      </w:r>
      <w:r w:rsidR="6B6EE5C4" w:rsidRPr="007737BB">
        <w:rPr>
          <w:b/>
          <w:bCs/>
        </w:rPr>
        <w:t xml:space="preserve"> </w:t>
      </w:r>
      <w:r w:rsidR="00D4537D" w:rsidRPr="007737BB">
        <w:rPr>
          <w:b/>
          <w:bCs/>
        </w:rPr>
        <w:t>–</w:t>
      </w:r>
      <w:r w:rsidR="6B6EE5C4" w:rsidRPr="00DD477A">
        <w:t xml:space="preserve"> </w:t>
      </w:r>
      <w:r w:rsidR="00D4537D" w:rsidRPr="00DD477A">
        <w:t xml:space="preserve">due to </w:t>
      </w:r>
      <w:r w:rsidR="00EA1839" w:rsidRPr="00DD477A">
        <w:t xml:space="preserve">these </w:t>
      </w:r>
      <w:r w:rsidR="00C649D3" w:rsidRPr="00DD477A">
        <w:t xml:space="preserve">aggregated </w:t>
      </w:r>
      <w:r w:rsidR="00EA1839" w:rsidRPr="00DD477A">
        <w:t xml:space="preserve">costs being </w:t>
      </w:r>
      <w:r w:rsidR="6B6EE5C4" w:rsidRPr="00DD477A">
        <w:t xml:space="preserve">reported </w:t>
      </w:r>
      <w:r w:rsidR="00EA1839" w:rsidRPr="00DD477A">
        <w:t>in</w:t>
      </w:r>
      <w:r w:rsidR="6B6EE5C4" w:rsidRPr="00DD477A">
        <w:t xml:space="preserve"> the </w:t>
      </w:r>
      <w:r w:rsidR="00403E7D" w:rsidRPr="00DD477A">
        <w:t>c</w:t>
      </w:r>
      <w:r w:rsidR="6B6EE5C4" w:rsidRPr="00DD477A">
        <w:t xml:space="preserve">omprehensive </w:t>
      </w:r>
      <w:r w:rsidR="00403E7D" w:rsidRPr="00DD477A">
        <w:t>i</w:t>
      </w:r>
      <w:r w:rsidR="6B6EE5C4" w:rsidRPr="00DD477A">
        <w:t xml:space="preserve">ncome </w:t>
      </w:r>
      <w:r w:rsidR="00403E7D" w:rsidRPr="00DD477A">
        <w:t>s</w:t>
      </w:r>
      <w:r w:rsidR="6B6EE5C4" w:rsidRPr="00DD477A">
        <w:t>tatement</w:t>
      </w:r>
      <w:r w:rsidR="00EA1839" w:rsidRPr="00DD477A">
        <w:t xml:space="preserve">, </w:t>
      </w:r>
      <w:r w:rsidR="00086759" w:rsidRPr="00DD477A">
        <w:t xml:space="preserve">a </w:t>
      </w:r>
      <w:r w:rsidR="00C649D3" w:rsidRPr="00DD477A">
        <w:t>matching</w:t>
      </w:r>
      <w:r w:rsidR="00086759" w:rsidRPr="00DD477A">
        <w:t xml:space="preserve"> </w:t>
      </w:r>
      <w:r w:rsidR="00424FE7" w:rsidRPr="00DD477A">
        <w:t>cost need</w:t>
      </w:r>
      <w:r w:rsidR="00852646" w:rsidRPr="00DD477A">
        <w:t>s</w:t>
      </w:r>
      <w:r w:rsidR="00086759" w:rsidRPr="00DD477A">
        <w:t xml:space="preserve"> </w:t>
      </w:r>
      <w:r w:rsidR="6B6EE5C4" w:rsidRPr="00DD477A">
        <w:t xml:space="preserve">to be </w:t>
      </w:r>
      <w:r w:rsidR="00424FE7" w:rsidRPr="00DD477A">
        <w:t xml:space="preserve">captured </w:t>
      </w:r>
      <w:r w:rsidR="00C649D3" w:rsidRPr="00DD477A">
        <w:t>with</w:t>
      </w:r>
      <w:r w:rsidR="00424FE7" w:rsidRPr="00DD477A">
        <w:t xml:space="preserve">in </w:t>
      </w:r>
      <w:r w:rsidR="6B6EE5C4" w:rsidRPr="00DD477A">
        <w:t>the ‘Departmental appropriation expenses’</w:t>
      </w:r>
      <w:r w:rsidR="00C025DF" w:rsidRPr="00DD477A">
        <w:t>.</w:t>
      </w:r>
    </w:p>
    <w:p w14:paraId="6A54832F" w14:textId="58EBA2A4" w:rsidR="00DD477A" w:rsidRPr="00DD477A" w:rsidRDefault="00A067C2" w:rsidP="00AA1E87">
      <w:pPr>
        <w:pStyle w:val="Numbered"/>
      </w:pPr>
      <w:r w:rsidRPr="00DD477A">
        <w:rPr>
          <w:b/>
          <w:bCs/>
        </w:rPr>
        <w:t>D</w:t>
      </w:r>
      <w:r w:rsidR="00DE5C35" w:rsidRPr="00DD477A">
        <w:rPr>
          <w:b/>
          <w:bCs/>
        </w:rPr>
        <w:t>epreciation</w:t>
      </w:r>
      <w:r w:rsidR="00BC0DB5" w:rsidRPr="00DD477A">
        <w:rPr>
          <w:b/>
          <w:bCs/>
        </w:rPr>
        <w:t xml:space="preserve"> </w:t>
      </w:r>
      <w:r w:rsidR="00DE5C35" w:rsidRPr="00DD477A">
        <w:rPr>
          <w:b/>
          <w:bCs/>
        </w:rPr>
        <w:t>/</w:t>
      </w:r>
      <w:r w:rsidR="00BC0DB5" w:rsidRPr="00DD477A">
        <w:rPr>
          <w:b/>
          <w:bCs/>
        </w:rPr>
        <w:t xml:space="preserve"> </w:t>
      </w:r>
      <w:r w:rsidR="00DE5C35" w:rsidRPr="00DD477A">
        <w:rPr>
          <w:b/>
          <w:bCs/>
        </w:rPr>
        <w:t xml:space="preserve">amortisation of </w:t>
      </w:r>
      <w:r w:rsidR="009F3C94" w:rsidRPr="00DD477A">
        <w:rPr>
          <w:b/>
          <w:bCs/>
        </w:rPr>
        <w:t>RoU</w:t>
      </w:r>
      <w:r w:rsidR="00DE5C35" w:rsidRPr="00DD477A">
        <w:rPr>
          <w:b/>
          <w:bCs/>
        </w:rPr>
        <w:t xml:space="preserve"> </w:t>
      </w:r>
      <w:r w:rsidR="00B51040" w:rsidRPr="00DD477A">
        <w:rPr>
          <w:b/>
          <w:bCs/>
        </w:rPr>
        <w:t>a</w:t>
      </w:r>
      <w:r w:rsidR="00DE5C35" w:rsidRPr="00DD477A">
        <w:rPr>
          <w:b/>
          <w:bCs/>
        </w:rPr>
        <w:t>sset</w:t>
      </w:r>
      <w:r w:rsidR="00FC0AF4" w:rsidRPr="00DD477A">
        <w:rPr>
          <w:b/>
          <w:bCs/>
        </w:rPr>
        <w:t xml:space="preserve"> </w:t>
      </w:r>
      <w:r w:rsidR="00294AE3" w:rsidRPr="00DD477A">
        <w:rPr>
          <w:b/>
          <w:bCs/>
        </w:rPr>
        <w:t>–</w:t>
      </w:r>
      <w:r w:rsidR="00DE5C35" w:rsidRPr="00DD477A">
        <w:t xml:space="preserve"> </w:t>
      </w:r>
      <w:r w:rsidR="00994760" w:rsidRPr="00DD477A">
        <w:t>w</w:t>
      </w:r>
      <w:r w:rsidR="00294AE3" w:rsidRPr="00DD477A">
        <w:t xml:space="preserve">here a </w:t>
      </w:r>
      <w:r w:rsidR="007E7B36" w:rsidRPr="00DD477A">
        <w:t>Non-corporate Commonwealth entity (</w:t>
      </w:r>
      <w:r w:rsidRPr="00DD477A">
        <w:t>NCE</w:t>
      </w:r>
      <w:r w:rsidR="007E7B36" w:rsidRPr="00DD477A">
        <w:t>)</w:t>
      </w:r>
      <w:r w:rsidR="00DE5C35" w:rsidRPr="00DD477A">
        <w:t xml:space="preserve"> receive a DCB</w:t>
      </w:r>
      <w:r w:rsidR="00294AE3" w:rsidRPr="00DD477A">
        <w:t xml:space="preserve">, the </w:t>
      </w:r>
      <w:r w:rsidR="00CB5FCE" w:rsidRPr="00DD477A">
        <w:t xml:space="preserve">depreciation </w:t>
      </w:r>
      <w:r w:rsidR="00517B3D" w:rsidRPr="00DD477A">
        <w:t>a</w:t>
      </w:r>
      <w:r w:rsidR="00BC077F" w:rsidRPr="00DD477A">
        <w:t>llocation</w:t>
      </w:r>
      <w:r w:rsidR="008464FE" w:rsidRPr="00DD477A">
        <w:t xml:space="preserve"> </w:t>
      </w:r>
      <w:r w:rsidR="00517B3D" w:rsidRPr="00DD477A">
        <w:t xml:space="preserve">must be apportioned </w:t>
      </w:r>
      <w:r w:rsidR="00DE5C35" w:rsidRPr="00DD477A">
        <w:t xml:space="preserve">between </w:t>
      </w:r>
      <w:r w:rsidR="009F3C94" w:rsidRPr="00DD477A">
        <w:t>RoU</w:t>
      </w:r>
      <w:r w:rsidR="00DE5C35" w:rsidRPr="00DD477A">
        <w:t xml:space="preserve"> </w:t>
      </w:r>
      <w:r w:rsidR="00071DD0" w:rsidRPr="00DD477A">
        <w:t xml:space="preserve">assets </w:t>
      </w:r>
      <w:r w:rsidR="00DE5C35" w:rsidRPr="00DD477A">
        <w:t>and Non</w:t>
      </w:r>
      <w:r w:rsidR="00071DD0" w:rsidRPr="00DD477A">
        <w:noBreakHyphen/>
      </w:r>
      <w:r w:rsidR="009F3C94" w:rsidRPr="00DD477A">
        <w:t>RoU</w:t>
      </w:r>
      <w:r w:rsidR="00071DD0" w:rsidRPr="00DD477A">
        <w:t xml:space="preserve"> assets</w:t>
      </w:r>
      <w:r w:rsidR="00DE5C35" w:rsidRPr="00DD477A">
        <w:t xml:space="preserve">. </w:t>
      </w:r>
      <w:r w:rsidR="00F54528" w:rsidRPr="00DD477A">
        <w:t xml:space="preserve">Both </w:t>
      </w:r>
      <w:r w:rsidR="00DE5C35" w:rsidRPr="00DD477A">
        <w:t>Non-</w:t>
      </w:r>
      <w:r w:rsidR="009F3C94" w:rsidRPr="00DD477A">
        <w:t>RoU</w:t>
      </w:r>
      <w:r w:rsidR="00DE5C35" w:rsidRPr="00DD477A">
        <w:t xml:space="preserve"> depreciation </w:t>
      </w:r>
      <w:r w:rsidR="00F54528" w:rsidRPr="00DD477A">
        <w:t>and RoU Depreciation are</w:t>
      </w:r>
      <w:r w:rsidR="00DE5C35" w:rsidRPr="00DD477A">
        <w:t xml:space="preserve"> reported as </w:t>
      </w:r>
      <w:r w:rsidR="00F54528" w:rsidRPr="00DD477A">
        <w:t xml:space="preserve">part of the </w:t>
      </w:r>
      <w:r w:rsidR="00DE5C35" w:rsidRPr="00DD477A">
        <w:rPr>
          <w:i/>
          <w:iCs/>
        </w:rPr>
        <w:t>Expenses not requiring appropriation</w:t>
      </w:r>
      <w:r w:rsidR="00DE5C35" w:rsidRPr="00DD477A">
        <w:t xml:space="preserve"> </w:t>
      </w:r>
      <w:r w:rsidR="00DD477A" w:rsidRPr="00DD477A">
        <w:t>line</w:t>
      </w:r>
      <w:r w:rsidR="001C543C">
        <w:noBreakHyphen/>
      </w:r>
      <w:r w:rsidR="00DD477A" w:rsidRPr="00DD477A">
        <w:t>item.</w:t>
      </w:r>
      <w:r w:rsidR="00157BAB">
        <w:br/>
      </w:r>
      <w:r w:rsidR="00157BAB">
        <w:br/>
      </w:r>
      <w:r w:rsidR="00DD477A" w:rsidRPr="00DD477A">
        <w:t>Corporate</w:t>
      </w:r>
      <w:r w:rsidR="00DD477A" w:rsidRPr="00157BAB">
        <w:rPr>
          <w:iCs/>
        </w:rPr>
        <w:t xml:space="preserve"> Commonwealth entities (CCEs)</w:t>
      </w:r>
      <w:r w:rsidR="00DD477A" w:rsidRPr="00DD477A">
        <w:t xml:space="preserve"> </w:t>
      </w:r>
      <w:r w:rsidR="00DD477A">
        <w:t xml:space="preserve">who are </w:t>
      </w:r>
      <w:r w:rsidR="00DD477A" w:rsidRPr="00DD477A">
        <w:t xml:space="preserve">funded for depreciation </w:t>
      </w:r>
      <w:r w:rsidR="00DD477A">
        <w:t xml:space="preserve">for Non-RoU Assets </w:t>
      </w:r>
      <w:r w:rsidR="00DD477A" w:rsidRPr="00DD477A">
        <w:t xml:space="preserve">should </w:t>
      </w:r>
      <w:r w:rsidR="001C543C">
        <w:t xml:space="preserve">also </w:t>
      </w:r>
      <w:r w:rsidR="00DD477A" w:rsidRPr="00DD477A">
        <w:t>report</w:t>
      </w:r>
      <w:r w:rsidR="00DD477A">
        <w:t xml:space="preserve"> their</w:t>
      </w:r>
      <w:r w:rsidR="00DD477A" w:rsidRPr="00DD477A">
        <w:t xml:space="preserve"> RoU Depreciation as part of the </w:t>
      </w:r>
      <w:r w:rsidR="00DD477A" w:rsidRPr="00157BAB">
        <w:rPr>
          <w:i/>
          <w:iCs/>
        </w:rPr>
        <w:t>Expenses not requiring appropriation</w:t>
      </w:r>
      <w:r w:rsidR="00DD477A" w:rsidRPr="00DD477A">
        <w:t xml:space="preserve"> line</w:t>
      </w:r>
      <w:r w:rsidR="001C543C">
        <w:noBreakHyphen/>
      </w:r>
      <w:r w:rsidR="00DD477A" w:rsidRPr="00DD477A">
        <w:t>item.</w:t>
      </w:r>
    </w:p>
    <w:p w14:paraId="495B68DE" w14:textId="2655666D" w:rsidR="00D4487F" w:rsidRPr="00DD477A" w:rsidRDefault="00D4487F" w:rsidP="000A7DEC">
      <w:pPr>
        <w:pStyle w:val="Boxed2Text"/>
        <w:rPr>
          <w:rFonts w:cs="Calibri"/>
        </w:rPr>
      </w:pPr>
      <w:r w:rsidRPr="00DD477A">
        <w:rPr>
          <w:rFonts w:cs="Calibri"/>
        </w:rPr>
        <w:t>Where an entity has a lease t</w:t>
      </w:r>
      <w:r w:rsidR="6B6EE5C4" w:rsidRPr="00DD477A">
        <w:rPr>
          <w:rFonts w:cs="Calibri"/>
        </w:rPr>
        <w:t>he</w:t>
      </w:r>
      <w:r w:rsidR="00867E76" w:rsidRPr="00DD477A">
        <w:rPr>
          <w:rFonts w:cs="Calibri"/>
        </w:rPr>
        <w:t xml:space="preserve"> </w:t>
      </w:r>
      <w:r w:rsidR="003E6F25" w:rsidRPr="00DD477A">
        <w:rPr>
          <w:rFonts w:cs="Calibri"/>
        </w:rPr>
        <w:t xml:space="preserve">total </w:t>
      </w:r>
      <w:r w:rsidR="6B6EE5C4" w:rsidRPr="00DD477A">
        <w:rPr>
          <w:rFonts w:cs="Calibri"/>
        </w:rPr>
        <w:t xml:space="preserve">appropriation </w:t>
      </w:r>
      <w:r w:rsidR="0095219B" w:rsidRPr="00DD477A">
        <w:rPr>
          <w:rFonts w:cs="Calibri"/>
        </w:rPr>
        <w:t xml:space="preserve">expenses </w:t>
      </w:r>
      <w:r w:rsidR="00867E76" w:rsidRPr="00DD477A">
        <w:rPr>
          <w:rFonts w:cs="Calibri"/>
        </w:rPr>
        <w:t xml:space="preserve">across all </w:t>
      </w:r>
      <w:r w:rsidRPr="00DD477A">
        <w:rPr>
          <w:rFonts w:cs="Calibri"/>
        </w:rPr>
        <w:t xml:space="preserve">reported </w:t>
      </w:r>
      <w:r w:rsidR="00867E76" w:rsidRPr="00DD477A">
        <w:rPr>
          <w:rFonts w:cs="Calibri"/>
        </w:rPr>
        <w:t xml:space="preserve">outcomes </w:t>
      </w:r>
      <w:r w:rsidR="007B23D6" w:rsidRPr="00DD477A">
        <w:rPr>
          <w:rFonts w:cs="Calibri"/>
        </w:rPr>
        <w:t>in</w:t>
      </w:r>
      <w:r w:rsidR="6B6EE5C4" w:rsidRPr="00DD477A">
        <w:rPr>
          <w:rFonts w:cs="Calibri"/>
        </w:rPr>
        <w:t xml:space="preserve"> </w:t>
      </w:r>
      <w:r w:rsidR="00454218" w:rsidRPr="00DD477A">
        <w:rPr>
          <w:rFonts w:cs="Calibri"/>
          <w:iCs/>
        </w:rPr>
        <w:t>Table </w:t>
      </w:r>
      <w:r w:rsidR="6B6EE5C4" w:rsidRPr="00DD477A">
        <w:rPr>
          <w:rFonts w:cs="Calibri"/>
          <w:iCs/>
        </w:rPr>
        <w:t xml:space="preserve">2.x.1 </w:t>
      </w:r>
      <w:r w:rsidR="0063769A" w:rsidRPr="00DD477A">
        <w:rPr>
          <w:rFonts w:cs="Calibri"/>
          <w:iCs/>
        </w:rPr>
        <w:t xml:space="preserve">this </w:t>
      </w:r>
      <w:r w:rsidRPr="00DD477A">
        <w:rPr>
          <w:rFonts w:cs="Calibri"/>
        </w:rPr>
        <w:t>will match the</w:t>
      </w:r>
      <w:r w:rsidR="0063769A" w:rsidRPr="00DD477A">
        <w:rPr>
          <w:rFonts w:cs="Calibri"/>
        </w:rPr>
        <w:t xml:space="preserve"> expenses </w:t>
      </w:r>
      <w:r w:rsidR="003C43AC" w:rsidRPr="00DD477A">
        <w:rPr>
          <w:rFonts w:cs="Calibri"/>
        </w:rPr>
        <w:t>reported in the comprehensive income statement</w:t>
      </w:r>
      <w:r w:rsidRPr="00DD477A">
        <w:rPr>
          <w:rFonts w:cs="Calibri"/>
        </w:rPr>
        <w:t>.</w:t>
      </w:r>
    </w:p>
    <w:p w14:paraId="57A520BB" w14:textId="1A406584" w:rsidR="00F54528" w:rsidRPr="00DD477A" w:rsidRDefault="00000000" w:rsidP="000A7DEC">
      <w:pPr>
        <w:pStyle w:val="Boxed2Text"/>
        <w:rPr>
          <w:rFonts w:cs="Calibri"/>
        </w:rPr>
      </w:pPr>
      <w:hyperlink r:id="rId142" w:history="1">
        <w:r w:rsidR="00EE6353" w:rsidRPr="00DD477A">
          <w:rPr>
            <w:rStyle w:val="Hyperlink"/>
            <w:rFonts w:cs="Calibri"/>
          </w:rPr>
          <w:t xml:space="preserve">AASB 16 </w:t>
        </w:r>
        <w:r w:rsidR="00EE6353" w:rsidRPr="00DD477A">
          <w:rPr>
            <w:rStyle w:val="Hyperlink"/>
            <w:rFonts w:cs="Calibri"/>
            <w:i/>
            <w:iCs/>
          </w:rPr>
          <w:t>Leases</w:t>
        </w:r>
      </w:hyperlink>
      <w:r w:rsidR="00EE6353" w:rsidRPr="00DD477A">
        <w:rPr>
          <w:rStyle w:val="Hyperlink"/>
          <w:rFonts w:cs="Calibri"/>
          <w:i/>
          <w:iCs/>
        </w:rPr>
        <w:t xml:space="preserve"> </w:t>
      </w:r>
      <w:r w:rsidR="00EE6353" w:rsidRPr="00DD477A">
        <w:rPr>
          <w:rFonts w:cs="Calibri"/>
        </w:rPr>
        <w:t>requires t</w:t>
      </w:r>
      <w:r w:rsidR="6B6EE5C4" w:rsidRPr="00DD477A">
        <w:rPr>
          <w:rFonts w:cs="Calibri"/>
        </w:rPr>
        <w:t>he princip</w:t>
      </w:r>
      <w:r w:rsidR="00C95E09" w:rsidRPr="00DD477A">
        <w:rPr>
          <w:rFonts w:cs="Calibri"/>
        </w:rPr>
        <w:t xml:space="preserve">al </w:t>
      </w:r>
      <w:r w:rsidR="00694FA5" w:rsidRPr="00DD477A">
        <w:rPr>
          <w:rFonts w:cs="Calibri"/>
        </w:rPr>
        <w:t xml:space="preserve">lease </w:t>
      </w:r>
      <w:r w:rsidR="6B6EE5C4" w:rsidRPr="00DD477A">
        <w:rPr>
          <w:rFonts w:cs="Calibri"/>
        </w:rPr>
        <w:t xml:space="preserve">repayments </w:t>
      </w:r>
      <w:r w:rsidR="00EE6353" w:rsidRPr="00DD477A">
        <w:rPr>
          <w:rFonts w:cs="Calibri"/>
        </w:rPr>
        <w:t>to be</w:t>
      </w:r>
      <w:r w:rsidR="6B6EE5C4" w:rsidRPr="00DD477A">
        <w:rPr>
          <w:rFonts w:cs="Calibri"/>
        </w:rPr>
        <w:t xml:space="preserve"> reported </w:t>
      </w:r>
      <w:r w:rsidR="006015A4" w:rsidRPr="00DD477A">
        <w:rPr>
          <w:rFonts w:cs="Calibri"/>
        </w:rPr>
        <w:t>in</w:t>
      </w:r>
      <w:r w:rsidR="6B6EE5C4" w:rsidRPr="00DD477A">
        <w:rPr>
          <w:rFonts w:cs="Calibri"/>
        </w:rPr>
        <w:t xml:space="preserve"> the balance sheet</w:t>
      </w:r>
      <w:r w:rsidR="00E42EE1" w:rsidRPr="00DD477A">
        <w:rPr>
          <w:rFonts w:cs="Calibri"/>
        </w:rPr>
        <w:t xml:space="preserve">, with </w:t>
      </w:r>
      <w:r w:rsidR="009F4BDB">
        <w:rPr>
          <w:rFonts w:cs="Calibri"/>
        </w:rPr>
        <w:t>the</w:t>
      </w:r>
      <w:r w:rsidR="00F54528" w:rsidRPr="00DD477A">
        <w:rPr>
          <w:rFonts w:cs="Calibri"/>
        </w:rPr>
        <w:t xml:space="preserve"> </w:t>
      </w:r>
      <w:r w:rsidR="00E42EE1" w:rsidRPr="00DD477A">
        <w:rPr>
          <w:rFonts w:cs="Calibri"/>
        </w:rPr>
        <w:t>correlat</w:t>
      </w:r>
      <w:r w:rsidR="00994760" w:rsidRPr="00DD477A">
        <w:rPr>
          <w:rFonts w:cs="Calibri"/>
        </w:rPr>
        <w:t>ing</w:t>
      </w:r>
      <w:r w:rsidR="00E42EE1" w:rsidRPr="00DD477A">
        <w:rPr>
          <w:rFonts w:cs="Calibri"/>
        </w:rPr>
        <w:t xml:space="preserve"> </w:t>
      </w:r>
      <w:r w:rsidR="009F4BDB">
        <w:rPr>
          <w:rFonts w:cs="Calibri"/>
        </w:rPr>
        <w:t xml:space="preserve">annual </w:t>
      </w:r>
      <w:r w:rsidR="003C43AC" w:rsidRPr="00DD477A">
        <w:rPr>
          <w:rFonts w:cs="Calibri"/>
        </w:rPr>
        <w:t xml:space="preserve">payment </w:t>
      </w:r>
      <w:r w:rsidR="00E42EE1" w:rsidRPr="00DD477A">
        <w:rPr>
          <w:rFonts w:cs="Calibri"/>
        </w:rPr>
        <w:t>report</w:t>
      </w:r>
      <w:r w:rsidR="003C43AC" w:rsidRPr="00DD477A">
        <w:rPr>
          <w:rFonts w:cs="Calibri"/>
        </w:rPr>
        <w:t>ed</w:t>
      </w:r>
      <w:r w:rsidR="00E42EE1" w:rsidRPr="00DD477A">
        <w:rPr>
          <w:rFonts w:cs="Calibri"/>
        </w:rPr>
        <w:t xml:space="preserve"> </w:t>
      </w:r>
      <w:r w:rsidR="00F54528" w:rsidRPr="00DD477A">
        <w:rPr>
          <w:rFonts w:cs="Calibri"/>
        </w:rPr>
        <w:t>through</w:t>
      </w:r>
      <w:r w:rsidR="00875E96" w:rsidRPr="00DD477A">
        <w:rPr>
          <w:rFonts w:cs="Calibri"/>
        </w:rPr>
        <w:t xml:space="preserve"> the </w:t>
      </w:r>
      <w:r w:rsidR="6B6EE5C4" w:rsidRPr="00DD477A">
        <w:rPr>
          <w:rFonts w:cs="Calibri"/>
        </w:rPr>
        <w:t>cash-flow statement</w:t>
      </w:r>
      <w:r w:rsidR="00E53310" w:rsidRPr="00DD477A">
        <w:rPr>
          <w:rFonts w:cs="Calibri"/>
        </w:rPr>
        <w:t>.</w:t>
      </w:r>
    </w:p>
    <w:p w14:paraId="18983BDA" w14:textId="5FBFBC70" w:rsidR="003C43AC" w:rsidRPr="00DD477A" w:rsidRDefault="00A75487" w:rsidP="000A7DEC">
      <w:pPr>
        <w:pStyle w:val="Boxed2Text"/>
        <w:rPr>
          <w:rFonts w:cs="Calibri"/>
        </w:rPr>
      </w:pPr>
      <w:r>
        <w:rPr>
          <w:rFonts w:cs="Calibri"/>
        </w:rPr>
        <w:t>For Table 2.x.1 t</w:t>
      </w:r>
      <w:r w:rsidR="003C43AC" w:rsidRPr="00DD477A">
        <w:rPr>
          <w:rFonts w:cs="Calibri"/>
        </w:rPr>
        <w:t xml:space="preserve">he interest on RoU lease liabilities forms part of the </w:t>
      </w:r>
      <w:r w:rsidR="003C43AC" w:rsidRPr="00A75487">
        <w:rPr>
          <w:rFonts w:cs="Calibri"/>
          <w:i/>
          <w:iCs/>
        </w:rPr>
        <w:t>departmental appropriat</w:t>
      </w:r>
      <w:r>
        <w:rPr>
          <w:rFonts w:cs="Calibri"/>
          <w:i/>
          <w:iCs/>
        </w:rPr>
        <w:t>ion</w:t>
      </w:r>
      <w:r w:rsidR="003C43AC" w:rsidRPr="00A75487">
        <w:rPr>
          <w:rFonts w:cs="Calibri"/>
          <w:i/>
          <w:iCs/>
        </w:rPr>
        <w:t xml:space="preserve"> expense</w:t>
      </w:r>
      <w:r w:rsidR="00F54528" w:rsidRPr="00DD477A">
        <w:rPr>
          <w:rFonts w:cs="Calibri"/>
        </w:rPr>
        <w:t xml:space="preserve"> whilst the depreciation on RoU assets forms part of the </w:t>
      </w:r>
      <w:r w:rsidR="00F54528" w:rsidRPr="00A75487">
        <w:rPr>
          <w:rFonts w:cs="Calibri"/>
          <w:i/>
          <w:iCs/>
        </w:rPr>
        <w:t>expenses not requiring appropriation in the budget</w:t>
      </w:r>
      <w:r w:rsidR="00F54528" w:rsidRPr="00DD477A">
        <w:rPr>
          <w:rFonts w:cs="Calibri"/>
        </w:rPr>
        <w:t xml:space="preserve"> year line-item. </w:t>
      </w:r>
    </w:p>
    <w:p w14:paraId="68F7009C" w14:textId="6806327A" w:rsidR="00802A0B" w:rsidRPr="00DD477A" w:rsidRDefault="003249FB" w:rsidP="000A7DEC">
      <w:pPr>
        <w:pStyle w:val="Boxed2Text"/>
        <w:rPr>
          <w:rFonts w:cs="Calibri"/>
        </w:rPr>
      </w:pPr>
      <w:r w:rsidRPr="00DD477A">
        <w:rPr>
          <w:rFonts w:cs="Calibri"/>
          <w:b/>
        </w:rPr>
        <w:t>Note:</w:t>
      </w:r>
      <w:r w:rsidRPr="00DD477A">
        <w:rPr>
          <w:rFonts w:cs="Calibri"/>
        </w:rPr>
        <w:t xml:space="preserve"> </w:t>
      </w:r>
      <w:r w:rsidR="00877BBB" w:rsidRPr="00DD477A">
        <w:rPr>
          <w:rFonts w:cs="Calibri"/>
        </w:rPr>
        <w:t>C</w:t>
      </w:r>
      <w:r w:rsidR="53BF0693" w:rsidRPr="00DD477A">
        <w:rPr>
          <w:rFonts w:cs="Calibri"/>
        </w:rPr>
        <w:t>omprehens</w:t>
      </w:r>
      <w:r w:rsidRPr="00DD477A">
        <w:rPr>
          <w:rFonts w:cs="Calibri"/>
        </w:rPr>
        <w:t>ive income statement</w:t>
      </w:r>
      <w:r w:rsidR="00B50E0D" w:rsidRPr="00DD477A">
        <w:rPr>
          <w:rFonts w:cs="Calibri"/>
        </w:rPr>
        <w:t>s</w:t>
      </w:r>
      <w:r w:rsidRPr="00DD477A">
        <w:rPr>
          <w:rFonts w:cs="Calibri"/>
        </w:rPr>
        <w:t xml:space="preserve"> </w:t>
      </w:r>
      <w:r w:rsidR="00081E7D" w:rsidRPr="00DD477A">
        <w:rPr>
          <w:rFonts w:cs="Calibri"/>
        </w:rPr>
        <w:t xml:space="preserve">may </w:t>
      </w:r>
      <w:r w:rsidR="00B50E0D" w:rsidRPr="00DD477A">
        <w:rPr>
          <w:rFonts w:cs="Calibri"/>
        </w:rPr>
        <w:t xml:space="preserve">report </w:t>
      </w:r>
      <w:r w:rsidR="53BF0693" w:rsidRPr="00DD477A">
        <w:rPr>
          <w:rFonts w:cs="Calibri"/>
        </w:rPr>
        <w:t>deficits in the first half of the lease's life</w:t>
      </w:r>
      <w:r w:rsidR="00B50E0D" w:rsidRPr="00DD477A">
        <w:rPr>
          <w:rFonts w:cs="Calibri"/>
        </w:rPr>
        <w:t>,</w:t>
      </w:r>
      <w:r w:rsidR="53BF0693" w:rsidRPr="00DD477A">
        <w:rPr>
          <w:rFonts w:cs="Calibri"/>
        </w:rPr>
        <w:t xml:space="preserve"> with surpluses reported in the lat</w:t>
      </w:r>
      <w:r w:rsidR="00B50E0D" w:rsidRPr="00DD477A">
        <w:rPr>
          <w:rFonts w:cs="Calibri"/>
        </w:rPr>
        <w:t>t</w:t>
      </w:r>
      <w:r w:rsidR="53BF0693" w:rsidRPr="00DD477A">
        <w:rPr>
          <w:rFonts w:cs="Calibri"/>
        </w:rPr>
        <w:t>er half.</w:t>
      </w:r>
      <w:r w:rsidRPr="00DD477A">
        <w:rPr>
          <w:rFonts w:cs="Calibri"/>
        </w:rPr>
        <w:t xml:space="preserve"> </w:t>
      </w:r>
    </w:p>
    <w:p w14:paraId="7BDD306C" w14:textId="5CC12638" w:rsidR="004950C9" w:rsidRPr="00DD477A" w:rsidRDefault="004950C9" w:rsidP="00E548A0">
      <w:pPr>
        <w:pStyle w:val="Heading3"/>
      </w:pPr>
      <w:bookmarkStart w:id="920" w:name="_Toc160715578"/>
      <w:r w:rsidRPr="00DD477A">
        <w:t>Source of information</w:t>
      </w:r>
      <w:bookmarkEnd w:id="920"/>
    </w:p>
    <w:p w14:paraId="423289ED" w14:textId="0BAD18D6" w:rsidR="001169B8" w:rsidRPr="00DD477A" w:rsidRDefault="53BF0693" w:rsidP="53BF0693">
      <w:pPr>
        <w:rPr>
          <w:rStyle w:val="BodyTextChar"/>
          <w:rFonts w:cs="Calibri"/>
        </w:rPr>
      </w:pPr>
      <w:r w:rsidRPr="00DD477A">
        <w:rPr>
          <w:rStyle w:val="BodyTextChar"/>
          <w:rFonts w:cs="Calibri"/>
        </w:rPr>
        <w:t xml:space="preserve">CBMS </w:t>
      </w:r>
      <w:r w:rsidR="00994760" w:rsidRPr="00DD477A">
        <w:rPr>
          <w:rStyle w:val="BodyTextChar"/>
          <w:rFonts w:cs="Calibri"/>
        </w:rPr>
        <w:t xml:space="preserve">does not provide detailed </w:t>
      </w:r>
      <w:r w:rsidRPr="00DD477A">
        <w:rPr>
          <w:rStyle w:val="BodyTextChar"/>
          <w:rFonts w:cs="Calibri"/>
        </w:rPr>
        <w:t xml:space="preserve">data </w:t>
      </w:r>
      <w:r w:rsidR="00994760" w:rsidRPr="00DD477A">
        <w:rPr>
          <w:rStyle w:val="BodyTextChar"/>
          <w:rFonts w:cs="Calibri"/>
        </w:rPr>
        <w:t xml:space="preserve">by appropriation source </w:t>
      </w:r>
      <w:r w:rsidRPr="00DD477A">
        <w:rPr>
          <w:rStyle w:val="BodyTextChar"/>
          <w:rFonts w:cs="Calibri"/>
        </w:rPr>
        <w:t xml:space="preserve">at </w:t>
      </w:r>
      <w:r w:rsidR="00994760" w:rsidRPr="00DD477A">
        <w:rPr>
          <w:rStyle w:val="BodyTextChar"/>
          <w:rFonts w:cs="Calibri"/>
        </w:rPr>
        <w:t xml:space="preserve">the </w:t>
      </w:r>
      <w:r w:rsidRPr="00DD477A">
        <w:rPr>
          <w:rStyle w:val="BodyTextChar"/>
          <w:rFonts w:cs="Calibri"/>
        </w:rPr>
        <w:t xml:space="preserve">budgeted expenses by program </w:t>
      </w:r>
      <w:r w:rsidR="00994760" w:rsidRPr="00DD477A">
        <w:rPr>
          <w:rStyle w:val="BodyTextChar"/>
          <w:rFonts w:cs="Calibri"/>
        </w:rPr>
        <w:t xml:space="preserve">level </w:t>
      </w:r>
      <w:r w:rsidRPr="00DD477A">
        <w:rPr>
          <w:rStyle w:val="BodyTextChar"/>
          <w:rFonts w:cs="Calibri"/>
        </w:rPr>
        <w:t xml:space="preserve">(required for the </w:t>
      </w:r>
      <w:r w:rsidR="005B560C" w:rsidRPr="00DD477A">
        <w:rPr>
          <w:rStyle w:val="BodyTextChar"/>
          <w:rFonts w:cs="Calibri"/>
        </w:rPr>
        <w:t>Table 2.x Budgeted expenses by outcome</w:t>
      </w:r>
      <w:r w:rsidRPr="00DD477A">
        <w:rPr>
          <w:rStyle w:val="BodyTextChar"/>
          <w:rFonts w:cs="Calibri"/>
        </w:rPr>
        <w:t xml:space="preserve">). </w:t>
      </w:r>
    </w:p>
    <w:p w14:paraId="705257A7" w14:textId="6F72DE22" w:rsidR="004D761E" w:rsidRPr="00DD477A" w:rsidRDefault="00604099" w:rsidP="53BF0693">
      <w:pPr>
        <w:rPr>
          <w:rStyle w:val="BodyTextChar"/>
          <w:rFonts w:cs="Calibri"/>
        </w:rPr>
      </w:pPr>
      <w:r w:rsidRPr="00DD477A">
        <w:rPr>
          <w:rStyle w:val="BodyTextChar"/>
          <w:rFonts w:cs="Calibri"/>
        </w:rPr>
        <w:t>E</w:t>
      </w:r>
      <w:r w:rsidR="53BF0693" w:rsidRPr="00DD477A">
        <w:rPr>
          <w:rStyle w:val="BodyTextChar"/>
          <w:rFonts w:cs="Calibri"/>
        </w:rPr>
        <w:t xml:space="preserve">ntities will need to source this data from their </w:t>
      </w:r>
      <w:r w:rsidR="005B560C" w:rsidRPr="00DD477A">
        <w:rPr>
          <w:rStyle w:val="BodyTextChar"/>
          <w:rFonts w:cs="Calibri"/>
        </w:rPr>
        <w:t xml:space="preserve">own </w:t>
      </w:r>
      <w:r w:rsidR="53BF0693" w:rsidRPr="00DD477A">
        <w:rPr>
          <w:rStyle w:val="BodyTextChar"/>
          <w:rFonts w:cs="Calibri"/>
        </w:rPr>
        <w:t>FMIS.</w:t>
      </w:r>
    </w:p>
    <w:p w14:paraId="131F3A5F" w14:textId="6067E5C5" w:rsidR="00FA0945" w:rsidRPr="00DD477A" w:rsidRDefault="53BF0693" w:rsidP="00E548A0">
      <w:pPr>
        <w:pStyle w:val="Heading3"/>
      </w:pPr>
      <w:bookmarkStart w:id="921" w:name="_Toc156403523"/>
      <w:bookmarkStart w:id="922" w:name="_Toc156482555"/>
      <w:bookmarkStart w:id="923" w:name="_Toc156483361"/>
      <w:bookmarkStart w:id="924" w:name="_Toc156484124"/>
      <w:bookmarkStart w:id="925" w:name="_Toc156487645"/>
      <w:bookmarkStart w:id="926" w:name="_Toc156829506"/>
      <w:bookmarkStart w:id="927" w:name="_Toc157076960"/>
      <w:bookmarkStart w:id="928" w:name="_Toc156403524"/>
      <w:bookmarkStart w:id="929" w:name="_Toc156482556"/>
      <w:bookmarkStart w:id="930" w:name="_Toc156483362"/>
      <w:bookmarkStart w:id="931" w:name="_Toc156484125"/>
      <w:bookmarkStart w:id="932" w:name="_Toc156487646"/>
      <w:bookmarkStart w:id="933" w:name="_Toc156829507"/>
      <w:bookmarkStart w:id="934" w:name="_Toc157076961"/>
      <w:bookmarkStart w:id="935" w:name="_Toc411852685"/>
      <w:bookmarkStart w:id="936" w:name="_Toc534382565"/>
      <w:bookmarkStart w:id="937" w:name="_Ref33523258"/>
      <w:bookmarkStart w:id="938" w:name="_Ref33523261"/>
      <w:bookmarkStart w:id="939" w:name="_Ref33523265"/>
      <w:bookmarkStart w:id="940" w:name="_Toc63347718"/>
      <w:bookmarkStart w:id="941" w:name="_Toc160715579"/>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DD477A">
        <w:lastRenderedPageBreak/>
        <w:t>Program components</w:t>
      </w:r>
      <w:bookmarkEnd w:id="935"/>
      <w:bookmarkEnd w:id="936"/>
      <w:bookmarkEnd w:id="937"/>
      <w:bookmarkEnd w:id="938"/>
      <w:bookmarkEnd w:id="939"/>
      <w:bookmarkEnd w:id="940"/>
      <w:r w:rsidR="00781560" w:rsidRPr="00DD477A">
        <w:t xml:space="preserve"> – Table </w:t>
      </w:r>
      <w:r w:rsidR="00765257" w:rsidRPr="00DD477A">
        <w:t>2.X.2</w:t>
      </w:r>
      <w:bookmarkEnd w:id="941"/>
    </w:p>
    <w:p w14:paraId="3F0C6660" w14:textId="02431E05" w:rsidR="00B75FE9" w:rsidRPr="00DD477A" w:rsidRDefault="00B75FE9" w:rsidP="53BF0693">
      <w:pPr>
        <w:rPr>
          <w:rStyle w:val="BodyTextChar"/>
          <w:rFonts w:cs="Calibri"/>
        </w:rPr>
      </w:pPr>
      <w:r w:rsidRPr="00DD477A">
        <w:rPr>
          <w:rFonts w:eastAsia="Cambria" w:cs="Calibri"/>
          <w:noProof/>
        </w:rPr>
        <w:drawing>
          <wp:inline distT="0" distB="0" distL="0" distR="0" wp14:anchorId="63E365A7" wp14:editId="5A3C170F">
            <wp:extent cx="5835650" cy="524179"/>
            <wp:effectExtent l="0" t="0" r="0" b="0"/>
            <wp:docPr id="1233595332" name="Diagram 12335953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3" r:lo="rId144" r:qs="rId145" r:cs="rId146"/>
              </a:graphicData>
            </a:graphic>
          </wp:inline>
        </w:drawing>
      </w:r>
    </w:p>
    <w:p w14:paraId="773E83C4" w14:textId="51BCF0C3" w:rsidR="00FA0945" w:rsidRPr="00DD477A" w:rsidRDefault="00FF449E" w:rsidP="53BF0693">
      <w:pPr>
        <w:rPr>
          <w:rStyle w:val="BodyTextChar"/>
          <w:rFonts w:cs="Calibri"/>
        </w:rPr>
      </w:pPr>
      <w:r w:rsidRPr="00DD477A">
        <w:rPr>
          <w:rStyle w:val="BodyTextChar"/>
          <w:rFonts w:cs="Calibri"/>
        </w:rPr>
        <w:t xml:space="preserve">Program component reporting, either of administered or departmental appropriations, is a subset of program-level reporting. </w:t>
      </w:r>
      <w:r w:rsidR="00677FF5" w:rsidRPr="00DD477A">
        <w:rPr>
          <w:rStyle w:val="BodyTextChar"/>
          <w:rFonts w:cs="Calibri"/>
        </w:rPr>
        <w:t xml:space="preserve">While it is not </w:t>
      </w:r>
      <w:r w:rsidR="00B36C66" w:rsidRPr="00DD477A">
        <w:rPr>
          <w:rStyle w:val="BodyTextChar"/>
          <w:rFonts w:cs="Calibri"/>
        </w:rPr>
        <w:t>mandatory for e</w:t>
      </w:r>
      <w:r w:rsidR="53BF0693" w:rsidRPr="00DD477A">
        <w:rPr>
          <w:rStyle w:val="BodyTextChar"/>
          <w:rFonts w:cs="Calibri"/>
        </w:rPr>
        <w:t xml:space="preserve">ntities to report below the program </w:t>
      </w:r>
      <w:r w:rsidR="003C58D9" w:rsidRPr="00DD477A">
        <w:rPr>
          <w:rStyle w:val="BodyTextChar"/>
          <w:rFonts w:cs="Calibri"/>
        </w:rPr>
        <w:t>level,</w:t>
      </w:r>
      <w:r w:rsidR="00E43123" w:rsidRPr="00DD477A">
        <w:rPr>
          <w:rStyle w:val="BodyTextChar"/>
          <w:rFonts w:cs="Calibri"/>
        </w:rPr>
        <w:t xml:space="preserve"> </w:t>
      </w:r>
      <w:r w:rsidR="00B36C66" w:rsidRPr="00DD477A">
        <w:rPr>
          <w:rStyle w:val="BodyTextChar"/>
          <w:rFonts w:cs="Calibri"/>
        </w:rPr>
        <w:t>e</w:t>
      </w:r>
      <w:r w:rsidR="002E304B" w:rsidRPr="00DD477A">
        <w:rPr>
          <w:rStyle w:val="BodyTextChar"/>
          <w:rFonts w:cs="Calibri"/>
        </w:rPr>
        <w:t xml:space="preserve">ntities </w:t>
      </w:r>
      <w:r w:rsidR="00A059E3" w:rsidRPr="00DD477A">
        <w:rPr>
          <w:rStyle w:val="BodyTextChar"/>
          <w:rFonts w:cs="Calibri"/>
        </w:rPr>
        <w:t>may</w:t>
      </w:r>
      <w:r w:rsidR="002E304B" w:rsidRPr="00DD477A">
        <w:rPr>
          <w:rStyle w:val="BodyTextChar"/>
          <w:rFonts w:cs="Calibri"/>
        </w:rPr>
        <w:t xml:space="preserve"> choose </w:t>
      </w:r>
      <w:r w:rsidR="00AB204A" w:rsidRPr="00DD477A">
        <w:rPr>
          <w:rStyle w:val="BodyTextChar"/>
          <w:rFonts w:cs="Calibri"/>
        </w:rPr>
        <w:t xml:space="preserve">to </w:t>
      </w:r>
      <w:r w:rsidR="00A059E3" w:rsidRPr="00DD477A">
        <w:rPr>
          <w:rStyle w:val="BodyTextChar"/>
          <w:rFonts w:cs="Calibri"/>
        </w:rPr>
        <w:t>report on their program sub-components.</w:t>
      </w:r>
      <w:r w:rsidR="00086F8E" w:rsidRPr="00DD477A">
        <w:rPr>
          <w:rStyle w:val="BodyTextChar"/>
          <w:rFonts w:cs="Calibri"/>
        </w:rPr>
        <w:t xml:space="preserve"> If this option is preferred, ensure the </w:t>
      </w:r>
      <w:r w:rsidR="00E67854" w:rsidRPr="00DD477A">
        <w:rPr>
          <w:rStyle w:val="BodyTextChar"/>
          <w:rFonts w:cs="Calibri"/>
        </w:rPr>
        <w:t xml:space="preserve">line item is </w:t>
      </w:r>
      <w:r w:rsidR="53BF0693" w:rsidRPr="00DD477A">
        <w:rPr>
          <w:rStyle w:val="BodyTextChar"/>
          <w:rFonts w:cs="Calibri"/>
        </w:rPr>
        <w:t xml:space="preserve">clearly identified as components and not described as a program.  </w:t>
      </w:r>
      <w:r w:rsidR="004C37EE" w:rsidRPr="00DD477A">
        <w:rPr>
          <w:rStyle w:val="BodyTextChar"/>
          <w:rFonts w:cs="Calibri"/>
        </w:rPr>
        <w:t>P</w:t>
      </w:r>
      <w:r w:rsidR="53BF0693" w:rsidRPr="00DD477A">
        <w:rPr>
          <w:rStyle w:val="BodyTextChar"/>
          <w:rFonts w:cs="Calibri"/>
        </w:rPr>
        <w:t>rogram component</w:t>
      </w:r>
      <w:r w:rsidR="004C37EE" w:rsidRPr="00DD477A">
        <w:rPr>
          <w:rStyle w:val="BodyTextChar"/>
          <w:rFonts w:cs="Calibri"/>
        </w:rPr>
        <w:t>s</w:t>
      </w:r>
      <w:r w:rsidR="53BF0693" w:rsidRPr="00DD477A">
        <w:rPr>
          <w:rStyle w:val="BodyTextChar"/>
          <w:rFonts w:cs="Calibri"/>
        </w:rPr>
        <w:t xml:space="preserve"> that </w:t>
      </w:r>
      <w:r w:rsidR="53BF0693" w:rsidRPr="00DD477A" w:rsidDel="00AA7DEF">
        <w:rPr>
          <w:rStyle w:val="BodyTextChar"/>
          <w:rFonts w:cs="Calibri"/>
        </w:rPr>
        <w:t>an entity chooses to report on could be an</w:t>
      </w:r>
      <w:r w:rsidR="00AA7DEF" w:rsidRPr="00DD477A">
        <w:rPr>
          <w:rStyle w:val="BodyTextChar"/>
          <w:rFonts w:cs="Calibri"/>
        </w:rPr>
        <w:t xml:space="preserve"> </w:t>
      </w:r>
      <w:r w:rsidR="53BF0693" w:rsidRPr="00DD477A">
        <w:rPr>
          <w:rStyle w:val="BodyTextChar"/>
          <w:rFonts w:cs="Calibri"/>
        </w:rPr>
        <w:t>item of special public interest or political sensitivity.</w:t>
      </w:r>
    </w:p>
    <w:p w14:paraId="468F2F27" w14:textId="7CA73DB6" w:rsidR="006F2C96" w:rsidRPr="00DD477A" w:rsidRDefault="53BF0693" w:rsidP="000A7DEC">
      <w:pPr>
        <w:rPr>
          <w:rStyle w:val="BodyTextChar"/>
          <w:rFonts w:cs="Calibri"/>
        </w:rPr>
      </w:pPr>
      <w:r w:rsidRPr="00DD477A">
        <w:rPr>
          <w:rStyle w:val="BodyTextChar"/>
          <w:rFonts w:cs="Calibri"/>
        </w:rPr>
        <w:t xml:space="preserve">Should entities choose to report </w:t>
      </w:r>
      <w:r w:rsidR="008911DB" w:rsidRPr="00DD477A">
        <w:rPr>
          <w:rStyle w:val="BodyTextChar"/>
          <w:rFonts w:cs="Calibri"/>
        </w:rPr>
        <w:t>their</w:t>
      </w:r>
      <w:r w:rsidRPr="00DD477A">
        <w:rPr>
          <w:rStyle w:val="BodyTextChar"/>
          <w:rFonts w:cs="Calibri"/>
        </w:rPr>
        <w:t xml:space="preserve"> program components, a program component expense table should be</w:t>
      </w:r>
      <w:r w:rsidR="000B0012" w:rsidRPr="00DD477A">
        <w:rPr>
          <w:rStyle w:val="BodyTextChar"/>
          <w:rFonts w:cs="Calibri"/>
        </w:rPr>
        <w:t xml:space="preserve"> included</w:t>
      </w:r>
      <w:r w:rsidRPr="00DD477A">
        <w:rPr>
          <w:rStyle w:val="BodyTextChar"/>
          <w:rFonts w:cs="Calibri"/>
        </w:rPr>
        <w:t xml:space="preserve"> for </w:t>
      </w:r>
      <w:r w:rsidR="00E072AD" w:rsidRPr="00DD477A">
        <w:rPr>
          <w:rStyle w:val="BodyTextChar"/>
          <w:rFonts w:cs="Calibri"/>
        </w:rPr>
        <w:t xml:space="preserve">all </w:t>
      </w:r>
      <w:r w:rsidRPr="00DD477A">
        <w:rPr>
          <w:rStyle w:val="BodyTextChar"/>
          <w:rFonts w:cs="Calibri"/>
        </w:rPr>
        <w:t>program</w:t>
      </w:r>
      <w:r w:rsidR="00E072AD" w:rsidRPr="00DD477A">
        <w:rPr>
          <w:rStyle w:val="BodyTextChar"/>
          <w:rFonts w:cs="Calibri"/>
        </w:rPr>
        <w:t>s</w:t>
      </w:r>
      <w:r w:rsidRPr="00DD477A">
        <w:rPr>
          <w:rStyle w:val="BodyTextChar"/>
          <w:rFonts w:cs="Calibri"/>
        </w:rPr>
        <w:t xml:space="preserve"> with more than one component</w:t>
      </w:r>
      <w:r w:rsidR="008A66E7" w:rsidRPr="00DD477A">
        <w:rPr>
          <w:rStyle w:val="BodyTextChar"/>
          <w:rFonts w:cs="Calibri"/>
        </w:rPr>
        <w:t xml:space="preserve"> across all outcomes within the PB Statements</w:t>
      </w:r>
      <w:r w:rsidRPr="00DD477A">
        <w:rPr>
          <w:rStyle w:val="BodyTextChar"/>
          <w:rFonts w:cs="Calibri"/>
        </w:rPr>
        <w:t xml:space="preserve">. The full program expenses must still be shown in </w:t>
      </w:r>
      <w:r w:rsidR="000600AA" w:rsidRPr="00DD477A">
        <w:rPr>
          <w:rStyle w:val="BodyTextChar"/>
          <w:rFonts w:cs="Calibri"/>
        </w:rPr>
        <w:t>Table 2.X.1</w:t>
      </w:r>
      <w:r w:rsidRPr="00DD477A">
        <w:rPr>
          <w:rStyle w:val="BodyTextChar"/>
          <w:rFonts w:cs="Calibri"/>
        </w:rPr>
        <w:t>. The itemised sub-set of expenses is then provided for each relevant program component</w:t>
      </w:r>
      <w:r w:rsidR="008E2060" w:rsidRPr="00DD477A">
        <w:rPr>
          <w:rStyle w:val="BodyTextChar"/>
          <w:rFonts w:cs="Calibri"/>
        </w:rPr>
        <w:t xml:space="preserve"> in Table </w:t>
      </w:r>
      <w:r w:rsidR="005A5304" w:rsidRPr="00DD477A">
        <w:rPr>
          <w:rStyle w:val="BodyTextChar"/>
          <w:rFonts w:cs="Calibri"/>
        </w:rPr>
        <w:t>2.X.2</w:t>
      </w:r>
      <w:r w:rsidR="00C02EA9" w:rsidRPr="00DD477A">
        <w:rPr>
          <w:rStyle w:val="BodyTextChar"/>
          <w:rFonts w:cs="Calibri"/>
        </w:rPr>
        <w:t>,</w:t>
      </w:r>
      <w:r w:rsidR="005A5304" w:rsidRPr="00DD477A">
        <w:rPr>
          <w:rStyle w:val="BodyTextChar"/>
          <w:rFonts w:cs="Calibri"/>
        </w:rPr>
        <w:t xml:space="preserve"> with the </w:t>
      </w:r>
      <w:r w:rsidRPr="00DD477A">
        <w:rPr>
          <w:rStyle w:val="BodyTextChar"/>
          <w:rFonts w:cs="Calibri"/>
        </w:rPr>
        <w:t xml:space="preserve">expenses </w:t>
      </w:r>
      <w:r w:rsidR="005A5304" w:rsidRPr="00DD477A">
        <w:rPr>
          <w:rStyle w:val="BodyTextChar"/>
          <w:rFonts w:cs="Calibri"/>
        </w:rPr>
        <w:t>being</w:t>
      </w:r>
      <w:r w:rsidRPr="00DD477A">
        <w:rPr>
          <w:rStyle w:val="BodyTextChar"/>
          <w:rFonts w:cs="Calibri"/>
        </w:rPr>
        <w:t xml:space="preserve"> reconcile</w:t>
      </w:r>
      <w:r w:rsidR="00671AA4" w:rsidRPr="00DD477A">
        <w:rPr>
          <w:rStyle w:val="BodyTextChar"/>
          <w:rFonts w:cs="Calibri"/>
        </w:rPr>
        <w:t>d</w:t>
      </w:r>
      <w:r w:rsidRPr="00DD477A">
        <w:rPr>
          <w:rStyle w:val="BodyTextChar"/>
          <w:rFonts w:cs="Calibri"/>
        </w:rPr>
        <w:t xml:space="preserve"> with the relevant program total</w:t>
      </w:r>
      <w:r w:rsidR="00671AA4" w:rsidRPr="00DD477A">
        <w:rPr>
          <w:rStyle w:val="BodyTextChar"/>
          <w:rFonts w:cs="Calibri"/>
        </w:rPr>
        <w:t xml:space="preserve"> in Table 2.X.1</w:t>
      </w:r>
      <w:r w:rsidRPr="00DD477A">
        <w:rPr>
          <w:rStyle w:val="BodyTextChar"/>
          <w:rFonts w:cs="Calibri"/>
        </w:rPr>
        <w:t>.</w:t>
      </w:r>
    </w:p>
    <w:p w14:paraId="7E10C6BA" w14:textId="3D7AE962" w:rsidR="00FA0945" w:rsidRPr="00B968DC" w:rsidRDefault="00070467" w:rsidP="00E548A0">
      <w:pPr>
        <w:pStyle w:val="Heading2"/>
      </w:pPr>
      <w:bookmarkStart w:id="942" w:name="_Toc534458885"/>
      <w:bookmarkStart w:id="943" w:name="_Toc534459674"/>
      <w:bookmarkStart w:id="944" w:name="_Toc534519169"/>
      <w:bookmarkStart w:id="945" w:name="_Toc534520079"/>
      <w:bookmarkStart w:id="946" w:name="_Toc534520349"/>
      <w:bookmarkStart w:id="947" w:name="_Toc534527561"/>
      <w:bookmarkStart w:id="948" w:name="_Toc534528291"/>
      <w:bookmarkStart w:id="949" w:name="_Toc534803512"/>
      <w:bookmarkStart w:id="950" w:name="_Toc534814203"/>
      <w:bookmarkStart w:id="951" w:name="_Toc536108576"/>
      <w:bookmarkStart w:id="952" w:name="_Toc534382566"/>
      <w:bookmarkStart w:id="953" w:name="_Ref33522765"/>
      <w:bookmarkStart w:id="954" w:name="_Ref33522777"/>
      <w:bookmarkStart w:id="955" w:name="_Ref33522783"/>
      <w:bookmarkStart w:id="956" w:name="_Ref62052417"/>
      <w:bookmarkStart w:id="957" w:name="_Ref62052788"/>
      <w:bookmarkStart w:id="958" w:name="_Toc63347719"/>
      <w:bookmarkStart w:id="959" w:name="_Ref111474340"/>
      <w:bookmarkStart w:id="960" w:name="_Ref111474347"/>
      <w:bookmarkStart w:id="961" w:name="_Ref111474356"/>
      <w:bookmarkStart w:id="962" w:name="_Ref112926220"/>
      <w:bookmarkStart w:id="963" w:name="_Ref112926229"/>
      <w:bookmarkStart w:id="964" w:name="_Ref112926234"/>
      <w:bookmarkStart w:id="965" w:name="_Ref112926342"/>
      <w:bookmarkStart w:id="966" w:name="_Ref112926346"/>
      <w:bookmarkStart w:id="967" w:name="_Ref112926350"/>
      <w:bookmarkStart w:id="968" w:name="_Toc160715580"/>
      <w:bookmarkEnd w:id="942"/>
      <w:bookmarkEnd w:id="943"/>
      <w:bookmarkEnd w:id="944"/>
      <w:bookmarkEnd w:id="945"/>
      <w:bookmarkEnd w:id="946"/>
      <w:bookmarkEnd w:id="947"/>
      <w:bookmarkEnd w:id="948"/>
      <w:bookmarkEnd w:id="949"/>
      <w:bookmarkEnd w:id="950"/>
      <w:bookmarkEnd w:id="951"/>
      <w:r w:rsidRPr="00B968DC">
        <w:t xml:space="preserve">Performance measures for Outcome </w:t>
      </w:r>
      <w:r w:rsidR="000D7E96" w:rsidRPr="00B968DC">
        <w:t xml:space="preserve">- </w:t>
      </w:r>
      <w:r w:rsidRPr="00B968DC">
        <w:t>T</w:t>
      </w:r>
      <w:r w:rsidR="53BF0693" w:rsidRPr="00B968DC">
        <w:t>able 2.X.3</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64A4CC6C" w14:textId="29DB7533" w:rsidR="00FA0945" w:rsidRPr="00DD477A" w:rsidRDefault="00C02EA9" w:rsidP="53BF0693">
      <w:pPr>
        <w:pStyle w:val="NormalTextRed"/>
        <w:rPr>
          <w:rStyle w:val="BodyTextChar"/>
          <w:rFonts w:cs="Calibri"/>
          <w:color w:val="auto"/>
          <w:sz w:val="34"/>
          <w:szCs w:val="34"/>
        </w:rPr>
      </w:pPr>
      <w:r w:rsidRPr="00DD477A">
        <w:rPr>
          <w:rFonts w:eastAsia="Cambria" w:cs="Calibri"/>
          <w:noProof/>
        </w:rPr>
        <w:drawing>
          <wp:inline distT="0" distB="0" distL="0" distR="0" wp14:anchorId="2762D944" wp14:editId="6303256B">
            <wp:extent cx="5835650" cy="524179"/>
            <wp:effectExtent l="0" t="0" r="0" b="0"/>
            <wp:docPr id="1655167236" name="Diagram 16551672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r w:rsidR="53BF0693" w:rsidRPr="00DD477A">
        <w:rPr>
          <w:rStyle w:val="BodyTextChar"/>
          <w:rFonts w:cs="Calibri"/>
          <w:color w:val="auto"/>
        </w:rPr>
        <w:t xml:space="preserve"> </w:t>
      </w:r>
    </w:p>
    <w:bookmarkEnd w:id="871"/>
    <w:bookmarkEnd w:id="872"/>
    <w:p w14:paraId="6BAFB17F" w14:textId="77777777" w:rsidR="00D97C7F" w:rsidRPr="00DD477A" w:rsidRDefault="00D97C7F" w:rsidP="00D97C7F">
      <w:pPr>
        <w:rPr>
          <w:rFonts w:cs="Calibri"/>
        </w:rPr>
      </w:pPr>
      <w:r w:rsidRPr="00DD477A">
        <w:rPr>
          <w:rFonts w:cs="Calibri"/>
        </w:rPr>
        <w:t xml:space="preserve">Table 2.X.3 details the performance measures for each program associated with Outcome X. </w:t>
      </w:r>
    </w:p>
    <w:p w14:paraId="164B9068" w14:textId="77777777" w:rsidR="002158CB" w:rsidRPr="00DD477A" w:rsidRDefault="002158CB" w:rsidP="002158CB">
      <w:pPr>
        <w:rPr>
          <w:rFonts w:cs="Calibri"/>
        </w:rPr>
      </w:pPr>
      <w:r w:rsidRPr="00DD477A">
        <w:t xml:space="preserve">The introductory statement to Table 2.X.3 explains the relationship between the PB Statement and the entity’s corporate plan. Finance encourages entities to use the Table 2.X.3 template to ensure that the requirements of the Direction are met, and that Parliament is provided with performance information in a consistent and comparable manner. </w:t>
      </w:r>
    </w:p>
    <w:p w14:paraId="703AC634" w14:textId="2DDE0134" w:rsidR="003B453D" w:rsidRPr="00DD477A" w:rsidRDefault="003B453D" w:rsidP="00A85E0D">
      <w:pPr>
        <w:pStyle w:val="BodyText"/>
        <w:rPr>
          <w:sz w:val="28"/>
        </w:rPr>
      </w:pPr>
      <w:r w:rsidRPr="00DD477A">
        <w:rPr>
          <w:sz w:val="28"/>
        </w:rPr>
        <w:t>Introductory Statement</w:t>
      </w:r>
    </w:p>
    <w:p w14:paraId="2E414D6E" w14:textId="3440370E" w:rsidR="003B453D" w:rsidRPr="00DD477A" w:rsidRDefault="0066795C" w:rsidP="00975C3C">
      <w:pPr>
        <w:rPr>
          <w:rFonts w:cs="Calibri"/>
          <w:b/>
          <w:u w:val="single"/>
        </w:rPr>
      </w:pPr>
      <w:r w:rsidRPr="00DD477A">
        <w:rPr>
          <w:rFonts w:cs="Calibri"/>
        </w:rPr>
        <w:t xml:space="preserve">A short paragraph </w:t>
      </w:r>
      <w:r w:rsidR="00010F01" w:rsidRPr="00DD477A">
        <w:rPr>
          <w:rFonts w:cs="Calibri"/>
        </w:rPr>
        <w:t xml:space="preserve">broadly </w:t>
      </w:r>
      <w:r w:rsidR="008D541E" w:rsidRPr="00DD477A">
        <w:rPr>
          <w:rFonts w:cs="Calibri"/>
        </w:rPr>
        <w:t>explaining</w:t>
      </w:r>
      <w:r w:rsidR="00010F01" w:rsidRPr="00DD477A">
        <w:rPr>
          <w:rFonts w:cs="Calibri"/>
        </w:rPr>
        <w:t xml:space="preserve"> what Table 2.X.3</w:t>
      </w:r>
      <w:r w:rsidR="008D541E" w:rsidRPr="00DD477A">
        <w:rPr>
          <w:rFonts w:cs="Calibri"/>
        </w:rPr>
        <w:t xml:space="preserve"> outlines. </w:t>
      </w:r>
      <w:r w:rsidR="00703FF8" w:rsidRPr="00DD477A">
        <w:rPr>
          <w:rFonts w:cs="Calibri"/>
          <w:b/>
          <w:u w:val="single"/>
        </w:rPr>
        <w:t>str</w:t>
      </w:r>
      <w:r w:rsidR="007737BB">
        <w:rPr>
          <w:rFonts w:cs="Calibri"/>
          <w:b/>
          <w:u w:val="single"/>
        </w:rPr>
        <w:t>i</w:t>
      </w:r>
      <w:r w:rsidR="00703FF8" w:rsidRPr="00DD477A">
        <w:rPr>
          <w:rFonts w:cs="Calibri"/>
          <w:b/>
          <w:u w:val="single"/>
        </w:rPr>
        <w:t xml:space="preserve">ation of </w:t>
      </w:r>
      <w:r w:rsidR="003B453D" w:rsidRPr="00DD477A">
        <w:rPr>
          <w:rFonts w:cs="Calibri"/>
          <w:b/>
          <w:u w:val="single"/>
        </w:rPr>
        <w:t>Table 2.X.3</w:t>
      </w:r>
    </w:p>
    <w:p w14:paraId="469B6B51" w14:textId="77777777" w:rsidR="002158CB" w:rsidRPr="00DD477A" w:rsidRDefault="002158CB" w:rsidP="002158CB">
      <w:pPr>
        <w:pStyle w:val="TableHeading"/>
        <w:rPr>
          <w:lang w:val="en-AU"/>
        </w:rPr>
      </w:pPr>
      <w:r w:rsidRPr="00DD477A">
        <w:rPr>
          <w:lang w:val="en-AU"/>
        </w:rPr>
        <w:t>Table 2.X.3: Performance measure for Outcome X</w:t>
      </w:r>
    </w:p>
    <w:p w14:paraId="62E2AA7F" w14:textId="66B31F04" w:rsidR="00975C3C" w:rsidRDefault="002158CB" w:rsidP="001B298A">
      <w:pPr>
        <w:rPr>
          <w:iCs/>
          <w:color w:val="FF0000"/>
        </w:rPr>
      </w:pPr>
      <w:r w:rsidRPr="00DD477A">
        <w:t xml:space="preserve">Table 2.X.3 details the performance measures for each program associated with Outcome X. It is used by entities to describe the results they plan to achieve and the related key activities, as detailed in the current corporate plan, the context in which these activities are delivered, and how the performance of these activities will be measured. Where relevant, details of the 2024–25 Budget measures that have created new programs or materially changed existing programs are provided. </w:t>
      </w:r>
      <w:r w:rsidRPr="00DD477A">
        <w:rPr>
          <w:i/>
          <w:color w:val="FF0000"/>
        </w:rPr>
        <w:t>Repeat the following table for each program in the Outcome. The “Outcome X” row is only required for the first program table for that outcome.</w:t>
      </w:r>
    </w:p>
    <w:p w14:paraId="03CA31A7" w14:textId="00B9BCBD" w:rsidR="001B298A" w:rsidRDefault="001B298A">
      <w:pPr>
        <w:suppressAutoHyphens w:val="0"/>
        <w:spacing w:before="0" w:after="120" w:line="440" w:lineRule="atLeast"/>
        <w:rPr>
          <w:rFonts w:cs="Calibri"/>
          <w:b/>
          <w:iCs/>
          <w:u w:val="single"/>
        </w:rPr>
      </w:pPr>
      <w:r>
        <w:rPr>
          <w:rFonts w:cs="Calibri"/>
          <w:b/>
          <w:iCs/>
          <w:u w:val="single"/>
        </w:rPr>
        <w:br w:type="page"/>
      </w:r>
    </w:p>
    <w:p w14:paraId="708A61CB" w14:textId="77777777" w:rsidR="002158CB" w:rsidRPr="00975C3C" w:rsidRDefault="002158CB" w:rsidP="00611899">
      <w:pPr>
        <w:rPr>
          <w:rFonts w:cs="Calibri"/>
          <w:b/>
          <w:iCs/>
          <w:u w:val="single"/>
        </w:rPr>
      </w:pPr>
    </w:p>
    <w:tbl>
      <w:tblPr>
        <w:tblW w:w="77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118"/>
        <w:gridCol w:w="3118"/>
      </w:tblGrid>
      <w:tr w:rsidR="00331D78" w:rsidRPr="00DD477A" w14:paraId="2A92E6B1" w14:textId="77777777" w:rsidTr="001B298A">
        <w:trPr>
          <w:cantSplit/>
          <w:trHeight w:val="569"/>
          <w:tblHeader/>
        </w:trPr>
        <w:tc>
          <w:tcPr>
            <w:tcW w:w="7796" w:type="dxa"/>
            <w:gridSpan w:val="3"/>
            <w:shd w:val="clear" w:color="auto" w:fill="F2F2F2"/>
          </w:tcPr>
          <w:p w14:paraId="709BF856" w14:textId="77777777" w:rsidR="00FF6AF2" w:rsidRPr="00DD477A" w:rsidRDefault="00FF6AF2" w:rsidP="009F70D0">
            <w:pPr>
              <w:pStyle w:val="TableColumnHeadingLeft"/>
              <w:rPr>
                <w:rFonts w:ascii="Calibri" w:hAnsi="Calibri" w:cs="Calibri"/>
              </w:rPr>
            </w:pPr>
            <w:r w:rsidRPr="00DD477A">
              <w:rPr>
                <w:rStyle w:val="TableHeadingChar"/>
                <w:rFonts w:ascii="Calibri" w:hAnsi="Calibri" w:cs="Calibri"/>
                <w:b/>
                <w:lang w:val="en-AU"/>
              </w:rPr>
              <w:t>Outcome X</w:t>
            </w:r>
            <w:r w:rsidRPr="00DD477A">
              <w:rPr>
                <w:rFonts w:ascii="Calibri" w:hAnsi="Calibri" w:cs="Calibri"/>
              </w:rPr>
              <w:t xml:space="preserve"> </w:t>
            </w:r>
            <w:r w:rsidRPr="00DD477A">
              <w:rPr>
                <w:rFonts w:ascii="Calibri" w:hAnsi="Calibri" w:cs="Calibri"/>
                <w:b w:val="0"/>
              </w:rPr>
              <w:t xml:space="preserve">– </w:t>
            </w:r>
            <w:r w:rsidRPr="00DD477A">
              <w:rPr>
                <w:rFonts w:ascii="Calibri" w:hAnsi="Calibri" w:cs="Calibri"/>
                <w:b w:val="0"/>
                <w:i/>
                <w:color w:val="FF0000"/>
              </w:rPr>
              <w:t>Repeat relevant outcome statement for Outcome X</w:t>
            </w:r>
          </w:p>
        </w:tc>
      </w:tr>
      <w:tr w:rsidR="00331D78" w:rsidRPr="00DD477A" w14:paraId="374E0BF6" w14:textId="77777777" w:rsidTr="001B298A">
        <w:trPr>
          <w:cantSplit/>
          <w:trHeight w:val="522"/>
          <w:tblHeader/>
        </w:trPr>
        <w:tc>
          <w:tcPr>
            <w:tcW w:w="7796" w:type="dxa"/>
            <w:gridSpan w:val="3"/>
            <w:shd w:val="clear" w:color="auto" w:fill="F2F2F2"/>
          </w:tcPr>
          <w:p w14:paraId="60A8DA0F" w14:textId="29D0ADC9" w:rsidR="00FF6AF2" w:rsidRPr="00DD477A" w:rsidRDefault="00FF6AF2" w:rsidP="009F70D0">
            <w:pPr>
              <w:pStyle w:val="TableTextLeft"/>
              <w:rPr>
                <w:rFonts w:ascii="Calibri" w:eastAsia="Arial" w:hAnsi="Calibri" w:cs="Calibri"/>
                <w:b/>
              </w:rPr>
            </w:pPr>
            <w:r w:rsidRPr="00DD477A">
              <w:rPr>
                <w:rFonts w:ascii="Calibri" w:hAnsi="Calibri" w:cs="Calibri"/>
                <w:b/>
              </w:rPr>
              <w:t>Program X.X</w:t>
            </w:r>
            <w:r w:rsidR="00F806F4" w:rsidRPr="00DD477A">
              <w:rPr>
                <w:rFonts w:ascii="Calibri" w:hAnsi="Calibri" w:cs="Calibri"/>
                <w:b/>
              </w:rPr>
              <w:t xml:space="preserve"> </w:t>
            </w:r>
            <w:r w:rsidR="00E81F8E" w:rsidRPr="00DD477A">
              <w:rPr>
                <w:rFonts w:ascii="Calibri" w:hAnsi="Calibri" w:cs="Calibri"/>
                <w:b/>
              </w:rPr>
              <w:t>–</w:t>
            </w:r>
            <w:r w:rsidRPr="00DD477A">
              <w:rPr>
                <w:rFonts w:ascii="Calibri" w:hAnsi="Calibri" w:cs="Calibri"/>
                <w:b/>
              </w:rPr>
              <w:t xml:space="preserve"> </w:t>
            </w:r>
            <w:r w:rsidRPr="00DD477A">
              <w:rPr>
                <w:rFonts w:ascii="Calibri" w:eastAsia="Arial" w:hAnsi="Calibri" w:cs="Calibri"/>
                <w:b/>
              </w:rPr>
              <w:t>Program name</w:t>
            </w:r>
          </w:p>
          <w:p w14:paraId="48C24F69" w14:textId="77777777" w:rsidR="00FF6AF2" w:rsidRPr="00DD477A" w:rsidRDefault="00FF6AF2" w:rsidP="009F70D0">
            <w:pPr>
              <w:pStyle w:val="TableTextLeft"/>
              <w:rPr>
                <w:rFonts w:ascii="Calibri" w:hAnsi="Calibri" w:cs="Calibri"/>
              </w:rPr>
            </w:pPr>
          </w:p>
          <w:p w14:paraId="616D4071" w14:textId="45A7B8AF" w:rsidR="00FF6AF2" w:rsidRPr="00DD477A" w:rsidRDefault="00FF6AF2" w:rsidP="009F70D0">
            <w:pPr>
              <w:pStyle w:val="TableTextLeft"/>
              <w:rPr>
                <w:rFonts w:ascii="Calibri" w:hAnsi="Calibri" w:cs="Calibri"/>
              </w:rPr>
            </w:pPr>
            <w:r w:rsidRPr="00DD477A">
              <w:rPr>
                <w:rFonts w:ascii="Calibri" w:hAnsi="Calibri" w:cs="Calibri"/>
                <w:i/>
                <w:color w:val="FF0000"/>
              </w:rPr>
              <w:t xml:space="preserve">Brief description of Program X.X (objective </w:t>
            </w:r>
            <w:r w:rsidR="00D67005" w:rsidRPr="00DD477A">
              <w:rPr>
                <w:rFonts w:ascii="Calibri" w:hAnsi="Calibri" w:cs="Calibri"/>
                <w:i/>
                <w:color w:val="FF0000"/>
              </w:rPr>
              <w:t>and</w:t>
            </w:r>
            <w:r w:rsidRPr="00DD477A">
              <w:rPr>
                <w:rFonts w:ascii="Calibri" w:hAnsi="Calibri" w:cs="Calibri"/>
                <w:i/>
                <w:color w:val="FF0000"/>
              </w:rPr>
              <w:t xml:space="preserve"> how it contributes to delivering Outcome X)</w:t>
            </w:r>
          </w:p>
        </w:tc>
      </w:tr>
      <w:tr w:rsidR="00DD49DB" w:rsidRPr="00DD477A" w14:paraId="6CCA605D" w14:textId="77777777" w:rsidTr="001B298A">
        <w:trPr>
          <w:cantSplit/>
          <w:trHeight w:val="694"/>
        </w:trPr>
        <w:tc>
          <w:tcPr>
            <w:tcW w:w="1560" w:type="dxa"/>
            <w:tcBorders>
              <w:bottom w:val="double" w:sz="4" w:space="0" w:color="auto"/>
            </w:tcBorders>
          </w:tcPr>
          <w:p w14:paraId="482DBF33" w14:textId="77777777" w:rsidR="00FF6AF2" w:rsidRPr="00DD477A" w:rsidRDefault="00FF6AF2" w:rsidP="009F70D0">
            <w:pPr>
              <w:tabs>
                <w:tab w:val="left" w:pos="709"/>
              </w:tabs>
              <w:spacing w:before="60"/>
              <w:rPr>
                <w:rFonts w:cs="Calibri"/>
                <w:b/>
                <w:sz w:val="16"/>
                <w:szCs w:val="16"/>
              </w:rPr>
            </w:pPr>
            <w:r w:rsidRPr="00DD477A">
              <w:rPr>
                <w:rFonts w:cs="Calibri"/>
                <w:b/>
                <w:sz w:val="16"/>
                <w:szCs w:val="16"/>
              </w:rPr>
              <w:t>Key Activities (a)</w:t>
            </w:r>
          </w:p>
        </w:tc>
        <w:tc>
          <w:tcPr>
            <w:tcW w:w="6236" w:type="dxa"/>
            <w:gridSpan w:val="2"/>
            <w:tcBorders>
              <w:bottom w:val="double" w:sz="4" w:space="0" w:color="auto"/>
            </w:tcBorders>
          </w:tcPr>
          <w:p w14:paraId="1E0CD169" w14:textId="4E64E20C" w:rsidR="00FF6AF2" w:rsidRPr="00DD477A" w:rsidRDefault="00FF6AF2" w:rsidP="009F70D0">
            <w:pPr>
              <w:tabs>
                <w:tab w:val="left" w:pos="709"/>
              </w:tabs>
              <w:spacing w:before="60"/>
              <w:rPr>
                <w:rFonts w:cs="Calibri"/>
                <w:i/>
                <w:sz w:val="16"/>
                <w:szCs w:val="16"/>
              </w:rPr>
            </w:pPr>
            <w:r w:rsidRPr="00DD477A">
              <w:rPr>
                <w:rFonts w:cs="Calibri"/>
                <w:bCs/>
                <w:sz w:val="16"/>
                <w:szCs w:val="16"/>
              </w:rPr>
              <w:t>Key activities reported in the current corporate plan that relate to this program</w:t>
            </w:r>
          </w:p>
        </w:tc>
      </w:tr>
      <w:tr w:rsidR="00C83F48" w:rsidRPr="00DD477A" w14:paraId="27C3899A" w14:textId="77777777" w:rsidTr="001B298A">
        <w:trPr>
          <w:cantSplit/>
          <w:trHeight w:val="258"/>
        </w:trPr>
        <w:tc>
          <w:tcPr>
            <w:tcW w:w="1560" w:type="dxa"/>
            <w:tcBorders>
              <w:top w:val="double" w:sz="4" w:space="0" w:color="auto"/>
              <w:bottom w:val="single" w:sz="4" w:space="0" w:color="auto"/>
              <w:right w:val="single" w:sz="4" w:space="0" w:color="auto"/>
            </w:tcBorders>
          </w:tcPr>
          <w:p w14:paraId="667A573F" w14:textId="1A2B7B54" w:rsidR="00FF6AF2" w:rsidRPr="00DD477A" w:rsidRDefault="00FF6AF2" w:rsidP="009F70D0">
            <w:pPr>
              <w:pStyle w:val="TableTextBase"/>
              <w:rPr>
                <w:rFonts w:ascii="Calibri" w:hAnsi="Calibri" w:cs="Calibri"/>
                <w:b/>
                <w:sz w:val="16"/>
                <w:szCs w:val="16"/>
              </w:rPr>
            </w:pPr>
            <w:r w:rsidRPr="00DD477A">
              <w:rPr>
                <w:rFonts w:ascii="Calibri" w:hAnsi="Calibri" w:cs="Calibri"/>
                <w:b/>
                <w:sz w:val="16"/>
                <w:szCs w:val="16"/>
              </w:rPr>
              <w:t>Year</w:t>
            </w:r>
          </w:p>
        </w:tc>
        <w:tc>
          <w:tcPr>
            <w:tcW w:w="3118" w:type="dxa"/>
            <w:tcBorders>
              <w:top w:val="double" w:sz="4" w:space="0" w:color="auto"/>
              <w:left w:val="single" w:sz="4" w:space="0" w:color="auto"/>
              <w:bottom w:val="single" w:sz="4" w:space="0" w:color="auto"/>
              <w:right w:val="single" w:sz="4" w:space="0" w:color="auto"/>
            </w:tcBorders>
          </w:tcPr>
          <w:p w14:paraId="7E71ECD7" w14:textId="0158BDF4" w:rsidR="00FF6AF2" w:rsidRPr="00DD477A" w:rsidRDefault="00FF6AF2" w:rsidP="009F70D0">
            <w:pPr>
              <w:pStyle w:val="TableTextBase"/>
              <w:rPr>
                <w:rFonts w:ascii="Calibri" w:hAnsi="Calibri" w:cs="Calibri"/>
                <w:b/>
                <w:sz w:val="16"/>
                <w:szCs w:val="16"/>
              </w:rPr>
            </w:pPr>
            <w:r w:rsidRPr="00DD477A">
              <w:rPr>
                <w:rFonts w:ascii="Calibri" w:hAnsi="Calibri" w:cs="Calibri"/>
                <w:b/>
                <w:sz w:val="16"/>
                <w:szCs w:val="16"/>
              </w:rPr>
              <w:t>Performance measures</w:t>
            </w:r>
          </w:p>
        </w:tc>
        <w:tc>
          <w:tcPr>
            <w:tcW w:w="3118" w:type="dxa"/>
            <w:tcBorders>
              <w:top w:val="double" w:sz="4" w:space="0" w:color="auto"/>
              <w:left w:val="single" w:sz="4" w:space="0" w:color="auto"/>
              <w:bottom w:val="single" w:sz="4" w:space="0" w:color="auto"/>
            </w:tcBorders>
          </w:tcPr>
          <w:p w14:paraId="7397F5F4" w14:textId="77777777" w:rsidR="00FF6AF2" w:rsidRPr="00DD477A" w:rsidRDefault="00FF6AF2" w:rsidP="009F70D0">
            <w:pPr>
              <w:pStyle w:val="TableTextBase"/>
              <w:rPr>
                <w:rFonts w:ascii="Calibri" w:hAnsi="Calibri" w:cs="Calibri"/>
                <w:b/>
                <w:sz w:val="16"/>
                <w:szCs w:val="16"/>
              </w:rPr>
            </w:pPr>
            <w:r w:rsidRPr="00DD477A">
              <w:rPr>
                <w:rFonts w:ascii="Calibri" w:hAnsi="Calibri" w:cs="Calibri"/>
                <w:b/>
                <w:sz w:val="16"/>
                <w:szCs w:val="16"/>
              </w:rPr>
              <w:t>Expected Performance Results</w:t>
            </w:r>
          </w:p>
        </w:tc>
      </w:tr>
      <w:tr w:rsidR="00C83F48" w:rsidRPr="00DD477A" w14:paraId="35553EBD" w14:textId="77777777" w:rsidTr="001B298A">
        <w:trPr>
          <w:cantSplit/>
          <w:trHeight w:val="642"/>
        </w:trPr>
        <w:tc>
          <w:tcPr>
            <w:tcW w:w="1560" w:type="dxa"/>
            <w:tcBorders>
              <w:top w:val="single" w:sz="4" w:space="0" w:color="auto"/>
              <w:bottom w:val="dotted" w:sz="4" w:space="0" w:color="auto"/>
              <w:right w:val="single" w:sz="4" w:space="0" w:color="auto"/>
            </w:tcBorders>
          </w:tcPr>
          <w:p w14:paraId="1382AB72" w14:textId="1126FD1E" w:rsidR="00FF6AF2" w:rsidRPr="00DD477A" w:rsidRDefault="00067185" w:rsidP="009F70D0">
            <w:pPr>
              <w:pStyle w:val="TableTextBase"/>
              <w:rPr>
                <w:rFonts w:ascii="Calibri" w:hAnsi="Calibri" w:cs="Calibri"/>
                <w:szCs w:val="18"/>
              </w:rPr>
            </w:pPr>
            <w:r w:rsidRPr="00DD477A">
              <w:rPr>
                <w:rFonts w:ascii="Calibri" w:hAnsi="Calibri" w:cs="Calibri"/>
                <w:szCs w:val="18"/>
              </w:rPr>
              <w:t xml:space="preserve">Current </w:t>
            </w:r>
            <w:r w:rsidR="00BB0CB3" w:rsidRPr="00DD477A">
              <w:rPr>
                <w:rFonts w:ascii="Calibri" w:hAnsi="Calibri" w:cs="Calibri"/>
                <w:szCs w:val="18"/>
              </w:rPr>
              <w:t>Year</w:t>
            </w:r>
          </w:p>
          <w:p w14:paraId="3F73C868" w14:textId="2AA20D70" w:rsidR="00FF6AF2" w:rsidRPr="00DD477A" w:rsidRDefault="00B11749" w:rsidP="009F70D0">
            <w:pPr>
              <w:pStyle w:val="TableTextBase"/>
              <w:rPr>
                <w:rFonts w:ascii="Calibri" w:hAnsi="Calibri" w:cs="Calibri"/>
                <w:sz w:val="16"/>
                <w:szCs w:val="16"/>
              </w:rPr>
            </w:pPr>
            <w:r w:rsidRPr="00DD477A">
              <w:rPr>
                <w:rFonts w:ascii="Calibri" w:hAnsi="Calibri" w:cs="Calibri"/>
                <w:szCs w:val="18"/>
              </w:rPr>
              <w:t>202</w:t>
            </w:r>
            <w:r w:rsidR="006A5992" w:rsidRPr="00DD477A">
              <w:rPr>
                <w:rFonts w:ascii="Calibri" w:hAnsi="Calibri" w:cs="Calibri"/>
                <w:szCs w:val="18"/>
              </w:rPr>
              <w:t>3</w:t>
            </w:r>
            <w:r w:rsidRPr="00DD477A">
              <w:rPr>
                <w:rFonts w:ascii="Calibri" w:hAnsi="Calibri" w:cs="Calibri"/>
                <w:szCs w:val="18"/>
              </w:rPr>
              <w:t>-2</w:t>
            </w:r>
            <w:r w:rsidR="006A5992" w:rsidRPr="00DD477A">
              <w:rPr>
                <w:rFonts w:ascii="Calibri" w:hAnsi="Calibri" w:cs="Calibri"/>
                <w:szCs w:val="18"/>
              </w:rPr>
              <w:t>4</w:t>
            </w:r>
          </w:p>
        </w:tc>
        <w:tc>
          <w:tcPr>
            <w:tcW w:w="3118" w:type="dxa"/>
            <w:tcBorders>
              <w:top w:val="single" w:sz="4" w:space="0" w:color="auto"/>
              <w:left w:val="single" w:sz="4" w:space="0" w:color="auto"/>
              <w:bottom w:val="dotted" w:sz="4" w:space="0" w:color="auto"/>
              <w:right w:val="single" w:sz="4" w:space="0" w:color="auto"/>
            </w:tcBorders>
          </w:tcPr>
          <w:p w14:paraId="57DC0DA7" w14:textId="34A6C120" w:rsidR="00FF6AF2" w:rsidRPr="00DD477A" w:rsidRDefault="00FF6AF2" w:rsidP="009F70D0">
            <w:pPr>
              <w:pStyle w:val="TableTextBase"/>
              <w:rPr>
                <w:rFonts w:ascii="Calibri" w:hAnsi="Calibri" w:cs="Calibri"/>
                <w:i/>
                <w:color w:val="0070C0"/>
                <w:szCs w:val="18"/>
              </w:rPr>
            </w:pPr>
            <w:r w:rsidRPr="00DD477A">
              <w:rPr>
                <w:rFonts w:ascii="Calibri" w:hAnsi="Calibri" w:cs="Calibri"/>
                <w:i/>
                <w:color w:val="0070C0"/>
                <w:szCs w:val="18"/>
              </w:rPr>
              <w:t xml:space="preserve">Performance measures for </w:t>
            </w:r>
            <w:r w:rsidR="00B11749" w:rsidRPr="00DD477A">
              <w:rPr>
                <w:rFonts w:ascii="Calibri" w:hAnsi="Calibri" w:cs="Calibri"/>
                <w:i/>
                <w:color w:val="0070C0"/>
                <w:szCs w:val="18"/>
              </w:rPr>
              <w:t>202</w:t>
            </w:r>
            <w:r w:rsidR="006A5992" w:rsidRPr="00DD477A">
              <w:rPr>
                <w:rFonts w:ascii="Calibri" w:hAnsi="Calibri" w:cs="Calibri"/>
                <w:i/>
                <w:color w:val="0070C0"/>
                <w:szCs w:val="18"/>
              </w:rPr>
              <w:t>3</w:t>
            </w:r>
            <w:r w:rsidR="00B11749" w:rsidRPr="00DD477A">
              <w:rPr>
                <w:rFonts w:ascii="Calibri" w:hAnsi="Calibri" w:cs="Calibri"/>
                <w:i/>
                <w:color w:val="0070C0"/>
                <w:szCs w:val="18"/>
              </w:rPr>
              <w:t>-2</w:t>
            </w:r>
            <w:r w:rsidR="006A5992" w:rsidRPr="00DD477A">
              <w:rPr>
                <w:rFonts w:ascii="Calibri" w:hAnsi="Calibri" w:cs="Calibri"/>
                <w:i/>
                <w:color w:val="0070C0"/>
                <w:szCs w:val="18"/>
              </w:rPr>
              <w:t>4</w:t>
            </w:r>
            <w:r w:rsidRPr="00DD477A">
              <w:rPr>
                <w:rFonts w:ascii="Calibri" w:hAnsi="Calibri" w:cs="Calibri"/>
                <w:i/>
                <w:color w:val="0070C0"/>
                <w:szCs w:val="18"/>
              </w:rPr>
              <w:t xml:space="preserve"> described in </w:t>
            </w:r>
            <w:r w:rsidR="00B11749" w:rsidRPr="00DD477A">
              <w:rPr>
                <w:rFonts w:ascii="Calibri" w:hAnsi="Calibri" w:cs="Calibri"/>
                <w:i/>
                <w:color w:val="0070C0"/>
                <w:szCs w:val="18"/>
              </w:rPr>
              <w:t>202</w:t>
            </w:r>
            <w:r w:rsidR="006A5992" w:rsidRPr="00DD477A">
              <w:rPr>
                <w:rFonts w:ascii="Calibri" w:hAnsi="Calibri" w:cs="Calibri"/>
                <w:i/>
                <w:color w:val="0070C0"/>
                <w:szCs w:val="18"/>
              </w:rPr>
              <w:t>3</w:t>
            </w:r>
            <w:r w:rsidR="00B11749" w:rsidRPr="00DD477A">
              <w:rPr>
                <w:rFonts w:ascii="Calibri" w:hAnsi="Calibri" w:cs="Calibri"/>
                <w:i/>
                <w:color w:val="0070C0"/>
                <w:szCs w:val="18"/>
              </w:rPr>
              <w:t>-2</w:t>
            </w:r>
            <w:r w:rsidR="006A5992" w:rsidRPr="00DD477A">
              <w:rPr>
                <w:rFonts w:ascii="Calibri" w:hAnsi="Calibri" w:cs="Calibri"/>
                <w:i/>
                <w:color w:val="0070C0"/>
                <w:szCs w:val="18"/>
              </w:rPr>
              <w:t>4</w:t>
            </w:r>
            <w:r w:rsidRPr="00DD477A">
              <w:rPr>
                <w:rFonts w:ascii="Calibri" w:hAnsi="Calibri" w:cs="Calibri"/>
                <w:i/>
                <w:color w:val="0070C0"/>
                <w:szCs w:val="18"/>
              </w:rPr>
              <w:t xml:space="preserve"> Portfolio Budget Statements</w:t>
            </w:r>
          </w:p>
          <w:p w14:paraId="3004B1A3" w14:textId="77777777" w:rsidR="00FF6AF2" w:rsidRPr="00DD477A" w:rsidRDefault="00FF6AF2" w:rsidP="009F70D0">
            <w:pPr>
              <w:pStyle w:val="TableTextBase"/>
              <w:rPr>
                <w:rFonts w:ascii="Calibri" w:hAnsi="Calibri" w:cs="Calibri"/>
                <w:i/>
                <w:color w:val="0070C0"/>
                <w:szCs w:val="18"/>
              </w:rPr>
            </w:pPr>
          </w:p>
        </w:tc>
        <w:tc>
          <w:tcPr>
            <w:tcW w:w="3118" w:type="dxa"/>
            <w:tcBorders>
              <w:top w:val="single" w:sz="4" w:space="0" w:color="auto"/>
              <w:left w:val="single" w:sz="4" w:space="0" w:color="auto"/>
              <w:bottom w:val="dotted" w:sz="4" w:space="0" w:color="auto"/>
            </w:tcBorders>
          </w:tcPr>
          <w:p w14:paraId="3F1F7841" w14:textId="32B6E5AE" w:rsidR="00FF6AF2" w:rsidRPr="00DD477A" w:rsidRDefault="001B3C88" w:rsidP="009F70D0">
            <w:pPr>
              <w:pStyle w:val="TableTextBase"/>
              <w:rPr>
                <w:rFonts w:ascii="Calibri" w:hAnsi="Calibri" w:cs="Calibri"/>
                <w:i/>
                <w:color w:val="0070C0"/>
                <w:szCs w:val="18"/>
              </w:rPr>
            </w:pPr>
            <w:r w:rsidRPr="00DD477A">
              <w:rPr>
                <w:rFonts w:ascii="Calibri" w:hAnsi="Calibri" w:cs="Calibri"/>
                <w:i/>
                <w:color w:val="0070C0"/>
                <w:szCs w:val="18"/>
              </w:rPr>
              <w:t xml:space="preserve">Expected </w:t>
            </w:r>
            <w:r w:rsidR="00FF6AF2" w:rsidRPr="00DD477A">
              <w:rPr>
                <w:rFonts w:ascii="Calibri" w:hAnsi="Calibri" w:cs="Calibri"/>
                <w:i/>
                <w:color w:val="0070C0"/>
                <w:szCs w:val="18"/>
              </w:rPr>
              <w:t xml:space="preserve">performance results against measures for </w:t>
            </w:r>
            <w:r w:rsidR="00B11749" w:rsidRPr="00DD477A">
              <w:rPr>
                <w:rFonts w:ascii="Calibri" w:hAnsi="Calibri" w:cs="Calibri"/>
                <w:i/>
                <w:color w:val="0070C0"/>
                <w:szCs w:val="18"/>
              </w:rPr>
              <w:t>202</w:t>
            </w:r>
            <w:r w:rsidR="006638F7" w:rsidRPr="00DD477A">
              <w:rPr>
                <w:rFonts w:ascii="Calibri" w:hAnsi="Calibri" w:cs="Calibri"/>
                <w:i/>
                <w:color w:val="0070C0"/>
                <w:szCs w:val="18"/>
              </w:rPr>
              <w:t>3</w:t>
            </w:r>
            <w:r w:rsidR="00B11749" w:rsidRPr="00DD477A">
              <w:rPr>
                <w:rFonts w:ascii="Calibri" w:hAnsi="Calibri" w:cs="Calibri"/>
                <w:i/>
                <w:color w:val="0070C0"/>
                <w:szCs w:val="18"/>
              </w:rPr>
              <w:t>-2</w:t>
            </w:r>
            <w:r w:rsidR="006638F7" w:rsidRPr="00DD477A">
              <w:rPr>
                <w:rFonts w:ascii="Calibri" w:hAnsi="Calibri" w:cs="Calibri"/>
                <w:i/>
                <w:color w:val="0070C0"/>
                <w:szCs w:val="18"/>
              </w:rPr>
              <w:t>4</w:t>
            </w:r>
            <w:r w:rsidR="00FF6AF2" w:rsidRPr="00DD477A">
              <w:rPr>
                <w:rFonts w:ascii="Calibri" w:hAnsi="Calibri" w:cs="Calibri"/>
                <w:i/>
                <w:color w:val="0070C0"/>
                <w:szCs w:val="18"/>
              </w:rPr>
              <w:t xml:space="preserve"> as described in </w:t>
            </w:r>
            <w:r w:rsidR="00B11749" w:rsidRPr="00DD477A">
              <w:rPr>
                <w:rFonts w:ascii="Calibri" w:hAnsi="Calibri" w:cs="Calibri"/>
                <w:i/>
                <w:color w:val="0070C0"/>
                <w:szCs w:val="18"/>
              </w:rPr>
              <w:t>202</w:t>
            </w:r>
            <w:r w:rsidR="006638F7" w:rsidRPr="00DD477A">
              <w:rPr>
                <w:rFonts w:ascii="Calibri" w:hAnsi="Calibri" w:cs="Calibri"/>
                <w:i/>
                <w:color w:val="0070C0"/>
                <w:szCs w:val="18"/>
              </w:rPr>
              <w:t>3</w:t>
            </w:r>
            <w:r w:rsidR="00B11749" w:rsidRPr="00DD477A">
              <w:rPr>
                <w:rFonts w:ascii="Calibri" w:hAnsi="Calibri" w:cs="Calibri"/>
                <w:i/>
                <w:color w:val="0070C0"/>
                <w:szCs w:val="18"/>
              </w:rPr>
              <w:t>-2</w:t>
            </w:r>
            <w:r w:rsidR="006638F7" w:rsidRPr="00DD477A">
              <w:rPr>
                <w:rFonts w:ascii="Calibri" w:hAnsi="Calibri" w:cs="Calibri"/>
                <w:i/>
                <w:color w:val="0070C0"/>
                <w:szCs w:val="18"/>
              </w:rPr>
              <w:t>4</w:t>
            </w:r>
            <w:r w:rsidR="00FF6AF2" w:rsidRPr="00DD477A">
              <w:rPr>
                <w:rFonts w:ascii="Calibri" w:hAnsi="Calibri" w:cs="Calibri"/>
                <w:i/>
                <w:color w:val="0070C0"/>
                <w:szCs w:val="18"/>
              </w:rPr>
              <w:t xml:space="preserve"> Portfolio Budget Statements</w:t>
            </w:r>
          </w:p>
        </w:tc>
      </w:tr>
      <w:tr w:rsidR="00C83F48" w:rsidRPr="00DD477A" w14:paraId="3267644F" w14:textId="77777777" w:rsidTr="001B298A">
        <w:trPr>
          <w:cantSplit/>
          <w:trHeight w:val="100"/>
        </w:trPr>
        <w:tc>
          <w:tcPr>
            <w:tcW w:w="1560" w:type="dxa"/>
            <w:tcBorders>
              <w:top w:val="single" w:sz="4" w:space="0" w:color="auto"/>
              <w:bottom w:val="dotted" w:sz="4" w:space="0" w:color="auto"/>
              <w:right w:val="single" w:sz="4" w:space="0" w:color="auto"/>
            </w:tcBorders>
          </w:tcPr>
          <w:p w14:paraId="2567D4A6" w14:textId="4321063C" w:rsidR="00FF6AF2" w:rsidRPr="00DD477A" w:rsidRDefault="00FF6AF2" w:rsidP="009F70D0">
            <w:pPr>
              <w:pStyle w:val="TableTextBase"/>
              <w:rPr>
                <w:rFonts w:ascii="Calibri" w:hAnsi="Calibri" w:cs="Calibri"/>
                <w:b/>
                <w:sz w:val="16"/>
                <w:szCs w:val="16"/>
              </w:rPr>
            </w:pPr>
            <w:r w:rsidRPr="00DD477A">
              <w:rPr>
                <w:rFonts w:ascii="Calibri" w:hAnsi="Calibri" w:cs="Calibri"/>
                <w:b/>
                <w:sz w:val="16"/>
                <w:szCs w:val="16"/>
              </w:rPr>
              <w:t>Year</w:t>
            </w:r>
          </w:p>
        </w:tc>
        <w:tc>
          <w:tcPr>
            <w:tcW w:w="3118" w:type="dxa"/>
            <w:tcBorders>
              <w:top w:val="single" w:sz="4" w:space="0" w:color="auto"/>
              <w:left w:val="single" w:sz="4" w:space="0" w:color="auto"/>
              <w:bottom w:val="dotted" w:sz="4" w:space="0" w:color="auto"/>
              <w:right w:val="single" w:sz="4" w:space="0" w:color="auto"/>
            </w:tcBorders>
          </w:tcPr>
          <w:p w14:paraId="1B55B23C" w14:textId="52370BCD" w:rsidR="00FF6AF2" w:rsidRPr="00DD477A" w:rsidRDefault="00FF6AF2" w:rsidP="009F70D0">
            <w:pPr>
              <w:pStyle w:val="TableTextBase"/>
              <w:rPr>
                <w:rFonts w:ascii="Calibri" w:hAnsi="Calibri" w:cs="Calibri"/>
                <w:b/>
                <w:sz w:val="16"/>
                <w:szCs w:val="16"/>
              </w:rPr>
            </w:pPr>
            <w:r w:rsidRPr="00DD477A">
              <w:rPr>
                <w:rFonts w:ascii="Calibri" w:hAnsi="Calibri" w:cs="Calibri"/>
                <w:b/>
                <w:sz w:val="16"/>
                <w:szCs w:val="16"/>
              </w:rPr>
              <w:t>Performance measures</w:t>
            </w:r>
            <w:r w:rsidR="00812BF0" w:rsidRPr="00DD477A">
              <w:rPr>
                <w:rFonts w:ascii="Calibri" w:hAnsi="Calibri" w:cs="Calibri"/>
                <w:b/>
                <w:sz w:val="16"/>
                <w:szCs w:val="16"/>
              </w:rPr>
              <w:t xml:space="preserve"> (b)</w:t>
            </w:r>
          </w:p>
        </w:tc>
        <w:tc>
          <w:tcPr>
            <w:tcW w:w="3118" w:type="dxa"/>
            <w:tcBorders>
              <w:top w:val="single" w:sz="4" w:space="0" w:color="auto"/>
              <w:left w:val="single" w:sz="4" w:space="0" w:color="auto"/>
              <w:bottom w:val="dotted" w:sz="4" w:space="0" w:color="auto"/>
            </w:tcBorders>
          </w:tcPr>
          <w:p w14:paraId="41A357AD" w14:textId="5EC6FB51" w:rsidR="00FF6AF2" w:rsidRPr="00DD477A" w:rsidRDefault="00992E23" w:rsidP="009F70D0">
            <w:pPr>
              <w:pStyle w:val="TableTextBase"/>
              <w:rPr>
                <w:rFonts w:ascii="Calibri" w:hAnsi="Calibri" w:cs="Calibri"/>
                <w:b/>
                <w:sz w:val="16"/>
                <w:szCs w:val="16"/>
              </w:rPr>
            </w:pPr>
            <w:r w:rsidRPr="00DD477A">
              <w:rPr>
                <w:rFonts w:ascii="Calibri" w:hAnsi="Calibri" w:cs="Calibri"/>
                <w:b/>
                <w:sz w:val="16"/>
                <w:szCs w:val="16"/>
              </w:rPr>
              <w:t xml:space="preserve">Planned </w:t>
            </w:r>
            <w:r w:rsidR="00FF6AF2" w:rsidRPr="00DD477A">
              <w:rPr>
                <w:rFonts w:ascii="Calibri" w:hAnsi="Calibri" w:cs="Calibri"/>
                <w:b/>
                <w:sz w:val="16"/>
                <w:szCs w:val="16"/>
              </w:rPr>
              <w:t>Performance Results</w:t>
            </w:r>
          </w:p>
        </w:tc>
      </w:tr>
      <w:tr w:rsidR="00C83F48" w:rsidRPr="00DD477A" w14:paraId="6E69CAAA" w14:textId="77777777" w:rsidTr="001B298A">
        <w:trPr>
          <w:cantSplit/>
          <w:trHeight w:val="100"/>
        </w:trPr>
        <w:tc>
          <w:tcPr>
            <w:tcW w:w="1560" w:type="dxa"/>
            <w:tcBorders>
              <w:top w:val="single" w:sz="4" w:space="0" w:color="auto"/>
              <w:bottom w:val="dotted" w:sz="4" w:space="0" w:color="auto"/>
              <w:right w:val="single" w:sz="4" w:space="0" w:color="auto"/>
            </w:tcBorders>
          </w:tcPr>
          <w:p w14:paraId="12D4E5C1" w14:textId="77777777" w:rsidR="00133ACC" w:rsidRPr="00DD477A" w:rsidRDefault="00FF6AF2" w:rsidP="009F70D0">
            <w:pPr>
              <w:pStyle w:val="TableTextBase"/>
              <w:rPr>
                <w:rFonts w:ascii="Calibri" w:hAnsi="Calibri" w:cs="Calibri"/>
              </w:rPr>
            </w:pPr>
            <w:r w:rsidRPr="00DD477A">
              <w:rPr>
                <w:rFonts w:ascii="Calibri" w:hAnsi="Calibri" w:cs="Calibri"/>
              </w:rPr>
              <w:t>Budget Year</w:t>
            </w:r>
          </w:p>
          <w:p w14:paraId="43800A15" w14:textId="74061F1C" w:rsidR="00FF6AF2" w:rsidRPr="00DD477A" w:rsidRDefault="00B11749" w:rsidP="009F70D0">
            <w:pPr>
              <w:pStyle w:val="TableTextBase"/>
              <w:rPr>
                <w:rFonts w:ascii="Calibri" w:hAnsi="Calibri" w:cs="Calibri"/>
              </w:rPr>
            </w:pPr>
            <w:r w:rsidRPr="00DD477A">
              <w:rPr>
                <w:rFonts w:ascii="Calibri" w:hAnsi="Calibri" w:cs="Calibri"/>
              </w:rPr>
              <w:t>202</w:t>
            </w:r>
            <w:r w:rsidR="006A5992" w:rsidRPr="00DD477A">
              <w:rPr>
                <w:rFonts w:ascii="Calibri" w:hAnsi="Calibri" w:cs="Calibri"/>
              </w:rPr>
              <w:t>4</w:t>
            </w:r>
            <w:r w:rsidRPr="00DD477A">
              <w:rPr>
                <w:rFonts w:ascii="Calibri" w:hAnsi="Calibri" w:cs="Calibri"/>
              </w:rPr>
              <w:t>-2</w:t>
            </w:r>
            <w:r w:rsidR="006A5992" w:rsidRPr="00DD477A">
              <w:rPr>
                <w:rFonts w:ascii="Calibri" w:hAnsi="Calibri" w:cs="Calibri"/>
              </w:rPr>
              <w:t>5</w:t>
            </w:r>
          </w:p>
        </w:tc>
        <w:tc>
          <w:tcPr>
            <w:tcW w:w="3118" w:type="dxa"/>
            <w:tcBorders>
              <w:top w:val="single" w:sz="4" w:space="0" w:color="auto"/>
              <w:left w:val="single" w:sz="4" w:space="0" w:color="auto"/>
              <w:bottom w:val="dotted" w:sz="4" w:space="0" w:color="auto"/>
              <w:right w:val="single" w:sz="4" w:space="0" w:color="auto"/>
            </w:tcBorders>
          </w:tcPr>
          <w:p w14:paraId="4E029B22" w14:textId="5B3411C8" w:rsidR="00FF6AF2" w:rsidRPr="00DD477A" w:rsidRDefault="00FF6AF2" w:rsidP="009F70D0">
            <w:pPr>
              <w:pStyle w:val="TableTextBase"/>
              <w:rPr>
                <w:rFonts w:ascii="Calibri" w:hAnsi="Calibri" w:cs="Calibri"/>
                <w:i/>
                <w:color w:val="0070C0"/>
              </w:rPr>
            </w:pPr>
            <w:r w:rsidRPr="00DD477A">
              <w:rPr>
                <w:rFonts w:ascii="Calibri" w:hAnsi="Calibri" w:cs="Calibri"/>
                <w:i/>
                <w:color w:val="0070C0"/>
              </w:rPr>
              <w:t xml:space="preserve">Measures for assessing performance in </w:t>
            </w:r>
            <w:r w:rsidR="00B11749" w:rsidRPr="00DD477A">
              <w:rPr>
                <w:rFonts w:ascii="Calibri" w:hAnsi="Calibri" w:cs="Calibri"/>
                <w:i/>
                <w:color w:val="0070C0"/>
              </w:rPr>
              <w:t>202</w:t>
            </w:r>
            <w:r w:rsidR="006A5992" w:rsidRPr="00DD477A">
              <w:rPr>
                <w:rFonts w:ascii="Calibri" w:hAnsi="Calibri" w:cs="Calibri"/>
                <w:i/>
                <w:color w:val="0070C0"/>
              </w:rPr>
              <w:t>4</w:t>
            </w:r>
            <w:r w:rsidR="00B11749" w:rsidRPr="00DD477A">
              <w:rPr>
                <w:rFonts w:ascii="Calibri" w:hAnsi="Calibri" w:cs="Calibri"/>
                <w:i/>
                <w:color w:val="0070C0"/>
              </w:rPr>
              <w:t>-2</w:t>
            </w:r>
            <w:r w:rsidR="006A5992" w:rsidRPr="00DD477A">
              <w:rPr>
                <w:rFonts w:ascii="Calibri" w:hAnsi="Calibri" w:cs="Calibri"/>
                <w:i/>
                <w:color w:val="0070C0"/>
              </w:rPr>
              <w:t>5</w:t>
            </w:r>
          </w:p>
        </w:tc>
        <w:tc>
          <w:tcPr>
            <w:tcW w:w="3118" w:type="dxa"/>
            <w:tcBorders>
              <w:top w:val="single" w:sz="4" w:space="0" w:color="auto"/>
              <w:left w:val="single" w:sz="4" w:space="0" w:color="auto"/>
              <w:bottom w:val="dotted" w:sz="4" w:space="0" w:color="auto"/>
            </w:tcBorders>
          </w:tcPr>
          <w:p w14:paraId="5506514D" w14:textId="6344121F" w:rsidR="00FF6AF2" w:rsidRPr="00DD477A" w:rsidRDefault="00FF6AF2" w:rsidP="009F70D0">
            <w:pPr>
              <w:pStyle w:val="TableTextBase"/>
              <w:rPr>
                <w:rFonts w:ascii="Calibri" w:hAnsi="Calibri" w:cs="Calibri"/>
                <w:i/>
                <w:color w:val="0070C0"/>
              </w:rPr>
            </w:pPr>
            <w:r w:rsidRPr="00DD477A">
              <w:rPr>
                <w:rFonts w:ascii="Calibri" w:hAnsi="Calibri" w:cs="Calibri"/>
                <w:i/>
                <w:color w:val="0070C0"/>
              </w:rPr>
              <w:t xml:space="preserve">Insert description of planned performance results in </w:t>
            </w:r>
            <w:r w:rsidR="00B11749" w:rsidRPr="00DD477A">
              <w:rPr>
                <w:rFonts w:ascii="Calibri" w:hAnsi="Calibri" w:cs="Calibri"/>
                <w:i/>
                <w:color w:val="0070C0"/>
              </w:rPr>
              <w:t>202</w:t>
            </w:r>
            <w:r w:rsidR="006A5992" w:rsidRPr="00DD477A">
              <w:rPr>
                <w:rFonts w:ascii="Calibri" w:hAnsi="Calibri" w:cs="Calibri"/>
                <w:i/>
                <w:color w:val="0070C0"/>
              </w:rPr>
              <w:t>4</w:t>
            </w:r>
            <w:r w:rsidR="00B11749" w:rsidRPr="00DD477A">
              <w:rPr>
                <w:rFonts w:ascii="Calibri" w:hAnsi="Calibri" w:cs="Calibri"/>
                <w:i/>
                <w:color w:val="0070C0"/>
              </w:rPr>
              <w:t>-2</w:t>
            </w:r>
            <w:r w:rsidR="006A5992" w:rsidRPr="00DD477A">
              <w:rPr>
                <w:rFonts w:ascii="Calibri" w:hAnsi="Calibri" w:cs="Calibri"/>
                <w:i/>
                <w:color w:val="0070C0"/>
              </w:rPr>
              <w:t>5</w:t>
            </w:r>
          </w:p>
        </w:tc>
      </w:tr>
      <w:tr w:rsidR="00C83F48" w:rsidRPr="00DD477A" w14:paraId="408DEFD6" w14:textId="77777777" w:rsidTr="001B298A">
        <w:trPr>
          <w:cantSplit/>
          <w:trHeight w:val="491"/>
        </w:trPr>
        <w:tc>
          <w:tcPr>
            <w:tcW w:w="1560" w:type="dxa"/>
            <w:tcBorders>
              <w:top w:val="dotted" w:sz="4" w:space="0" w:color="auto"/>
              <w:bottom w:val="dotted" w:sz="4" w:space="0" w:color="auto"/>
              <w:right w:val="single" w:sz="4" w:space="0" w:color="auto"/>
            </w:tcBorders>
          </w:tcPr>
          <w:p w14:paraId="6B90D7D6" w14:textId="77777777" w:rsidR="00FF6AF2" w:rsidRPr="00DD477A" w:rsidRDefault="00FF6AF2" w:rsidP="009F70D0">
            <w:pPr>
              <w:pStyle w:val="TableTextBase"/>
              <w:rPr>
                <w:rFonts w:ascii="Calibri" w:hAnsi="Calibri" w:cs="Calibri"/>
              </w:rPr>
            </w:pPr>
            <w:r w:rsidRPr="00DD477A">
              <w:rPr>
                <w:rFonts w:ascii="Calibri" w:hAnsi="Calibri" w:cs="Calibri"/>
              </w:rPr>
              <w:t xml:space="preserve">Forward Estimates </w:t>
            </w:r>
          </w:p>
          <w:p w14:paraId="2EB52527" w14:textId="2DAAE673" w:rsidR="00FF6AF2" w:rsidRPr="00DD477A" w:rsidRDefault="00FF6AF2" w:rsidP="00B11749">
            <w:pPr>
              <w:pStyle w:val="TableTextBase"/>
              <w:rPr>
                <w:rFonts w:ascii="Calibri" w:hAnsi="Calibri" w:cs="Calibri"/>
                <w:b/>
              </w:rPr>
            </w:pPr>
            <w:r w:rsidRPr="00DD477A">
              <w:rPr>
                <w:rFonts w:ascii="Calibri" w:hAnsi="Calibri" w:cs="Calibri"/>
              </w:rPr>
              <w:t>202</w:t>
            </w:r>
            <w:r w:rsidR="006A5992" w:rsidRPr="00DD477A">
              <w:rPr>
                <w:rFonts w:ascii="Calibri" w:hAnsi="Calibri" w:cs="Calibri"/>
              </w:rPr>
              <w:t>5</w:t>
            </w:r>
            <w:r w:rsidRPr="00DD477A">
              <w:rPr>
                <w:rFonts w:ascii="Calibri" w:hAnsi="Calibri" w:cs="Calibri"/>
              </w:rPr>
              <w:t>-2</w:t>
            </w:r>
            <w:r w:rsidR="006A5992" w:rsidRPr="00DD477A">
              <w:rPr>
                <w:rFonts w:ascii="Calibri" w:hAnsi="Calibri" w:cs="Calibri"/>
              </w:rPr>
              <w:t>8</w:t>
            </w:r>
          </w:p>
        </w:tc>
        <w:tc>
          <w:tcPr>
            <w:tcW w:w="3118" w:type="dxa"/>
            <w:tcBorders>
              <w:top w:val="dotted" w:sz="4" w:space="0" w:color="auto"/>
              <w:left w:val="single" w:sz="4" w:space="0" w:color="auto"/>
              <w:bottom w:val="dotted" w:sz="4" w:space="0" w:color="auto"/>
              <w:right w:val="single" w:sz="4" w:space="0" w:color="auto"/>
            </w:tcBorders>
          </w:tcPr>
          <w:p w14:paraId="765F1F1C" w14:textId="77777777" w:rsidR="00FF6AF2" w:rsidRPr="00DD477A" w:rsidRDefault="00FF6AF2" w:rsidP="009F70D0">
            <w:pPr>
              <w:pStyle w:val="TableTextBase"/>
              <w:rPr>
                <w:rFonts w:ascii="Calibri" w:hAnsi="Calibri" w:cs="Calibri"/>
                <w:i/>
                <w:color w:val="0070C0"/>
              </w:rPr>
            </w:pPr>
            <w:r w:rsidRPr="00DD477A">
              <w:rPr>
                <w:rFonts w:ascii="Calibri" w:hAnsi="Calibri" w:cs="Calibri"/>
                <w:i/>
                <w:color w:val="0070C0"/>
              </w:rPr>
              <w:t>Measures for assessing performance over the forward estimates</w:t>
            </w:r>
          </w:p>
          <w:p w14:paraId="3A395C20" w14:textId="7B9DF03F" w:rsidR="00FF6AF2" w:rsidRPr="00DD477A" w:rsidRDefault="00FF6AF2" w:rsidP="009F70D0">
            <w:pPr>
              <w:pStyle w:val="TableTextBase"/>
              <w:rPr>
                <w:rFonts w:ascii="Calibri" w:hAnsi="Calibri" w:cs="Calibri"/>
                <w:b/>
                <w:color w:val="0070C0"/>
              </w:rPr>
            </w:pPr>
            <w:r w:rsidRPr="00DD477A">
              <w:rPr>
                <w:rFonts w:ascii="Calibri" w:hAnsi="Calibri" w:cs="Calibri"/>
                <w:i/>
                <w:color w:val="FF0000"/>
              </w:rPr>
              <w:t>[</w:t>
            </w:r>
            <w:r w:rsidRPr="00DD477A">
              <w:rPr>
                <w:rFonts w:ascii="Calibri" w:hAnsi="Calibri" w:cs="Calibri"/>
                <w:b/>
                <w:i/>
                <w:color w:val="FF0000"/>
              </w:rPr>
              <w:t>Note</w:t>
            </w:r>
            <w:r w:rsidRPr="00DD477A">
              <w:rPr>
                <w:rFonts w:ascii="Calibri" w:hAnsi="Calibri" w:cs="Calibri"/>
                <w:i/>
                <w:color w:val="FF0000"/>
              </w:rPr>
              <w:t xml:space="preserve"> – if the same measures as </w:t>
            </w:r>
            <w:r w:rsidR="00D753E7" w:rsidRPr="00DD477A">
              <w:rPr>
                <w:rFonts w:ascii="Calibri" w:hAnsi="Calibri" w:cs="Calibri"/>
                <w:i/>
                <w:color w:val="FF0000"/>
              </w:rPr>
              <w:br/>
            </w:r>
            <w:r w:rsidR="00B11749" w:rsidRPr="00DD477A">
              <w:rPr>
                <w:rFonts w:ascii="Calibri" w:hAnsi="Calibri" w:cs="Calibri"/>
                <w:i/>
                <w:color w:val="FF0000"/>
              </w:rPr>
              <w:t>202</w:t>
            </w:r>
            <w:r w:rsidR="006A5992" w:rsidRPr="00DD477A">
              <w:rPr>
                <w:rFonts w:ascii="Calibri" w:hAnsi="Calibri" w:cs="Calibri"/>
                <w:i/>
                <w:color w:val="FF0000"/>
              </w:rPr>
              <w:t>4</w:t>
            </w:r>
            <w:r w:rsidR="00B11749" w:rsidRPr="00DD477A">
              <w:rPr>
                <w:rFonts w:ascii="Calibri" w:hAnsi="Calibri" w:cs="Calibri"/>
                <w:i/>
                <w:color w:val="FF0000"/>
              </w:rPr>
              <w:t>-2</w:t>
            </w:r>
            <w:r w:rsidR="006A5992" w:rsidRPr="00DD477A">
              <w:rPr>
                <w:rFonts w:ascii="Calibri" w:hAnsi="Calibri" w:cs="Calibri"/>
                <w:i/>
                <w:color w:val="FF0000"/>
              </w:rPr>
              <w:t>5</w:t>
            </w:r>
            <w:r w:rsidRPr="00DD477A">
              <w:rPr>
                <w:rFonts w:ascii="Calibri" w:hAnsi="Calibri" w:cs="Calibri"/>
                <w:i/>
                <w:color w:val="FF0000"/>
              </w:rPr>
              <w:t xml:space="preserve">, use </w:t>
            </w:r>
            <w:r w:rsidR="006714EB" w:rsidRPr="00DD477A">
              <w:rPr>
                <w:rFonts w:ascii="Calibri" w:hAnsi="Calibri" w:cs="Calibri"/>
                <w:i/>
                <w:color w:val="FF0000"/>
              </w:rPr>
              <w:t>‘</w:t>
            </w:r>
            <w:r w:rsidRPr="00DD477A">
              <w:rPr>
                <w:rFonts w:ascii="Calibri" w:hAnsi="Calibri" w:cs="Calibri"/>
                <w:i/>
                <w:color w:val="FF0000"/>
              </w:rPr>
              <w:t xml:space="preserve">As per </w:t>
            </w:r>
            <w:r w:rsidR="00B11749" w:rsidRPr="00DD477A">
              <w:rPr>
                <w:rFonts w:ascii="Calibri" w:hAnsi="Calibri" w:cs="Calibri"/>
                <w:i/>
                <w:color w:val="FF0000"/>
              </w:rPr>
              <w:t>202</w:t>
            </w:r>
            <w:r w:rsidR="006A5992" w:rsidRPr="00DD477A">
              <w:rPr>
                <w:rFonts w:ascii="Calibri" w:hAnsi="Calibri" w:cs="Calibri"/>
                <w:i/>
                <w:color w:val="FF0000"/>
              </w:rPr>
              <w:t>4</w:t>
            </w:r>
            <w:r w:rsidR="00B11749" w:rsidRPr="00DD477A">
              <w:rPr>
                <w:rFonts w:ascii="Calibri" w:hAnsi="Calibri" w:cs="Calibri"/>
                <w:i/>
                <w:color w:val="FF0000"/>
              </w:rPr>
              <w:t>-2</w:t>
            </w:r>
            <w:r w:rsidR="006A5992" w:rsidRPr="00DD477A">
              <w:rPr>
                <w:rFonts w:ascii="Calibri" w:hAnsi="Calibri" w:cs="Calibri"/>
                <w:i/>
                <w:color w:val="FF0000"/>
              </w:rPr>
              <w:t>5</w:t>
            </w:r>
            <w:r w:rsidR="006714EB" w:rsidRPr="00DD477A">
              <w:rPr>
                <w:rFonts w:ascii="Calibri" w:hAnsi="Calibri" w:cs="Calibri"/>
                <w:i/>
                <w:color w:val="FF0000"/>
              </w:rPr>
              <w:t>’</w:t>
            </w:r>
            <w:r w:rsidRPr="00DD477A">
              <w:rPr>
                <w:rFonts w:ascii="Calibri" w:hAnsi="Calibri" w:cs="Calibri"/>
                <w:i/>
                <w:color w:val="FF0000"/>
              </w:rPr>
              <w:t>]</w:t>
            </w:r>
          </w:p>
        </w:tc>
        <w:tc>
          <w:tcPr>
            <w:tcW w:w="3118" w:type="dxa"/>
            <w:tcBorders>
              <w:top w:val="dotted" w:sz="4" w:space="0" w:color="auto"/>
              <w:left w:val="single" w:sz="4" w:space="0" w:color="auto"/>
              <w:bottom w:val="dotted" w:sz="4" w:space="0" w:color="auto"/>
            </w:tcBorders>
          </w:tcPr>
          <w:p w14:paraId="45900148" w14:textId="75168BE2" w:rsidR="00FF6AF2" w:rsidRPr="00DD477A" w:rsidRDefault="00FF6AF2" w:rsidP="009F70D0">
            <w:pPr>
              <w:pStyle w:val="TableTextBase"/>
              <w:rPr>
                <w:rFonts w:ascii="Calibri" w:hAnsi="Calibri" w:cs="Calibri"/>
                <w:b/>
                <w:color w:val="0070C0"/>
              </w:rPr>
            </w:pPr>
            <w:r w:rsidRPr="00DD477A">
              <w:rPr>
                <w:rFonts w:ascii="Calibri" w:hAnsi="Calibri" w:cs="Calibri"/>
                <w:i/>
                <w:color w:val="0070C0"/>
              </w:rPr>
              <w:t>Insert description of planned performance results over the forward estimates</w:t>
            </w:r>
          </w:p>
        </w:tc>
      </w:tr>
      <w:tr w:rsidR="00A27DB6" w:rsidRPr="00DD477A" w14:paraId="7053DF20" w14:textId="77777777" w:rsidTr="001B298A">
        <w:trPr>
          <w:cantSplit/>
          <w:trHeight w:val="291"/>
        </w:trPr>
        <w:tc>
          <w:tcPr>
            <w:tcW w:w="7796" w:type="dxa"/>
            <w:gridSpan w:val="3"/>
          </w:tcPr>
          <w:p w14:paraId="2036C5ED" w14:textId="384E4C1E" w:rsidR="00FF6AF2" w:rsidRPr="00DD477A" w:rsidRDefault="00FF6AF2" w:rsidP="009F70D0">
            <w:pPr>
              <w:pStyle w:val="TableTextBase"/>
              <w:rPr>
                <w:rFonts w:ascii="Calibri" w:eastAsia="Cambria" w:hAnsi="Calibri" w:cs="Calibri"/>
                <w:spacing w:val="-6"/>
                <w:sz w:val="16"/>
                <w:szCs w:val="16"/>
              </w:rPr>
            </w:pPr>
            <w:r w:rsidRPr="00DD477A">
              <w:rPr>
                <w:rFonts w:ascii="Calibri" w:hAnsi="Calibri" w:cs="Calibri"/>
                <w:sz w:val="16"/>
                <w:szCs w:val="16"/>
              </w:rPr>
              <w:t xml:space="preserve">Material changes to Program X.X resulting from </w:t>
            </w:r>
            <w:r w:rsidR="00B11749" w:rsidRPr="00DD477A">
              <w:rPr>
                <w:rFonts w:ascii="Calibri" w:hAnsi="Calibri" w:cs="Calibri"/>
                <w:sz w:val="16"/>
                <w:szCs w:val="16"/>
              </w:rPr>
              <w:t>202</w:t>
            </w:r>
            <w:r w:rsidR="00354928" w:rsidRPr="00DD477A">
              <w:rPr>
                <w:rFonts w:ascii="Calibri" w:hAnsi="Calibri" w:cs="Calibri"/>
                <w:sz w:val="16"/>
                <w:szCs w:val="16"/>
              </w:rPr>
              <w:t>4</w:t>
            </w:r>
            <w:r w:rsidR="00B11749" w:rsidRPr="00DD477A">
              <w:rPr>
                <w:rFonts w:ascii="Calibri" w:hAnsi="Calibri" w:cs="Calibri"/>
                <w:sz w:val="16"/>
                <w:szCs w:val="16"/>
              </w:rPr>
              <w:t>-2</w:t>
            </w:r>
            <w:r w:rsidR="00354928" w:rsidRPr="00DD477A">
              <w:rPr>
                <w:rFonts w:ascii="Calibri" w:hAnsi="Calibri" w:cs="Calibri"/>
                <w:sz w:val="16"/>
                <w:szCs w:val="16"/>
              </w:rPr>
              <w:t>5</w:t>
            </w:r>
            <w:r w:rsidRPr="00DD477A">
              <w:rPr>
                <w:rFonts w:ascii="Calibri" w:hAnsi="Calibri" w:cs="Calibri"/>
                <w:sz w:val="16"/>
                <w:szCs w:val="16"/>
              </w:rPr>
              <w:t xml:space="preserve"> Budget Measures:</w:t>
            </w:r>
            <w:r w:rsidRPr="00DD477A">
              <w:rPr>
                <w:rStyle w:val="BodyTextChar"/>
                <w:rFonts w:ascii="Calibri" w:hAnsi="Calibri" w:cs="Calibri"/>
                <w:spacing w:val="-6"/>
                <w:sz w:val="16"/>
                <w:szCs w:val="16"/>
              </w:rPr>
              <w:t xml:space="preserve"> </w:t>
            </w:r>
          </w:p>
        </w:tc>
      </w:tr>
    </w:tbl>
    <w:p w14:paraId="58A18248" w14:textId="17E3AE8A" w:rsidR="00FF6AF2" w:rsidRPr="00DD477A" w:rsidRDefault="00FF6AF2" w:rsidP="00AA1E87">
      <w:pPr>
        <w:pStyle w:val="ChartandTableFootnoteAlpha"/>
        <w:numPr>
          <w:ilvl w:val="0"/>
          <w:numId w:val="33"/>
        </w:numPr>
        <w:rPr>
          <w:rFonts w:ascii="Calibri" w:hAnsi="Calibri" w:cs="Calibri"/>
        </w:rPr>
      </w:pPr>
      <w:r w:rsidRPr="00DD477A">
        <w:rPr>
          <w:rFonts w:ascii="Calibri" w:hAnsi="Calibri" w:cs="Calibri"/>
        </w:rPr>
        <w:t xml:space="preserve">Insert footnote if key activities have been updated since the </w:t>
      </w:r>
      <w:r w:rsidR="00B11749" w:rsidRPr="00DD477A">
        <w:rPr>
          <w:rFonts w:ascii="Calibri" w:hAnsi="Calibri" w:cs="Calibri"/>
        </w:rPr>
        <w:t>202</w:t>
      </w:r>
      <w:r w:rsidR="00354928" w:rsidRPr="00DD477A">
        <w:rPr>
          <w:rFonts w:ascii="Calibri" w:hAnsi="Calibri" w:cs="Calibri"/>
        </w:rPr>
        <w:t>3</w:t>
      </w:r>
      <w:r w:rsidR="00B11749" w:rsidRPr="00DD477A">
        <w:rPr>
          <w:rFonts w:ascii="Calibri" w:hAnsi="Calibri" w:cs="Calibri"/>
        </w:rPr>
        <w:t>-2</w:t>
      </w:r>
      <w:r w:rsidR="00354928" w:rsidRPr="00DD477A">
        <w:rPr>
          <w:rFonts w:ascii="Calibri" w:hAnsi="Calibri" w:cs="Calibri"/>
        </w:rPr>
        <w:t>4</w:t>
      </w:r>
      <w:r w:rsidRPr="00DD477A">
        <w:rPr>
          <w:rFonts w:ascii="Calibri" w:hAnsi="Calibri" w:cs="Calibri"/>
        </w:rPr>
        <w:t xml:space="preserve"> Corporate Plan (for example, a form of words similar to </w:t>
      </w:r>
      <w:r w:rsidR="006714EB" w:rsidRPr="00DD477A">
        <w:rPr>
          <w:rFonts w:ascii="Calibri" w:hAnsi="Calibri" w:cs="Calibri"/>
        </w:rPr>
        <w:t>‘</w:t>
      </w:r>
      <w:r w:rsidRPr="00DD477A">
        <w:rPr>
          <w:rFonts w:ascii="Calibri" w:hAnsi="Calibri" w:cs="Calibri"/>
        </w:rPr>
        <w:t xml:space="preserve">Refers to updated key activities that will be reflected in the </w:t>
      </w:r>
      <w:r w:rsidR="00B11749" w:rsidRPr="00DD477A">
        <w:rPr>
          <w:rFonts w:ascii="Calibri" w:hAnsi="Calibri" w:cs="Calibri"/>
        </w:rPr>
        <w:t>202</w:t>
      </w:r>
      <w:r w:rsidR="00354928" w:rsidRPr="00DD477A">
        <w:rPr>
          <w:rFonts w:ascii="Calibri" w:hAnsi="Calibri" w:cs="Calibri"/>
        </w:rPr>
        <w:t>4</w:t>
      </w:r>
      <w:r w:rsidR="00B11749" w:rsidRPr="00DD477A">
        <w:rPr>
          <w:rFonts w:ascii="Calibri" w:hAnsi="Calibri" w:cs="Calibri"/>
        </w:rPr>
        <w:t>-2</w:t>
      </w:r>
      <w:r w:rsidR="00354928" w:rsidRPr="00DD477A">
        <w:rPr>
          <w:rFonts w:ascii="Calibri" w:hAnsi="Calibri" w:cs="Calibri"/>
        </w:rPr>
        <w:t>5</w:t>
      </w:r>
      <w:r w:rsidRPr="00DD477A">
        <w:rPr>
          <w:rFonts w:ascii="Calibri" w:hAnsi="Calibri" w:cs="Calibri"/>
        </w:rPr>
        <w:t xml:space="preserve"> Corporate Plan</w:t>
      </w:r>
      <w:r w:rsidR="006714EB" w:rsidRPr="00DD477A">
        <w:rPr>
          <w:rFonts w:ascii="Calibri" w:hAnsi="Calibri" w:cs="Calibri"/>
        </w:rPr>
        <w:t>’</w:t>
      </w:r>
      <w:r w:rsidRPr="00DD477A">
        <w:rPr>
          <w:rFonts w:ascii="Calibri" w:hAnsi="Calibri" w:cs="Calibri"/>
        </w:rPr>
        <w:t>).</w:t>
      </w:r>
    </w:p>
    <w:p w14:paraId="470FDB39" w14:textId="16D5827C" w:rsidR="00FF6AF2" w:rsidRPr="00DD477A" w:rsidRDefault="00FF6AF2" w:rsidP="0003645A">
      <w:pPr>
        <w:pStyle w:val="ChartandTableFootnoteAlpha"/>
        <w:rPr>
          <w:rFonts w:ascii="Calibri" w:hAnsi="Calibri" w:cs="Calibri"/>
        </w:rPr>
      </w:pPr>
      <w:r w:rsidRPr="00DD477A">
        <w:rPr>
          <w:rFonts w:ascii="Calibri" w:hAnsi="Calibri" w:cs="Calibri"/>
        </w:rPr>
        <w:t xml:space="preserve">New or modified performance measures that reflect new or materially changed programs are shown in italics. Where new programs are established in the </w:t>
      </w:r>
      <w:r w:rsidR="00B11749" w:rsidRPr="00DD477A">
        <w:rPr>
          <w:rFonts w:ascii="Calibri" w:hAnsi="Calibri" w:cs="Calibri"/>
        </w:rPr>
        <w:t>202</w:t>
      </w:r>
      <w:r w:rsidR="00354928" w:rsidRPr="00DD477A">
        <w:rPr>
          <w:rFonts w:ascii="Calibri" w:hAnsi="Calibri" w:cs="Calibri"/>
        </w:rPr>
        <w:t>4</w:t>
      </w:r>
      <w:r w:rsidR="00B11749" w:rsidRPr="00DD477A">
        <w:rPr>
          <w:rFonts w:ascii="Calibri" w:hAnsi="Calibri" w:cs="Calibri"/>
        </w:rPr>
        <w:t>-2</w:t>
      </w:r>
      <w:r w:rsidR="00354928" w:rsidRPr="00DD477A">
        <w:rPr>
          <w:rFonts w:ascii="Calibri" w:hAnsi="Calibri" w:cs="Calibri"/>
        </w:rPr>
        <w:t>5</w:t>
      </w:r>
      <w:r w:rsidRPr="00DD477A">
        <w:rPr>
          <w:rFonts w:ascii="Calibri" w:hAnsi="Calibri" w:cs="Calibri"/>
        </w:rPr>
        <w:t xml:space="preserve"> Budget, all of the performance measures related to that new program need to be shown</w:t>
      </w:r>
      <w:r w:rsidR="006E4EB1" w:rsidRPr="00DD477A">
        <w:rPr>
          <w:rFonts w:ascii="Calibri" w:hAnsi="Calibri" w:cs="Calibri"/>
        </w:rPr>
        <w:t>.</w:t>
      </w:r>
    </w:p>
    <w:p w14:paraId="44B9CFA4" w14:textId="3240D015" w:rsidR="00FA0945" w:rsidRPr="00DD477A" w:rsidRDefault="53BF0693" w:rsidP="00E548A0">
      <w:pPr>
        <w:pStyle w:val="Heading3"/>
      </w:pPr>
      <w:bookmarkStart w:id="969" w:name="_Toc534458887"/>
      <w:bookmarkStart w:id="970" w:name="_Toc534459676"/>
      <w:bookmarkStart w:id="971" w:name="_Toc534519171"/>
      <w:bookmarkStart w:id="972" w:name="_Toc534520081"/>
      <w:bookmarkStart w:id="973" w:name="_Toc534520351"/>
      <w:bookmarkStart w:id="974" w:name="_Toc534527563"/>
      <w:bookmarkStart w:id="975" w:name="_Toc534528293"/>
      <w:bookmarkStart w:id="976" w:name="_Toc534803514"/>
      <w:bookmarkStart w:id="977" w:name="_Toc534814205"/>
      <w:bookmarkStart w:id="978" w:name="_Toc536108578"/>
      <w:bookmarkStart w:id="979" w:name="_Toc536802125"/>
      <w:bookmarkStart w:id="980" w:name="_Toc422724"/>
      <w:bookmarkStart w:id="981" w:name="_Toc534382567"/>
      <w:bookmarkStart w:id="982" w:name="_Toc63347720"/>
      <w:bookmarkStart w:id="983" w:name="_Toc160715581"/>
      <w:bookmarkEnd w:id="969"/>
      <w:bookmarkEnd w:id="970"/>
      <w:bookmarkEnd w:id="971"/>
      <w:bookmarkEnd w:id="972"/>
      <w:bookmarkEnd w:id="973"/>
      <w:bookmarkEnd w:id="974"/>
      <w:bookmarkEnd w:id="975"/>
      <w:bookmarkEnd w:id="976"/>
      <w:bookmarkEnd w:id="977"/>
      <w:bookmarkEnd w:id="978"/>
      <w:bookmarkEnd w:id="979"/>
      <w:bookmarkEnd w:id="980"/>
      <w:r w:rsidRPr="00DD477A">
        <w:t>Program title and brief description</w:t>
      </w:r>
      <w:bookmarkEnd w:id="981"/>
      <w:bookmarkEnd w:id="982"/>
      <w:bookmarkEnd w:id="983"/>
    </w:p>
    <w:p w14:paraId="275FA18B" w14:textId="3572BFCF" w:rsidR="00FA0945" w:rsidRPr="00DD477A" w:rsidRDefault="53BF0693" w:rsidP="000A7DEC">
      <w:pPr>
        <w:rPr>
          <w:rFonts w:cs="Calibri"/>
        </w:rPr>
      </w:pPr>
      <w:r w:rsidRPr="00DD477A">
        <w:rPr>
          <w:rFonts w:cs="Calibri"/>
        </w:rPr>
        <w:t xml:space="preserve">The program titles inserted in Table 2.X.3 should </w:t>
      </w:r>
      <w:r w:rsidR="004D4A17" w:rsidRPr="00DD477A">
        <w:rPr>
          <w:rFonts w:cs="Calibri"/>
        </w:rPr>
        <w:t>mirror</w:t>
      </w:r>
      <w:r w:rsidRPr="00DD477A">
        <w:rPr>
          <w:rFonts w:cs="Calibri"/>
        </w:rPr>
        <w:t xml:space="preserve"> the </w:t>
      </w:r>
      <w:r w:rsidR="005A5D4C" w:rsidRPr="00DD477A">
        <w:rPr>
          <w:rFonts w:cs="Calibri"/>
        </w:rPr>
        <w:t>program name</w:t>
      </w:r>
      <w:r w:rsidRPr="00DD477A">
        <w:rPr>
          <w:rFonts w:cs="Calibri"/>
        </w:rPr>
        <w:t xml:space="preserve"> in CBMS.</w:t>
      </w:r>
    </w:p>
    <w:p w14:paraId="1AC5189B" w14:textId="3C1BEFB7" w:rsidR="00FA0945" w:rsidRPr="00DD477A" w:rsidRDefault="00AF6BB3" w:rsidP="000A7DEC">
      <w:pPr>
        <w:rPr>
          <w:rFonts w:cs="Calibri"/>
        </w:rPr>
      </w:pPr>
      <w:r w:rsidRPr="00DD477A">
        <w:rPr>
          <w:rFonts w:cs="Calibri"/>
        </w:rPr>
        <w:t>The</w:t>
      </w:r>
      <w:r w:rsidR="53BF0693" w:rsidRPr="00DD477A">
        <w:rPr>
          <w:rFonts w:cs="Calibri"/>
        </w:rPr>
        <w:t xml:space="preserve"> brief</w:t>
      </w:r>
      <w:r w:rsidR="00C87C67" w:rsidRPr="00DD477A">
        <w:rPr>
          <w:rFonts w:cs="Calibri"/>
        </w:rPr>
        <w:t>, conci</w:t>
      </w:r>
      <w:r w:rsidR="00031B8A" w:rsidRPr="00DD477A">
        <w:rPr>
          <w:rFonts w:cs="Calibri"/>
        </w:rPr>
        <w:t>se</w:t>
      </w:r>
      <w:r w:rsidR="53BF0693" w:rsidRPr="00DD477A">
        <w:rPr>
          <w:rFonts w:cs="Calibri"/>
        </w:rPr>
        <w:t xml:space="preserve"> description that </w:t>
      </w:r>
      <w:r w:rsidRPr="00DD477A">
        <w:rPr>
          <w:rFonts w:cs="Calibri"/>
        </w:rPr>
        <w:t xml:space="preserve">follows should </w:t>
      </w:r>
      <w:r w:rsidR="006873D7" w:rsidRPr="00DD477A">
        <w:rPr>
          <w:rFonts w:cs="Calibri"/>
        </w:rPr>
        <w:t xml:space="preserve">clearly outline </w:t>
      </w:r>
      <w:r w:rsidR="53BF0693" w:rsidRPr="00DD477A">
        <w:rPr>
          <w:rFonts w:cs="Calibri"/>
        </w:rPr>
        <w:t>the:</w:t>
      </w:r>
    </w:p>
    <w:p w14:paraId="164DB440" w14:textId="51BA385A" w:rsidR="00FA0945" w:rsidRPr="00DD477A" w:rsidRDefault="53BF0693" w:rsidP="0003645A">
      <w:pPr>
        <w:pStyle w:val="Bullet1"/>
      </w:pPr>
      <w:r w:rsidRPr="00DD477A">
        <w:t>objective of the program (i.e.</w:t>
      </w:r>
      <w:r w:rsidR="7129F99C" w:rsidRPr="00DD477A">
        <w:t>,</w:t>
      </w:r>
      <w:r w:rsidRPr="00DD477A">
        <w:t xml:space="preserve"> the difference it aims to make, the intended results etc</w:t>
      </w:r>
      <w:r w:rsidR="46C105EC" w:rsidRPr="00DD477A">
        <w:t>.</w:t>
      </w:r>
      <w:r w:rsidRPr="00DD477A">
        <w:t>)</w:t>
      </w:r>
      <w:r w:rsidR="00213814" w:rsidRPr="00DD477A">
        <w:t>, and the</w:t>
      </w:r>
    </w:p>
    <w:p w14:paraId="3E08A8BB" w14:textId="77777777" w:rsidR="00FA0945" w:rsidRPr="00DD477A" w:rsidRDefault="53BF0693" w:rsidP="0003645A">
      <w:pPr>
        <w:pStyle w:val="Bullet1"/>
      </w:pPr>
      <w:r w:rsidRPr="00DD477A">
        <w:t>contribution it makes to achieving Outcome X (or why Outcome X cannot be delivered successfully without the program).</w:t>
      </w:r>
    </w:p>
    <w:p w14:paraId="763632EB" w14:textId="7E98F9B0" w:rsidR="000D5300" w:rsidRPr="00DD477A" w:rsidRDefault="000D5300" w:rsidP="00A85E0D">
      <w:pPr>
        <w:pStyle w:val="Bullet1"/>
        <w:numPr>
          <w:ilvl w:val="0"/>
          <w:numId w:val="0"/>
        </w:numPr>
      </w:pPr>
      <w:r w:rsidRPr="00DD477A">
        <w:t>The below e</w:t>
      </w:r>
      <w:r w:rsidR="005F1063" w:rsidRPr="00DD477A">
        <w:t>xample</w:t>
      </w:r>
      <w:r w:rsidRPr="00DD477A">
        <w:t xml:space="preserve"> </w:t>
      </w:r>
      <w:r w:rsidR="006676D6" w:rsidRPr="00DD477A">
        <w:t>from the Department of Social Services 2023</w:t>
      </w:r>
      <w:r w:rsidR="00F245A2" w:rsidRPr="00DD477A">
        <w:t>-</w:t>
      </w:r>
      <w:r w:rsidR="006676D6" w:rsidRPr="00DD477A">
        <w:t xml:space="preserve">24 PB Statements </w:t>
      </w:r>
      <w:r w:rsidRPr="00DD477A">
        <w:t xml:space="preserve">clearly </w:t>
      </w:r>
      <w:r w:rsidR="006676D6" w:rsidRPr="00DD477A">
        <w:t xml:space="preserve">and concisely </w:t>
      </w:r>
      <w:r w:rsidR="00BF0E30" w:rsidRPr="00DD477A">
        <w:t>articulates</w:t>
      </w:r>
      <w:r w:rsidRPr="00DD477A">
        <w:t xml:space="preserve"> </w:t>
      </w:r>
      <w:r w:rsidR="001172F2" w:rsidRPr="00DD477A">
        <w:t xml:space="preserve">the </w:t>
      </w:r>
      <w:r w:rsidR="00BF0E30" w:rsidRPr="00DD477A">
        <w:t xml:space="preserve">program’s objective </w:t>
      </w:r>
      <w:r w:rsidR="00EC7046" w:rsidRPr="00DD477A">
        <w:t xml:space="preserve">and how it </w:t>
      </w:r>
      <w:r w:rsidR="001172F2" w:rsidRPr="00DD477A">
        <w:t>contributes to the outcome</w:t>
      </w:r>
      <w:r w:rsidR="00EC7046" w:rsidRPr="00DD477A">
        <w:t xml:space="preserve"> of the entity</w:t>
      </w:r>
      <w:r w:rsidR="001172F2" w:rsidRPr="00DD477A">
        <w:t>.</w:t>
      </w:r>
      <w:r w:rsidRPr="00DD477A">
        <w:rPr>
          <w:noProof/>
        </w:rPr>
        <w:drawing>
          <wp:inline distT="0" distB="0" distL="0" distR="0" wp14:anchorId="6E6F4B68" wp14:editId="732A2ACA">
            <wp:extent cx="6018258" cy="896620"/>
            <wp:effectExtent l="0" t="0" r="1905" b="0"/>
            <wp:docPr id="27631463" name="Picture 27631463"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1463" name="Picture 1" descr="A close-up of a message&#10;&#10;Description automatically generated"/>
                    <pic:cNvPicPr/>
                  </pic:nvPicPr>
                  <pic:blipFill rotWithShape="1">
                    <a:blip r:embed="rId153"/>
                    <a:srcRect l="1524" b="3717"/>
                    <a:stretch/>
                  </pic:blipFill>
                  <pic:spPr bwMode="auto">
                    <a:xfrm>
                      <a:off x="0" y="0"/>
                      <a:ext cx="6025964" cy="897768"/>
                    </a:xfrm>
                    <a:prstGeom prst="rect">
                      <a:avLst/>
                    </a:prstGeom>
                    <a:ln>
                      <a:noFill/>
                    </a:ln>
                    <a:extLst>
                      <a:ext uri="{53640926-AAD7-44D8-BBD7-CCE9431645EC}">
                        <a14:shadowObscured xmlns:a14="http://schemas.microsoft.com/office/drawing/2010/main"/>
                      </a:ext>
                    </a:extLst>
                  </pic:spPr>
                </pic:pic>
              </a:graphicData>
            </a:graphic>
          </wp:inline>
        </w:drawing>
      </w:r>
    </w:p>
    <w:p w14:paraId="0924588A" w14:textId="5489B0B5" w:rsidR="00FA0945" w:rsidRPr="00DD477A" w:rsidRDefault="003B453D" w:rsidP="00E548A0">
      <w:pPr>
        <w:pStyle w:val="Heading3"/>
      </w:pPr>
      <w:bookmarkStart w:id="984" w:name="_Toc126678521"/>
      <w:bookmarkStart w:id="985" w:name="_Toc126772096"/>
      <w:bookmarkStart w:id="986" w:name="_Toc128665504"/>
      <w:bookmarkStart w:id="987" w:name="_Toc129015740"/>
      <w:bookmarkStart w:id="988" w:name="_Toc129017895"/>
      <w:bookmarkStart w:id="989" w:name="_Toc129163704"/>
      <w:bookmarkStart w:id="990" w:name="_Toc129166947"/>
      <w:bookmarkStart w:id="991" w:name="_Toc126678522"/>
      <w:bookmarkStart w:id="992" w:name="_Toc126772097"/>
      <w:bookmarkStart w:id="993" w:name="_Toc128665505"/>
      <w:bookmarkStart w:id="994" w:name="_Toc129015741"/>
      <w:bookmarkStart w:id="995" w:name="_Toc129017896"/>
      <w:bookmarkStart w:id="996" w:name="_Toc129163705"/>
      <w:bookmarkStart w:id="997" w:name="_Toc129166948"/>
      <w:bookmarkStart w:id="998" w:name="_Toc126678523"/>
      <w:bookmarkStart w:id="999" w:name="_Toc126772098"/>
      <w:bookmarkStart w:id="1000" w:name="_Toc128665506"/>
      <w:bookmarkStart w:id="1001" w:name="_Toc129015742"/>
      <w:bookmarkStart w:id="1002" w:name="_Toc129017897"/>
      <w:bookmarkStart w:id="1003" w:name="_Toc129163706"/>
      <w:bookmarkStart w:id="1004" w:name="_Toc129166949"/>
      <w:bookmarkStart w:id="1005" w:name="_Toc126678524"/>
      <w:bookmarkStart w:id="1006" w:name="_Toc126772099"/>
      <w:bookmarkStart w:id="1007" w:name="_Toc128665507"/>
      <w:bookmarkStart w:id="1008" w:name="_Toc129015743"/>
      <w:bookmarkStart w:id="1009" w:name="_Toc129017898"/>
      <w:bookmarkStart w:id="1010" w:name="_Toc129163707"/>
      <w:bookmarkStart w:id="1011" w:name="_Toc129166950"/>
      <w:bookmarkStart w:id="1012" w:name="_Toc126678525"/>
      <w:bookmarkStart w:id="1013" w:name="_Toc126772100"/>
      <w:bookmarkStart w:id="1014" w:name="_Toc128665508"/>
      <w:bookmarkStart w:id="1015" w:name="_Toc129015744"/>
      <w:bookmarkStart w:id="1016" w:name="_Toc129017899"/>
      <w:bookmarkStart w:id="1017" w:name="_Toc129163708"/>
      <w:bookmarkStart w:id="1018" w:name="_Toc129166951"/>
      <w:bookmarkStart w:id="1019" w:name="_Toc126678526"/>
      <w:bookmarkStart w:id="1020" w:name="_Toc126772101"/>
      <w:bookmarkStart w:id="1021" w:name="_Toc128665509"/>
      <w:bookmarkStart w:id="1022" w:name="_Toc129015745"/>
      <w:bookmarkStart w:id="1023" w:name="_Toc129017900"/>
      <w:bookmarkStart w:id="1024" w:name="_Toc129163709"/>
      <w:bookmarkStart w:id="1025" w:name="_Toc129166952"/>
      <w:bookmarkStart w:id="1026" w:name="_Toc126678527"/>
      <w:bookmarkStart w:id="1027" w:name="_Toc126772102"/>
      <w:bookmarkStart w:id="1028" w:name="_Toc128665510"/>
      <w:bookmarkStart w:id="1029" w:name="_Toc129015746"/>
      <w:bookmarkStart w:id="1030" w:name="_Toc129017901"/>
      <w:bookmarkStart w:id="1031" w:name="_Toc129163710"/>
      <w:bookmarkStart w:id="1032" w:name="_Toc129166953"/>
      <w:bookmarkStart w:id="1033" w:name="_Toc126678528"/>
      <w:bookmarkStart w:id="1034" w:name="_Toc126772103"/>
      <w:bookmarkStart w:id="1035" w:name="_Toc128665511"/>
      <w:bookmarkStart w:id="1036" w:name="_Toc129015747"/>
      <w:bookmarkStart w:id="1037" w:name="_Toc129017902"/>
      <w:bookmarkStart w:id="1038" w:name="_Toc129163711"/>
      <w:bookmarkStart w:id="1039" w:name="_Toc129166954"/>
      <w:bookmarkStart w:id="1040" w:name="_Ref92377011"/>
      <w:bookmarkStart w:id="1041" w:name="_Ref92377019"/>
      <w:bookmarkStart w:id="1042" w:name="_Toc160715582"/>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DD477A">
        <w:t>Key Activities</w:t>
      </w:r>
      <w:bookmarkEnd w:id="1040"/>
      <w:bookmarkEnd w:id="1041"/>
      <w:bookmarkEnd w:id="1042"/>
    </w:p>
    <w:p w14:paraId="7C8C8A9C" w14:textId="565DEBD1" w:rsidR="006676D6" w:rsidRPr="00DD477A" w:rsidRDefault="00A411FA" w:rsidP="006676D6">
      <w:pPr>
        <w:rPr>
          <w:rFonts w:cs="Calibri"/>
        </w:rPr>
      </w:pPr>
      <w:r w:rsidRPr="00DD477A">
        <w:rPr>
          <w:rFonts w:cs="Calibri"/>
        </w:rPr>
        <w:t xml:space="preserve">The </w:t>
      </w:r>
      <w:r w:rsidR="000D04F3" w:rsidRPr="00DD477A">
        <w:rPr>
          <w:rFonts w:cs="Calibri"/>
        </w:rPr>
        <w:t xml:space="preserve">Key Activities reported in the </w:t>
      </w:r>
      <w:r w:rsidR="00A15E76" w:rsidRPr="00DD477A">
        <w:rPr>
          <w:rFonts w:cs="Calibri"/>
        </w:rPr>
        <w:t xml:space="preserve">current </w:t>
      </w:r>
      <w:r w:rsidR="000D04F3" w:rsidRPr="00DD477A">
        <w:rPr>
          <w:rFonts w:cs="Calibri"/>
        </w:rPr>
        <w:t xml:space="preserve">corporate plan </w:t>
      </w:r>
      <w:r w:rsidR="003D6367" w:rsidRPr="00DD477A">
        <w:rPr>
          <w:rFonts w:cs="Calibri"/>
        </w:rPr>
        <w:t>(likely the 202</w:t>
      </w:r>
      <w:r w:rsidRPr="00DD477A">
        <w:rPr>
          <w:rFonts w:cs="Calibri"/>
        </w:rPr>
        <w:t>3</w:t>
      </w:r>
      <w:r w:rsidR="2275A358" w:rsidRPr="00DD477A">
        <w:rPr>
          <w:rFonts w:cs="Calibri"/>
        </w:rPr>
        <w:t>-</w:t>
      </w:r>
      <w:r w:rsidR="003D6367" w:rsidRPr="00DD477A">
        <w:rPr>
          <w:rFonts w:cs="Calibri"/>
        </w:rPr>
        <w:t>2</w:t>
      </w:r>
      <w:r w:rsidRPr="00DD477A">
        <w:rPr>
          <w:rFonts w:cs="Calibri"/>
        </w:rPr>
        <w:t>4</w:t>
      </w:r>
      <w:r w:rsidR="003D6367" w:rsidRPr="00DD477A">
        <w:rPr>
          <w:rFonts w:cs="Calibri"/>
        </w:rPr>
        <w:t xml:space="preserve"> corporate plan) </w:t>
      </w:r>
      <w:r w:rsidR="00901D2A" w:rsidRPr="00DD477A">
        <w:rPr>
          <w:rFonts w:cs="Calibri"/>
        </w:rPr>
        <w:t>associated with</w:t>
      </w:r>
      <w:r w:rsidR="00113BE2" w:rsidRPr="00DD477A">
        <w:rPr>
          <w:rFonts w:cs="Calibri"/>
        </w:rPr>
        <w:t xml:space="preserve"> </w:t>
      </w:r>
      <w:r w:rsidR="000D04F3" w:rsidRPr="00DD477A">
        <w:rPr>
          <w:rFonts w:cs="Calibri"/>
        </w:rPr>
        <w:t xml:space="preserve">each program </w:t>
      </w:r>
      <w:r w:rsidR="00D07FDE" w:rsidRPr="00DD477A">
        <w:rPr>
          <w:rFonts w:cs="Calibri"/>
        </w:rPr>
        <w:t>should be detailed in Table</w:t>
      </w:r>
      <w:r w:rsidR="00396356" w:rsidRPr="00DD477A">
        <w:rPr>
          <w:rFonts w:cs="Calibri"/>
        </w:rPr>
        <w:t xml:space="preserve"> 2.X.3</w:t>
      </w:r>
      <w:r w:rsidR="000D04F3" w:rsidRPr="00DD477A">
        <w:rPr>
          <w:rFonts w:cs="Calibri"/>
        </w:rPr>
        <w:t>.</w:t>
      </w:r>
      <w:r w:rsidR="00127076" w:rsidRPr="00DD477A">
        <w:rPr>
          <w:rFonts w:cs="Calibri"/>
        </w:rPr>
        <w:t xml:space="preserve"> This provides a clear read between the </w:t>
      </w:r>
      <w:r w:rsidR="00C14A6F" w:rsidRPr="00DD477A">
        <w:rPr>
          <w:rFonts w:cs="Calibri"/>
        </w:rPr>
        <w:t>PB </w:t>
      </w:r>
      <w:r w:rsidR="00127076" w:rsidRPr="00DD477A">
        <w:rPr>
          <w:rFonts w:cs="Calibri"/>
        </w:rPr>
        <w:t>S</w:t>
      </w:r>
      <w:r w:rsidR="00A261E1" w:rsidRPr="00DD477A">
        <w:rPr>
          <w:rFonts w:cs="Calibri"/>
        </w:rPr>
        <w:t>tatement</w:t>
      </w:r>
      <w:r w:rsidR="00127076" w:rsidRPr="00DD477A">
        <w:rPr>
          <w:rFonts w:cs="Calibri"/>
        </w:rPr>
        <w:t xml:space="preserve"> and the corporate plan.</w:t>
      </w:r>
      <w:r w:rsidR="00714A82" w:rsidRPr="00DD477A" w:rsidDel="00901D2A">
        <w:rPr>
          <w:rFonts w:cs="Calibri"/>
        </w:rPr>
        <w:t xml:space="preserve"> There is no need to provide full detail of the key activities in the PB</w:t>
      </w:r>
      <w:r w:rsidR="00A261E1" w:rsidRPr="00DD477A" w:rsidDel="00901D2A">
        <w:rPr>
          <w:rFonts w:cs="Calibri"/>
        </w:rPr>
        <w:t xml:space="preserve"> </w:t>
      </w:r>
      <w:r w:rsidR="00714A82" w:rsidRPr="00DD477A" w:rsidDel="00901D2A">
        <w:rPr>
          <w:rFonts w:cs="Calibri"/>
        </w:rPr>
        <w:t>S</w:t>
      </w:r>
      <w:r w:rsidR="00A261E1" w:rsidRPr="00DD477A" w:rsidDel="00901D2A">
        <w:rPr>
          <w:rFonts w:cs="Calibri"/>
        </w:rPr>
        <w:t>tatement</w:t>
      </w:r>
      <w:r w:rsidR="00714A82" w:rsidRPr="00DD477A" w:rsidDel="00901D2A">
        <w:rPr>
          <w:rFonts w:cs="Calibri"/>
        </w:rPr>
        <w:t>, the title of the key activities will suffice.</w:t>
      </w:r>
    </w:p>
    <w:p w14:paraId="64EACC26" w14:textId="4F17DA7B" w:rsidR="00541FE5" w:rsidRPr="00DD477A" w:rsidRDefault="00127076" w:rsidP="000A7DEC">
      <w:pPr>
        <w:rPr>
          <w:rFonts w:cs="Calibri"/>
        </w:rPr>
      </w:pPr>
      <w:r w:rsidRPr="00DD477A">
        <w:rPr>
          <w:rFonts w:cs="Calibri"/>
        </w:rPr>
        <w:lastRenderedPageBreak/>
        <w:t xml:space="preserve">Where entities report new or materially changed programs resulting from </w:t>
      </w:r>
      <w:r w:rsidR="00B11749" w:rsidRPr="00DD477A">
        <w:rPr>
          <w:rFonts w:cs="Calibri"/>
        </w:rPr>
        <w:t>202</w:t>
      </w:r>
      <w:r w:rsidR="00761F96" w:rsidRPr="00DD477A">
        <w:rPr>
          <w:rFonts w:cs="Calibri"/>
        </w:rPr>
        <w:t>4</w:t>
      </w:r>
      <w:r w:rsidR="00B11749" w:rsidRPr="00DD477A">
        <w:rPr>
          <w:rFonts w:cs="Calibri"/>
        </w:rPr>
        <w:t>-2</w:t>
      </w:r>
      <w:r w:rsidR="00761F96" w:rsidRPr="00DD477A">
        <w:rPr>
          <w:rFonts w:cs="Calibri"/>
        </w:rPr>
        <w:t>5</w:t>
      </w:r>
      <w:r w:rsidRPr="00DD477A">
        <w:rPr>
          <w:rFonts w:cs="Calibri"/>
        </w:rPr>
        <w:t xml:space="preserve"> Budget measures, </w:t>
      </w:r>
      <w:r w:rsidR="00B92832" w:rsidRPr="00DD477A">
        <w:rPr>
          <w:rFonts w:cs="Calibri"/>
        </w:rPr>
        <w:t xml:space="preserve">related key activities </w:t>
      </w:r>
      <w:r w:rsidRPr="00DD477A">
        <w:rPr>
          <w:rFonts w:cs="Calibri"/>
        </w:rPr>
        <w:t xml:space="preserve">may need to </w:t>
      </w:r>
      <w:r w:rsidR="00A90B01" w:rsidRPr="00DD477A">
        <w:rPr>
          <w:rFonts w:cs="Calibri"/>
        </w:rPr>
        <w:t xml:space="preserve">be </w:t>
      </w:r>
      <w:r w:rsidRPr="00DD477A">
        <w:rPr>
          <w:rFonts w:cs="Calibri"/>
        </w:rPr>
        <w:t>update</w:t>
      </w:r>
      <w:r w:rsidR="00A90B01" w:rsidRPr="00DD477A">
        <w:rPr>
          <w:rFonts w:cs="Calibri"/>
        </w:rPr>
        <w:t>d</w:t>
      </w:r>
      <w:r w:rsidRPr="00DD477A">
        <w:rPr>
          <w:rFonts w:cs="Calibri"/>
        </w:rPr>
        <w:t xml:space="preserve"> or create</w:t>
      </w:r>
      <w:r w:rsidR="00A90B01" w:rsidRPr="00DD477A">
        <w:rPr>
          <w:rFonts w:cs="Calibri"/>
        </w:rPr>
        <w:t>d</w:t>
      </w:r>
      <w:r w:rsidRPr="00DD477A">
        <w:rPr>
          <w:rFonts w:cs="Calibri"/>
        </w:rPr>
        <w:t xml:space="preserve">. </w:t>
      </w:r>
      <w:r w:rsidRPr="00DD477A" w:rsidDel="00756EA6">
        <w:rPr>
          <w:rFonts w:cs="Calibri"/>
        </w:rPr>
        <w:t xml:space="preserve">If key activities are introduced or altered in the </w:t>
      </w:r>
      <w:r w:rsidR="00B11749" w:rsidRPr="00DD477A" w:rsidDel="00756EA6">
        <w:rPr>
          <w:rFonts w:cs="Calibri"/>
        </w:rPr>
        <w:t>202</w:t>
      </w:r>
      <w:r w:rsidR="00B11749" w:rsidRPr="00DD477A" w:rsidDel="00761F96">
        <w:rPr>
          <w:rFonts w:cs="Calibri"/>
        </w:rPr>
        <w:t>3</w:t>
      </w:r>
      <w:r w:rsidR="006676D6" w:rsidRPr="00DD477A">
        <w:rPr>
          <w:rFonts w:cs="Calibri"/>
        </w:rPr>
        <w:noBreakHyphen/>
      </w:r>
      <w:r w:rsidR="00B11749" w:rsidRPr="00DD477A" w:rsidDel="00756EA6">
        <w:rPr>
          <w:rFonts w:cs="Calibri"/>
        </w:rPr>
        <w:t>2</w:t>
      </w:r>
      <w:r w:rsidR="00B11749" w:rsidRPr="00DD477A" w:rsidDel="00761F96">
        <w:rPr>
          <w:rFonts w:cs="Calibri"/>
        </w:rPr>
        <w:t>4</w:t>
      </w:r>
      <w:r w:rsidR="006676D6" w:rsidRPr="00DD477A">
        <w:rPr>
          <w:rFonts w:cs="Calibri"/>
        </w:rPr>
        <w:t> </w:t>
      </w:r>
      <w:r w:rsidRPr="00DD477A" w:rsidDel="00756EA6">
        <w:rPr>
          <w:rFonts w:cs="Calibri"/>
        </w:rPr>
        <w:t>PB</w:t>
      </w:r>
      <w:r w:rsidR="00A261E1" w:rsidRPr="00DD477A" w:rsidDel="00756EA6">
        <w:rPr>
          <w:rFonts w:cs="Calibri"/>
        </w:rPr>
        <w:t xml:space="preserve"> </w:t>
      </w:r>
      <w:r w:rsidRPr="00DD477A" w:rsidDel="00756EA6">
        <w:rPr>
          <w:rFonts w:cs="Calibri"/>
        </w:rPr>
        <w:t>S</w:t>
      </w:r>
      <w:r w:rsidR="00A261E1" w:rsidRPr="00DD477A" w:rsidDel="00756EA6">
        <w:rPr>
          <w:rFonts w:cs="Calibri"/>
        </w:rPr>
        <w:t>tatement</w:t>
      </w:r>
      <w:r w:rsidRPr="00DD477A" w:rsidDel="00756EA6">
        <w:rPr>
          <w:rFonts w:cs="Calibri"/>
        </w:rPr>
        <w:t>,</w:t>
      </w:r>
      <w:r w:rsidRPr="00DD477A">
        <w:rPr>
          <w:rFonts w:cs="Calibri"/>
        </w:rPr>
        <w:t xml:space="preserve"> a footnote to the table </w:t>
      </w:r>
      <w:r w:rsidR="006676D6" w:rsidRPr="00DD477A">
        <w:rPr>
          <w:rFonts w:cs="Calibri"/>
        </w:rPr>
        <w:t xml:space="preserve">should </w:t>
      </w:r>
      <w:r w:rsidRPr="00DD477A">
        <w:rPr>
          <w:rFonts w:cs="Calibri"/>
        </w:rPr>
        <w:t xml:space="preserve">explain this </w:t>
      </w:r>
      <w:r w:rsidRPr="00DD477A" w:rsidDel="00451CD3">
        <w:rPr>
          <w:rFonts w:cs="Calibri"/>
        </w:rPr>
        <w:t>and</w:t>
      </w:r>
      <w:r w:rsidRPr="00DD477A">
        <w:rPr>
          <w:rFonts w:cs="Calibri"/>
        </w:rPr>
        <w:t xml:space="preserve"> the </w:t>
      </w:r>
      <w:r w:rsidR="00B11749" w:rsidRPr="00DD477A">
        <w:rPr>
          <w:rFonts w:cs="Calibri"/>
        </w:rPr>
        <w:t>202</w:t>
      </w:r>
      <w:r w:rsidR="006676D6" w:rsidRPr="00DD477A">
        <w:rPr>
          <w:rFonts w:cs="Calibri"/>
        </w:rPr>
        <w:t>4</w:t>
      </w:r>
      <w:r w:rsidR="003D6367" w:rsidRPr="00DD477A">
        <w:rPr>
          <w:rFonts w:cs="Calibri"/>
        </w:rPr>
        <w:noBreakHyphen/>
        <w:t>2</w:t>
      </w:r>
      <w:r w:rsidR="006676D6" w:rsidRPr="00DD477A">
        <w:rPr>
          <w:rFonts w:cs="Calibri"/>
        </w:rPr>
        <w:t>5</w:t>
      </w:r>
      <w:r w:rsidR="003D6367" w:rsidRPr="00DD477A">
        <w:rPr>
          <w:rFonts w:cs="Calibri"/>
        </w:rPr>
        <w:t> </w:t>
      </w:r>
      <w:r w:rsidRPr="00DD477A">
        <w:rPr>
          <w:rFonts w:cs="Calibri"/>
        </w:rPr>
        <w:t xml:space="preserve">corporate plan </w:t>
      </w:r>
      <w:r w:rsidR="006437D6" w:rsidRPr="00DD477A">
        <w:rPr>
          <w:rFonts w:cs="Calibri"/>
        </w:rPr>
        <w:t>sh</w:t>
      </w:r>
      <w:r w:rsidRPr="00DD477A">
        <w:rPr>
          <w:rFonts w:cs="Calibri"/>
        </w:rPr>
        <w:t xml:space="preserve">ould </w:t>
      </w:r>
      <w:r w:rsidRPr="00DD477A" w:rsidDel="00451CD3">
        <w:rPr>
          <w:rFonts w:cs="Calibri"/>
        </w:rPr>
        <w:t>reflect the new or altered key activities.</w:t>
      </w:r>
    </w:p>
    <w:p w14:paraId="5B21AA26" w14:textId="77777777" w:rsidR="004D48BB" w:rsidRPr="00DD477A" w:rsidRDefault="00541FE5" w:rsidP="00F611EB">
      <w:pPr>
        <w:rPr>
          <w:rFonts w:cs="Calibri"/>
        </w:rPr>
      </w:pPr>
      <w:r w:rsidRPr="00DD477A">
        <w:rPr>
          <w:rFonts w:cs="Calibri"/>
        </w:rPr>
        <w:t>For further information on key activities refer to</w:t>
      </w:r>
      <w:r w:rsidRPr="00DD477A">
        <w:rPr>
          <w:rFonts w:cs="Calibri"/>
          <w:i/>
          <w:iCs/>
        </w:rPr>
        <w:t xml:space="preserve"> </w:t>
      </w:r>
      <w:hyperlink r:id="rId154">
        <w:r w:rsidR="0082357F" w:rsidRPr="00DD477A">
          <w:rPr>
            <w:rStyle w:val="Hyperlink"/>
          </w:rPr>
          <w:t>Corporate plans for Commonwealth entities (RMG 132)</w:t>
        </w:r>
      </w:hyperlink>
      <w:r w:rsidRPr="00DD477A">
        <w:rPr>
          <w:rFonts w:cs="Calibri"/>
        </w:rPr>
        <w:t>.</w:t>
      </w:r>
    </w:p>
    <w:p w14:paraId="7B19EBB0" w14:textId="77777777" w:rsidR="006437D6" w:rsidRPr="00DD477A" w:rsidRDefault="006437D6" w:rsidP="00F611EB">
      <w:pPr>
        <w:rPr>
          <w:rFonts w:cs="Calibri"/>
        </w:rPr>
      </w:pPr>
    </w:p>
    <w:tbl>
      <w:tblPr>
        <w:tblW w:w="0" w:type="auto"/>
        <w:tblInd w:w="-3" w:type="dxa"/>
        <w:tblBorders>
          <w:top w:val="single" w:sz="2" w:space="0" w:color="A7B4BE"/>
          <w:left w:val="single" w:sz="2" w:space="0" w:color="A7B4BE"/>
          <w:bottom w:val="single" w:sz="2" w:space="0" w:color="A7B4BE"/>
          <w:right w:val="single" w:sz="2" w:space="0" w:color="A7B4BE"/>
        </w:tblBorders>
        <w:tblCellMar>
          <w:left w:w="0" w:type="dxa"/>
          <w:right w:w="0" w:type="dxa"/>
        </w:tblCellMar>
        <w:tblLook w:val="04A0" w:firstRow="1" w:lastRow="0" w:firstColumn="1" w:lastColumn="0" w:noHBand="0" w:noVBand="1"/>
      </w:tblPr>
      <w:tblGrid>
        <w:gridCol w:w="8691"/>
      </w:tblGrid>
      <w:tr w:rsidR="006437D6" w:rsidRPr="00DD477A" w14:paraId="7074591A" w14:textId="77777777" w:rsidTr="000A77C7">
        <w:trPr>
          <w:trHeight w:val="350"/>
        </w:trPr>
        <w:tc>
          <w:tcPr>
            <w:tcW w:w="8691" w:type="dxa"/>
            <w:tcBorders>
              <w:bottom w:val="nil"/>
            </w:tcBorders>
            <w:shd w:val="clear" w:color="auto" w:fill="DDF3FA"/>
          </w:tcPr>
          <w:p w14:paraId="35895450" w14:textId="77777777" w:rsidR="006437D6" w:rsidRPr="00DD477A" w:rsidRDefault="006437D6" w:rsidP="000A77C7">
            <w:pPr>
              <w:pStyle w:val="TableText-Normal"/>
              <w:rPr>
                <w:rFonts w:cs="Calibri"/>
              </w:rPr>
            </w:pPr>
            <w:r w:rsidRPr="00DD477A">
              <w:rPr>
                <w:rFonts w:cs="Calibri"/>
              </w:rPr>
              <w:t>Identifying material changes</w:t>
            </w:r>
          </w:p>
        </w:tc>
      </w:tr>
      <w:tr w:rsidR="006437D6" w:rsidRPr="00DD477A" w14:paraId="755D3B03" w14:textId="77777777" w:rsidTr="00A85E0D">
        <w:trPr>
          <w:trHeight w:val="2286"/>
        </w:trPr>
        <w:tc>
          <w:tcPr>
            <w:tcW w:w="8691" w:type="dxa"/>
            <w:tcBorders>
              <w:top w:val="nil"/>
              <w:bottom w:val="single" w:sz="2" w:space="0" w:color="A7B4BE"/>
            </w:tcBorders>
            <w:shd w:val="clear" w:color="auto" w:fill="auto"/>
          </w:tcPr>
          <w:p w14:paraId="070B8A06" w14:textId="77777777" w:rsidR="006437D6" w:rsidRPr="00DD477A" w:rsidRDefault="006437D6" w:rsidP="000A77C7">
            <w:pPr>
              <w:pStyle w:val="TableText-Normal"/>
              <w:rPr>
                <w:rFonts w:cs="Calibri"/>
              </w:rPr>
            </w:pPr>
            <w:r w:rsidRPr="00DD477A">
              <w:rPr>
                <w:rFonts w:cs="Calibri"/>
              </w:rPr>
              <w:t>Considerations as to whether a material change to program delivery has occurred should include:</w:t>
            </w:r>
          </w:p>
          <w:p w14:paraId="60BAB4FC" w14:textId="77777777" w:rsidR="006437D6" w:rsidRPr="00DD477A" w:rsidRDefault="006437D6" w:rsidP="006437D6">
            <w:pPr>
              <w:pStyle w:val="TableText-Normal-DotPoint"/>
              <w:spacing w:line="220" w:lineRule="atLeast"/>
              <w:rPr>
                <w:rFonts w:cs="Calibri"/>
              </w:rPr>
            </w:pPr>
            <w:r w:rsidRPr="00DD477A">
              <w:rPr>
                <w:rFonts w:cs="Calibri"/>
              </w:rPr>
              <w:t>has the objective or intended impact of the program changed</w:t>
            </w:r>
          </w:p>
          <w:p w14:paraId="75BE1936" w14:textId="77777777" w:rsidR="006437D6" w:rsidRPr="00DD477A" w:rsidRDefault="006437D6" w:rsidP="006437D6">
            <w:pPr>
              <w:pStyle w:val="TableText-Normal-DotPoint"/>
              <w:spacing w:line="220" w:lineRule="atLeast"/>
              <w:rPr>
                <w:rFonts w:cs="Calibri"/>
              </w:rPr>
            </w:pPr>
            <w:r w:rsidRPr="00DD477A">
              <w:rPr>
                <w:rFonts w:cs="Calibri"/>
              </w:rPr>
              <w:t>have the key activities through which the program is delivered substantially changed</w:t>
            </w:r>
          </w:p>
          <w:p w14:paraId="18DA1B84" w14:textId="77777777" w:rsidR="006437D6" w:rsidRPr="00DD477A" w:rsidRDefault="006437D6" w:rsidP="006437D6">
            <w:pPr>
              <w:pStyle w:val="TableText-Normal-DotPoint"/>
              <w:spacing w:line="220" w:lineRule="atLeast"/>
              <w:rPr>
                <w:rFonts w:cs="Calibri"/>
              </w:rPr>
            </w:pPr>
            <w:r w:rsidRPr="00DD477A">
              <w:rPr>
                <w:rFonts w:cs="Calibri"/>
              </w:rPr>
              <w:t>has the target group changed.</w:t>
            </w:r>
          </w:p>
          <w:p w14:paraId="025E43D7" w14:textId="77777777" w:rsidR="006437D6" w:rsidRPr="00DD477A" w:rsidRDefault="006437D6" w:rsidP="000A77C7">
            <w:pPr>
              <w:pStyle w:val="TableText-Normal"/>
              <w:rPr>
                <w:rFonts w:cs="Calibri"/>
              </w:rPr>
            </w:pPr>
            <w:r w:rsidRPr="00DD477A">
              <w:rPr>
                <w:rFonts w:cs="Calibri"/>
              </w:rPr>
              <w:t>Changes in funding for a program alone do not constitute a material change for the delivery and related performance information.</w:t>
            </w:r>
          </w:p>
        </w:tc>
      </w:tr>
      <w:tr w:rsidR="006437D6" w:rsidRPr="00DD477A" w14:paraId="1F230F7B" w14:textId="77777777" w:rsidTr="000A77C7">
        <w:trPr>
          <w:trHeight w:val="2560"/>
        </w:trPr>
        <w:tc>
          <w:tcPr>
            <w:tcW w:w="8691" w:type="dxa"/>
            <w:tcBorders>
              <w:top w:val="single" w:sz="2" w:space="0" w:color="A7B4BE"/>
            </w:tcBorders>
          </w:tcPr>
          <w:p w14:paraId="14ADCCDE" w14:textId="77777777" w:rsidR="006437D6" w:rsidRPr="00DD477A" w:rsidRDefault="006437D6" w:rsidP="000A77C7">
            <w:pPr>
              <w:pStyle w:val="TableText-Normal"/>
              <w:rPr>
                <w:rFonts w:cs="Calibri"/>
              </w:rPr>
            </w:pPr>
            <w:r w:rsidRPr="00DD477A">
              <w:rPr>
                <w:rFonts w:cs="Calibri"/>
              </w:rPr>
              <w:t>Example:</w:t>
            </w:r>
          </w:p>
          <w:p w14:paraId="6A9924E8" w14:textId="77777777" w:rsidR="006437D6" w:rsidRPr="00DD477A" w:rsidRDefault="006437D6" w:rsidP="000A77C7">
            <w:pPr>
              <w:pStyle w:val="TableText-Normal-DotPoint"/>
              <w:numPr>
                <w:ilvl w:val="0"/>
                <w:numId w:val="0"/>
              </w:numPr>
              <w:ind w:left="142"/>
              <w:rPr>
                <w:rFonts w:cs="Calibri"/>
              </w:rPr>
            </w:pPr>
            <w:r w:rsidRPr="00DD477A">
              <w:rPr>
                <w:rFonts w:cs="Calibri"/>
              </w:rPr>
              <w:t>If a program to dissuade young people from taking up smoking:</w:t>
            </w:r>
          </w:p>
          <w:p w14:paraId="1029C455" w14:textId="77777777" w:rsidR="006437D6" w:rsidRPr="00DD477A" w:rsidRDefault="006437D6" w:rsidP="006437D6">
            <w:pPr>
              <w:pStyle w:val="TableText-Normal-DotPoint"/>
              <w:spacing w:line="220" w:lineRule="atLeast"/>
              <w:rPr>
                <w:rFonts w:cs="Calibri"/>
              </w:rPr>
            </w:pPr>
            <w:r w:rsidRPr="00DD477A">
              <w:rPr>
                <w:rFonts w:cs="Calibri"/>
              </w:rPr>
              <w:t xml:space="preserve">receives increased funding for an anti-smoking advertising campaign that targets school-aged children, with no changes to the mode of delivery or the target group, a material program change would not be deemed to have occurred. </w:t>
            </w:r>
          </w:p>
          <w:p w14:paraId="2D5DA182" w14:textId="77777777" w:rsidR="006437D6" w:rsidRPr="00DD477A" w:rsidRDefault="006437D6" w:rsidP="000A77C7">
            <w:pPr>
              <w:pStyle w:val="TableText-Normal-DotPoint"/>
              <w:numPr>
                <w:ilvl w:val="0"/>
                <w:numId w:val="0"/>
              </w:numPr>
              <w:ind w:left="130"/>
              <w:rPr>
                <w:rFonts w:cs="Calibri"/>
              </w:rPr>
            </w:pPr>
          </w:p>
          <w:p w14:paraId="7C09CDA4" w14:textId="77777777" w:rsidR="006437D6" w:rsidRPr="00DD477A" w:rsidRDefault="006437D6" w:rsidP="006437D6">
            <w:pPr>
              <w:pStyle w:val="TableText-Normal-DotPoint"/>
              <w:spacing w:line="220" w:lineRule="atLeast"/>
              <w:rPr>
                <w:rFonts w:cs="Calibri"/>
              </w:rPr>
            </w:pPr>
            <w:r w:rsidRPr="00DD477A">
              <w:rPr>
                <w:rFonts w:cs="Calibri"/>
              </w:rPr>
              <w:t>However, a material program change would be deemed to have occurred if the advertising campaign is substituted with an anti-smoking unit within the school curriculum because the delivery mechanism has changed.</w:t>
            </w:r>
          </w:p>
        </w:tc>
      </w:tr>
    </w:tbl>
    <w:p w14:paraId="42F5D1D0" w14:textId="77777777" w:rsidR="00BA59F0" w:rsidRPr="00DD477A" w:rsidRDefault="00BA59F0">
      <w:bookmarkStart w:id="1043" w:name="_Toc534382569"/>
      <w:r w:rsidRPr="00DD477A">
        <w:br w:type="page"/>
      </w:r>
    </w:p>
    <w:p w14:paraId="00580208" w14:textId="1056C6CE" w:rsidR="00FA0945" w:rsidRPr="00DD477A" w:rsidRDefault="53BF0693" w:rsidP="00E548A0">
      <w:pPr>
        <w:pStyle w:val="Heading3"/>
      </w:pPr>
      <w:bookmarkStart w:id="1044" w:name="_Toc94873677"/>
      <w:bookmarkStart w:id="1045" w:name="_Toc94873678"/>
      <w:bookmarkStart w:id="1046" w:name="_Toc94873679"/>
      <w:bookmarkStart w:id="1047" w:name="_Toc94873680"/>
      <w:bookmarkStart w:id="1048" w:name="_Toc94873681"/>
      <w:bookmarkStart w:id="1049" w:name="_Toc94873682"/>
      <w:bookmarkStart w:id="1050" w:name="_Toc94873683"/>
      <w:bookmarkStart w:id="1051" w:name="_Toc94873684"/>
      <w:bookmarkStart w:id="1052" w:name="_Ref62052309"/>
      <w:bookmarkStart w:id="1053" w:name="_Ref62052762"/>
      <w:bookmarkStart w:id="1054" w:name="_Toc63347722"/>
      <w:bookmarkStart w:id="1055" w:name="_Toc160715583"/>
      <w:bookmarkEnd w:id="1044"/>
      <w:bookmarkEnd w:id="1045"/>
      <w:bookmarkEnd w:id="1046"/>
      <w:bookmarkEnd w:id="1047"/>
      <w:bookmarkEnd w:id="1048"/>
      <w:bookmarkEnd w:id="1049"/>
      <w:bookmarkEnd w:id="1050"/>
      <w:bookmarkEnd w:id="1051"/>
      <w:r w:rsidRPr="00DD477A">
        <w:lastRenderedPageBreak/>
        <w:t>Performance measures</w:t>
      </w:r>
      <w:bookmarkEnd w:id="1043"/>
      <w:bookmarkEnd w:id="1052"/>
      <w:bookmarkEnd w:id="1053"/>
      <w:bookmarkEnd w:id="1054"/>
      <w:bookmarkEnd w:id="1055"/>
    </w:p>
    <w:p w14:paraId="4B52AC72" w14:textId="39002BCA" w:rsidR="00CF269C" w:rsidRPr="00DD477A" w:rsidRDefault="005F2C95" w:rsidP="000A7DEC">
      <w:pPr>
        <w:rPr>
          <w:rFonts w:cs="Calibri"/>
        </w:rPr>
      </w:pPr>
      <w:r w:rsidRPr="00DD477A">
        <w:rPr>
          <w:rFonts w:cs="Calibri"/>
        </w:rPr>
        <w:t>P</w:t>
      </w:r>
      <w:r w:rsidR="53BF0693" w:rsidRPr="00DD477A">
        <w:rPr>
          <w:rFonts w:cs="Calibri"/>
        </w:rPr>
        <w:t>erformance measures for each program associated with each Outcome X</w:t>
      </w:r>
      <w:r w:rsidRPr="00DD477A">
        <w:rPr>
          <w:rFonts w:cs="Calibri"/>
        </w:rPr>
        <w:t xml:space="preserve"> </w:t>
      </w:r>
      <w:r w:rsidR="00A9306A" w:rsidRPr="00DD477A">
        <w:rPr>
          <w:rFonts w:cs="Calibri"/>
        </w:rPr>
        <w:t>require inclusion in Table 2.X.3</w:t>
      </w:r>
      <w:r w:rsidR="53BF0693" w:rsidRPr="00DD477A">
        <w:rPr>
          <w:rFonts w:cs="Calibri"/>
        </w:rPr>
        <w:t>.</w:t>
      </w:r>
    </w:p>
    <w:p w14:paraId="3DAE6C74" w14:textId="77777777" w:rsidR="00CF269C" w:rsidRPr="00DD477A" w:rsidRDefault="53BF0693" w:rsidP="000A7DEC">
      <w:pPr>
        <w:pStyle w:val="Boxed2Text"/>
        <w:rPr>
          <w:rFonts w:cs="Calibri"/>
        </w:rPr>
      </w:pPr>
      <w:r w:rsidRPr="00DD477A">
        <w:rPr>
          <w:rFonts w:cs="Calibri"/>
        </w:rPr>
        <w:t xml:space="preserve">The Finance Secretary Direction under subsection 36(3) of the PGPA Act requires there to be at </w:t>
      </w:r>
      <w:r w:rsidRPr="00DD477A">
        <w:rPr>
          <w:rFonts w:cs="Calibri"/>
          <w:b/>
          <w:bCs/>
        </w:rPr>
        <w:t>least one high-level performance criterion</w:t>
      </w:r>
      <w:r w:rsidRPr="00DD477A">
        <w:rPr>
          <w:rFonts w:cs="Calibri"/>
        </w:rPr>
        <w:t xml:space="preserve"> for each program.</w:t>
      </w:r>
    </w:p>
    <w:p w14:paraId="67837A9A" w14:textId="569CBE5F" w:rsidR="00FA0945" w:rsidRPr="00DD477A" w:rsidRDefault="00BB6B5E" w:rsidP="000A7DEC">
      <w:pPr>
        <w:rPr>
          <w:rFonts w:cs="Calibri"/>
        </w:rPr>
      </w:pPr>
      <w:r w:rsidRPr="00DD477A">
        <w:rPr>
          <w:rFonts w:cs="Calibri"/>
        </w:rPr>
        <w:t>The p</w:t>
      </w:r>
      <w:r w:rsidR="00FA0945" w:rsidRPr="00DD477A">
        <w:rPr>
          <w:rFonts w:cs="Calibri"/>
        </w:rPr>
        <w:t xml:space="preserve">erformance </w:t>
      </w:r>
      <w:r w:rsidR="0057288F" w:rsidRPr="00DD477A">
        <w:rPr>
          <w:rFonts w:cs="Calibri"/>
        </w:rPr>
        <w:t>measures</w:t>
      </w:r>
      <w:r w:rsidR="00583082" w:rsidRPr="00DD477A">
        <w:rPr>
          <w:rFonts w:cs="Calibri"/>
        </w:rPr>
        <w:t>,</w:t>
      </w:r>
      <w:r w:rsidR="00907A92" w:rsidRPr="00DD477A">
        <w:rPr>
          <w:rFonts w:cs="Calibri"/>
        </w:rPr>
        <w:t xml:space="preserve"> associated targets </w:t>
      </w:r>
      <w:r w:rsidR="00FD6F89" w:rsidRPr="00DD477A">
        <w:rPr>
          <w:rFonts w:cs="Calibri"/>
        </w:rPr>
        <w:t xml:space="preserve">(where </w:t>
      </w:r>
      <w:r w:rsidR="00CA66F6" w:rsidRPr="00DD477A">
        <w:rPr>
          <w:rFonts w:cs="Calibri"/>
        </w:rPr>
        <w:t>it is reasonably practicable to set a target</w:t>
      </w:r>
      <w:r w:rsidR="00FD6F89" w:rsidRPr="00DD477A">
        <w:rPr>
          <w:rFonts w:cs="Calibri"/>
        </w:rPr>
        <w:t xml:space="preserve">) </w:t>
      </w:r>
      <w:r w:rsidR="00AF5766" w:rsidRPr="00DD477A">
        <w:rPr>
          <w:rFonts w:cs="Calibri"/>
        </w:rPr>
        <w:t xml:space="preserve">and expected date of achievement </w:t>
      </w:r>
      <w:r w:rsidR="00FD6F89" w:rsidRPr="00DD477A">
        <w:rPr>
          <w:rFonts w:cs="Calibri"/>
        </w:rPr>
        <w:t xml:space="preserve">(where </w:t>
      </w:r>
      <w:r w:rsidR="00CA66F6" w:rsidRPr="00DD477A">
        <w:rPr>
          <w:rFonts w:cs="Calibri"/>
        </w:rPr>
        <w:t>relevant</w:t>
      </w:r>
      <w:r w:rsidR="00FD6F89" w:rsidRPr="00DD477A">
        <w:rPr>
          <w:rFonts w:cs="Calibri"/>
        </w:rPr>
        <w:t xml:space="preserve">) </w:t>
      </w:r>
      <w:r w:rsidR="00FA0945" w:rsidRPr="00DD477A">
        <w:rPr>
          <w:rFonts w:cs="Calibri"/>
        </w:rPr>
        <w:t xml:space="preserve">included in Table 2.X.3 indicate how an entity will </w:t>
      </w:r>
      <w:r w:rsidR="00FC3963" w:rsidRPr="00DD477A">
        <w:rPr>
          <w:rFonts w:cs="Calibri"/>
        </w:rPr>
        <w:t xml:space="preserve">measure and </w:t>
      </w:r>
      <w:r w:rsidR="00FA0945" w:rsidRPr="00DD477A">
        <w:rPr>
          <w:rFonts w:cs="Calibri"/>
        </w:rPr>
        <w:t xml:space="preserve">assess </w:t>
      </w:r>
      <w:r w:rsidR="00FC3963" w:rsidRPr="00DD477A">
        <w:rPr>
          <w:rFonts w:cs="Calibri"/>
        </w:rPr>
        <w:t>progress towards achieving a program’s objectives.</w:t>
      </w:r>
      <w:r w:rsidR="00FA0945" w:rsidRPr="00DD477A">
        <w:rPr>
          <w:rFonts w:cs="Calibri"/>
        </w:rPr>
        <w:t xml:space="preserve"> </w:t>
      </w:r>
    </w:p>
    <w:p w14:paraId="3A034554" w14:textId="5640221F" w:rsidR="00FA0945" w:rsidRPr="00DD477A" w:rsidRDefault="53BF0693" w:rsidP="000A7DEC">
      <w:pPr>
        <w:rPr>
          <w:rFonts w:cs="Calibri"/>
        </w:rPr>
      </w:pPr>
      <w:r w:rsidRPr="00DD477A">
        <w:rPr>
          <w:rFonts w:cs="Calibri"/>
        </w:rPr>
        <w:t xml:space="preserve">Entities should include the following performance information for the </w:t>
      </w:r>
      <w:r w:rsidR="007D3D44" w:rsidRPr="00DD477A">
        <w:rPr>
          <w:rFonts w:cs="Calibri"/>
        </w:rPr>
        <w:t>specific</w:t>
      </w:r>
      <w:r w:rsidRPr="00DD477A">
        <w:rPr>
          <w:rFonts w:cs="Calibri"/>
        </w:rPr>
        <w:t xml:space="preserve"> reporting periods:</w:t>
      </w:r>
    </w:p>
    <w:p w14:paraId="2A878A1F" w14:textId="7CBA3166" w:rsidR="00FA0945" w:rsidRPr="00DD477A" w:rsidRDefault="00B11749" w:rsidP="0003645A">
      <w:pPr>
        <w:pStyle w:val="Bullet1"/>
      </w:pPr>
      <w:r w:rsidRPr="00DD477A">
        <w:rPr>
          <w:b/>
          <w:bCs/>
        </w:rPr>
        <w:t>202</w:t>
      </w:r>
      <w:r w:rsidR="006D3C35" w:rsidRPr="00DD477A">
        <w:rPr>
          <w:b/>
          <w:bCs/>
        </w:rPr>
        <w:t>3</w:t>
      </w:r>
      <w:r w:rsidRPr="00DD477A">
        <w:rPr>
          <w:b/>
          <w:bCs/>
        </w:rPr>
        <w:t>-2</w:t>
      </w:r>
      <w:r w:rsidR="006D3C35" w:rsidRPr="00DD477A">
        <w:rPr>
          <w:b/>
          <w:bCs/>
        </w:rPr>
        <w:t>4</w:t>
      </w:r>
      <w:r w:rsidR="0007613A" w:rsidRPr="00DD477A">
        <w:t xml:space="preserve"> </w:t>
      </w:r>
      <w:r w:rsidR="53BF0693" w:rsidRPr="00DD477A">
        <w:rPr>
          <w:i/>
          <w:iCs/>
        </w:rPr>
        <w:t>(</w:t>
      </w:r>
      <w:r w:rsidR="006437D6" w:rsidRPr="00DD477A">
        <w:rPr>
          <w:i/>
          <w:iCs/>
        </w:rPr>
        <w:t xml:space="preserve">Current </w:t>
      </w:r>
      <w:r w:rsidR="00F0790E" w:rsidRPr="00DD477A">
        <w:rPr>
          <w:i/>
          <w:iCs/>
        </w:rPr>
        <w:t>Year</w:t>
      </w:r>
      <w:r w:rsidR="53BF0693" w:rsidRPr="00DD477A">
        <w:rPr>
          <w:i/>
          <w:iCs/>
        </w:rPr>
        <w:t>)</w:t>
      </w:r>
      <w:r w:rsidR="53BF0693" w:rsidRPr="00DD477A">
        <w:t xml:space="preserve"> </w:t>
      </w:r>
      <w:r w:rsidR="00EB2611" w:rsidRPr="00DD477A">
        <w:t>–</w:t>
      </w:r>
      <w:r w:rsidR="53BF0693" w:rsidRPr="00DD477A">
        <w:t xml:space="preserve"> </w:t>
      </w:r>
      <w:r w:rsidR="00301235" w:rsidRPr="00DD477A">
        <w:t xml:space="preserve">Expected </w:t>
      </w:r>
      <w:r w:rsidR="53BF0693" w:rsidRPr="00DD477A">
        <w:t xml:space="preserve">performance </w:t>
      </w:r>
      <w:r w:rsidR="00FD6F89" w:rsidRPr="00DD477A">
        <w:t xml:space="preserve">results </w:t>
      </w:r>
      <w:r w:rsidR="53BF0693" w:rsidRPr="00DD477A" w:rsidDel="00C35786">
        <w:t xml:space="preserve">against measures for </w:t>
      </w:r>
      <w:r w:rsidRPr="00DD477A">
        <w:t>2022</w:t>
      </w:r>
      <w:r w:rsidR="00B617DF" w:rsidRPr="00DD477A">
        <w:noBreakHyphen/>
      </w:r>
      <w:r w:rsidRPr="00DD477A">
        <w:t>23</w:t>
      </w:r>
      <w:r w:rsidR="00C35786" w:rsidRPr="00DD477A">
        <w:t xml:space="preserve"> </w:t>
      </w:r>
      <w:r w:rsidR="53BF0693" w:rsidRPr="00DD477A">
        <w:t xml:space="preserve">described in </w:t>
      </w:r>
      <w:r w:rsidRPr="00DD477A">
        <w:t>2022</w:t>
      </w:r>
      <w:r w:rsidR="00B617DF" w:rsidRPr="00DD477A">
        <w:noBreakHyphen/>
      </w:r>
      <w:r w:rsidRPr="00DD477A">
        <w:t>23</w:t>
      </w:r>
      <w:r w:rsidR="0007613A" w:rsidRPr="00DD477A">
        <w:t xml:space="preserve"> </w:t>
      </w:r>
      <w:r w:rsidR="53BF0693" w:rsidRPr="00DD477A">
        <w:t>PB Statements</w:t>
      </w:r>
      <w:r w:rsidR="00FD6F89" w:rsidRPr="00DD477A">
        <w:t>. Associated targets and expected dates of achievement are report</w:t>
      </w:r>
      <w:r w:rsidR="00CA66F6" w:rsidRPr="00DD477A">
        <w:t>ed</w:t>
      </w:r>
      <w:r w:rsidR="00FD6F89" w:rsidRPr="00DD477A" w:rsidDel="008876A6">
        <w:t xml:space="preserve"> where these are relevant</w:t>
      </w:r>
      <w:r w:rsidR="00992E23" w:rsidRPr="00DD477A">
        <w:t>.</w:t>
      </w:r>
    </w:p>
    <w:p w14:paraId="2CCAA29A" w14:textId="1BFDC360" w:rsidR="00FA0945" w:rsidRPr="00DD477A" w:rsidRDefault="00B11749" w:rsidP="0003645A">
      <w:pPr>
        <w:pStyle w:val="Bullet1"/>
      </w:pPr>
      <w:r w:rsidRPr="00DD477A">
        <w:rPr>
          <w:b/>
          <w:bCs/>
        </w:rPr>
        <w:t>202</w:t>
      </w:r>
      <w:r w:rsidR="00085C63" w:rsidRPr="00DD477A">
        <w:rPr>
          <w:b/>
          <w:bCs/>
        </w:rPr>
        <w:t>4</w:t>
      </w:r>
      <w:r w:rsidRPr="00DD477A">
        <w:rPr>
          <w:b/>
          <w:bCs/>
        </w:rPr>
        <w:t>-2</w:t>
      </w:r>
      <w:r w:rsidR="00085C63" w:rsidRPr="00DD477A">
        <w:rPr>
          <w:b/>
          <w:bCs/>
        </w:rPr>
        <w:t>5</w:t>
      </w:r>
      <w:r w:rsidR="0007613A" w:rsidRPr="00DD477A">
        <w:t xml:space="preserve"> </w:t>
      </w:r>
      <w:r w:rsidR="53BF0693" w:rsidRPr="00DD477A">
        <w:rPr>
          <w:i/>
          <w:iCs/>
        </w:rPr>
        <w:t>(New Budget Year)</w:t>
      </w:r>
      <w:r w:rsidR="53BF0693" w:rsidRPr="00DD477A">
        <w:t xml:space="preserve"> </w:t>
      </w:r>
      <w:r w:rsidR="00FD6F89" w:rsidRPr="00DD477A">
        <w:t xml:space="preserve">Planned Performance Results </w:t>
      </w:r>
      <w:r w:rsidR="001745C4" w:rsidRPr="00DD477A">
        <w:t>–</w:t>
      </w:r>
      <w:r w:rsidR="00FD6F89" w:rsidRPr="00DD477A">
        <w:t xml:space="preserve"> </w:t>
      </w:r>
      <w:r w:rsidR="53BF0693" w:rsidRPr="00DD477A">
        <w:t xml:space="preserve">a description of </w:t>
      </w:r>
      <w:r w:rsidR="53BF0693" w:rsidRPr="00DD477A" w:rsidDel="00432666">
        <w:t>what</w:t>
      </w:r>
      <w:r w:rsidR="53BF0693" w:rsidRPr="00DD477A">
        <w:t xml:space="preserve"> measures </w:t>
      </w:r>
      <w:r w:rsidR="53BF0693" w:rsidRPr="00DD477A" w:rsidDel="00AF1EC0">
        <w:t>will</w:t>
      </w:r>
      <w:r w:rsidR="53BF0693" w:rsidRPr="00DD477A">
        <w:t xml:space="preserve"> be used to assess </w:t>
      </w:r>
      <w:r w:rsidR="53BF0693" w:rsidRPr="00DD477A" w:rsidDel="00AF1EC0">
        <w:t xml:space="preserve">whether a </w:t>
      </w:r>
      <w:r w:rsidR="53BF0693" w:rsidRPr="00DD477A">
        <w:t xml:space="preserve">program </w:t>
      </w:r>
      <w:r w:rsidR="53BF0693" w:rsidRPr="00DD477A" w:rsidDel="005D5942">
        <w:t xml:space="preserve">delivers its </w:t>
      </w:r>
      <w:r w:rsidR="53BF0693" w:rsidRPr="00DD477A">
        <w:t xml:space="preserve">objectives in </w:t>
      </w:r>
      <w:r w:rsidRPr="00DD477A">
        <w:t>202</w:t>
      </w:r>
      <w:r w:rsidR="00DF794E" w:rsidRPr="00DD477A" w:rsidDel="00E9068A">
        <w:t>3</w:t>
      </w:r>
      <w:r w:rsidRPr="00DD477A">
        <w:t>-2</w:t>
      </w:r>
      <w:r w:rsidR="00DF794E" w:rsidRPr="00DD477A">
        <w:t>4</w:t>
      </w:r>
      <w:r w:rsidR="00FD6F89" w:rsidRPr="00DD477A">
        <w:t>. Associated targets and expected dates of achievement are report</w:t>
      </w:r>
      <w:r w:rsidR="00CA66F6" w:rsidRPr="00DD477A">
        <w:t>ed</w:t>
      </w:r>
      <w:r w:rsidR="00FD6F89" w:rsidRPr="00DD477A" w:rsidDel="008876A6">
        <w:t xml:space="preserve"> where these are relevant</w:t>
      </w:r>
      <w:r w:rsidR="00992E23" w:rsidRPr="00DD477A" w:rsidDel="008876A6">
        <w:t>.</w:t>
      </w:r>
    </w:p>
    <w:p w14:paraId="74CCB187" w14:textId="7EB892CA" w:rsidR="00FA0945" w:rsidRPr="00DD477A" w:rsidRDefault="00525DB3" w:rsidP="0003645A">
      <w:pPr>
        <w:pStyle w:val="Bullet1"/>
      </w:pPr>
      <w:r w:rsidRPr="00DD477A">
        <w:rPr>
          <w:b/>
          <w:bCs/>
        </w:rPr>
        <w:t>2025</w:t>
      </w:r>
      <w:r w:rsidR="00B11749" w:rsidRPr="00DD477A">
        <w:rPr>
          <w:b/>
          <w:bCs/>
        </w:rPr>
        <w:t>-</w:t>
      </w:r>
      <w:r w:rsidRPr="00DD477A">
        <w:rPr>
          <w:b/>
          <w:bCs/>
        </w:rPr>
        <w:t xml:space="preserve">26 </w:t>
      </w:r>
      <w:r w:rsidR="53BF0693" w:rsidRPr="00DD477A">
        <w:rPr>
          <w:b/>
          <w:bCs/>
        </w:rPr>
        <w:t>and beyond</w:t>
      </w:r>
      <w:r w:rsidR="53BF0693" w:rsidRPr="00DD477A">
        <w:t xml:space="preserve"> </w:t>
      </w:r>
      <w:r w:rsidR="53BF0693" w:rsidRPr="00DD477A">
        <w:rPr>
          <w:i/>
          <w:iCs/>
        </w:rPr>
        <w:t>(Forward Estimates)</w:t>
      </w:r>
      <w:r w:rsidR="00FD6F89" w:rsidRPr="00DD477A">
        <w:t xml:space="preserve"> Planned Performance Results</w:t>
      </w:r>
      <w:r w:rsidR="53BF0693" w:rsidRPr="00DD477A">
        <w:t xml:space="preserve"> </w:t>
      </w:r>
      <w:r w:rsidR="001745C4" w:rsidRPr="00DD477A">
        <w:t>–</w:t>
      </w:r>
      <w:r w:rsidR="53BF0693" w:rsidRPr="00DD477A">
        <w:t xml:space="preserve"> a description of </w:t>
      </w:r>
      <w:r w:rsidR="53BF0693" w:rsidRPr="00DD477A" w:rsidDel="005B22DA">
        <w:t>what</w:t>
      </w:r>
      <w:r w:rsidR="53BF0693" w:rsidRPr="00DD477A">
        <w:t xml:space="preserve"> measures </w:t>
      </w:r>
      <w:r w:rsidR="53BF0693" w:rsidRPr="00DD477A" w:rsidDel="005B22DA">
        <w:t xml:space="preserve">will </w:t>
      </w:r>
      <w:r w:rsidR="53BF0693" w:rsidRPr="00DD477A">
        <w:t xml:space="preserve">be used to assess </w:t>
      </w:r>
      <w:r w:rsidR="53BF0693" w:rsidRPr="00DD477A" w:rsidDel="00D116F5">
        <w:t>whether a</w:t>
      </w:r>
      <w:r w:rsidR="53BF0693" w:rsidRPr="00DD477A">
        <w:t xml:space="preserve"> program </w:t>
      </w:r>
      <w:r w:rsidR="53BF0693" w:rsidRPr="00DD477A" w:rsidDel="00D116F5">
        <w:t xml:space="preserve">delivers its </w:t>
      </w:r>
      <w:r w:rsidR="53BF0693" w:rsidRPr="00DD477A">
        <w:t>objectives for each year of the forward estimates (</w:t>
      </w:r>
      <w:r w:rsidR="007027C8" w:rsidRPr="00DD477A">
        <w:t>i.e.,</w:t>
      </w:r>
      <w:r w:rsidR="53BF0693" w:rsidRPr="00DD477A">
        <w:t xml:space="preserve"> </w:t>
      </w:r>
      <w:r w:rsidR="00B11749" w:rsidRPr="00DD477A">
        <w:t>202</w:t>
      </w:r>
      <w:r w:rsidR="00067185" w:rsidRPr="00DD477A">
        <w:t>5</w:t>
      </w:r>
      <w:r w:rsidR="00B11749" w:rsidRPr="00DD477A">
        <w:t>-2</w:t>
      </w:r>
      <w:r w:rsidR="00067185" w:rsidRPr="00DD477A">
        <w:t>6</w:t>
      </w:r>
      <w:r w:rsidR="53BF0693" w:rsidRPr="00DD477A">
        <w:t xml:space="preserve">, </w:t>
      </w:r>
      <w:r w:rsidR="00B11749" w:rsidRPr="00DD477A">
        <w:t>202</w:t>
      </w:r>
      <w:r w:rsidR="00067185" w:rsidRPr="00DD477A">
        <w:t>6</w:t>
      </w:r>
      <w:r w:rsidR="00B11749" w:rsidRPr="00DD477A">
        <w:t>-2</w:t>
      </w:r>
      <w:r w:rsidR="00067185" w:rsidRPr="00DD477A">
        <w:t>7</w:t>
      </w:r>
      <w:r w:rsidR="0007613A" w:rsidRPr="00DD477A">
        <w:t xml:space="preserve"> </w:t>
      </w:r>
      <w:r w:rsidR="53BF0693" w:rsidRPr="00DD477A">
        <w:t xml:space="preserve">and </w:t>
      </w:r>
      <w:r w:rsidR="00B11749" w:rsidRPr="00DD477A">
        <w:t>202</w:t>
      </w:r>
      <w:r w:rsidR="00067185" w:rsidRPr="00DD477A">
        <w:t>7</w:t>
      </w:r>
      <w:r w:rsidR="00B11749" w:rsidRPr="00DD477A">
        <w:t>-2</w:t>
      </w:r>
      <w:r w:rsidR="00067185" w:rsidRPr="00DD477A">
        <w:t>8</w:t>
      </w:r>
      <w:r w:rsidR="53BF0693" w:rsidRPr="00DD477A">
        <w:t>).</w:t>
      </w:r>
      <w:r w:rsidR="00FD6F89" w:rsidRPr="00DD477A">
        <w:t xml:space="preserve"> Associated targets and expected dates of achievement are report</w:t>
      </w:r>
      <w:r w:rsidR="00CA66F6" w:rsidRPr="00DD477A">
        <w:t>ed</w:t>
      </w:r>
      <w:r w:rsidR="00FD6F89" w:rsidRPr="00DD477A" w:rsidDel="008876A6">
        <w:t xml:space="preserve"> where these are relevant</w:t>
      </w:r>
      <w:r w:rsidR="00FD6F89" w:rsidRPr="00DD477A">
        <w:t>.</w:t>
      </w:r>
    </w:p>
    <w:p w14:paraId="6BC38219" w14:textId="15892DEE" w:rsidR="00FA0945" w:rsidRPr="00DD477A" w:rsidRDefault="008719B0" w:rsidP="00580008">
      <w:pPr>
        <w:pStyle w:val="Boxed2Text"/>
        <w:rPr>
          <w:rFonts w:cs="Calibri"/>
        </w:rPr>
      </w:pPr>
      <w:r w:rsidRPr="00DD477A">
        <w:rPr>
          <w:rFonts w:cs="Calibri"/>
          <w:bCs/>
        </w:rPr>
        <w:t>I</w:t>
      </w:r>
      <w:r w:rsidR="53BF0693" w:rsidRPr="00DD477A">
        <w:rPr>
          <w:rFonts w:cs="Calibri"/>
        </w:rPr>
        <w:t>f the performance measures and associated targets</w:t>
      </w:r>
      <w:r w:rsidR="00FD6F89" w:rsidRPr="00DD477A">
        <w:rPr>
          <w:rFonts w:cs="Calibri"/>
        </w:rPr>
        <w:t xml:space="preserve"> </w:t>
      </w:r>
      <w:r w:rsidR="00FD6F89" w:rsidRPr="00DD477A" w:rsidDel="005A450E">
        <w:rPr>
          <w:rFonts w:cs="Calibri"/>
        </w:rPr>
        <w:t>(where appropriate)</w:t>
      </w:r>
      <w:r w:rsidR="53BF0693" w:rsidRPr="00DD477A" w:rsidDel="005A450E">
        <w:rPr>
          <w:rFonts w:cs="Calibri"/>
        </w:rPr>
        <w:t xml:space="preserve"> </w:t>
      </w:r>
      <w:r w:rsidR="53BF0693" w:rsidRPr="00DD477A">
        <w:rPr>
          <w:rFonts w:cs="Calibri"/>
        </w:rPr>
        <w:t xml:space="preserve">for </w:t>
      </w:r>
      <w:r w:rsidR="00B11749" w:rsidRPr="00DD477A">
        <w:rPr>
          <w:rFonts w:cs="Calibri"/>
        </w:rPr>
        <w:t>202</w:t>
      </w:r>
      <w:r w:rsidR="00067185" w:rsidRPr="00DD477A">
        <w:rPr>
          <w:rFonts w:cs="Calibri"/>
        </w:rPr>
        <w:t>4</w:t>
      </w:r>
      <w:r w:rsidR="00B11749" w:rsidRPr="00DD477A">
        <w:rPr>
          <w:rFonts w:cs="Calibri"/>
        </w:rPr>
        <w:t>-2</w:t>
      </w:r>
      <w:r w:rsidR="00067185" w:rsidRPr="00DD477A">
        <w:rPr>
          <w:rFonts w:cs="Calibri"/>
        </w:rPr>
        <w:t>5</w:t>
      </w:r>
      <w:r w:rsidR="0007613A" w:rsidRPr="00DD477A" w:rsidDel="00894C4D">
        <w:rPr>
          <w:rFonts w:cs="Calibri"/>
        </w:rPr>
        <w:t xml:space="preserve"> </w:t>
      </w:r>
      <w:r w:rsidR="53BF0693" w:rsidRPr="00DD477A" w:rsidDel="00894C4D">
        <w:rPr>
          <w:rFonts w:cs="Calibri"/>
        </w:rPr>
        <w:t>and beyond</w:t>
      </w:r>
      <w:r w:rsidR="53BF0693" w:rsidRPr="00DD477A">
        <w:rPr>
          <w:rFonts w:cs="Calibri"/>
        </w:rPr>
        <w:t xml:space="preserve"> </w:t>
      </w:r>
      <w:r w:rsidR="53BF0693" w:rsidRPr="00DD477A" w:rsidDel="00072122">
        <w:rPr>
          <w:rFonts w:cs="Calibri"/>
        </w:rPr>
        <w:t>are the same</w:t>
      </w:r>
      <w:r w:rsidR="53BF0693" w:rsidRPr="00DD477A">
        <w:rPr>
          <w:rFonts w:cs="Calibri"/>
        </w:rPr>
        <w:t xml:space="preserve">, entities may </w:t>
      </w:r>
      <w:r w:rsidR="53BF0693" w:rsidRPr="00DD477A" w:rsidDel="00072122">
        <w:rPr>
          <w:rFonts w:cs="Calibri"/>
        </w:rPr>
        <w:t xml:space="preserve">wish to </w:t>
      </w:r>
      <w:r w:rsidR="53BF0693" w:rsidRPr="00DD477A" w:rsidDel="00894C4D">
        <w:rPr>
          <w:rFonts w:cs="Calibri"/>
        </w:rPr>
        <w:t>describe them</w:t>
      </w:r>
      <w:r w:rsidR="53BF0693" w:rsidRPr="00DD477A">
        <w:rPr>
          <w:rFonts w:cs="Calibri"/>
        </w:rPr>
        <w:t xml:space="preserve"> </w:t>
      </w:r>
      <w:r w:rsidR="006714EB" w:rsidRPr="00DD477A">
        <w:rPr>
          <w:rFonts w:cs="Calibri"/>
        </w:rPr>
        <w:t>‘</w:t>
      </w:r>
      <w:r w:rsidR="53BF0693" w:rsidRPr="00DD477A">
        <w:rPr>
          <w:rFonts w:cs="Calibri"/>
        </w:rPr>
        <w:t xml:space="preserve">as per </w:t>
      </w:r>
      <w:r w:rsidR="00B11749" w:rsidRPr="00DD477A">
        <w:rPr>
          <w:rFonts w:cs="Calibri"/>
        </w:rPr>
        <w:t>202</w:t>
      </w:r>
      <w:r w:rsidR="00384200" w:rsidRPr="00DD477A">
        <w:rPr>
          <w:rFonts w:cs="Calibri"/>
        </w:rPr>
        <w:t>3</w:t>
      </w:r>
      <w:r w:rsidR="00B11749" w:rsidRPr="00DD477A">
        <w:rPr>
          <w:rFonts w:cs="Calibri"/>
        </w:rPr>
        <w:t>-2</w:t>
      </w:r>
      <w:r w:rsidR="00384200" w:rsidRPr="00DD477A">
        <w:rPr>
          <w:rFonts w:cs="Calibri"/>
        </w:rPr>
        <w:t>4</w:t>
      </w:r>
      <w:r w:rsidR="006714EB" w:rsidRPr="00DD477A">
        <w:rPr>
          <w:rFonts w:cs="Calibri"/>
        </w:rPr>
        <w:t>’</w:t>
      </w:r>
      <w:r w:rsidR="53BF0693" w:rsidRPr="00DD477A">
        <w:rPr>
          <w:rFonts w:cs="Calibri"/>
        </w:rPr>
        <w:t xml:space="preserve"> in the forward year columns to avoid duplicating text.</w:t>
      </w:r>
    </w:p>
    <w:p w14:paraId="4662F53D" w14:textId="77777777" w:rsidR="00907A92" w:rsidRPr="00DD477A" w:rsidRDefault="53BF0693" w:rsidP="00E548A0">
      <w:pPr>
        <w:pStyle w:val="Heading3"/>
      </w:pPr>
      <w:bookmarkStart w:id="1056" w:name="_Toc160715584"/>
      <w:r w:rsidRPr="00DD477A">
        <w:t>Associated targets</w:t>
      </w:r>
      <w:bookmarkEnd w:id="1056"/>
    </w:p>
    <w:p w14:paraId="5D66FE40" w14:textId="62549636" w:rsidR="00907A92" w:rsidRPr="00DD477A" w:rsidRDefault="53BF0693" w:rsidP="000A7DEC">
      <w:pPr>
        <w:rPr>
          <w:rFonts w:cs="Calibri"/>
        </w:rPr>
      </w:pPr>
      <w:r w:rsidRPr="00DD477A">
        <w:rPr>
          <w:rFonts w:cs="Calibri"/>
        </w:rPr>
        <w:t xml:space="preserve">The </w:t>
      </w:r>
      <w:r w:rsidRPr="00DD477A">
        <w:rPr>
          <w:rFonts w:cs="Calibri"/>
          <w:i/>
        </w:rPr>
        <w:t xml:space="preserve">PGPA Rule </w:t>
      </w:r>
      <w:r w:rsidR="0087087B" w:rsidRPr="00DD477A">
        <w:rPr>
          <w:rFonts w:cs="Calibri"/>
          <w:i/>
        </w:rPr>
        <w:t>2014</w:t>
      </w:r>
      <w:r w:rsidR="00F1268C" w:rsidRPr="00DD477A">
        <w:rPr>
          <w:rFonts w:cs="Calibri"/>
          <w:i/>
        </w:rPr>
        <w:t xml:space="preserve"> </w:t>
      </w:r>
      <w:r w:rsidRPr="00DD477A">
        <w:rPr>
          <w:rFonts w:cs="Calibri"/>
        </w:rPr>
        <w:t xml:space="preserve">(subsection 16E(2) Item 5) requires performance information to include </w:t>
      </w:r>
      <w:r w:rsidR="00900DF8" w:rsidRPr="00DD477A">
        <w:rPr>
          <w:rFonts w:cs="Calibri"/>
        </w:rPr>
        <w:t>targets</w:t>
      </w:r>
      <w:r w:rsidRPr="00DD477A">
        <w:rPr>
          <w:rFonts w:cs="Calibri"/>
        </w:rPr>
        <w:t xml:space="preserve"> where it is reasonably practicable to set a target. </w:t>
      </w:r>
      <w:r w:rsidR="005B2761" w:rsidRPr="00DD477A">
        <w:rPr>
          <w:rFonts w:cs="Calibri"/>
        </w:rPr>
        <w:t xml:space="preserve">An explanatory note, </w:t>
      </w:r>
      <w:r w:rsidR="00463BDC" w:rsidRPr="00DD477A">
        <w:rPr>
          <w:rFonts w:cs="Calibri"/>
        </w:rPr>
        <w:t xml:space="preserve">either </w:t>
      </w:r>
      <w:r w:rsidR="009D4A74" w:rsidRPr="00DD477A">
        <w:rPr>
          <w:rFonts w:cs="Calibri"/>
        </w:rPr>
        <w:t xml:space="preserve">in the body of Table 2.X.3 or as </w:t>
      </w:r>
      <w:r w:rsidR="0028285D" w:rsidRPr="00DD477A">
        <w:rPr>
          <w:rFonts w:cs="Calibri"/>
        </w:rPr>
        <w:t xml:space="preserve">a </w:t>
      </w:r>
      <w:r w:rsidR="009D4A74" w:rsidRPr="00DD477A">
        <w:rPr>
          <w:rFonts w:cs="Calibri"/>
        </w:rPr>
        <w:t xml:space="preserve">footnote, </w:t>
      </w:r>
      <w:r w:rsidR="0028285D" w:rsidRPr="00DD477A">
        <w:rPr>
          <w:rFonts w:cs="Calibri"/>
        </w:rPr>
        <w:t xml:space="preserve">detailing the </w:t>
      </w:r>
      <w:r w:rsidR="00914CD1" w:rsidRPr="00DD477A">
        <w:rPr>
          <w:rFonts w:cs="Calibri"/>
        </w:rPr>
        <w:t xml:space="preserve">reason </w:t>
      </w:r>
      <w:r w:rsidR="009D4A74" w:rsidRPr="00DD477A">
        <w:rPr>
          <w:rFonts w:cs="Calibri"/>
        </w:rPr>
        <w:t>for</w:t>
      </w:r>
      <w:r w:rsidR="002145B7" w:rsidRPr="00DD477A">
        <w:rPr>
          <w:rFonts w:cs="Calibri"/>
        </w:rPr>
        <w:t xml:space="preserve"> </w:t>
      </w:r>
      <w:r w:rsidR="00914CD1" w:rsidRPr="00DD477A">
        <w:rPr>
          <w:rFonts w:cs="Calibri"/>
        </w:rPr>
        <w:t xml:space="preserve">any </w:t>
      </w:r>
      <w:r w:rsidR="00CF1806" w:rsidRPr="00DD477A">
        <w:rPr>
          <w:rFonts w:cs="Calibri"/>
        </w:rPr>
        <w:t xml:space="preserve">performance measures that </w:t>
      </w:r>
      <w:r w:rsidR="0028285D" w:rsidRPr="00DD477A">
        <w:rPr>
          <w:rFonts w:cs="Calibri"/>
        </w:rPr>
        <w:t>omi</w:t>
      </w:r>
      <w:r w:rsidR="00CF1806" w:rsidRPr="00DD477A">
        <w:rPr>
          <w:rFonts w:cs="Calibri"/>
        </w:rPr>
        <w:t>t</w:t>
      </w:r>
      <w:r w:rsidR="0028285D" w:rsidRPr="00DD477A">
        <w:rPr>
          <w:rFonts w:cs="Calibri"/>
        </w:rPr>
        <w:t xml:space="preserve"> </w:t>
      </w:r>
      <w:r w:rsidR="002145B7" w:rsidRPr="00DD477A">
        <w:rPr>
          <w:rFonts w:cs="Calibri"/>
        </w:rPr>
        <w:t>target</w:t>
      </w:r>
      <w:r w:rsidR="00914CD1" w:rsidRPr="00DD477A">
        <w:rPr>
          <w:rFonts w:cs="Calibri"/>
        </w:rPr>
        <w:t xml:space="preserve">s </w:t>
      </w:r>
      <w:r w:rsidR="00CF1806" w:rsidRPr="00DD477A">
        <w:rPr>
          <w:rFonts w:cs="Calibri"/>
        </w:rPr>
        <w:t>should be included</w:t>
      </w:r>
      <w:r w:rsidR="00914CD1" w:rsidRPr="00DD477A">
        <w:rPr>
          <w:rFonts w:cs="Calibri"/>
        </w:rPr>
        <w:t>.</w:t>
      </w:r>
    </w:p>
    <w:p w14:paraId="5334B5F7" w14:textId="77777777" w:rsidR="00907A92" w:rsidRPr="00DD477A" w:rsidRDefault="53BF0693" w:rsidP="00E548A0">
      <w:pPr>
        <w:pStyle w:val="Heading3"/>
      </w:pPr>
      <w:bookmarkStart w:id="1057" w:name="_Toc160715585"/>
      <w:r w:rsidRPr="00DD477A">
        <w:t>Expected date of achievement</w:t>
      </w:r>
      <w:bookmarkEnd w:id="1057"/>
    </w:p>
    <w:p w14:paraId="2835A0F8" w14:textId="263706E7" w:rsidR="0040713F" w:rsidRPr="00DD477A" w:rsidRDefault="00B75AB9" w:rsidP="53BF0693">
      <w:pPr>
        <w:rPr>
          <w:rFonts w:cs="Calibri"/>
          <w:b/>
          <w:bCs/>
        </w:rPr>
      </w:pPr>
      <w:r w:rsidRPr="00DD477A">
        <w:rPr>
          <w:rFonts w:cs="Calibri"/>
        </w:rPr>
        <w:t xml:space="preserve">Where </w:t>
      </w:r>
      <w:r w:rsidR="0035072D" w:rsidRPr="00DD477A">
        <w:rPr>
          <w:rFonts w:cs="Calibri"/>
        </w:rPr>
        <w:t xml:space="preserve">a </w:t>
      </w:r>
      <w:r w:rsidR="53BF0693" w:rsidRPr="00DD477A">
        <w:rPr>
          <w:rFonts w:cs="Calibri"/>
        </w:rPr>
        <w:t>program</w:t>
      </w:r>
      <w:r w:rsidRPr="00DD477A">
        <w:rPr>
          <w:rFonts w:cs="Calibri"/>
        </w:rPr>
        <w:t xml:space="preserve"> is</w:t>
      </w:r>
      <w:r w:rsidR="00994760" w:rsidRPr="00DD477A">
        <w:rPr>
          <w:rFonts w:cs="Calibri"/>
        </w:rPr>
        <w:t xml:space="preserve"> </w:t>
      </w:r>
      <w:r w:rsidR="53BF0693" w:rsidRPr="00DD477A">
        <w:rPr>
          <w:rFonts w:cs="Calibri"/>
        </w:rPr>
        <w:t>ongoing</w:t>
      </w:r>
      <w:r w:rsidR="002D0ACC" w:rsidRPr="00DD477A">
        <w:rPr>
          <w:rFonts w:cs="Calibri"/>
        </w:rPr>
        <w:t xml:space="preserve"> and</w:t>
      </w:r>
      <w:r w:rsidR="53BF0693" w:rsidRPr="00DD477A">
        <w:rPr>
          <w:rFonts w:cs="Calibri"/>
        </w:rPr>
        <w:t xml:space="preserve"> it is not practicable to report an expected date of achievement</w:t>
      </w:r>
      <w:r w:rsidR="002D0ACC" w:rsidRPr="00DD477A">
        <w:rPr>
          <w:rFonts w:cs="Calibri"/>
        </w:rPr>
        <w:t xml:space="preserve">, an explanatory </w:t>
      </w:r>
      <w:r w:rsidR="002B5225" w:rsidRPr="00DD477A">
        <w:rPr>
          <w:rFonts w:cs="Calibri"/>
        </w:rPr>
        <w:t>note</w:t>
      </w:r>
      <w:r w:rsidR="007A7BF0" w:rsidRPr="00DD477A">
        <w:rPr>
          <w:rFonts w:cs="Calibri"/>
        </w:rPr>
        <w:t xml:space="preserve"> </w:t>
      </w:r>
      <w:r w:rsidR="53BF0693" w:rsidRPr="00DD477A">
        <w:rPr>
          <w:rFonts w:cs="Calibri"/>
        </w:rPr>
        <w:t>in the body of Table 2.X.3 or as footnote to the table</w:t>
      </w:r>
      <w:r w:rsidR="007A7BF0" w:rsidRPr="00DD477A">
        <w:rPr>
          <w:rFonts w:cs="Calibri"/>
        </w:rPr>
        <w:t xml:space="preserve"> should be included</w:t>
      </w:r>
      <w:r w:rsidR="53BF0693" w:rsidRPr="00DD477A">
        <w:rPr>
          <w:rFonts w:cs="Calibri"/>
        </w:rPr>
        <w:t xml:space="preserve">. </w:t>
      </w:r>
    </w:p>
    <w:p w14:paraId="2C6D1493" w14:textId="77777777" w:rsidR="00C07FC8" w:rsidRPr="00DD477A" w:rsidRDefault="53BF0693" w:rsidP="00E548A0">
      <w:pPr>
        <w:pStyle w:val="Heading3"/>
      </w:pPr>
      <w:bookmarkStart w:id="1058" w:name="_Toc160715586"/>
      <w:r w:rsidRPr="00DD477A">
        <w:t>Characteristics of performance measures</w:t>
      </w:r>
      <w:bookmarkEnd w:id="1058"/>
    </w:p>
    <w:p w14:paraId="76FB6AF0" w14:textId="7E367B57" w:rsidR="00C07FC8" w:rsidRPr="00DD477A" w:rsidRDefault="0062098A" w:rsidP="00C07FC8">
      <w:pPr>
        <w:rPr>
          <w:rFonts w:cs="Calibri"/>
        </w:rPr>
      </w:pPr>
      <w:r w:rsidRPr="00DD477A">
        <w:rPr>
          <w:rFonts w:cs="Calibri"/>
        </w:rPr>
        <w:t>The characteristics of performance measures are set out in s</w:t>
      </w:r>
      <w:r w:rsidR="53BF0693" w:rsidRPr="00DD477A">
        <w:rPr>
          <w:rFonts w:cs="Calibri"/>
        </w:rPr>
        <w:t xml:space="preserve">ubsection 16EA of the </w:t>
      </w:r>
      <w:r w:rsidR="53BF0693" w:rsidRPr="00DD477A">
        <w:rPr>
          <w:rFonts w:cs="Calibri"/>
          <w:i/>
        </w:rPr>
        <w:t xml:space="preserve">PGPA Rule </w:t>
      </w:r>
      <w:r w:rsidR="0087087B" w:rsidRPr="00DD477A">
        <w:rPr>
          <w:rFonts w:cs="Calibri"/>
          <w:i/>
        </w:rPr>
        <w:t>2014</w:t>
      </w:r>
      <w:r w:rsidRPr="00DD477A">
        <w:rPr>
          <w:rFonts w:cs="Calibri"/>
        </w:rPr>
        <w:t xml:space="preserve">, with supplementary guidance </w:t>
      </w:r>
      <w:r w:rsidR="00CD5200" w:rsidRPr="00DD477A">
        <w:rPr>
          <w:rFonts w:cs="Calibri"/>
        </w:rPr>
        <w:t xml:space="preserve">on developing performance measures </w:t>
      </w:r>
      <w:r w:rsidRPr="00DD477A">
        <w:rPr>
          <w:rFonts w:cs="Calibri"/>
        </w:rPr>
        <w:t xml:space="preserve">provided </w:t>
      </w:r>
      <w:r w:rsidR="53BF0693" w:rsidRPr="00DD477A">
        <w:rPr>
          <w:rFonts w:cs="Calibri"/>
        </w:rPr>
        <w:t xml:space="preserve">in </w:t>
      </w:r>
      <w:hyperlink r:id="rId155">
        <w:r w:rsidR="00267316" w:rsidRPr="00DD477A">
          <w:rPr>
            <w:rStyle w:val="Hyperlink"/>
          </w:rPr>
          <w:t>Developing performance measures (RMG 131)</w:t>
        </w:r>
      </w:hyperlink>
      <w:r w:rsidR="00CD5200" w:rsidRPr="00DD477A">
        <w:rPr>
          <w:rFonts w:cs="Calibri"/>
        </w:rPr>
        <w:t>.</w:t>
      </w:r>
      <w:r w:rsidR="53BF0693" w:rsidRPr="00DD477A">
        <w:rPr>
          <w:rFonts w:cs="Calibri"/>
        </w:rPr>
        <w:t xml:space="preserve"> </w:t>
      </w:r>
    </w:p>
    <w:p w14:paraId="26426DB4" w14:textId="01AF4898" w:rsidR="00C07FC8" w:rsidRPr="00DD477A" w:rsidRDefault="53BF0693" w:rsidP="00E548A0">
      <w:pPr>
        <w:pStyle w:val="Heading3"/>
      </w:pPr>
      <w:bookmarkStart w:id="1059" w:name="_Toc160715587"/>
      <w:r w:rsidRPr="00DD477A">
        <w:lastRenderedPageBreak/>
        <w:t xml:space="preserve">Achieving a </w:t>
      </w:r>
      <w:r w:rsidR="006714EB" w:rsidRPr="00DD477A">
        <w:t>‘</w:t>
      </w:r>
      <w:r w:rsidRPr="00DD477A">
        <w:t>clear read</w:t>
      </w:r>
      <w:r w:rsidR="006714EB" w:rsidRPr="00DD477A">
        <w:t>’</w:t>
      </w:r>
      <w:bookmarkEnd w:id="1059"/>
      <w:r w:rsidRPr="00DD477A">
        <w:t xml:space="preserve"> </w:t>
      </w:r>
    </w:p>
    <w:p w14:paraId="288D7249" w14:textId="555EB03D" w:rsidR="009C73C7" w:rsidRPr="00DD477A" w:rsidRDefault="009C73C7" w:rsidP="009C73C7">
      <w:pPr>
        <w:rPr>
          <w:rFonts w:eastAsiaTheme="majorEastAsia" w:cs="Calibri"/>
          <w:bCs/>
          <w:color w:val="1C1C1C" w:themeColor="text2"/>
          <w:sz w:val="30"/>
          <w:szCs w:val="22"/>
        </w:rPr>
      </w:pPr>
      <w:r w:rsidRPr="00DD477A">
        <w:rPr>
          <w:rFonts w:cs="Calibri"/>
        </w:rPr>
        <w:t>A clear read across reporting documents allows performance information in different places</w:t>
      </w:r>
      <w:r w:rsidR="00580099" w:rsidRPr="00DD477A">
        <w:rPr>
          <w:rFonts w:cs="Calibri"/>
        </w:rPr>
        <w:t>,</w:t>
      </w:r>
      <w:r w:rsidRPr="00DD477A">
        <w:rPr>
          <w:rFonts w:cs="Calibri"/>
        </w:rPr>
        <w:t xml:space="preserve"> and at different levels of granularity</w:t>
      </w:r>
      <w:r w:rsidR="00580099" w:rsidRPr="00DD477A">
        <w:rPr>
          <w:rFonts w:cs="Calibri"/>
        </w:rPr>
        <w:t>,</w:t>
      </w:r>
      <w:r w:rsidRPr="00DD477A">
        <w:rPr>
          <w:rFonts w:cs="Calibri"/>
        </w:rPr>
        <w:t xml:space="preserve"> to be co</w:t>
      </w:r>
      <w:r w:rsidR="00580099" w:rsidRPr="00DD477A">
        <w:rPr>
          <w:rFonts w:cs="Calibri"/>
        </w:rPr>
        <w:t xml:space="preserve">nsidered in a </w:t>
      </w:r>
      <w:r w:rsidR="00643523" w:rsidRPr="00DD477A">
        <w:rPr>
          <w:rFonts w:cs="Calibri"/>
        </w:rPr>
        <w:t>holistic and con</w:t>
      </w:r>
      <w:r w:rsidR="00463391" w:rsidRPr="00DD477A">
        <w:rPr>
          <w:rFonts w:cs="Calibri"/>
        </w:rPr>
        <w:t>current</w:t>
      </w:r>
      <w:r w:rsidR="00643523" w:rsidRPr="00DD477A">
        <w:rPr>
          <w:rFonts w:cs="Calibri"/>
        </w:rPr>
        <w:t xml:space="preserve"> manner </w:t>
      </w:r>
      <w:r w:rsidRPr="00DD477A">
        <w:rPr>
          <w:rFonts w:cs="Calibri"/>
        </w:rPr>
        <w:t>to provide a reader with a</w:t>
      </w:r>
      <w:r w:rsidR="00D86F9E" w:rsidRPr="00DD477A">
        <w:rPr>
          <w:rFonts w:cs="Calibri"/>
        </w:rPr>
        <w:t>n improved</w:t>
      </w:r>
      <w:r w:rsidRPr="00DD477A">
        <w:rPr>
          <w:rFonts w:cs="Calibri"/>
        </w:rPr>
        <w:t xml:space="preserve"> understanding of an entity’s planned and actual performance.</w:t>
      </w:r>
    </w:p>
    <w:p w14:paraId="5D775740" w14:textId="390D5F69" w:rsidR="00B97B84" w:rsidRPr="00DD477A" w:rsidRDefault="53BF0693" w:rsidP="000A7DEC">
      <w:pPr>
        <w:rPr>
          <w:rFonts w:cs="Calibri"/>
        </w:rPr>
      </w:pPr>
      <w:r w:rsidRPr="00DD477A">
        <w:rPr>
          <w:rFonts w:cs="Calibri"/>
        </w:rPr>
        <w:t xml:space="preserve">The performance measures reported in Table 2.X.3 should be developed </w:t>
      </w:r>
      <w:r w:rsidR="00C267B9" w:rsidRPr="00DD477A">
        <w:rPr>
          <w:rFonts w:cs="Calibri"/>
        </w:rPr>
        <w:t xml:space="preserve">in </w:t>
      </w:r>
      <w:r w:rsidRPr="00DD477A">
        <w:rPr>
          <w:rFonts w:cs="Calibri"/>
        </w:rPr>
        <w:t>the</w:t>
      </w:r>
      <w:r w:rsidRPr="00DD477A" w:rsidDel="00187A9E">
        <w:rPr>
          <w:rFonts w:cs="Calibri"/>
        </w:rPr>
        <w:t xml:space="preserve"> context of</w:t>
      </w:r>
      <w:r w:rsidRPr="00DD477A" w:rsidDel="00D73FEB">
        <w:rPr>
          <w:rFonts w:cs="Calibri"/>
        </w:rPr>
        <w:t xml:space="preserve"> </w:t>
      </w:r>
      <w:r w:rsidRPr="00DD477A">
        <w:rPr>
          <w:rFonts w:cs="Calibri"/>
        </w:rPr>
        <w:t xml:space="preserve">performance information in corporate plans, annual performance statements and any other public reporting under legislation or required by </w:t>
      </w:r>
      <w:r w:rsidR="00D73FEB" w:rsidRPr="00DD477A">
        <w:rPr>
          <w:rFonts w:cs="Calibri"/>
        </w:rPr>
        <w:t>G</w:t>
      </w:r>
      <w:r w:rsidRPr="00DD477A">
        <w:rPr>
          <w:rFonts w:cs="Calibri"/>
        </w:rPr>
        <w:t>overnment.</w:t>
      </w:r>
      <w:r w:rsidR="00541FE5" w:rsidRPr="00DD477A">
        <w:rPr>
          <w:rFonts w:cs="Calibri"/>
        </w:rPr>
        <w:t xml:space="preserve"> </w:t>
      </w:r>
      <w:r w:rsidR="00B7730B">
        <w:rPr>
          <w:rStyle w:val="ui-provider"/>
        </w:rPr>
        <w:t>The requirement to report key activities as expressed in the current corporate plan in the PB Statement performance measures table will assist in achieving a clear read</w:t>
      </w:r>
      <w:r w:rsidR="00541FE5" w:rsidRPr="00DD477A">
        <w:rPr>
          <w:rFonts w:cs="Calibri"/>
        </w:rPr>
        <w:t>.</w:t>
      </w:r>
    </w:p>
    <w:p w14:paraId="2D8144D0" w14:textId="55B929DA" w:rsidR="00FA0945" w:rsidRPr="00DD477A" w:rsidRDefault="53BF0693" w:rsidP="00E548A0">
      <w:pPr>
        <w:pStyle w:val="Heading3"/>
      </w:pPr>
      <w:bookmarkStart w:id="1060" w:name="_Ref94874397"/>
      <w:bookmarkStart w:id="1061" w:name="_Ref94874409"/>
      <w:bookmarkStart w:id="1062" w:name="_Toc160715588"/>
      <w:bookmarkStart w:id="1063" w:name="_Toc534382570"/>
      <w:bookmarkStart w:id="1064" w:name="_Ref62052375"/>
      <w:bookmarkStart w:id="1065" w:name="_Ref62052777"/>
      <w:bookmarkStart w:id="1066" w:name="_Toc63347723"/>
      <w:r w:rsidRPr="00DD477A">
        <w:t>Presentation of new or modified performance measures</w:t>
      </w:r>
      <w:bookmarkEnd w:id="1060"/>
      <w:bookmarkEnd w:id="1061"/>
      <w:bookmarkEnd w:id="1062"/>
      <w:r w:rsidRPr="00DD477A">
        <w:t xml:space="preserve"> </w:t>
      </w:r>
      <w:bookmarkEnd w:id="1063"/>
      <w:bookmarkEnd w:id="1064"/>
      <w:bookmarkEnd w:id="1065"/>
      <w:bookmarkEnd w:id="1066"/>
    </w:p>
    <w:p w14:paraId="5339B7FA" w14:textId="453EE472" w:rsidR="00CD5D5F" w:rsidRPr="00DD477A" w:rsidRDefault="0025628F" w:rsidP="000A7DEC">
      <w:pPr>
        <w:rPr>
          <w:rFonts w:cs="Calibri"/>
        </w:rPr>
      </w:pPr>
      <w:r w:rsidRPr="00DD477A">
        <w:rPr>
          <w:rFonts w:cs="Calibri"/>
        </w:rPr>
        <w:t xml:space="preserve">Where the 2024-25 Budget </w:t>
      </w:r>
      <w:r w:rsidR="003C0F5E" w:rsidRPr="00DD477A">
        <w:rPr>
          <w:rFonts w:cs="Calibri"/>
        </w:rPr>
        <w:t>establish</w:t>
      </w:r>
      <w:r w:rsidR="00B37849" w:rsidRPr="00DD477A">
        <w:rPr>
          <w:rFonts w:cs="Calibri"/>
        </w:rPr>
        <w:t>es</w:t>
      </w:r>
      <w:r w:rsidR="53BF0693" w:rsidRPr="00DD477A">
        <w:rPr>
          <w:rFonts w:cs="Calibri"/>
        </w:rPr>
        <w:t xml:space="preserve"> a new program</w:t>
      </w:r>
      <w:r w:rsidR="009532D0" w:rsidRPr="00DD477A">
        <w:rPr>
          <w:rFonts w:cs="Calibri"/>
        </w:rPr>
        <w:t>,</w:t>
      </w:r>
      <w:r w:rsidR="53BF0693" w:rsidRPr="00DD477A">
        <w:rPr>
          <w:rFonts w:cs="Calibri"/>
        </w:rPr>
        <w:t xml:space="preserve"> or material</w:t>
      </w:r>
      <w:r w:rsidR="003C0F5E" w:rsidRPr="00DD477A">
        <w:rPr>
          <w:rFonts w:cs="Calibri"/>
        </w:rPr>
        <w:t>ly</w:t>
      </w:r>
      <w:r w:rsidR="53BF0693" w:rsidRPr="00DD477A">
        <w:rPr>
          <w:rFonts w:cs="Calibri"/>
        </w:rPr>
        <w:t xml:space="preserve"> change</w:t>
      </w:r>
      <w:r w:rsidR="003C0F5E" w:rsidRPr="00DD477A">
        <w:rPr>
          <w:rFonts w:cs="Calibri"/>
        </w:rPr>
        <w:t xml:space="preserve"> an</w:t>
      </w:r>
      <w:r w:rsidR="53BF0693" w:rsidRPr="00DD477A">
        <w:rPr>
          <w:rFonts w:cs="Calibri"/>
        </w:rPr>
        <w:t xml:space="preserve"> existing program</w:t>
      </w:r>
      <w:r w:rsidR="00A1506B" w:rsidRPr="00DD477A">
        <w:rPr>
          <w:rFonts w:cs="Calibri"/>
        </w:rPr>
        <w:t>,</w:t>
      </w:r>
      <w:r w:rsidR="53BF0693" w:rsidRPr="00DD477A">
        <w:rPr>
          <w:rFonts w:cs="Calibri"/>
        </w:rPr>
        <w:t xml:space="preserve"> two references need to be included in Table 2.X.3:</w:t>
      </w:r>
    </w:p>
    <w:p w14:paraId="6853D88B" w14:textId="61538900" w:rsidR="00FA0945" w:rsidRPr="00DD477A" w:rsidRDefault="009C48FA" w:rsidP="007737BB">
      <w:pPr>
        <w:pStyle w:val="Numbered"/>
        <w:numPr>
          <w:ilvl w:val="0"/>
          <w:numId w:val="51"/>
        </w:numPr>
      </w:pPr>
      <w:r w:rsidRPr="00DD477A">
        <w:t xml:space="preserve">Performance Measures section - modified or added </w:t>
      </w:r>
      <w:r w:rsidR="53BF0693" w:rsidRPr="00DD477A">
        <w:t xml:space="preserve">performance measures should be </w:t>
      </w:r>
      <w:r w:rsidR="53BF0693" w:rsidRPr="007737BB">
        <w:rPr>
          <w:u w:val="single"/>
        </w:rPr>
        <w:t>underlined</w:t>
      </w:r>
      <w:r w:rsidR="53BF0693" w:rsidRPr="00DD477A">
        <w:t xml:space="preserve"> and in </w:t>
      </w:r>
      <w:r w:rsidR="53BF0693" w:rsidRPr="007737BB">
        <w:rPr>
          <w:i/>
          <w:iCs/>
        </w:rPr>
        <w:t>italics</w:t>
      </w:r>
      <w:r w:rsidR="53BF0693" w:rsidRPr="00DD477A">
        <w:t xml:space="preserve"> for the relevant program</w:t>
      </w:r>
      <w:r w:rsidR="009B6C51" w:rsidRPr="00DD477A">
        <w:t>.</w:t>
      </w:r>
    </w:p>
    <w:p w14:paraId="032AF80C" w14:textId="203A08CE" w:rsidR="000D6117" w:rsidRPr="00DD477A" w:rsidRDefault="003B3311" w:rsidP="007737BB">
      <w:pPr>
        <w:pStyle w:val="Numbered"/>
      </w:pPr>
      <w:r w:rsidRPr="00DD477A">
        <w:t xml:space="preserve">Material change section </w:t>
      </w:r>
      <w:r w:rsidR="00E93406" w:rsidRPr="00DD477A">
        <w:t xml:space="preserve">- </w:t>
      </w:r>
      <w:r w:rsidR="00CD5D5F" w:rsidRPr="00DD477A">
        <w:t xml:space="preserve">reference should be made to the budget measure that has materially changed the program </w:t>
      </w:r>
      <w:r w:rsidR="00866FEC" w:rsidRPr="00DD477A">
        <w:t>(suggested wording is prov</w:t>
      </w:r>
      <w:r w:rsidR="00636554" w:rsidRPr="00DD477A">
        <w:t xml:space="preserve">ided in the template at section </w:t>
      </w:r>
      <w:r w:rsidR="00104986" w:rsidRPr="00DD477A">
        <w:rPr>
          <w:rStyle w:val="CrossReferenceChar"/>
          <w:u w:val="none"/>
        </w:rPr>
        <w:t>4</w:t>
      </w:r>
      <w:r w:rsidR="00866FEC" w:rsidRPr="00DD477A">
        <w:t>).</w:t>
      </w:r>
      <w:bookmarkStart w:id="1067" w:name="_Toc61875035"/>
      <w:bookmarkStart w:id="1068" w:name="_Toc62648887"/>
      <w:bookmarkEnd w:id="1067"/>
      <w:bookmarkEnd w:id="1068"/>
      <w:r w:rsidR="000D6117" w:rsidRPr="00DD477A">
        <w:br w:type="page"/>
      </w:r>
    </w:p>
    <w:p w14:paraId="0FCC106A" w14:textId="68FF1D9B" w:rsidR="00FA0945" w:rsidRPr="00DD477A" w:rsidRDefault="004C1431" w:rsidP="00166A5E">
      <w:pPr>
        <w:pStyle w:val="Heading1"/>
      </w:pPr>
      <w:bookmarkStart w:id="1069" w:name="_Toc47369902"/>
      <w:bookmarkStart w:id="1070" w:name="_Toc534519177"/>
      <w:bookmarkStart w:id="1071" w:name="_Toc534520087"/>
      <w:bookmarkStart w:id="1072" w:name="_Toc534520357"/>
      <w:bookmarkStart w:id="1073" w:name="_Toc534527569"/>
      <w:bookmarkStart w:id="1074" w:name="_Toc534528299"/>
      <w:bookmarkStart w:id="1075" w:name="_Toc534803520"/>
      <w:bookmarkStart w:id="1076" w:name="_Toc534814211"/>
      <w:bookmarkStart w:id="1077" w:name="_Toc536108584"/>
      <w:bookmarkStart w:id="1078" w:name="_Toc534519178"/>
      <w:bookmarkStart w:id="1079" w:name="_Toc534520088"/>
      <w:bookmarkStart w:id="1080" w:name="_Toc534520358"/>
      <w:bookmarkStart w:id="1081" w:name="_Toc534527570"/>
      <w:bookmarkStart w:id="1082" w:name="_Toc534528300"/>
      <w:bookmarkStart w:id="1083" w:name="_Toc534803521"/>
      <w:bookmarkStart w:id="1084" w:name="_Toc534814212"/>
      <w:bookmarkStart w:id="1085" w:name="_Toc536108585"/>
      <w:bookmarkStart w:id="1086" w:name="_Toc29980701"/>
      <w:bookmarkStart w:id="1087" w:name="_Toc30405589"/>
      <w:bookmarkStart w:id="1088" w:name="_Toc30581330"/>
      <w:bookmarkStart w:id="1089" w:name="_Toc32829992"/>
      <w:bookmarkStart w:id="1090" w:name="_Toc32917499"/>
      <w:bookmarkStart w:id="1091" w:name="_Toc32918305"/>
      <w:bookmarkStart w:id="1092" w:name="_Toc32999688"/>
      <w:bookmarkStart w:id="1093" w:name="_Toc33099412"/>
      <w:bookmarkStart w:id="1094" w:name="_Toc33196037"/>
      <w:bookmarkStart w:id="1095" w:name="_Toc33196339"/>
      <w:bookmarkStart w:id="1096" w:name="_Toc29980702"/>
      <w:bookmarkStart w:id="1097" w:name="_Toc30405590"/>
      <w:bookmarkStart w:id="1098" w:name="_Toc30581331"/>
      <w:bookmarkStart w:id="1099" w:name="_Toc32829993"/>
      <w:bookmarkStart w:id="1100" w:name="_Toc32917500"/>
      <w:bookmarkStart w:id="1101" w:name="_Toc32918306"/>
      <w:bookmarkStart w:id="1102" w:name="_Toc32999689"/>
      <w:bookmarkStart w:id="1103" w:name="_Toc33099413"/>
      <w:bookmarkStart w:id="1104" w:name="_Toc33196038"/>
      <w:bookmarkStart w:id="1105" w:name="_Toc33196340"/>
      <w:bookmarkStart w:id="1106" w:name="_Toc29980703"/>
      <w:bookmarkStart w:id="1107" w:name="_Toc30405591"/>
      <w:bookmarkStart w:id="1108" w:name="_Toc30581332"/>
      <w:bookmarkStart w:id="1109" w:name="_Toc32829994"/>
      <w:bookmarkStart w:id="1110" w:name="_Toc32917501"/>
      <w:bookmarkStart w:id="1111" w:name="_Toc32918307"/>
      <w:bookmarkStart w:id="1112" w:name="_Toc32999690"/>
      <w:bookmarkStart w:id="1113" w:name="_Toc33099414"/>
      <w:bookmarkStart w:id="1114" w:name="_Toc33196039"/>
      <w:bookmarkStart w:id="1115" w:name="_Toc33196341"/>
      <w:bookmarkStart w:id="1116" w:name="_Toc29980704"/>
      <w:bookmarkStart w:id="1117" w:name="_Toc30405592"/>
      <w:bookmarkStart w:id="1118" w:name="_Toc30581333"/>
      <w:bookmarkStart w:id="1119" w:name="_Toc32829995"/>
      <w:bookmarkStart w:id="1120" w:name="_Toc32917502"/>
      <w:bookmarkStart w:id="1121" w:name="_Toc32918308"/>
      <w:bookmarkStart w:id="1122" w:name="_Toc32999691"/>
      <w:bookmarkStart w:id="1123" w:name="_Toc33099415"/>
      <w:bookmarkStart w:id="1124" w:name="_Toc33196040"/>
      <w:bookmarkStart w:id="1125" w:name="_Toc33196342"/>
      <w:bookmarkStart w:id="1126" w:name="_Toc29980705"/>
      <w:bookmarkStart w:id="1127" w:name="_Toc30405593"/>
      <w:bookmarkStart w:id="1128" w:name="_Toc30581334"/>
      <w:bookmarkStart w:id="1129" w:name="_Toc32829996"/>
      <w:bookmarkStart w:id="1130" w:name="_Toc32917503"/>
      <w:bookmarkStart w:id="1131" w:name="_Toc32918309"/>
      <w:bookmarkStart w:id="1132" w:name="_Toc32999692"/>
      <w:bookmarkStart w:id="1133" w:name="_Toc33099416"/>
      <w:bookmarkStart w:id="1134" w:name="_Toc33196041"/>
      <w:bookmarkStart w:id="1135" w:name="_Toc33196343"/>
      <w:bookmarkStart w:id="1136" w:name="_Toc29980706"/>
      <w:bookmarkStart w:id="1137" w:name="_Toc30405594"/>
      <w:bookmarkStart w:id="1138" w:name="_Toc30581335"/>
      <w:bookmarkStart w:id="1139" w:name="_Toc32829997"/>
      <w:bookmarkStart w:id="1140" w:name="_Toc32917504"/>
      <w:bookmarkStart w:id="1141" w:name="_Toc32918310"/>
      <w:bookmarkStart w:id="1142" w:name="_Toc32999693"/>
      <w:bookmarkStart w:id="1143" w:name="_Toc33099417"/>
      <w:bookmarkStart w:id="1144" w:name="_Toc33196042"/>
      <w:bookmarkStart w:id="1145" w:name="_Toc33196344"/>
      <w:bookmarkStart w:id="1146" w:name="_Toc29980707"/>
      <w:bookmarkStart w:id="1147" w:name="_Toc30405595"/>
      <w:bookmarkStart w:id="1148" w:name="_Toc30581336"/>
      <w:bookmarkStart w:id="1149" w:name="_Toc32829998"/>
      <w:bookmarkStart w:id="1150" w:name="_Toc32917505"/>
      <w:bookmarkStart w:id="1151" w:name="_Toc32918311"/>
      <w:bookmarkStart w:id="1152" w:name="_Toc32999694"/>
      <w:bookmarkStart w:id="1153" w:name="_Toc33099418"/>
      <w:bookmarkStart w:id="1154" w:name="_Toc33196043"/>
      <w:bookmarkStart w:id="1155" w:name="_Toc33196345"/>
      <w:bookmarkStart w:id="1156" w:name="_Toc29980708"/>
      <w:bookmarkStart w:id="1157" w:name="_Toc30405596"/>
      <w:bookmarkStart w:id="1158" w:name="_Toc30581337"/>
      <w:bookmarkStart w:id="1159" w:name="_Toc32829999"/>
      <w:bookmarkStart w:id="1160" w:name="_Toc32917506"/>
      <w:bookmarkStart w:id="1161" w:name="_Toc32918312"/>
      <w:bookmarkStart w:id="1162" w:name="_Toc32999695"/>
      <w:bookmarkStart w:id="1163" w:name="_Toc33099419"/>
      <w:bookmarkStart w:id="1164" w:name="_Toc33196044"/>
      <w:bookmarkStart w:id="1165" w:name="_Toc33196346"/>
      <w:bookmarkStart w:id="1166" w:name="_Toc29980709"/>
      <w:bookmarkStart w:id="1167" w:name="_Toc30405597"/>
      <w:bookmarkStart w:id="1168" w:name="_Toc30581338"/>
      <w:bookmarkStart w:id="1169" w:name="_Toc32830000"/>
      <w:bookmarkStart w:id="1170" w:name="_Toc32917507"/>
      <w:bookmarkStart w:id="1171" w:name="_Toc32918313"/>
      <w:bookmarkStart w:id="1172" w:name="_Toc32999696"/>
      <w:bookmarkStart w:id="1173" w:name="_Toc33099420"/>
      <w:bookmarkStart w:id="1174" w:name="_Toc33196045"/>
      <w:bookmarkStart w:id="1175" w:name="_Toc33196347"/>
      <w:bookmarkStart w:id="1176" w:name="_Toc29980710"/>
      <w:bookmarkStart w:id="1177" w:name="_Toc30405598"/>
      <w:bookmarkStart w:id="1178" w:name="_Toc30581339"/>
      <w:bookmarkStart w:id="1179" w:name="_Toc32830001"/>
      <w:bookmarkStart w:id="1180" w:name="_Toc32917508"/>
      <w:bookmarkStart w:id="1181" w:name="_Toc32918314"/>
      <w:bookmarkStart w:id="1182" w:name="_Toc32999697"/>
      <w:bookmarkStart w:id="1183" w:name="_Toc33099421"/>
      <w:bookmarkStart w:id="1184" w:name="_Toc33196046"/>
      <w:bookmarkStart w:id="1185" w:name="_Toc33196348"/>
      <w:bookmarkStart w:id="1186" w:name="_Toc29980711"/>
      <w:bookmarkStart w:id="1187" w:name="_Toc30405599"/>
      <w:bookmarkStart w:id="1188" w:name="_Toc30581340"/>
      <w:bookmarkStart w:id="1189" w:name="_Toc32830002"/>
      <w:bookmarkStart w:id="1190" w:name="_Toc32917509"/>
      <w:bookmarkStart w:id="1191" w:name="_Toc32918315"/>
      <w:bookmarkStart w:id="1192" w:name="_Toc32999698"/>
      <w:bookmarkStart w:id="1193" w:name="_Toc33099422"/>
      <w:bookmarkStart w:id="1194" w:name="_Toc33196047"/>
      <w:bookmarkStart w:id="1195" w:name="_Toc33196349"/>
      <w:bookmarkStart w:id="1196" w:name="_Toc29980712"/>
      <w:bookmarkStart w:id="1197" w:name="_Toc30405600"/>
      <w:bookmarkStart w:id="1198" w:name="_Toc30581341"/>
      <w:bookmarkStart w:id="1199" w:name="_Toc32830003"/>
      <w:bookmarkStart w:id="1200" w:name="_Toc32917510"/>
      <w:bookmarkStart w:id="1201" w:name="_Toc32918316"/>
      <w:bookmarkStart w:id="1202" w:name="_Toc32999699"/>
      <w:bookmarkStart w:id="1203" w:name="_Toc33099423"/>
      <w:bookmarkStart w:id="1204" w:name="_Toc33196048"/>
      <w:bookmarkStart w:id="1205" w:name="_Toc33196350"/>
      <w:bookmarkStart w:id="1206" w:name="_Toc29980713"/>
      <w:bookmarkStart w:id="1207" w:name="_Toc30405601"/>
      <w:bookmarkStart w:id="1208" w:name="_Toc30581342"/>
      <w:bookmarkStart w:id="1209" w:name="_Toc32830004"/>
      <w:bookmarkStart w:id="1210" w:name="_Toc32917511"/>
      <w:bookmarkStart w:id="1211" w:name="_Toc32918317"/>
      <w:bookmarkStart w:id="1212" w:name="_Toc32999700"/>
      <w:bookmarkStart w:id="1213" w:name="_Toc33099424"/>
      <w:bookmarkStart w:id="1214" w:name="_Toc33196049"/>
      <w:bookmarkStart w:id="1215" w:name="_Toc33196351"/>
      <w:bookmarkStart w:id="1216" w:name="_Toc29980714"/>
      <w:bookmarkStart w:id="1217" w:name="_Toc30405602"/>
      <w:bookmarkStart w:id="1218" w:name="_Toc30581343"/>
      <w:bookmarkStart w:id="1219" w:name="_Toc32830005"/>
      <w:bookmarkStart w:id="1220" w:name="_Toc32917512"/>
      <w:bookmarkStart w:id="1221" w:name="_Toc32918318"/>
      <w:bookmarkStart w:id="1222" w:name="_Toc32999701"/>
      <w:bookmarkStart w:id="1223" w:name="_Toc33099425"/>
      <w:bookmarkStart w:id="1224" w:name="_Toc33196050"/>
      <w:bookmarkStart w:id="1225" w:name="_Toc33196352"/>
      <w:bookmarkStart w:id="1226" w:name="_Toc29980715"/>
      <w:bookmarkStart w:id="1227" w:name="_Toc30405603"/>
      <w:bookmarkStart w:id="1228" w:name="_Toc30581344"/>
      <w:bookmarkStart w:id="1229" w:name="_Toc32830006"/>
      <w:bookmarkStart w:id="1230" w:name="_Toc32917513"/>
      <w:bookmarkStart w:id="1231" w:name="_Toc32918319"/>
      <w:bookmarkStart w:id="1232" w:name="_Toc32999702"/>
      <w:bookmarkStart w:id="1233" w:name="_Toc33099426"/>
      <w:bookmarkStart w:id="1234" w:name="_Toc33196051"/>
      <w:bookmarkStart w:id="1235" w:name="_Toc33196353"/>
      <w:bookmarkStart w:id="1236" w:name="_Toc29980716"/>
      <w:bookmarkStart w:id="1237" w:name="_Toc30405604"/>
      <w:bookmarkStart w:id="1238" w:name="_Toc30581345"/>
      <w:bookmarkStart w:id="1239" w:name="_Toc32830007"/>
      <w:bookmarkStart w:id="1240" w:name="_Toc32917514"/>
      <w:bookmarkStart w:id="1241" w:name="_Toc32918320"/>
      <w:bookmarkStart w:id="1242" w:name="_Toc32999703"/>
      <w:bookmarkStart w:id="1243" w:name="_Toc33099427"/>
      <w:bookmarkStart w:id="1244" w:name="_Toc33196052"/>
      <w:bookmarkStart w:id="1245" w:name="_Toc33196354"/>
      <w:bookmarkStart w:id="1246" w:name="_Toc29980717"/>
      <w:bookmarkStart w:id="1247" w:name="_Toc30405605"/>
      <w:bookmarkStart w:id="1248" w:name="_Toc30581346"/>
      <w:bookmarkStart w:id="1249" w:name="_Toc32830008"/>
      <w:bookmarkStart w:id="1250" w:name="_Toc32917515"/>
      <w:bookmarkStart w:id="1251" w:name="_Toc32918321"/>
      <w:bookmarkStart w:id="1252" w:name="_Toc32999704"/>
      <w:bookmarkStart w:id="1253" w:name="_Toc33099428"/>
      <w:bookmarkStart w:id="1254" w:name="_Toc33196053"/>
      <w:bookmarkStart w:id="1255" w:name="_Toc33196355"/>
      <w:bookmarkStart w:id="1256" w:name="_Toc29980718"/>
      <w:bookmarkStart w:id="1257" w:name="_Toc30405606"/>
      <w:bookmarkStart w:id="1258" w:name="_Toc30581347"/>
      <w:bookmarkStart w:id="1259" w:name="_Toc32830009"/>
      <w:bookmarkStart w:id="1260" w:name="_Toc32917516"/>
      <w:bookmarkStart w:id="1261" w:name="_Toc32918322"/>
      <w:bookmarkStart w:id="1262" w:name="_Toc32999705"/>
      <w:bookmarkStart w:id="1263" w:name="_Toc33099429"/>
      <w:bookmarkStart w:id="1264" w:name="_Toc33196054"/>
      <w:bookmarkStart w:id="1265" w:name="_Toc33196356"/>
      <w:bookmarkStart w:id="1266" w:name="_Toc29980719"/>
      <w:bookmarkStart w:id="1267" w:name="_Toc30405607"/>
      <w:bookmarkStart w:id="1268" w:name="_Toc30581348"/>
      <w:bookmarkStart w:id="1269" w:name="_Toc32830010"/>
      <w:bookmarkStart w:id="1270" w:name="_Toc32917517"/>
      <w:bookmarkStart w:id="1271" w:name="_Toc32918323"/>
      <w:bookmarkStart w:id="1272" w:name="_Toc32999706"/>
      <w:bookmarkStart w:id="1273" w:name="_Toc33099430"/>
      <w:bookmarkStart w:id="1274" w:name="_Toc33196055"/>
      <w:bookmarkStart w:id="1275" w:name="_Toc33196357"/>
      <w:bookmarkStart w:id="1276" w:name="_Toc29980720"/>
      <w:bookmarkStart w:id="1277" w:name="_Toc30405608"/>
      <w:bookmarkStart w:id="1278" w:name="_Toc30581349"/>
      <w:bookmarkStart w:id="1279" w:name="_Toc32830011"/>
      <w:bookmarkStart w:id="1280" w:name="_Toc32917518"/>
      <w:bookmarkStart w:id="1281" w:name="_Toc32918324"/>
      <w:bookmarkStart w:id="1282" w:name="_Toc32999707"/>
      <w:bookmarkStart w:id="1283" w:name="_Toc33099431"/>
      <w:bookmarkStart w:id="1284" w:name="_Toc33196056"/>
      <w:bookmarkStart w:id="1285" w:name="_Toc33196358"/>
      <w:bookmarkStart w:id="1286" w:name="_Toc29980721"/>
      <w:bookmarkStart w:id="1287" w:name="_Toc30405609"/>
      <w:bookmarkStart w:id="1288" w:name="_Toc30581350"/>
      <w:bookmarkStart w:id="1289" w:name="_Toc32830012"/>
      <w:bookmarkStart w:id="1290" w:name="_Toc32917519"/>
      <w:bookmarkStart w:id="1291" w:name="_Toc32918325"/>
      <w:bookmarkStart w:id="1292" w:name="_Toc32999708"/>
      <w:bookmarkStart w:id="1293" w:name="_Toc33099432"/>
      <w:bookmarkStart w:id="1294" w:name="_Toc33196057"/>
      <w:bookmarkStart w:id="1295" w:name="_Toc33196359"/>
      <w:bookmarkStart w:id="1296" w:name="_Toc29980722"/>
      <w:bookmarkStart w:id="1297" w:name="_Toc30405610"/>
      <w:bookmarkStart w:id="1298" w:name="_Toc30581351"/>
      <w:bookmarkStart w:id="1299" w:name="_Toc32830013"/>
      <w:bookmarkStart w:id="1300" w:name="_Toc32917520"/>
      <w:bookmarkStart w:id="1301" w:name="_Toc32918326"/>
      <w:bookmarkStart w:id="1302" w:name="_Toc32999709"/>
      <w:bookmarkStart w:id="1303" w:name="_Toc33099433"/>
      <w:bookmarkStart w:id="1304" w:name="_Toc33196058"/>
      <w:bookmarkStart w:id="1305" w:name="_Toc33196360"/>
      <w:bookmarkStart w:id="1306" w:name="_Toc29980723"/>
      <w:bookmarkStart w:id="1307" w:name="_Toc30405611"/>
      <w:bookmarkStart w:id="1308" w:name="_Toc30581352"/>
      <w:bookmarkStart w:id="1309" w:name="_Toc32830014"/>
      <w:bookmarkStart w:id="1310" w:name="_Toc32917521"/>
      <w:bookmarkStart w:id="1311" w:name="_Toc32918327"/>
      <w:bookmarkStart w:id="1312" w:name="_Toc32999710"/>
      <w:bookmarkStart w:id="1313" w:name="_Toc33099434"/>
      <w:bookmarkStart w:id="1314" w:name="_Toc33196059"/>
      <w:bookmarkStart w:id="1315" w:name="_Toc33196361"/>
      <w:bookmarkStart w:id="1316" w:name="_Toc29980724"/>
      <w:bookmarkStart w:id="1317" w:name="_Toc30405612"/>
      <w:bookmarkStart w:id="1318" w:name="_Toc30581353"/>
      <w:bookmarkStart w:id="1319" w:name="_Toc32830015"/>
      <w:bookmarkStart w:id="1320" w:name="_Toc32917522"/>
      <w:bookmarkStart w:id="1321" w:name="_Toc32918328"/>
      <w:bookmarkStart w:id="1322" w:name="_Toc32999711"/>
      <w:bookmarkStart w:id="1323" w:name="_Toc33099435"/>
      <w:bookmarkStart w:id="1324" w:name="_Toc33196060"/>
      <w:bookmarkStart w:id="1325" w:name="_Toc33196362"/>
      <w:bookmarkStart w:id="1326" w:name="_Toc534458894"/>
      <w:bookmarkStart w:id="1327" w:name="_Toc534459683"/>
      <w:bookmarkStart w:id="1328" w:name="_Toc534519180"/>
      <w:bookmarkStart w:id="1329" w:name="_Toc534520090"/>
      <w:bookmarkStart w:id="1330" w:name="_Toc534520360"/>
      <w:bookmarkStart w:id="1331" w:name="_Toc534527572"/>
      <w:bookmarkStart w:id="1332" w:name="_Toc534528302"/>
      <w:bookmarkStart w:id="1333" w:name="_Toc534803523"/>
      <w:bookmarkStart w:id="1334" w:name="_Toc534814214"/>
      <w:bookmarkStart w:id="1335" w:name="_Toc536108587"/>
      <w:bookmarkStart w:id="1336" w:name="_Toc536802132"/>
      <w:bookmarkStart w:id="1337" w:name="_Toc422731"/>
      <w:bookmarkStart w:id="1338" w:name="_Toc411852692"/>
      <w:bookmarkStart w:id="1339" w:name="_Toc534382573"/>
      <w:bookmarkStart w:id="1340" w:name="_Toc63347725"/>
      <w:bookmarkStart w:id="1341" w:name="_Toc160715589"/>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r w:rsidRPr="00DD477A">
        <w:lastRenderedPageBreak/>
        <w:t xml:space="preserve">Section </w:t>
      </w:r>
      <w:r w:rsidR="000106DB" w:rsidRPr="00DD477A">
        <w:t>3</w:t>
      </w:r>
      <w:r w:rsidRPr="00DD477A">
        <w:t xml:space="preserve"> - </w:t>
      </w:r>
      <w:r w:rsidR="53BF0693" w:rsidRPr="00DD477A">
        <w:t>Budgeted financial statements</w:t>
      </w:r>
      <w:bookmarkEnd w:id="1338"/>
      <w:bookmarkEnd w:id="1339"/>
      <w:bookmarkEnd w:id="1340"/>
      <w:bookmarkEnd w:id="1341"/>
    </w:p>
    <w:p w14:paraId="76482C05" w14:textId="52AF3080" w:rsidR="00DE38EB" w:rsidRPr="00DD477A" w:rsidRDefault="00DE38EB" w:rsidP="000A7DEC">
      <w:pPr>
        <w:rPr>
          <w:rFonts w:cs="Calibri"/>
        </w:rPr>
      </w:pPr>
      <w:r w:rsidRPr="00DD477A">
        <w:rPr>
          <w:rFonts w:eastAsia="Cambria" w:cs="Calibri"/>
          <w:noProof/>
        </w:rPr>
        <w:drawing>
          <wp:inline distT="0" distB="0" distL="0" distR="0" wp14:anchorId="25E47CD6" wp14:editId="29F1B0BF">
            <wp:extent cx="5835650" cy="955170"/>
            <wp:effectExtent l="0" t="0" r="0" b="0"/>
            <wp:docPr id="2129904650" name="Diagram 21299046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6" r:lo="rId157" r:qs="rId158" r:cs="rId159"/>
              </a:graphicData>
            </a:graphic>
          </wp:inline>
        </w:drawing>
      </w:r>
    </w:p>
    <w:p w14:paraId="229E5F9E" w14:textId="00574D49" w:rsidR="00DF675F" w:rsidRPr="00DD477A" w:rsidRDefault="53BF0693" w:rsidP="000A7DEC">
      <w:pPr>
        <w:rPr>
          <w:rFonts w:cs="Calibri"/>
        </w:rPr>
      </w:pPr>
      <w:r w:rsidRPr="00DD477A">
        <w:rPr>
          <w:rFonts w:cs="Calibri"/>
        </w:rPr>
        <w:t xml:space="preserve">The </w:t>
      </w:r>
      <w:r w:rsidR="00FC637C" w:rsidRPr="00DD477A">
        <w:rPr>
          <w:rFonts w:cs="Calibri"/>
        </w:rPr>
        <w:t>b</w:t>
      </w:r>
      <w:r w:rsidR="00584E5D" w:rsidRPr="00DD477A">
        <w:rPr>
          <w:rFonts w:cs="Calibri"/>
        </w:rPr>
        <w:t xml:space="preserve">udgeted </w:t>
      </w:r>
      <w:r w:rsidRPr="00DD477A">
        <w:rPr>
          <w:rFonts w:cs="Calibri"/>
        </w:rPr>
        <w:t xml:space="preserve">financial statements section </w:t>
      </w:r>
      <w:r w:rsidR="00A261F9" w:rsidRPr="00DD477A">
        <w:rPr>
          <w:rFonts w:cs="Calibri"/>
        </w:rPr>
        <w:t>(Section 3</w:t>
      </w:r>
      <w:r w:rsidR="00C72997" w:rsidRPr="00DD477A">
        <w:rPr>
          <w:rFonts w:cs="Calibri"/>
        </w:rPr>
        <w:t>)</w:t>
      </w:r>
      <w:r w:rsidR="00A261F9" w:rsidRPr="00DD477A">
        <w:rPr>
          <w:rFonts w:cs="Calibri"/>
        </w:rPr>
        <w:t xml:space="preserve"> </w:t>
      </w:r>
      <w:r w:rsidRPr="00DD477A">
        <w:rPr>
          <w:rFonts w:cs="Calibri"/>
        </w:rPr>
        <w:t xml:space="preserve">of the PB Statements provides financial information </w:t>
      </w:r>
      <w:r w:rsidR="005369BC" w:rsidRPr="00DD477A">
        <w:rPr>
          <w:rFonts w:cs="Calibri"/>
        </w:rPr>
        <w:t xml:space="preserve">on </w:t>
      </w:r>
      <w:r w:rsidRPr="00DD477A">
        <w:rPr>
          <w:rFonts w:cs="Calibri"/>
        </w:rPr>
        <w:t>the entity’s operations over the budget and three forward years</w:t>
      </w:r>
      <w:r w:rsidR="006C142D" w:rsidRPr="00DD477A">
        <w:rPr>
          <w:rFonts w:cs="Calibri"/>
        </w:rPr>
        <w:t xml:space="preserve">, and </w:t>
      </w:r>
      <w:r w:rsidRPr="00DD477A">
        <w:rPr>
          <w:rFonts w:cs="Calibri"/>
        </w:rPr>
        <w:t>include estimated actual information for the current financial year.</w:t>
      </w:r>
    </w:p>
    <w:p w14:paraId="5B208307" w14:textId="4F892122" w:rsidR="006541D7" w:rsidRPr="00DD477A" w:rsidRDefault="53BF0693" w:rsidP="006541D7">
      <w:pPr>
        <w:rPr>
          <w:rFonts w:cs="Calibri"/>
        </w:rPr>
      </w:pPr>
      <w:r w:rsidRPr="00DD477A">
        <w:rPr>
          <w:rFonts w:cs="Calibri"/>
        </w:rPr>
        <w:t>Section 3 also provides a linkage between an entity’s forecast resources and its forecast expenditure in achieving its outcomes</w:t>
      </w:r>
      <w:r w:rsidR="007E537A" w:rsidRPr="00DD477A">
        <w:rPr>
          <w:rFonts w:cs="Calibri"/>
        </w:rPr>
        <w:t xml:space="preserve"> and allows for comparisons </w:t>
      </w:r>
      <w:r w:rsidRPr="00DD477A">
        <w:rPr>
          <w:rFonts w:cs="Calibri"/>
        </w:rPr>
        <w:t>to the financial statements published in an entity’s annual report to form a view on the financial performance of the entity.</w:t>
      </w:r>
    </w:p>
    <w:p w14:paraId="094F784A" w14:textId="1A938C3D" w:rsidR="00FA0945" w:rsidRPr="00DD477A" w:rsidRDefault="53BF0693" w:rsidP="000A7DEC">
      <w:pPr>
        <w:rPr>
          <w:rFonts w:cs="Calibri"/>
        </w:rPr>
      </w:pPr>
      <w:r w:rsidRPr="00DD477A">
        <w:rPr>
          <w:rFonts w:cs="Calibri"/>
        </w:rPr>
        <w:t xml:space="preserve">Entities should, to the extent possible, apply </w:t>
      </w:r>
      <w:r w:rsidR="002268A8" w:rsidRPr="00DD477A">
        <w:rPr>
          <w:rFonts w:cs="Calibri"/>
        </w:rPr>
        <w:t>con</w:t>
      </w:r>
      <w:r w:rsidR="00DD7B32" w:rsidRPr="00DD477A">
        <w:rPr>
          <w:rFonts w:cs="Calibri"/>
        </w:rPr>
        <w:t>sistent</w:t>
      </w:r>
      <w:r w:rsidRPr="00DD477A">
        <w:rPr>
          <w:rFonts w:cs="Calibri"/>
        </w:rPr>
        <w:t xml:space="preserve"> accounting assumptions and processes </w:t>
      </w:r>
      <w:r w:rsidR="00DD7B32" w:rsidRPr="00DD477A">
        <w:rPr>
          <w:rFonts w:cs="Calibri"/>
        </w:rPr>
        <w:t xml:space="preserve">to both </w:t>
      </w:r>
      <w:r w:rsidRPr="00DD477A">
        <w:rPr>
          <w:rFonts w:cs="Calibri"/>
        </w:rPr>
        <w:t xml:space="preserve">their </w:t>
      </w:r>
      <w:r w:rsidR="00FC637C" w:rsidRPr="00DD477A">
        <w:rPr>
          <w:rFonts w:cs="Calibri"/>
        </w:rPr>
        <w:t xml:space="preserve">budgeted </w:t>
      </w:r>
      <w:r w:rsidRPr="00DD477A">
        <w:rPr>
          <w:rFonts w:cs="Calibri"/>
        </w:rPr>
        <w:t xml:space="preserve">financial statements </w:t>
      </w:r>
      <w:r w:rsidR="00DD7B32" w:rsidRPr="00DD477A">
        <w:rPr>
          <w:rFonts w:cs="Calibri"/>
        </w:rPr>
        <w:t>and</w:t>
      </w:r>
      <w:r w:rsidR="00EB40C9" w:rsidRPr="00DD477A">
        <w:rPr>
          <w:rFonts w:cs="Calibri"/>
        </w:rPr>
        <w:t xml:space="preserve"> the</w:t>
      </w:r>
      <w:r w:rsidR="00994760" w:rsidRPr="00DD477A">
        <w:rPr>
          <w:rFonts w:cs="Calibri"/>
        </w:rPr>
        <w:t xml:space="preserve"> </w:t>
      </w:r>
      <w:r w:rsidR="00B11749" w:rsidRPr="00DD477A">
        <w:rPr>
          <w:rFonts w:cs="Calibri"/>
        </w:rPr>
        <w:t>202</w:t>
      </w:r>
      <w:r w:rsidR="00F13B49" w:rsidRPr="00DD477A">
        <w:rPr>
          <w:rFonts w:cs="Calibri"/>
        </w:rPr>
        <w:t>4</w:t>
      </w:r>
      <w:r w:rsidR="00C72997" w:rsidRPr="00DD477A">
        <w:rPr>
          <w:rFonts w:cs="Calibri"/>
        </w:rPr>
        <w:noBreakHyphen/>
        <w:t>2</w:t>
      </w:r>
      <w:r w:rsidR="00F13B49" w:rsidRPr="00DD477A">
        <w:rPr>
          <w:rFonts w:cs="Calibri"/>
        </w:rPr>
        <w:t>5</w:t>
      </w:r>
      <w:r w:rsidR="00C72997" w:rsidRPr="00DD477A">
        <w:rPr>
          <w:rFonts w:cs="Calibri"/>
        </w:rPr>
        <w:t> </w:t>
      </w:r>
      <w:r w:rsidRPr="00DD477A">
        <w:rPr>
          <w:rFonts w:cs="Calibri"/>
        </w:rPr>
        <w:t>financial statements.</w:t>
      </w:r>
    </w:p>
    <w:p w14:paraId="48C67311" w14:textId="58A6B4F5" w:rsidR="00FA0945" w:rsidRPr="00DD477A" w:rsidRDefault="53BF0693" w:rsidP="000A7DEC">
      <w:pPr>
        <w:rPr>
          <w:rFonts w:cs="Calibri"/>
        </w:rPr>
      </w:pPr>
      <w:r w:rsidRPr="00DD477A">
        <w:rPr>
          <w:rFonts w:cs="Calibri"/>
        </w:rPr>
        <w:t xml:space="preserve">Entities </w:t>
      </w:r>
      <w:r w:rsidR="00507A76" w:rsidRPr="00DD477A">
        <w:rPr>
          <w:rFonts w:cs="Calibri"/>
        </w:rPr>
        <w:t>should</w:t>
      </w:r>
      <w:r w:rsidRPr="00DD477A">
        <w:rPr>
          <w:rFonts w:cs="Calibri"/>
        </w:rPr>
        <w:t xml:space="preserve"> refer to the </w:t>
      </w:r>
      <w:hyperlink r:id="rId161" w:history="1">
        <w:r w:rsidR="001A0595" w:rsidRPr="00DD477A">
          <w:rPr>
            <w:rStyle w:val="Hyperlink"/>
            <w:rFonts w:cs="Calibri"/>
          </w:rPr>
          <w:t>FRR</w:t>
        </w:r>
      </w:hyperlink>
      <w:r w:rsidR="001A0595" w:rsidRPr="00DD477A">
        <w:rPr>
          <w:rFonts w:cs="Calibri"/>
        </w:rPr>
        <w:t xml:space="preserve">, as well as </w:t>
      </w:r>
      <w:hyperlink r:id="rId162">
        <w:r w:rsidR="00D46118" w:rsidRPr="00DD477A">
          <w:rPr>
            <w:rStyle w:val="Hyperlink"/>
          </w:rPr>
          <w:t>RMG 125 and PRIMA</w:t>
        </w:r>
      </w:hyperlink>
      <w:r w:rsidR="00D46118" w:rsidRPr="00DD477A">
        <w:rPr>
          <w:rStyle w:val="Hyperlink"/>
        </w:rPr>
        <w:t xml:space="preserve"> Forms</w:t>
      </w:r>
      <w:r w:rsidRPr="00DD477A">
        <w:rPr>
          <w:rFonts w:cs="Calibri"/>
        </w:rPr>
        <w:t xml:space="preserve"> when preparing their </w:t>
      </w:r>
      <w:r w:rsidR="00FC637C" w:rsidRPr="00DD477A">
        <w:rPr>
          <w:rFonts w:cs="Calibri"/>
        </w:rPr>
        <w:t>b</w:t>
      </w:r>
      <w:r w:rsidR="004F7054" w:rsidRPr="00DD477A">
        <w:rPr>
          <w:rFonts w:cs="Calibri"/>
        </w:rPr>
        <w:t xml:space="preserve">udgeted </w:t>
      </w:r>
      <w:r w:rsidRPr="00DD477A">
        <w:rPr>
          <w:rFonts w:cs="Calibri"/>
        </w:rPr>
        <w:t>financial statements.</w:t>
      </w:r>
    </w:p>
    <w:p w14:paraId="00393842" w14:textId="3C0DBB2B" w:rsidR="00FA0945" w:rsidRPr="00DD477A" w:rsidRDefault="53BF0693" w:rsidP="00580008">
      <w:pPr>
        <w:pStyle w:val="Boxed2Text"/>
        <w:rPr>
          <w:rFonts w:cs="Calibri"/>
        </w:rPr>
      </w:pPr>
      <w:r w:rsidRPr="00DD477A">
        <w:rPr>
          <w:rFonts w:cs="Calibri"/>
        </w:rPr>
        <w:t xml:space="preserve">For administered financial statements, entities </w:t>
      </w:r>
      <w:r w:rsidR="00A720A4" w:rsidRPr="00DD477A">
        <w:rPr>
          <w:rFonts w:cs="Calibri"/>
        </w:rPr>
        <w:t xml:space="preserve">must </w:t>
      </w:r>
      <w:r w:rsidRPr="00DD477A">
        <w:rPr>
          <w:rFonts w:cs="Calibri"/>
        </w:rPr>
        <w:t xml:space="preserve">not report an administered appropriation receivable balance. This is consistent with </w:t>
      </w:r>
      <w:hyperlink r:id="rId163" w:history="1">
        <w:r w:rsidRPr="00DD477A">
          <w:rPr>
            <w:rStyle w:val="Hyperlink"/>
            <w:rFonts w:cs="Calibri"/>
          </w:rPr>
          <w:t xml:space="preserve">Division 4 of the </w:t>
        </w:r>
        <w:r w:rsidR="001A0595" w:rsidRPr="00DD477A">
          <w:rPr>
            <w:rStyle w:val="Hyperlink"/>
            <w:rFonts w:cs="Calibri"/>
          </w:rPr>
          <w:t>FRR</w:t>
        </w:r>
      </w:hyperlink>
      <w:r w:rsidRPr="00DD477A">
        <w:rPr>
          <w:rFonts w:cs="Calibri"/>
        </w:rPr>
        <w:t>.</w:t>
      </w:r>
    </w:p>
    <w:p w14:paraId="3704C37C" w14:textId="21F17DD7" w:rsidR="006541D7" w:rsidRPr="00DD477A" w:rsidRDefault="53BF0693" w:rsidP="00166A5E">
      <w:pPr>
        <w:pStyle w:val="Heading2"/>
      </w:pPr>
      <w:bookmarkStart w:id="1342" w:name="_Toc63347726"/>
      <w:bookmarkStart w:id="1343" w:name="_Toc160715590"/>
      <w:r w:rsidRPr="00DD477A">
        <w:t xml:space="preserve">Tables constituting the </w:t>
      </w:r>
      <w:r w:rsidR="00FC637C" w:rsidRPr="00DD477A">
        <w:t>b</w:t>
      </w:r>
      <w:r w:rsidR="0073175E" w:rsidRPr="00DD477A">
        <w:t xml:space="preserve">udgeted </w:t>
      </w:r>
      <w:r w:rsidRPr="00DD477A">
        <w:t xml:space="preserve">financial </w:t>
      </w:r>
      <w:bookmarkEnd w:id="1342"/>
      <w:r w:rsidR="0073175E" w:rsidRPr="00DD477A">
        <w:t>statements</w:t>
      </w:r>
      <w:bookmarkEnd w:id="1343"/>
    </w:p>
    <w:p w14:paraId="4CCC3F11" w14:textId="7B340E42" w:rsidR="006541D7" w:rsidRPr="00DD477A" w:rsidRDefault="53BF0693" w:rsidP="000A7DEC">
      <w:pPr>
        <w:rPr>
          <w:rFonts w:cs="Calibri"/>
        </w:rPr>
      </w:pPr>
      <w:r w:rsidRPr="00DD477A">
        <w:rPr>
          <w:rFonts w:cs="Calibri"/>
        </w:rPr>
        <w:t xml:space="preserve">The following tables form part of the </w:t>
      </w:r>
      <w:r w:rsidR="00FC637C" w:rsidRPr="00DD477A">
        <w:rPr>
          <w:rFonts w:cs="Calibri"/>
        </w:rPr>
        <w:t>b</w:t>
      </w:r>
      <w:r w:rsidR="0073175E" w:rsidRPr="00DD477A">
        <w:rPr>
          <w:rFonts w:cs="Calibri"/>
        </w:rPr>
        <w:t xml:space="preserve">udgeted </w:t>
      </w:r>
      <w:r w:rsidRPr="00DD477A">
        <w:rPr>
          <w:rFonts w:cs="Calibri"/>
        </w:rPr>
        <w:t>financial statements for both Departmental and Administered appropriations.</w:t>
      </w:r>
    </w:p>
    <w:p w14:paraId="529C52E8" w14:textId="77777777" w:rsidR="006541D7" w:rsidRPr="00DD477A" w:rsidRDefault="53BF0693" w:rsidP="53BF0693">
      <w:pPr>
        <w:rPr>
          <w:rFonts w:cs="Calibri"/>
          <w:u w:val="single"/>
        </w:rPr>
      </w:pPr>
      <w:r w:rsidRPr="00DD477A">
        <w:rPr>
          <w:rFonts w:cs="Calibri"/>
          <w:u w:val="single"/>
        </w:rPr>
        <w:t>Departmental</w:t>
      </w:r>
    </w:p>
    <w:p w14:paraId="52255F0E" w14:textId="77777777" w:rsidR="006541D7" w:rsidRPr="00DD477A" w:rsidRDefault="53BF0693" w:rsidP="00A85E0D">
      <w:pPr>
        <w:pStyle w:val="Bullet1"/>
        <w:tabs>
          <w:tab w:val="clear" w:pos="360"/>
        </w:tabs>
        <w:ind w:left="425" w:hanging="425"/>
      </w:pPr>
      <w:r w:rsidRPr="00DD477A">
        <w:t>Table 3.1: Comprehensive income statement (showing net cost of services) for the period ended 30 June</w:t>
      </w:r>
    </w:p>
    <w:p w14:paraId="7EBC6E94" w14:textId="77777777" w:rsidR="006541D7" w:rsidRPr="00DD477A" w:rsidRDefault="53BF0693" w:rsidP="00A85E0D">
      <w:pPr>
        <w:pStyle w:val="Bullet1"/>
        <w:tabs>
          <w:tab w:val="clear" w:pos="360"/>
        </w:tabs>
        <w:ind w:left="425" w:hanging="425"/>
      </w:pPr>
      <w:r w:rsidRPr="00DD477A">
        <w:t>Table 3.2: Budgeted departmental balance sheet (as at 30 June)</w:t>
      </w:r>
    </w:p>
    <w:p w14:paraId="1DEB2372" w14:textId="1343E214" w:rsidR="006541D7" w:rsidRPr="00DD477A" w:rsidRDefault="53BF0693" w:rsidP="00A85E0D">
      <w:pPr>
        <w:pStyle w:val="Bullet1"/>
        <w:tabs>
          <w:tab w:val="clear" w:pos="360"/>
        </w:tabs>
        <w:ind w:left="425" w:hanging="425"/>
      </w:pPr>
      <w:r w:rsidRPr="00DD477A">
        <w:t xml:space="preserve">Table 3.3: Departmental statement of changes in equity – summary of movement (Budget year </w:t>
      </w:r>
      <w:r w:rsidR="008C5C93" w:rsidRPr="00DD477A">
        <w:t>2024</w:t>
      </w:r>
      <w:r w:rsidR="008C5C93" w:rsidRPr="00DD477A">
        <w:noBreakHyphen/>
        <w:t>25</w:t>
      </w:r>
      <w:r w:rsidRPr="00DD477A">
        <w:t>)</w:t>
      </w:r>
    </w:p>
    <w:p w14:paraId="60BB93AB" w14:textId="77777777" w:rsidR="006541D7" w:rsidRPr="00DD477A" w:rsidRDefault="53BF0693" w:rsidP="00A85E0D">
      <w:pPr>
        <w:pStyle w:val="Bullet1"/>
        <w:tabs>
          <w:tab w:val="clear" w:pos="360"/>
        </w:tabs>
        <w:ind w:left="425" w:hanging="425"/>
      </w:pPr>
      <w:r w:rsidRPr="00DD477A">
        <w:t>Table 3.4: Budgeted departmental statement of cash flows (for the period ended 30 June)</w:t>
      </w:r>
    </w:p>
    <w:p w14:paraId="171CFD5C" w14:textId="77777777" w:rsidR="006541D7" w:rsidRPr="00DD477A" w:rsidRDefault="53BF0693" w:rsidP="00A85E0D">
      <w:pPr>
        <w:pStyle w:val="Bullet1"/>
        <w:tabs>
          <w:tab w:val="clear" w:pos="360"/>
        </w:tabs>
        <w:ind w:left="425" w:hanging="425"/>
      </w:pPr>
      <w:r w:rsidRPr="00DD477A">
        <w:t>Table 3.5: Departmental capital budget statement (for the period ended 30 June)</w:t>
      </w:r>
    </w:p>
    <w:p w14:paraId="4E307E06" w14:textId="2146FCFF" w:rsidR="006541D7" w:rsidRPr="00DD477A" w:rsidRDefault="53BF0693" w:rsidP="00A85E0D">
      <w:pPr>
        <w:pStyle w:val="Bullet1"/>
        <w:tabs>
          <w:tab w:val="clear" w:pos="360"/>
        </w:tabs>
        <w:ind w:left="425" w:hanging="425"/>
      </w:pPr>
      <w:r w:rsidRPr="00DD477A">
        <w:t xml:space="preserve">Table 3.6: Statement of departmental asset movements (Budget year </w:t>
      </w:r>
      <w:r w:rsidR="00B11749" w:rsidRPr="00DD477A">
        <w:t>202</w:t>
      </w:r>
      <w:r w:rsidR="008C5C93" w:rsidRPr="00DD477A">
        <w:t>4-</w:t>
      </w:r>
      <w:r w:rsidR="00B11749" w:rsidRPr="00DD477A">
        <w:t>2</w:t>
      </w:r>
      <w:r w:rsidR="008C5C93" w:rsidRPr="00DD477A">
        <w:t>5</w:t>
      </w:r>
      <w:r w:rsidRPr="00DD477A">
        <w:t>).</w:t>
      </w:r>
    </w:p>
    <w:p w14:paraId="355F9096" w14:textId="0F7B96F0" w:rsidR="006541D7" w:rsidRPr="00DD477A" w:rsidRDefault="53BF0693" w:rsidP="00A27DB6">
      <w:pPr>
        <w:suppressAutoHyphens w:val="0"/>
        <w:spacing w:before="0" w:after="120" w:line="440" w:lineRule="atLeast"/>
        <w:rPr>
          <w:rFonts w:cs="Calibri"/>
          <w:u w:val="single"/>
        </w:rPr>
      </w:pPr>
      <w:r w:rsidRPr="00DD477A">
        <w:rPr>
          <w:rFonts w:cs="Calibri"/>
          <w:u w:val="single"/>
        </w:rPr>
        <w:t>Administered (where applicable):</w:t>
      </w:r>
    </w:p>
    <w:p w14:paraId="2E3A8D41" w14:textId="77777777" w:rsidR="006541D7" w:rsidRPr="00DD477A" w:rsidRDefault="53BF0693" w:rsidP="00A85E0D">
      <w:pPr>
        <w:pStyle w:val="Bullet1"/>
        <w:tabs>
          <w:tab w:val="clear" w:pos="360"/>
        </w:tabs>
        <w:ind w:left="425" w:hanging="425"/>
      </w:pPr>
      <w:r w:rsidRPr="00DD477A">
        <w:t xml:space="preserve">Table 3.7: Schedule of budgeted income and expenses administered on behalf of </w:t>
      </w:r>
      <w:r w:rsidR="006418EA" w:rsidRPr="00DD477A">
        <w:t>government</w:t>
      </w:r>
      <w:r w:rsidRPr="00DD477A">
        <w:t xml:space="preserve"> (for the period ended 30 June)</w:t>
      </w:r>
    </w:p>
    <w:p w14:paraId="1749CA63" w14:textId="5682A2E3" w:rsidR="006541D7" w:rsidRPr="00DD477A" w:rsidRDefault="53BF0693" w:rsidP="00A85E0D">
      <w:pPr>
        <w:pStyle w:val="Bullet1"/>
        <w:tabs>
          <w:tab w:val="clear" w:pos="360"/>
        </w:tabs>
        <w:ind w:left="425" w:hanging="425"/>
      </w:pPr>
      <w:r w:rsidRPr="00DD477A">
        <w:t xml:space="preserve">Table 3.8: Schedule of budgeted assets and liabilities administered on behalf of </w:t>
      </w:r>
      <w:r w:rsidR="006418EA" w:rsidRPr="00DD477A">
        <w:t>government</w:t>
      </w:r>
      <w:r w:rsidRPr="00DD477A">
        <w:t xml:space="preserve"> (as at 30</w:t>
      </w:r>
      <w:r w:rsidR="008C5C93" w:rsidRPr="00DD477A">
        <w:t> </w:t>
      </w:r>
      <w:r w:rsidRPr="00DD477A">
        <w:t>June)</w:t>
      </w:r>
    </w:p>
    <w:p w14:paraId="04E5EE4B" w14:textId="77777777" w:rsidR="006541D7" w:rsidRPr="00DD477A" w:rsidRDefault="53BF0693" w:rsidP="00A85E0D">
      <w:pPr>
        <w:pStyle w:val="Bullet1"/>
        <w:tabs>
          <w:tab w:val="clear" w:pos="360"/>
        </w:tabs>
        <w:ind w:left="425" w:hanging="425"/>
      </w:pPr>
      <w:r w:rsidRPr="00DD477A">
        <w:t>Table 3.9: Schedule of budgeted administered cash flows (for the period ended 30 June)</w:t>
      </w:r>
    </w:p>
    <w:p w14:paraId="03F35AD0" w14:textId="77777777" w:rsidR="006541D7" w:rsidRPr="00DD477A" w:rsidRDefault="53BF0693" w:rsidP="00A85E0D">
      <w:pPr>
        <w:pStyle w:val="Bullet1"/>
        <w:tabs>
          <w:tab w:val="clear" w:pos="360"/>
        </w:tabs>
        <w:ind w:left="425" w:hanging="425"/>
      </w:pPr>
      <w:r w:rsidRPr="00DD477A">
        <w:lastRenderedPageBreak/>
        <w:t>Table 3.10: Schedule of administered capital budget statement (for the period ended 30 June)</w:t>
      </w:r>
    </w:p>
    <w:p w14:paraId="29EF8D71" w14:textId="2B5B443A" w:rsidR="006541D7" w:rsidRPr="00DD477A" w:rsidRDefault="53BF0693" w:rsidP="00A85E0D">
      <w:pPr>
        <w:pStyle w:val="Bullet1"/>
        <w:tabs>
          <w:tab w:val="clear" w:pos="360"/>
        </w:tabs>
        <w:ind w:left="425" w:hanging="425"/>
      </w:pPr>
      <w:r w:rsidRPr="00DD477A">
        <w:t xml:space="preserve">Table 3.11: Statement of administered asset movements (Budget year </w:t>
      </w:r>
      <w:r w:rsidR="008C5C93" w:rsidRPr="00DD477A">
        <w:t>2024</w:t>
      </w:r>
      <w:r w:rsidR="00B11749" w:rsidRPr="00DD477A">
        <w:t>-</w:t>
      </w:r>
      <w:r w:rsidR="008C5C93" w:rsidRPr="00DD477A">
        <w:t>25</w:t>
      </w:r>
      <w:r w:rsidRPr="00DD477A">
        <w:t>).</w:t>
      </w:r>
    </w:p>
    <w:p w14:paraId="66120483" w14:textId="72551C1D" w:rsidR="00FA0945" w:rsidRPr="00DD477A" w:rsidRDefault="001F5E0A" w:rsidP="00580008">
      <w:pPr>
        <w:pStyle w:val="Boxed2Text"/>
        <w:rPr>
          <w:rFonts w:cs="Calibri"/>
        </w:rPr>
      </w:pPr>
      <w:r w:rsidRPr="00DD477A">
        <w:rPr>
          <w:rFonts w:cs="Calibri"/>
        </w:rPr>
        <w:t>E</w:t>
      </w:r>
      <w:r w:rsidR="53BF0693" w:rsidRPr="00DD477A">
        <w:rPr>
          <w:rFonts w:cs="Calibri"/>
        </w:rPr>
        <w:t>ntities</w:t>
      </w:r>
      <w:r w:rsidR="00A63EA2" w:rsidRPr="00DD477A">
        <w:rPr>
          <w:rFonts w:cs="Calibri"/>
        </w:rPr>
        <w:t xml:space="preserve"> must</w:t>
      </w:r>
      <w:r w:rsidR="53BF0693" w:rsidRPr="00DD477A">
        <w:rPr>
          <w:rFonts w:cs="Calibri"/>
        </w:rPr>
        <w:t xml:space="preserve"> maintain documentation to substantiate the basis of the estimates included in the PB</w:t>
      </w:r>
      <w:r w:rsidR="008C5C93" w:rsidRPr="00DD477A">
        <w:rPr>
          <w:rFonts w:cs="Calibri"/>
        </w:rPr>
        <w:t> </w:t>
      </w:r>
      <w:r w:rsidR="53BF0693" w:rsidRPr="00DD477A">
        <w:rPr>
          <w:rFonts w:cs="Calibri"/>
        </w:rPr>
        <w:t xml:space="preserve">Statements. </w:t>
      </w:r>
      <w:r w:rsidR="001C70EB" w:rsidRPr="00DD477A">
        <w:rPr>
          <w:rFonts w:cs="Calibri"/>
        </w:rPr>
        <w:t>D</w:t>
      </w:r>
      <w:r w:rsidR="53BF0693" w:rsidRPr="00DD477A">
        <w:rPr>
          <w:rFonts w:cs="Calibri"/>
        </w:rPr>
        <w:t xml:space="preserve">ocumentation </w:t>
      </w:r>
      <w:r w:rsidR="001C70EB" w:rsidRPr="00DD477A">
        <w:rPr>
          <w:rFonts w:cs="Calibri"/>
        </w:rPr>
        <w:t xml:space="preserve">could </w:t>
      </w:r>
      <w:r w:rsidR="53BF0693" w:rsidRPr="00DD477A">
        <w:rPr>
          <w:rFonts w:cs="Calibri"/>
        </w:rPr>
        <w:t xml:space="preserve">include </w:t>
      </w:r>
      <w:r w:rsidR="008C5C93" w:rsidRPr="00DD477A">
        <w:rPr>
          <w:rFonts w:cs="Calibri"/>
        </w:rPr>
        <w:t xml:space="preserve">costing agreements which are consistent with government decisions, </w:t>
      </w:r>
      <w:r w:rsidR="001C70EB" w:rsidRPr="00DD477A">
        <w:rPr>
          <w:rFonts w:cs="Calibri"/>
        </w:rPr>
        <w:t>CBMS </w:t>
      </w:r>
      <w:r w:rsidR="53BF0693" w:rsidRPr="00DD477A">
        <w:rPr>
          <w:rFonts w:cs="Calibri"/>
        </w:rPr>
        <w:t xml:space="preserve">reconciliations, CFO sign-offs and Budget allocation authority. </w:t>
      </w:r>
      <w:r w:rsidR="00060678" w:rsidRPr="00DD477A">
        <w:rPr>
          <w:rFonts w:cs="Calibri"/>
        </w:rPr>
        <w:t xml:space="preserve">It is also important </w:t>
      </w:r>
      <w:r w:rsidR="53BF0693" w:rsidRPr="00DD477A">
        <w:rPr>
          <w:rFonts w:cs="Calibri"/>
        </w:rPr>
        <w:t>that</w:t>
      </w:r>
      <w:r w:rsidR="00060678" w:rsidRPr="00DD477A">
        <w:rPr>
          <w:rFonts w:cs="Calibri"/>
        </w:rPr>
        <w:t xml:space="preserve"> numbers reported</w:t>
      </w:r>
      <w:r w:rsidR="53BF0693" w:rsidRPr="00DD477A">
        <w:rPr>
          <w:rFonts w:cs="Calibri"/>
        </w:rPr>
        <w:t xml:space="preserve"> </w:t>
      </w:r>
      <w:r w:rsidR="00060678" w:rsidRPr="00DD477A">
        <w:rPr>
          <w:rFonts w:cs="Calibri"/>
        </w:rPr>
        <w:t xml:space="preserve">in </w:t>
      </w:r>
      <w:r w:rsidR="53BF0693" w:rsidRPr="00DD477A">
        <w:rPr>
          <w:rFonts w:cs="Calibri"/>
        </w:rPr>
        <w:t>PB Statement</w:t>
      </w:r>
      <w:r w:rsidR="00060678" w:rsidRPr="00DD477A">
        <w:rPr>
          <w:rFonts w:cs="Calibri"/>
        </w:rPr>
        <w:t>s</w:t>
      </w:r>
      <w:r w:rsidR="53BF0693" w:rsidRPr="00DD477A">
        <w:rPr>
          <w:rFonts w:cs="Calibri"/>
        </w:rPr>
        <w:t xml:space="preserve"> reconcile with those in CBMS.</w:t>
      </w:r>
    </w:p>
    <w:p w14:paraId="4936B408" w14:textId="574A7CDE" w:rsidR="00FF5B29" w:rsidRPr="00DD477A" w:rsidRDefault="00C90222" w:rsidP="00A27DB6">
      <w:pPr>
        <w:rPr>
          <w:rFonts w:cs="Calibri"/>
        </w:rPr>
      </w:pPr>
      <w:r w:rsidRPr="00DD477A">
        <w:rPr>
          <w:rFonts w:cs="Calibri"/>
        </w:rPr>
        <w:t xml:space="preserve">Entities are reminded of </w:t>
      </w:r>
      <w:hyperlink r:id="rId164" w:history="1">
        <w:r w:rsidR="007D6AA1" w:rsidRPr="00DD477A">
          <w:rPr>
            <w:rStyle w:val="Hyperlink"/>
            <w:rFonts w:cs="Calibri"/>
          </w:rPr>
          <w:t xml:space="preserve">AASB 1055 </w:t>
        </w:r>
        <w:r w:rsidR="007D6AA1" w:rsidRPr="00DD477A">
          <w:rPr>
            <w:rStyle w:val="Hyperlink"/>
            <w:rFonts w:cs="Calibri"/>
            <w:i/>
            <w:iCs/>
          </w:rPr>
          <w:t>Budgetary Reporting</w:t>
        </w:r>
      </w:hyperlink>
      <w:r w:rsidR="00FA0945" w:rsidRPr="00DD477A">
        <w:rPr>
          <w:rFonts w:cs="Calibri"/>
        </w:rPr>
        <w:t xml:space="preserve"> requirements, refer to</w:t>
      </w:r>
      <w:r w:rsidRPr="00DD477A">
        <w:rPr>
          <w:rFonts w:cs="Calibri"/>
        </w:rPr>
        <w:t xml:space="preserve"> </w:t>
      </w:r>
      <w:r w:rsidR="00E01DF9" w:rsidRPr="00DD477A">
        <w:rPr>
          <w:rFonts w:cs="Calibri"/>
        </w:rPr>
        <w:t xml:space="preserve">above </w:t>
      </w:r>
      <w:r w:rsidR="005C16F9" w:rsidRPr="00DD477A">
        <w:rPr>
          <w:rFonts w:cs="Calibri"/>
        </w:rPr>
        <w:t>guidance</w:t>
      </w:r>
      <w:r w:rsidRPr="00DD477A">
        <w:rPr>
          <w:rStyle w:val="CrossReferenceChar"/>
        </w:rPr>
        <w:fldChar w:fldCharType="begin"/>
      </w:r>
      <w:r w:rsidRPr="00DD477A">
        <w:rPr>
          <w:rStyle w:val="CrossReferenceChar"/>
        </w:rPr>
        <w:instrText xml:space="preserve"> REF _Ref65232223 \w \h </w:instrText>
      </w:r>
      <w:r w:rsidR="003B47B3" w:rsidRPr="00DD477A">
        <w:rPr>
          <w:rStyle w:val="CrossReferenceChar"/>
        </w:rPr>
        <w:instrText xml:space="preserve"> \* MERGEFORMAT </w:instrText>
      </w:r>
      <w:r w:rsidRPr="00DD477A">
        <w:rPr>
          <w:rStyle w:val="CrossReferenceChar"/>
        </w:rPr>
      </w:r>
      <w:r w:rsidR="00000000">
        <w:rPr>
          <w:rStyle w:val="CrossReferenceChar"/>
        </w:rPr>
        <w:fldChar w:fldCharType="separate"/>
      </w:r>
      <w:r w:rsidRPr="00DD477A">
        <w:rPr>
          <w:rStyle w:val="CrossReferenceChar"/>
        </w:rPr>
        <w:fldChar w:fldCharType="end"/>
      </w:r>
      <w:r w:rsidRPr="00DD477A">
        <w:rPr>
          <w:rStyle w:val="CrossReferenceChar"/>
        </w:rPr>
        <w:fldChar w:fldCharType="begin"/>
      </w:r>
      <w:r w:rsidRPr="00DD477A">
        <w:rPr>
          <w:rStyle w:val="CrossReferenceChar"/>
        </w:rPr>
        <w:instrText xml:space="preserve"> REF _Ref65232223 \h </w:instrText>
      </w:r>
      <w:r w:rsidR="00334F8A" w:rsidRPr="00DD477A">
        <w:rPr>
          <w:rStyle w:val="CrossReferenceChar"/>
        </w:rPr>
        <w:instrText xml:space="preserve"> \* MERGEFORMAT </w:instrText>
      </w:r>
      <w:r w:rsidRPr="00DD477A">
        <w:rPr>
          <w:rStyle w:val="CrossReferenceChar"/>
        </w:rPr>
      </w:r>
      <w:r w:rsidR="00000000">
        <w:rPr>
          <w:rStyle w:val="CrossReferenceChar"/>
        </w:rPr>
        <w:fldChar w:fldCharType="separate"/>
      </w:r>
      <w:r w:rsidRPr="00DD477A">
        <w:rPr>
          <w:rStyle w:val="CrossReferenceChar"/>
        </w:rPr>
        <w:fldChar w:fldCharType="end"/>
      </w:r>
      <w:r w:rsidR="00F0763F" w:rsidRPr="00DD477A">
        <w:rPr>
          <w:rFonts w:cs="Calibri"/>
        </w:rPr>
        <w:t>.</w:t>
      </w:r>
      <w:r w:rsidR="00CE39BD" w:rsidRPr="00DD477A">
        <w:rPr>
          <w:rFonts w:cs="Calibri"/>
        </w:rPr>
        <w:t xml:space="preserve"> </w:t>
      </w:r>
    </w:p>
    <w:p w14:paraId="1A7E0582" w14:textId="380ED5F6" w:rsidR="006742B5" w:rsidRPr="00DD477A" w:rsidRDefault="53BF0693" w:rsidP="00166A5E">
      <w:pPr>
        <w:pStyle w:val="Heading2"/>
      </w:pPr>
      <w:bookmarkStart w:id="1344" w:name="_Toc160715591"/>
      <w:bookmarkStart w:id="1345" w:name="_Ref87952298"/>
      <w:bookmarkStart w:id="1346" w:name="_Ref87952308"/>
      <w:bookmarkStart w:id="1347" w:name="_Toc411852693"/>
      <w:bookmarkStart w:id="1348" w:name="_Toc534382574"/>
      <w:bookmarkStart w:id="1349" w:name="_Ref61531719"/>
      <w:bookmarkStart w:id="1350" w:name="_Toc63347728"/>
      <w:r w:rsidRPr="00DD477A">
        <w:t xml:space="preserve">Departmental </w:t>
      </w:r>
      <w:r w:rsidR="00B13ABF" w:rsidRPr="00DD477A">
        <w:t>f</w:t>
      </w:r>
      <w:r w:rsidR="00F40BC4" w:rsidRPr="00DD477A">
        <w:t xml:space="preserve">inancial </w:t>
      </w:r>
      <w:r w:rsidR="00B13ABF" w:rsidRPr="00DD477A">
        <w:t>statements</w:t>
      </w:r>
      <w:bookmarkEnd w:id="1344"/>
      <w:r w:rsidR="00F40BC4" w:rsidRPr="00DD477A">
        <w:t xml:space="preserve"> </w:t>
      </w:r>
    </w:p>
    <w:p w14:paraId="52A56F9F" w14:textId="2FB03CFA" w:rsidR="00FA0945" w:rsidRPr="00E70B8F" w:rsidRDefault="006742B5" w:rsidP="00166A5E">
      <w:pPr>
        <w:pStyle w:val="Heading3"/>
      </w:pPr>
      <w:bookmarkStart w:id="1351" w:name="_Toc160715592"/>
      <w:r w:rsidRPr="00E70B8F">
        <w:t>C</w:t>
      </w:r>
      <w:r w:rsidR="53BF0693" w:rsidRPr="00E70B8F">
        <w:t>omprehensive income statement (showing net cost of services)</w:t>
      </w:r>
      <w:bookmarkEnd w:id="1345"/>
      <w:bookmarkEnd w:id="1346"/>
      <w:bookmarkEnd w:id="1351"/>
      <w:r w:rsidR="53BF0693" w:rsidRPr="00E70B8F">
        <w:t xml:space="preserve"> </w:t>
      </w:r>
      <w:bookmarkEnd w:id="1347"/>
      <w:bookmarkEnd w:id="1348"/>
      <w:bookmarkEnd w:id="1349"/>
      <w:bookmarkEnd w:id="1350"/>
    </w:p>
    <w:p w14:paraId="0B26CAD5" w14:textId="6735DA31" w:rsidR="00837EE6" w:rsidRPr="00DD477A" w:rsidRDefault="00837EE6" w:rsidP="000A7DEC">
      <w:pPr>
        <w:rPr>
          <w:rFonts w:cs="Calibri"/>
        </w:rPr>
      </w:pPr>
      <w:r w:rsidRPr="00DD477A">
        <w:rPr>
          <w:rFonts w:eastAsia="Cambria" w:cs="Calibri"/>
          <w:noProof/>
        </w:rPr>
        <w:drawing>
          <wp:inline distT="0" distB="0" distL="0" distR="0" wp14:anchorId="180077B9" wp14:editId="2940F976">
            <wp:extent cx="5835650" cy="955170"/>
            <wp:effectExtent l="0" t="0" r="0" b="0"/>
            <wp:docPr id="1038218733" name="Diagram 10382187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5" r:lo="rId166" r:qs="rId167" r:cs="rId168"/>
              </a:graphicData>
            </a:graphic>
          </wp:inline>
        </w:drawing>
      </w:r>
    </w:p>
    <w:p w14:paraId="4157E17B" w14:textId="77777777" w:rsidR="00396F99" w:rsidRPr="00DD477A" w:rsidRDefault="53BF0693" w:rsidP="000A7DEC">
      <w:pPr>
        <w:rPr>
          <w:rFonts w:cs="Calibri"/>
        </w:rPr>
      </w:pPr>
      <w:r w:rsidRPr="00DD477A">
        <w:rPr>
          <w:rFonts w:cs="Calibri"/>
        </w:rPr>
        <w:t>This statement depicts the entity’s estimated income and expenses in relation to its departmental operations over the financial year.</w:t>
      </w:r>
    </w:p>
    <w:p w14:paraId="186BCECF" w14:textId="7F82CA99" w:rsidR="003B52E6" w:rsidRPr="00DD477A" w:rsidRDefault="00FC7F1D" w:rsidP="00CF6BE7">
      <w:pPr>
        <w:rPr>
          <w:rFonts w:cs="Calibri"/>
        </w:rPr>
      </w:pPr>
      <w:r w:rsidRPr="00DD477A">
        <w:rPr>
          <w:rFonts w:cs="Calibri"/>
        </w:rPr>
        <w:t>When</w:t>
      </w:r>
      <w:r w:rsidR="53BF0693" w:rsidRPr="00DD477A">
        <w:rPr>
          <w:rFonts w:cs="Calibri"/>
        </w:rPr>
        <w:t xml:space="preserve"> preparing the </w:t>
      </w:r>
      <w:r w:rsidR="007A6549" w:rsidRPr="00DD477A">
        <w:rPr>
          <w:rFonts w:cs="Calibri"/>
        </w:rPr>
        <w:t>note</w:t>
      </w:r>
      <w:r w:rsidR="53BF0693" w:rsidRPr="00DD477A">
        <w:rPr>
          <w:rFonts w:cs="Calibri"/>
        </w:rPr>
        <w:t xml:space="preserve"> </w:t>
      </w:r>
      <w:r w:rsidR="007A6549" w:rsidRPr="00DD477A">
        <w:rPr>
          <w:rFonts w:cs="Calibri"/>
        </w:rPr>
        <w:t>‘</w:t>
      </w:r>
      <w:r w:rsidR="53BF0693" w:rsidRPr="00DD477A">
        <w:rPr>
          <w:rFonts w:cs="Calibri"/>
        </w:rPr>
        <w:t>Impact of Net Cash Appropriation Arrangements</w:t>
      </w:r>
      <w:r w:rsidR="006714EB" w:rsidRPr="00DD477A">
        <w:rPr>
          <w:rFonts w:cs="Calibri"/>
        </w:rPr>
        <w:t>’</w:t>
      </w:r>
      <w:r w:rsidR="53BF0693" w:rsidRPr="00DD477A">
        <w:rPr>
          <w:rFonts w:cs="Calibri"/>
        </w:rPr>
        <w:t xml:space="preserve">, refer to </w:t>
      </w:r>
      <w:hyperlink r:id="rId170">
        <w:r w:rsidR="00633401" w:rsidRPr="00DD477A">
          <w:rPr>
            <w:rStyle w:val="Hyperlink"/>
          </w:rPr>
          <w:t>RMG 125</w:t>
        </w:r>
      </w:hyperlink>
      <w:r w:rsidR="53BF0693" w:rsidRPr="00DD477A">
        <w:rPr>
          <w:rFonts w:cs="Calibri"/>
        </w:rPr>
        <w:t xml:space="preserve"> from which figures should be shown in the </w:t>
      </w:r>
      <w:r w:rsidR="006714EB" w:rsidRPr="00DD477A">
        <w:rPr>
          <w:rFonts w:cs="Calibri"/>
        </w:rPr>
        <w:t>‘</w:t>
      </w:r>
      <w:r w:rsidR="53BF0693" w:rsidRPr="00DD477A">
        <w:rPr>
          <w:rFonts w:cs="Calibri"/>
        </w:rPr>
        <w:t>Depreciation/amortisation expenses previously funded through revenue appropriations</w:t>
      </w:r>
      <w:r w:rsidR="006714EB" w:rsidRPr="00DD477A">
        <w:rPr>
          <w:rFonts w:cs="Calibri"/>
        </w:rPr>
        <w:t>’</w:t>
      </w:r>
      <w:r w:rsidR="53BF0693" w:rsidRPr="00DD477A">
        <w:rPr>
          <w:rFonts w:cs="Calibri"/>
        </w:rPr>
        <w:t xml:space="preserve"> line.</w:t>
      </w:r>
      <w:bookmarkStart w:id="1352" w:name="_Toc411852694"/>
      <w:bookmarkStart w:id="1353" w:name="_Toc534382575"/>
      <w:bookmarkStart w:id="1354" w:name="_Toc63347729"/>
    </w:p>
    <w:p w14:paraId="7AE99F15" w14:textId="7CB7C0D4" w:rsidR="00FA0945" w:rsidRPr="00DD477A" w:rsidRDefault="53BF0693" w:rsidP="00166A5E">
      <w:pPr>
        <w:pStyle w:val="Heading3"/>
        <w:rPr>
          <w:rFonts w:eastAsiaTheme="minorEastAsia"/>
        </w:rPr>
      </w:pPr>
      <w:bookmarkStart w:id="1355" w:name="_Toc160715593"/>
      <w:r w:rsidRPr="00DD477A">
        <w:t>Budgeted departmental balance sheet</w:t>
      </w:r>
      <w:bookmarkEnd w:id="1352"/>
      <w:bookmarkEnd w:id="1353"/>
      <w:bookmarkEnd w:id="1354"/>
      <w:bookmarkEnd w:id="1355"/>
    </w:p>
    <w:p w14:paraId="271D4F30" w14:textId="065FD754" w:rsidR="002C70B4" w:rsidRPr="00DD477A" w:rsidRDefault="002C70B4" w:rsidP="000A7DEC">
      <w:pPr>
        <w:rPr>
          <w:rFonts w:cs="Calibri"/>
        </w:rPr>
      </w:pPr>
      <w:r w:rsidRPr="00DD477A">
        <w:rPr>
          <w:rFonts w:eastAsia="Cambria" w:cs="Calibri"/>
          <w:noProof/>
        </w:rPr>
        <w:drawing>
          <wp:inline distT="0" distB="0" distL="0" distR="0" wp14:anchorId="25D45363" wp14:editId="0FD22AF6">
            <wp:extent cx="5835650" cy="955170"/>
            <wp:effectExtent l="0" t="0" r="0" b="0"/>
            <wp:docPr id="1270060956" name="Diagram 12700609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1" r:lo="rId172" r:qs="rId173" r:cs="rId174"/>
              </a:graphicData>
            </a:graphic>
          </wp:inline>
        </w:drawing>
      </w:r>
    </w:p>
    <w:p w14:paraId="3B16A955" w14:textId="24715745" w:rsidR="00FA0945" w:rsidRPr="00DD477A" w:rsidRDefault="53BF0693" w:rsidP="000A7DEC">
      <w:pPr>
        <w:rPr>
          <w:rFonts w:cs="Calibri"/>
        </w:rPr>
      </w:pPr>
      <w:r w:rsidRPr="00DD477A">
        <w:rPr>
          <w:rFonts w:cs="Calibri"/>
        </w:rPr>
        <w:t>This statement depicts the entity’s estimated assets and liabilities in relation to its departmental operations at the end of the financial year.</w:t>
      </w:r>
    </w:p>
    <w:p w14:paraId="7A0BC73F" w14:textId="196BDEE1" w:rsidR="00FA0945" w:rsidRPr="00DD477A" w:rsidRDefault="53BF0693" w:rsidP="00166A5E">
      <w:pPr>
        <w:pStyle w:val="Heading3"/>
      </w:pPr>
      <w:bookmarkStart w:id="1356" w:name="_Toc411852695"/>
      <w:bookmarkStart w:id="1357" w:name="_Toc534382576"/>
      <w:bookmarkStart w:id="1358" w:name="_Toc63347730"/>
      <w:bookmarkStart w:id="1359" w:name="_Toc160715594"/>
      <w:r w:rsidRPr="00DD477A">
        <w:t>Departmental statement of changes in equity</w:t>
      </w:r>
      <w:bookmarkEnd w:id="1356"/>
      <w:bookmarkEnd w:id="1357"/>
      <w:bookmarkEnd w:id="1358"/>
      <w:bookmarkEnd w:id="1359"/>
    </w:p>
    <w:p w14:paraId="39E4A185" w14:textId="6A228C52" w:rsidR="00483F48" w:rsidRPr="00DD477A" w:rsidRDefault="00483F48" w:rsidP="000A7DEC">
      <w:pPr>
        <w:rPr>
          <w:rFonts w:cs="Calibri"/>
        </w:rPr>
      </w:pPr>
      <w:r w:rsidRPr="00DD477A">
        <w:rPr>
          <w:rFonts w:eastAsia="Cambria" w:cs="Calibri"/>
          <w:noProof/>
        </w:rPr>
        <w:drawing>
          <wp:inline distT="0" distB="0" distL="0" distR="0" wp14:anchorId="4A6E1D60" wp14:editId="03CC2143">
            <wp:extent cx="5835650" cy="955170"/>
            <wp:effectExtent l="0" t="0" r="0" b="0"/>
            <wp:docPr id="41637155" name="Diagram 416371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6" r:lo="rId177" r:qs="rId178" r:cs="rId179"/>
              </a:graphicData>
            </a:graphic>
          </wp:inline>
        </w:drawing>
      </w:r>
    </w:p>
    <w:p w14:paraId="454FCE4B" w14:textId="5ECC4C48" w:rsidR="00FA0945" w:rsidRPr="00DD477A" w:rsidRDefault="53BF0693" w:rsidP="000A7DEC">
      <w:pPr>
        <w:rPr>
          <w:rFonts w:cs="Calibri"/>
        </w:rPr>
      </w:pPr>
      <w:r w:rsidRPr="00DD477A">
        <w:rPr>
          <w:rFonts w:cs="Calibri"/>
        </w:rPr>
        <w:lastRenderedPageBreak/>
        <w:t>This statement depicts the forecast movement in the entity’s equity position over the financial year (i.e.</w:t>
      </w:r>
      <w:r w:rsidR="7AA82F52" w:rsidRPr="00DD477A">
        <w:rPr>
          <w:rFonts w:cs="Calibri"/>
        </w:rPr>
        <w:t>,</w:t>
      </w:r>
      <w:r w:rsidRPr="00DD477A">
        <w:rPr>
          <w:rFonts w:cs="Calibri"/>
        </w:rPr>
        <w:t xml:space="preserve"> the change in the </w:t>
      </w:r>
      <w:r w:rsidR="006418EA" w:rsidRPr="00DD477A">
        <w:rPr>
          <w:rFonts w:cs="Calibri"/>
        </w:rPr>
        <w:t>government</w:t>
      </w:r>
      <w:r w:rsidRPr="00DD477A">
        <w:rPr>
          <w:rFonts w:cs="Calibri"/>
        </w:rPr>
        <w:t>’s ownership interests in the entity).</w:t>
      </w:r>
    </w:p>
    <w:p w14:paraId="4AC2DB8F" w14:textId="40774D77" w:rsidR="00FA0945" w:rsidRPr="00DD477A" w:rsidRDefault="53BF0693" w:rsidP="00166A5E">
      <w:pPr>
        <w:pStyle w:val="Heading3"/>
      </w:pPr>
      <w:bookmarkStart w:id="1360" w:name="_Toc411852696"/>
      <w:bookmarkStart w:id="1361" w:name="_Toc534382577"/>
      <w:bookmarkStart w:id="1362" w:name="_Toc63347731"/>
      <w:bookmarkStart w:id="1363" w:name="_Toc160715595"/>
      <w:r w:rsidRPr="00DD477A">
        <w:t>Budgeted departmental statement of cash flows</w:t>
      </w:r>
      <w:bookmarkEnd w:id="1360"/>
      <w:bookmarkEnd w:id="1361"/>
      <w:bookmarkEnd w:id="1362"/>
      <w:bookmarkEnd w:id="1363"/>
    </w:p>
    <w:p w14:paraId="2047AD7A" w14:textId="50524FBF" w:rsidR="00024A49" w:rsidRPr="00DD477A" w:rsidRDefault="00024A49" w:rsidP="000A7DEC">
      <w:pPr>
        <w:rPr>
          <w:rFonts w:cs="Calibri"/>
        </w:rPr>
      </w:pPr>
      <w:r w:rsidRPr="00DD477A">
        <w:rPr>
          <w:rFonts w:eastAsia="Cambria" w:cs="Calibri"/>
          <w:noProof/>
        </w:rPr>
        <w:drawing>
          <wp:inline distT="0" distB="0" distL="0" distR="0" wp14:anchorId="00CA300D" wp14:editId="7B28ACE2">
            <wp:extent cx="5835650" cy="955170"/>
            <wp:effectExtent l="0" t="0" r="0" b="0"/>
            <wp:docPr id="1717426764" name="Diagram 171742676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1" r:lo="rId182" r:qs="rId183" r:cs="rId184"/>
              </a:graphicData>
            </a:graphic>
          </wp:inline>
        </w:drawing>
      </w:r>
    </w:p>
    <w:p w14:paraId="039EB4FC" w14:textId="77777777" w:rsidR="00FA0945" w:rsidRPr="00DD477A" w:rsidRDefault="53BF0693" w:rsidP="000A7DEC">
      <w:pPr>
        <w:rPr>
          <w:rFonts w:cs="Calibri"/>
        </w:rPr>
      </w:pPr>
      <w:r w:rsidRPr="00DD477A">
        <w:rPr>
          <w:rFonts w:cs="Calibri"/>
        </w:rPr>
        <w:t>This statement depicts the entity’s estimated cash flows over the financial year.</w:t>
      </w:r>
    </w:p>
    <w:p w14:paraId="701D486D" w14:textId="0D222DEC" w:rsidR="00FA0945" w:rsidRPr="00DD477A" w:rsidRDefault="53BF0693" w:rsidP="00166A5E">
      <w:pPr>
        <w:pStyle w:val="Heading3"/>
      </w:pPr>
      <w:bookmarkStart w:id="1364" w:name="_Toc534458900"/>
      <w:bookmarkStart w:id="1365" w:name="_Toc534459689"/>
      <w:bookmarkStart w:id="1366" w:name="_Toc534519186"/>
      <w:bookmarkStart w:id="1367" w:name="_Toc534520096"/>
      <w:bookmarkStart w:id="1368" w:name="_Toc534520366"/>
      <w:bookmarkStart w:id="1369" w:name="_Toc534527578"/>
      <w:bookmarkStart w:id="1370" w:name="_Toc534528308"/>
      <w:bookmarkStart w:id="1371" w:name="_Toc534803529"/>
      <w:bookmarkStart w:id="1372" w:name="_Toc534814220"/>
      <w:bookmarkStart w:id="1373" w:name="_Toc536108593"/>
      <w:bookmarkStart w:id="1374" w:name="_Toc536802138"/>
      <w:bookmarkStart w:id="1375" w:name="_Toc411852697"/>
      <w:bookmarkStart w:id="1376" w:name="_Toc534382578"/>
      <w:bookmarkStart w:id="1377" w:name="_Toc63347732"/>
      <w:bookmarkStart w:id="1378" w:name="_Toc160715596"/>
      <w:bookmarkStart w:id="1379" w:name="_Hlk158303834"/>
      <w:bookmarkEnd w:id="1364"/>
      <w:bookmarkEnd w:id="1365"/>
      <w:bookmarkEnd w:id="1366"/>
      <w:bookmarkEnd w:id="1367"/>
      <w:bookmarkEnd w:id="1368"/>
      <w:bookmarkEnd w:id="1369"/>
      <w:bookmarkEnd w:id="1370"/>
      <w:bookmarkEnd w:id="1371"/>
      <w:bookmarkEnd w:id="1372"/>
      <w:bookmarkEnd w:id="1373"/>
      <w:bookmarkEnd w:id="1374"/>
      <w:r w:rsidRPr="00DD477A">
        <w:t>Departmental capital budget statement</w:t>
      </w:r>
      <w:bookmarkEnd w:id="1375"/>
      <w:bookmarkEnd w:id="1376"/>
      <w:bookmarkEnd w:id="1377"/>
      <w:bookmarkEnd w:id="1378"/>
    </w:p>
    <w:bookmarkEnd w:id="1379"/>
    <w:p w14:paraId="5A750181" w14:textId="3DFEF7CF" w:rsidR="007B6808" w:rsidRPr="00DD477A" w:rsidRDefault="007B6808" w:rsidP="00580008">
      <w:pPr>
        <w:rPr>
          <w:rFonts w:cs="Calibri"/>
        </w:rPr>
      </w:pPr>
      <w:r w:rsidRPr="00DD477A">
        <w:rPr>
          <w:rFonts w:eastAsia="Cambria" w:cs="Calibri"/>
          <w:noProof/>
        </w:rPr>
        <w:drawing>
          <wp:inline distT="0" distB="0" distL="0" distR="0" wp14:anchorId="797588CD" wp14:editId="436CFAC7">
            <wp:extent cx="5835650" cy="955170"/>
            <wp:effectExtent l="0" t="0" r="0" b="0"/>
            <wp:docPr id="1891181504" name="Diagram 18911815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6" r:lo="rId187" r:qs="rId188" r:cs="rId189"/>
              </a:graphicData>
            </a:graphic>
          </wp:inline>
        </w:drawing>
      </w:r>
    </w:p>
    <w:p w14:paraId="291EBB42" w14:textId="4B09C776" w:rsidR="00FA0945" w:rsidRPr="00DD477A" w:rsidRDefault="53BF0693" w:rsidP="000A7DEC">
      <w:pPr>
        <w:rPr>
          <w:rFonts w:cs="Calibri"/>
        </w:rPr>
      </w:pPr>
      <w:r w:rsidRPr="00DD477A">
        <w:rPr>
          <w:rFonts w:cs="Calibri"/>
        </w:rPr>
        <w:t>This statement outlines the entity’s capital appropriations provided through Appropriation Bills (</w:t>
      </w:r>
      <w:r w:rsidR="001675A8" w:rsidRPr="00DD477A">
        <w:rPr>
          <w:rFonts w:cs="Calibri"/>
        </w:rPr>
        <w:t>No.</w:t>
      </w:r>
      <w:r w:rsidR="008A6209" w:rsidRPr="00DD477A">
        <w:rPr>
          <w:rFonts w:cs="Calibri"/>
        </w:rPr>
        <w:t xml:space="preserve"> </w:t>
      </w:r>
      <w:r w:rsidRPr="00DD477A">
        <w:rPr>
          <w:rFonts w:cs="Calibri"/>
        </w:rPr>
        <w:t xml:space="preserve">1 and 2) and the purpose for which </w:t>
      </w:r>
      <w:r w:rsidR="007E04DD" w:rsidRPr="00DD477A">
        <w:rPr>
          <w:rFonts w:cs="Calibri"/>
        </w:rPr>
        <w:t xml:space="preserve">the funds </w:t>
      </w:r>
      <w:r w:rsidRPr="00DD477A">
        <w:rPr>
          <w:rFonts w:cs="Calibri"/>
        </w:rPr>
        <w:t xml:space="preserve">were provided (either to purchase assets, or for </w:t>
      </w:r>
      <w:r w:rsidR="007E04DD" w:rsidRPr="00DD477A">
        <w:rPr>
          <w:rFonts w:cs="Calibri"/>
        </w:rPr>
        <w:t>other purposes such as discharging liabilities</w:t>
      </w:r>
      <w:r w:rsidRPr="00DD477A">
        <w:rPr>
          <w:rFonts w:cs="Calibri"/>
        </w:rPr>
        <w:t>), compared to their forecast capital expenditure.</w:t>
      </w:r>
    </w:p>
    <w:p w14:paraId="5347775A" w14:textId="04D0554A" w:rsidR="00FA0945" w:rsidRPr="00DD477A" w:rsidRDefault="53BF0693" w:rsidP="000A7DEC">
      <w:pPr>
        <w:rPr>
          <w:rFonts w:cs="Calibri"/>
        </w:rPr>
      </w:pPr>
      <w:r w:rsidRPr="00DD477A">
        <w:rPr>
          <w:rFonts w:cs="Calibri"/>
        </w:rPr>
        <w:t xml:space="preserve">Information to be included in the </w:t>
      </w:r>
      <w:r w:rsidR="006714EB" w:rsidRPr="00DD477A">
        <w:rPr>
          <w:rFonts w:cs="Calibri"/>
        </w:rPr>
        <w:t>‘</w:t>
      </w:r>
      <w:r w:rsidRPr="00DD477A">
        <w:rPr>
          <w:rFonts w:cs="Calibri"/>
        </w:rPr>
        <w:t>Reconciliation of cash used to acquire assets to Asset Movement Table</w:t>
      </w:r>
      <w:r w:rsidR="006714EB" w:rsidRPr="00DD477A">
        <w:rPr>
          <w:rFonts w:cs="Calibri"/>
        </w:rPr>
        <w:t>’</w:t>
      </w:r>
      <w:r w:rsidRPr="00DD477A">
        <w:rPr>
          <w:rFonts w:cs="Calibri"/>
        </w:rPr>
        <w:t xml:space="preserve"> should be sourced from the cash flow statement (Table 3.4) and the entity’s FMIS. </w:t>
      </w:r>
    </w:p>
    <w:p w14:paraId="77BA894A" w14:textId="78756F31" w:rsidR="00FA0945" w:rsidRPr="00DD477A" w:rsidRDefault="53BF0693" w:rsidP="00166A5E">
      <w:pPr>
        <w:pStyle w:val="Heading3"/>
      </w:pPr>
      <w:bookmarkStart w:id="1380" w:name="_Toc411852698"/>
      <w:bookmarkStart w:id="1381" w:name="_Toc534382579"/>
      <w:bookmarkStart w:id="1382" w:name="_Ref61531741"/>
      <w:bookmarkStart w:id="1383" w:name="_Ref61874726"/>
      <w:bookmarkStart w:id="1384" w:name="_Toc63347733"/>
      <w:bookmarkStart w:id="1385" w:name="_Toc160715597"/>
      <w:bookmarkStart w:id="1386" w:name="_Hlk158303937"/>
      <w:r w:rsidRPr="00DD477A">
        <w:t>Departmental statement of asset movements</w:t>
      </w:r>
      <w:bookmarkEnd w:id="1380"/>
      <w:bookmarkEnd w:id="1381"/>
      <w:bookmarkEnd w:id="1382"/>
      <w:bookmarkEnd w:id="1383"/>
      <w:bookmarkEnd w:id="1384"/>
      <w:bookmarkEnd w:id="1385"/>
    </w:p>
    <w:bookmarkEnd w:id="1386"/>
    <w:p w14:paraId="5220E1C0" w14:textId="66C90DD0" w:rsidR="00775773" w:rsidRPr="00DD477A" w:rsidRDefault="00775773" w:rsidP="000A7DEC">
      <w:pPr>
        <w:rPr>
          <w:rFonts w:cs="Calibri"/>
        </w:rPr>
      </w:pPr>
      <w:r w:rsidRPr="00DD477A">
        <w:rPr>
          <w:rFonts w:eastAsia="Cambria" w:cs="Calibri"/>
          <w:noProof/>
        </w:rPr>
        <w:drawing>
          <wp:inline distT="0" distB="0" distL="0" distR="0" wp14:anchorId="4A23C3DF" wp14:editId="1C9160A5">
            <wp:extent cx="5835650" cy="955170"/>
            <wp:effectExtent l="0" t="0" r="0" b="0"/>
            <wp:docPr id="714201418" name="Diagram 7142014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1" r:lo="rId192" r:qs="rId193" r:cs="rId194"/>
              </a:graphicData>
            </a:graphic>
          </wp:inline>
        </w:drawing>
      </w:r>
    </w:p>
    <w:p w14:paraId="74B87677" w14:textId="77777777" w:rsidR="00FA0945" w:rsidRPr="00DD477A" w:rsidRDefault="53BF0693" w:rsidP="000A7DEC">
      <w:pPr>
        <w:rPr>
          <w:rFonts w:cs="Calibri"/>
        </w:rPr>
      </w:pPr>
      <w:r w:rsidRPr="00DD477A">
        <w:rPr>
          <w:rFonts w:cs="Calibri"/>
        </w:rPr>
        <w:t xml:space="preserve">This statement outlines the movements in the entity’s asset holdings, such as the acquisition of new or replacement assets, disposals, revaluations or depreciation. </w:t>
      </w:r>
    </w:p>
    <w:p w14:paraId="63A5A4F8" w14:textId="073EB423" w:rsidR="006D1908" w:rsidRPr="00DD477A" w:rsidRDefault="6B6EE5C4" w:rsidP="000A7DEC">
      <w:pPr>
        <w:rPr>
          <w:rFonts w:cs="Calibri"/>
        </w:rPr>
      </w:pPr>
      <w:r w:rsidRPr="00DD477A">
        <w:rPr>
          <w:rFonts w:cs="Calibri"/>
        </w:rPr>
        <w:t xml:space="preserve">This </w:t>
      </w:r>
      <w:r w:rsidR="00D77823" w:rsidRPr="00DD477A">
        <w:rPr>
          <w:rFonts w:cs="Calibri"/>
        </w:rPr>
        <w:t xml:space="preserve">statement includes line </w:t>
      </w:r>
      <w:r w:rsidRPr="00DD477A">
        <w:rPr>
          <w:rFonts w:cs="Calibri"/>
        </w:rPr>
        <w:t xml:space="preserve">items dealing with </w:t>
      </w:r>
      <w:hyperlink r:id="rId196" w:history="1">
        <w:r w:rsidRPr="00DD477A">
          <w:rPr>
            <w:rStyle w:val="Hyperlink"/>
            <w:rFonts w:cs="Calibri"/>
          </w:rPr>
          <w:t xml:space="preserve">AASB 16 </w:t>
        </w:r>
        <w:r w:rsidRPr="00DD477A">
          <w:rPr>
            <w:rStyle w:val="Hyperlink"/>
            <w:rFonts w:cs="Calibri"/>
            <w:i/>
            <w:iCs/>
          </w:rPr>
          <w:t>Leases</w:t>
        </w:r>
      </w:hyperlink>
      <w:r w:rsidRPr="00DD477A">
        <w:rPr>
          <w:rFonts w:cs="Calibri"/>
        </w:rPr>
        <w:t xml:space="preserve"> (RoU Assets).</w:t>
      </w:r>
    </w:p>
    <w:p w14:paraId="6A23D48F" w14:textId="1113ADDE" w:rsidR="007B5CC5" w:rsidRPr="00DD477A" w:rsidRDefault="53BF0693" w:rsidP="000A7DEC">
      <w:pPr>
        <w:rPr>
          <w:rFonts w:cs="Calibri"/>
        </w:rPr>
      </w:pPr>
      <w:r w:rsidRPr="00DD477A">
        <w:rPr>
          <w:rFonts w:cs="Calibri"/>
        </w:rPr>
        <w:t xml:space="preserve">Information to be included in the </w:t>
      </w:r>
      <w:r w:rsidR="006714EB" w:rsidRPr="00DD477A">
        <w:rPr>
          <w:rFonts w:cs="Calibri"/>
        </w:rPr>
        <w:t>‘</w:t>
      </w:r>
      <w:r w:rsidRPr="00DD477A">
        <w:rPr>
          <w:rFonts w:cs="Calibri"/>
        </w:rPr>
        <w:t>Estimated expenditure on new or replacement assets</w:t>
      </w:r>
      <w:r w:rsidR="006714EB" w:rsidRPr="00DD477A">
        <w:rPr>
          <w:rFonts w:cs="Calibri"/>
        </w:rPr>
        <w:t>’</w:t>
      </w:r>
      <w:r w:rsidRPr="00DD477A">
        <w:rPr>
          <w:rFonts w:cs="Calibri"/>
        </w:rPr>
        <w:t xml:space="preserve"> should be consistent with information included in an entity’s Departmental Capital Management Plan and information contained in their FMIS.</w:t>
      </w:r>
      <w:bookmarkStart w:id="1387" w:name="_Toc411852699"/>
      <w:bookmarkStart w:id="1388" w:name="_Toc534382580"/>
    </w:p>
    <w:p w14:paraId="7B9E6616" w14:textId="3C834594" w:rsidR="00FA0945" w:rsidRPr="00DD477A" w:rsidRDefault="53BF0693" w:rsidP="00166A5E">
      <w:pPr>
        <w:pStyle w:val="Heading3"/>
      </w:pPr>
      <w:bookmarkStart w:id="1389" w:name="_Toc160715598"/>
      <w:bookmarkStart w:id="1390" w:name="_Toc63347734"/>
      <w:bookmarkStart w:id="1391" w:name="_Ref87952391"/>
      <w:bookmarkStart w:id="1392" w:name="_Ref109038689"/>
      <w:r w:rsidRPr="00DD477A">
        <w:lastRenderedPageBreak/>
        <w:t>Administered financial statements</w:t>
      </w:r>
      <w:bookmarkEnd w:id="1389"/>
      <w:r w:rsidRPr="00DD477A">
        <w:t xml:space="preserve"> </w:t>
      </w:r>
      <w:bookmarkEnd w:id="1387"/>
      <w:bookmarkEnd w:id="1388"/>
      <w:bookmarkEnd w:id="1390"/>
      <w:bookmarkEnd w:id="1391"/>
      <w:bookmarkEnd w:id="1392"/>
    </w:p>
    <w:p w14:paraId="7AEB1D28" w14:textId="4515EC9F" w:rsidR="002D3CBF" w:rsidRPr="00DD477A" w:rsidRDefault="002D3CBF" w:rsidP="000A7DEC">
      <w:pPr>
        <w:rPr>
          <w:rFonts w:cs="Calibri"/>
        </w:rPr>
      </w:pPr>
      <w:r w:rsidRPr="00DD477A">
        <w:rPr>
          <w:rFonts w:eastAsia="Cambria" w:cs="Calibri"/>
          <w:noProof/>
        </w:rPr>
        <w:drawing>
          <wp:inline distT="0" distB="0" distL="0" distR="0" wp14:anchorId="7523645A" wp14:editId="02FF89F1">
            <wp:extent cx="5835650" cy="955170"/>
            <wp:effectExtent l="0" t="0" r="0" b="0"/>
            <wp:docPr id="385445806" name="Diagram 3854458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7" r:lo="rId198" r:qs="rId199" r:cs="rId200"/>
              </a:graphicData>
            </a:graphic>
          </wp:inline>
        </w:drawing>
      </w:r>
    </w:p>
    <w:p w14:paraId="7353602C" w14:textId="469C827F" w:rsidR="00FA0945" w:rsidRPr="00DD477A" w:rsidRDefault="53BF0693" w:rsidP="000A7DEC">
      <w:pPr>
        <w:rPr>
          <w:rFonts w:cs="Calibri"/>
        </w:rPr>
      </w:pPr>
      <w:r w:rsidRPr="00DD477A">
        <w:rPr>
          <w:rFonts w:cs="Calibri"/>
        </w:rPr>
        <w:t xml:space="preserve">These statements describe the resources managed by the entity on behalf of the </w:t>
      </w:r>
      <w:r w:rsidR="007E04DD" w:rsidRPr="00DD477A">
        <w:rPr>
          <w:rFonts w:cs="Calibri"/>
        </w:rPr>
        <w:t xml:space="preserve">Government </w:t>
      </w:r>
      <w:r w:rsidRPr="00DD477A">
        <w:rPr>
          <w:rFonts w:cs="Calibri"/>
        </w:rPr>
        <w:t xml:space="preserve">and the public. </w:t>
      </w:r>
      <w:r w:rsidR="00BC41DF" w:rsidRPr="00DD477A">
        <w:rPr>
          <w:rFonts w:cs="Calibri"/>
        </w:rPr>
        <w:t xml:space="preserve">Please see the Finance guidance on the </w:t>
      </w:r>
      <w:r w:rsidR="00BC41DF" w:rsidRPr="00DD477A">
        <w:rPr>
          <w:rFonts w:cs="Calibri"/>
          <w:i/>
          <w:iCs/>
        </w:rPr>
        <w:t>Classification of Administered and Departmental Items</w:t>
      </w:r>
      <w:r w:rsidR="00BC41DF" w:rsidRPr="00DD477A">
        <w:rPr>
          <w:rFonts w:cs="Calibri"/>
        </w:rPr>
        <w:t xml:space="preserve"> or </w:t>
      </w:r>
      <w:hyperlink r:id="rId202" w:history="1">
        <w:r w:rsidR="00BC41DF" w:rsidRPr="00DD477A">
          <w:rPr>
            <w:rStyle w:val="Hyperlink"/>
            <w:rFonts w:cs="Calibri"/>
          </w:rPr>
          <w:t>RMG 125</w:t>
        </w:r>
      </w:hyperlink>
      <w:r w:rsidR="00BC41DF" w:rsidRPr="00DD477A">
        <w:rPr>
          <w:rFonts w:cs="Calibri"/>
        </w:rPr>
        <w:t xml:space="preserve"> for information on what is considered an administered activity.</w:t>
      </w:r>
    </w:p>
    <w:p w14:paraId="212E212D" w14:textId="739C93B3" w:rsidR="00BC41DF" w:rsidRPr="00DD477A" w:rsidRDefault="53BF0693" w:rsidP="00913329">
      <w:pPr>
        <w:rPr>
          <w:rFonts w:cs="Calibri"/>
        </w:rPr>
      </w:pPr>
      <w:r w:rsidRPr="00DD477A">
        <w:rPr>
          <w:rFonts w:cs="Calibri"/>
        </w:rPr>
        <w:t xml:space="preserve">The </w:t>
      </w:r>
      <w:r w:rsidR="006714EB" w:rsidRPr="00DD477A">
        <w:rPr>
          <w:rFonts w:cs="Calibri"/>
        </w:rPr>
        <w:t>‘</w:t>
      </w:r>
      <w:r w:rsidR="00A11D89" w:rsidRPr="00DD477A">
        <w:rPr>
          <w:rFonts w:cs="Calibri"/>
        </w:rPr>
        <w:t>Net Cash Appropriation A</w:t>
      </w:r>
      <w:r w:rsidRPr="00DD477A">
        <w:rPr>
          <w:rFonts w:cs="Calibri"/>
        </w:rPr>
        <w:t>rrangements</w:t>
      </w:r>
      <w:r w:rsidR="006714EB" w:rsidRPr="00DD477A">
        <w:rPr>
          <w:rFonts w:cs="Calibri"/>
        </w:rPr>
        <w:t>’</w:t>
      </w:r>
      <w:r w:rsidRPr="00DD477A">
        <w:rPr>
          <w:rFonts w:cs="Calibri"/>
        </w:rPr>
        <w:t xml:space="preserve"> note does not apply to Table 3.7 Schedule of budgeted income and expenses administered on behalf of </w:t>
      </w:r>
      <w:r w:rsidR="006418EA" w:rsidRPr="00DD477A">
        <w:rPr>
          <w:rFonts w:cs="Calibri"/>
        </w:rPr>
        <w:t>government</w:t>
      </w:r>
      <w:r w:rsidRPr="00DD477A">
        <w:rPr>
          <w:rFonts w:cs="Calibri"/>
        </w:rPr>
        <w:t xml:space="preserve">, </w:t>
      </w:r>
      <w:r w:rsidR="0053783A" w:rsidRPr="00DD477A">
        <w:rPr>
          <w:rFonts w:cs="Calibri"/>
        </w:rPr>
        <w:t xml:space="preserve">regardless </w:t>
      </w:r>
      <w:r w:rsidR="008D58A7" w:rsidRPr="00DD477A">
        <w:rPr>
          <w:rFonts w:cs="Calibri"/>
        </w:rPr>
        <w:t>of</w:t>
      </w:r>
      <w:r w:rsidRPr="00DD477A">
        <w:rPr>
          <w:rFonts w:cs="Calibri"/>
        </w:rPr>
        <w:t xml:space="preserve"> it appear</w:t>
      </w:r>
      <w:r w:rsidR="008D58A7" w:rsidRPr="00DD477A">
        <w:rPr>
          <w:rFonts w:cs="Calibri"/>
        </w:rPr>
        <w:t>ing</w:t>
      </w:r>
      <w:r w:rsidRPr="00DD477A">
        <w:rPr>
          <w:rFonts w:cs="Calibri"/>
        </w:rPr>
        <w:t xml:space="preserve"> on the CBMS report.</w:t>
      </w:r>
    </w:p>
    <w:p w14:paraId="56357E94" w14:textId="6630DD5A" w:rsidR="007B19EC" w:rsidRPr="00DD477A" w:rsidRDefault="007B19EC" w:rsidP="00913329">
      <w:pPr>
        <w:rPr>
          <w:rFonts w:cs="Calibri"/>
        </w:rPr>
      </w:pPr>
      <w:r w:rsidRPr="00DD477A">
        <w:rPr>
          <w:rFonts w:cs="Calibri"/>
        </w:rPr>
        <w:br w:type="page"/>
      </w:r>
    </w:p>
    <w:p w14:paraId="7BE2DC8D" w14:textId="682838F0" w:rsidR="00FA0945" w:rsidRPr="00DD477A" w:rsidRDefault="53BF0693" w:rsidP="00E548A0">
      <w:pPr>
        <w:pStyle w:val="Heading1"/>
      </w:pPr>
      <w:bookmarkStart w:id="1393" w:name="_Toc160715599"/>
      <w:r w:rsidRPr="00DD477A">
        <w:lastRenderedPageBreak/>
        <w:t>Related issues</w:t>
      </w:r>
      <w:bookmarkStart w:id="1394" w:name="_Toc411852704"/>
      <w:bookmarkStart w:id="1395" w:name="_Toc534382581"/>
      <w:bookmarkStart w:id="1396" w:name="_Toc63347735"/>
      <w:bookmarkEnd w:id="1393"/>
      <w:bookmarkEnd w:id="1394"/>
      <w:bookmarkEnd w:id="1395"/>
      <w:bookmarkEnd w:id="1396"/>
    </w:p>
    <w:p w14:paraId="493415E4" w14:textId="0829A81C" w:rsidR="00FA0945" w:rsidRPr="00DD477A" w:rsidRDefault="53BF0693" w:rsidP="00E548A0">
      <w:pPr>
        <w:pStyle w:val="Heading2"/>
      </w:pPr>
      <w:bookmarkStart w:id="1397" w:name="_Machinery_of_Government"/>
      <w:bookmarkStart w:id="1398" w:name="_Toc411852705"/>
      <w:bookmarkStart w:id="1399" w:name="_Toc534382582"/>
      <w:bookmarkStart w:id="1400" w:name="_Ref29395814"/>
      <w:bookmarkStart w:id="1401" w:name="_Ref29395943"/>
      <w:bookmarkStart w:id="1402" w:name="_Ref29395998"/>
      <w:bookmarkStart w:id="1403" w:name="_Ref29396029"/>
      <w:bookmarkStart w:id="1404" w:name="_Ref29396037"/>
      <w:bookmarkStart w:id="1405" w:name="_Toc63347736"/>
      <w:bookmarkStart w:id="1406" w:name="_Ref126160338"/>
      <w:bookmarkStart w:id="1407" w:name="_Ref126160349"/>
      <w:bookmarkStart w:id="1408" w:name="_Ref126160363"/>
      <w:bookmarkStart w:id="1409" w:name="_Ref126160392"/>
      <w:bookmarkStart w:id="1410" w:name="_Ref126160397"/>
      <w:bookmarkStart w:id="1411" w:name="_Toc160715600"/>
      <w:bookmarkEnd w:id="1397"/>
      <w:r w:rsidRPr="00DD477A">
        <w:t xml:space="preserve">Machinery of </w:t>
      </w:r>
      <w:r w:rsidR="0048258F" w:rsidRPr="00DD477A">
        <w:t>g</w:t>
      </w:r>
      <w:r w:rsidRPr="00DD477A">
        <w:t>overnment changes</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14:paraId="6E38B1A7" w14:textId="4C9850DC" w:rsidR="00FA0945" w:rsidRPr="00DD477A" w:rsidRDefault="008E57D7" w:rsidP="000A7DEC">
      <w:pPr>
        <w:rPr>
          <w:rFonts w:cs="Calibri"/>
        </w:rPr>
      </w:pPr>
      <w:r w:rsidRPr="00DD477A">
        <w:rPr>
          <w:rFonts w:cs="Calibri"/>
        </w:rPr>
        <w:t>PGPA Act S</w:t>
      </w:r>
      <w:r w:rsidR="6B6EE5C4" w:rsidRPr="00DD477A">
        <w:rPr>
          <w:rFonts w:cs="Calibri"/>
        </w:rPr>
        <w:t xml:space="preserve">ection 75 </w:t>
      </w:r>
      <w:r w:rsidRPr="00DD477A">
        <w:rPr>
          <w:rFonts w:cs="Calibri"/>
        </w:rPr>
        <w:t>appropriation transfers</w:t>
      </w:r>
      <w:r w:rsidR="00FA5552" w:rsidRPr="00DD477A">
        <w:rPr>
          <w:rFonts w:cs="Calibri"/>
        </w:rPr>
        <w:t xml:space="preserve"> </w:t>
      </w:r>
      <w:r w:rsidR="00BC41DF" w:rsidRPr="00DD477A">
        <w:rPr>
          <w:rFonts w:cs="Calibri"/>
        </w:rPr>
        <w:t>made</w:t>
      </w:r>
      <w:r w:rsidR="00FA5552" w:rsidRPr="00DD477A">
        <w:rPr>
          <w:rFonts w:cs="Calibri"/>
        </w:rPr>
        <w:t xml:space="preserve"> due to</w:t>
      </w:r>
      <w:r w:rsidR="6B6EE5C4" w:rsidRPr="00DD477A">
        <w:rPr>
          <w:rFonts w:cs="Calibri"/>
        </w:rPr>
        <w:t xml:space="preserve"> MoG changes must be reported in PB Statements and/or PAES.</w:t>
      </w:r>
    </w:p>
    <w:p w14:paraId="221133A6" w14:textId="77777777" w:rsidR="007819C6" w:rsidRPr="00DD477A" w:rsidRDefault="007819C6" w:rsidP="007819C6">
      <w:pPr>
        <w:rPr>
          <w:rFonts w:cs="Calibri"/>
        </w:rPr>
      </w:pPr>
      <w:r w:rsidRPr="00DD477A">
        <w:rPr>
          <w:rFonts w:cs="Calibri"/>
        </w:rPr>
        <w:t xml:space="preserve">Affected entities should use explanatory footnotes to provide more detail and context wherever MoG changes apply. </w:t>
      </w:r>
    </w:p>
    <w:p w14:paraId="10044E1B" w14:textId="2EF72160" w:rsidR="00FA0945" w:rsidRPr="00DD477A" w:rsidRDefault="6B6EE5C4" w:rsidP="000A7DEC">
      <w:pPr>
        <w:rPr>
          <w:rFonts w:cs="Calibri"/>
        </w:rPr>
      </w:pPr>
      <w:r w:rsidRPr="00DD477A">
        <w:rPr>
          <w:rFonts w:cs="Calibri"/>
        </w:rPr>
        <w:t xml:space="preserve">Where </w:t>
      </w:r>
      <w:r w:rsidR="00A051C6" w:rsidRPr="00DD477A">
        <w:rPr>
          <w:rFonts w:cs="Calibri"/>
        </w:rPr>
        <w:t xml:space="preserve">entities are still awaiting </w:t>
      </w:r>
      <w:r w:rsidR="00BC41DF" w:rsidRPr="00DD477A">
        <w:rPr>
          <w:rFonts w:cs="Calibri"/>
        </w:rPr>
        <w:t xml:space="preserve">the Finance delegate’s sign off on the </w:t>
      </w:r>
      <w:r w:rsidRPr="00DD477A">
        <w:rPr>
          <w:rFonts w:cs="Calibri"/>
        </w:rPr>
        <w:t xml:space="preserve">section 75 transfers </w:t>
      </w:r>
      <w:r w:rsidR="006C3A1E" w:rsidRPr="00DD477A">
        <w:rPr>
          <w:rFonts w:cs="Calibri"/>
        </w:rPr>
        <w:t xml:space="preserve">at the time </w:t>
      </w:r>
      <w:r w:rsidR="00BC41DF" w:rsidRPr="00DD477A">
        <w:rPr>
          <w:rFonts w:cs="Calibri"/>
        </w:rPr>
        <w:t xml:space="preserve">the </w:t>
      </w:r>
      <w:r w:rsidRPr="00DD477A">
        <w:rPr>
          <w:rFonts w:cs="Calibri"/>
        </w:rPr>
        <w:t>PB Statements</w:t>
      </w:r>
      <w:r w:rsidR="00BC41DF" w:rsidRPr="00DD477A">
        <w:rPr>
          <w:rFonts w:cs="Calibri"/>
        </w:rPr>
        <w:t xml:space="preserve"> are being finalised</w:t>
      </w:r>
      <w:r w:rsidRPr="00DD477A">
        <w:rPr>
          <w:rFonts w:cs="Calibri"/>
        </w:rPr>
        <w:t xml:space="preserve">, </w:t>
      </w:r>
      <w:r w:rsidR="005F6763" w:rsidRPr="00DD477A">
        <w:rPr>
          <w:rFonts w:cs="Calibri"/>
        </w:rPr>
        <w:t>a</w:t>
      </w:r>
      <w:r w:rsidRPr="00DD477A">
        <w:rPr>
          <w:rFonts w:cs="Calibri"/>
        </w:rPr>
        <w:t xml:space="preserve"> note in their PB Statements </w:t>
      </w:r>
      <w:r w:rsidR="007819C6" w:rsidRPr="00DD477A">
        <w:rPr>
          <w:rFonts w:cs="Calibri"/>
        </w:rPr>
        <w:t xml:space="preserve">advising </w:t>
      </w:r>
      <w:r w:rsidRPr="00DD477A">
        <w:rPr>
          <w:rFonts w:cs="Calibri"/>
        </w:rPr>
        <w:t>that further details of MoG changes will be reported in the next budget statement (i.e. PAES).</w:t>
      </w:r>
    </w:p>
    <w:p w14:paraId="5E5EF01F" w14:textId="38926EA5" w:rsidR="00FA0945" w:rsidRPr="00DD477A" w:rsidRDefault="6B6EE5C4" w:rsidP="000A7DEC">
      <w:pPr>
        <w:rPr>
          <w:rFonts w:cs="Calibri"/>
        </w:rPr>
      </w:pPr>
      <w:r w:rsidRPr="00DD477A">
        <w:rPr>
          <w:rFonts w:cs="Calibri"/>
        </w:rPr>
        <w:t xml:space="preserve">Further </w:t>
      </w:r>
      <w:r w:rsidR="007914A0" w:rsidRPr="00DD477A">
        <w:t xml:space="preserve">information </w:t>
      </w:r>
      <w:r w:rsidRPr="00DD477A">
        <w:rPr>
          <w:rFonts w:cs="Calibri"/>
        </w:rPr>
        <w:t xml:space="preserve">can be found on the </w:t>
      </w:r>
      <w:r w:rsidR="00E26986" w:rsidRPr="00DD477A">
        <w:rPr>
          <w:rFonts w:cs="Calibri"/>
        </w:rPr>
        <w:t>Finance’s</w:t>
      </w:r>
      <w:r w:rsidRPr="00DD477A">
        <w:rPr>
          <w:rFonts w:cs="Calibri"/>
        </w:rPr>
        <w:t xml:space="preserve"> </w:t>
      </w:r>
      <w:hyperlink r:id="rId203" w:history="1">
        <w:r w:rsidR="007914A0" w:rsidRPr="00DD477A">
          <w:rPr>
            <w:rStyle w:val="Hyperlink"/>
          </w:rPr>
          <w:t>MoG webpage</w:t>
        </w:r>
      </w:hyperlink>
      <w:r w:rsidR="007914A0" w:rsidRPr="00DD477A">
        <w:rPr>
          <w:rFonts w:cs="Calibri"/>
        </w:rPr>
        <w:t xml:space="preserve">, </w:t>
      </w:r>
      <w:hyperlink r:id="rId204" w:history="1">
        <w:r w:rsidR="00C31383" w:rsidRPr="00DD477A">
          <w:rPr>
            <w:rStyle w:val="Hyperlink"/>
          </w:rPr>
          <w:t>Accounting for machinery of government changes (RMG 118)</w:t>
        </w:r>
      </w:hyperlink>
      <w:r w:rsidR="007914A0" w:rsidRPr="00DD477A">
        <w:rPr>
          <w:rFonts w:cs="Calibri"/>
        </w:rPr>
        <w:t xml:space="preserve"> and </w:t>
      </w:r>
      <w:hyperlink r:id="rId205" w:history="1">
        <w:r w:rsidR="005A4F0B" w:rsidRPr="00DD477A">
          <w:rPr>
            <w:rStyle w:val="Hyperlink"/>
          </w:rPr>
          <w:t>Reporting requirements following machinery of government changes (RMG 119)</w:t>
        </w:r>
      </w:hyperlink>
      <w:r w:rsidR="007914A0" w:rsidRPr="00DD477A">
        <w:rPr>
          <w:rFonts w:cs="Calibri"/>
        </w:rPr>
        <w:t>.</w:t>
      </w:r>
    </w:p>
    <w:p w14:paraId="7B2ECB1F" w14:textId="402580E2" w:rsidR="00FA0945" w:rsidRPr="00DD477A" w:rsidRDefault="53BF0693" w:rsidP="00E548A0">
      <w:pPr>
        <w:pStyle w:val="Heading2"/>
      </w:pPr>
      <w:bookmarkStart w:id="1412" w:name="_Toc63347737"/>
      <w:bookmarkStart w:id="1413" w:name="_Toc160715601"/>
      <w:r w:rsidRPr="00DD477A">
        <w:t>Entity resource statement (Table 1.1)</w:t>
      </w:r>
      <w:bookmarkEnd w:id="1412"/>
      <w:bookmarkEnd w:id="1413"/>
    </w:p>
    <w:p w14:paraId="4D3359C0" w14:textId="732E2377" w:rsidR="00FA0945" w:rsidRPr="00DD477A" w:rsidRDefault="00ED5839" w:rsidP="000A7DEC">
      <w:pPr>
        <w:rPr>
          <w:rFonts w:cs="Calibri"/>
        </w:rPr>
      </w:pPr>
      <w:r w:rsidRPr="00DD477A">
        <w:rPr>
          <w:rFonts w:cs="Calibri"/>
        </w:rPr>
        <w:t>F</w:t>
      </w:r>
      <w:r w:rsidR="53BF0693" w:rsidRPr="00DD477A">
        <w:rPr>
          <w:rFonts w:cs="Calibri"/>
        </w:rPr>
        <w:t>ootnote</w:t>
      </w:r>
      <w:r w:rsidRPr="00DD477A">
        <w:rPr>
          <w:rFonts w:cs="Calibri"/>
        </w:rPr>
        <w:t>s to the</w:t>
      </w:r>
      <w:r w:rsidR="53BF0693" w:rsidRPr="00DD477A">
        <w:rPr>
          <w:rFonts w:cs="Calibri"/>
        </w:rPr>
        <w:t xml:space="preserve"> </w:t>
      </w:r>
      <w:r w:rsidRPr="00DD477A">
        <w:rPr>
          <w:rFonts w:cs="Calibri"/>
        </w:rPr>
        <w:t xml:space="preserve">Entity resource statement </w:t>
      </w:r>
      <w:r w:rsidR="53BF0693" w:rsidRPr="00DD477A">
        <w:rPr>
          <w:rFonts w:cs="Calibri"/>
        </w:rPr>
        <w:t>for each affected entity</w:t>
      </w:r>
      <w:r w:rsidR="00735E37" w:rsidRPr="00DD477A">
        <w:rPr>
          <w:rFonts w:cs="Calibri"/>
        </w:rPr>
        <w:t xml:space="preserve"> detail</w:t>
      </w:r>
      <w:r w:rsidR="53BF0693" w:rsidRPr="00DD477A">
        <w:rPr>
          <w:rFonts w:cs="Calibri"/>
        </w:rPr>
        <w:t xml:space="preserve"> the </w:t>
      </w:r>
      <w:r w:rsidR="00735E37" w:rsidRPr="00DD477A">
        <w:rPr>
          <w:rFonts w:cs="Calibri"/>
        </w:rPr>
        <w:t>flow</w:t>
      </w:r>
      <w:r w:rsidR="000B7E42" w:rsidRPr="00DD477A">
        <w:rPr>
          <w:rFonts w:cs="Calibri"/>
        </w:rPr>
        <w:t xml:space="preserve"> and impact of the </w:t>
      </w:r>
      <w:r w:rsidR="00DC73F9" w:rsidRPr="00DD477A">
        <w:rPr>
          <w:rFonts w:cs="Calibri"/>
        </w:rPr>
        <w:t xml:space="preserve">transfer of functions and associated </w:t>
      </w:r>
      <w:r w:rsidR="53BF0693" w:rsidRPr="00DD477A">
        <w:rPr>
          <w:rFonts w:cs="Calibri"/>
        </w:rPr>
        <w:t>resourcing</w:t>
      </w:r>
      <w:r w:rsidR="00930FBD" w:rsidRPr="00DD477A">
        <w:rPr>
          <w:rFonts w:cs="Calibri"/>
        </w:rPr>
        <w:t xml:space="preserve"> as a result of MoG </w:t>
      </w:r>
      <w:r w:rsidR="00BB6F9C" w:rsidRPr="00DD477A">
        <w:rPr>
          <w:rFonts w:cs="Calibri"/>
        </w:rPr>
        <w:t>decisions</w:t>
      </w:r>
      <w:r w:rsidR="00DC73F9" w:rsidRPr="00DD477A">
        <w:rPr>
          <w:rFonts w:cs="Calibri"/>
        </w:rPr>
        <w:t>.</w:t>
      </w:r>
      <w:r w:rsidR="53BF0693" w:rsidRPr="00DD477A">
        <w:rPr>
          <w:rFonts w:cs="Calibri"/>
        </w:rPr>
        <w:t xml:space="preserve"> </w:t>
      </w:r>
    </w:p>
    <w:p w14:paraId="4606ED65" w14:textId="217E786C" w:rsidR="00FA0945" w:rsidRPr="00DD477A" w:rsidRDefault="53BF0693" w:rsidP="000A7DEC">
      <w:pPr>
        <w:rPr>
          <w:rFonts w:cs="Calibri"/>
        </w:rPr>
      </w:pPr>
      <w:r w:rsidRPr="00DD477A">
        <w:rPr>
          <w:rFonts w:cs="Calibri"/>
        </w:rPr>
        <w:t xml:space="preserve">The Third </w:t>
      </w:r>
      <w:r w:rsidR="00E071D4" w:rsidRPr="00DD477A">
        <w:rPr>
          <w:rFonts w:cs="Calibri"/>
        </w:rPr>
        <w:t xml:space="preserve">party </w:t>
      </w:r>
      <w:r w:rsidRPr="00DD477A">
        <w:rPr>
          <w:rFonts w:cs="Calibri"/>
        </w:rPr>
        <w:t>payments section should also reflect functions transferred between portfolios</w:t>
      </w:r>
      <w:r w:rsidR="00F43B50" w:rsidRPr="00DD477A">
        <w:rPr>
          <w:rFonts w:cs="Calibri"/>
        </w:rPr>
        <w:t>, in</w:t>
      </w:r>
      <w:r w:rsidR="00311A4C" w:rsidRPr="00DD477A">
        <w:rPr>
          <w:rFonts w:cs="Calibri"/>
        </w:rPr>
        <w:t xml:space="preserve">cluding </w:t>
      </w:r>
      <w:r w:rsidRPr="00DD477A">
        <w:rPr>
          <w:rFonts w:cs="Calibri"/>
        </w:rPr>
        <w:t xml:space="preserve"> a footnote de</w:t>
      </w:r>
      <w:r w:rsidR="0041491F" w:rsidRPr="00DD477A">
        <w:rPr>
          <w:rFonts w:cs="Calibri"/>
        </w:rPr>
        <w:t>tailing</w:t>
      </w:r>
      <w:r w:rsidRPr="00DD477A">
        <w:rPr>
          <w:rFonts w:cs="Calibri"/>
        </w:rPr>
        <w:t xml:space="preserve"> the changes and the amounts transferred.</w:t>
      </w:r>
    </w:p>
    <w:p w14:paraId="12CE22F2" w14:textId="0BDE9503" w:rsidR="00FA0945" w:rsidRPr="00DD477A" w:rsidRDefault="00282B62" w:rsidP="00E548A0">
      <w:pPr>
        <w:pStyle w:val="Heading2"/>
      </w:pPr>
      <w:bookmarkStart w:id="1414" w:name="_Toc160715602"/>
      <w:r w:rsidRPr="00DD477A">
        <w:t xml:space="preserve">Receiving </w:t>
      </w:r>
      <w:r w:rsidR="53BF0693" w:rsidRPr="00DD477A">
        <w:t>entities</w:t>
      </w:r>
      <w:bookmarkEnd w:id="1414"/>
    </w:p>
    <w:p w14:paraId="091F5CEF" w14:textId="1E5AF3A9" w:rsidR="00FA0945" w:rsidRPr="00DD477A" w:rsidRDefault="0020174E" w:rsidP="000A7DEC">
      <w:pPr>
        <w:rPr>
          <w:rFonts w:cs="Calibri"/>
        </w:rPr>
      </w:pPr>
      <w:r w:rsidRPr="00DD477A">
        <w:rPr>
          <w:rFonts w:cs="Calibri"/>
        </w:rPr>
        <w:t>E</w:t>
      </w:r>
      <w:r w:rsidR="6B6EE5C4" w:rsidRPr="00DD477A">
        <w:rPr>
          <w:rFonts w:cs="Calibri"/>
        </w:rPr>
        <w:t xml:space="preserve">ntities that </w:t>
      </w:r>
      <w:r w:rsidR="00282B62" w:rsidRPr="00DD477A">
        <w:rPr>
          <w:rFonts w:cs="Calibri"/>
        </w:rPr>
        <w:t xml:space="preserve">receive </w:t>
      </w:r>
      <w:r w:rsidR="6B6EE5C4" w:rsidRPr="00DD477A">
        <w:rPr>
          <w:rFonts w:cs="Calibri"/>
        </w:rPr>
        <w:t xml:space="preserve">functions </w:t>
      </w:r>
      <w:r w:rsidR="00F24ABB" w:rsidRPr="00DD477A">
        <w:rPr>
          <w:rFonts w:cs="Calibri"/>
        </w:rPr>
        <w:t>through</w:t>
      </w:r>
      <w:r w:rsidR="6B6EE5C4" w:rsidRPr="00DD477A">
        <w:rPr>
          <w:rFonts w:cs="Calibri"/>
        </w:rPr>
        <w:t xml:space="preserve"> MoG</w:t>
      </w:r>
      <w:r w:rsidR="003F1D73" w:rsidRPr="00DD477A">
        <w:rPr>
          <w:rFonts w:cs="Calibri"/>
        </w:rPr>
        <w:t xml:space="preserve"> change</w:t>
      </w:r>
      <w:r w:rsidR="6B6EE5C4" w:rsidRPr="00DD477A">
        <w:rPr>
          <w:rFonts w:cs="Calibri"/>
        </w:rPr>
        <w:t>s</w:t>
      </w:r>
      <w:r w:rsidR="009C4BE3" w:rsidRPr="00DD477A">
        <w:rPr>
          <w:rFonts w:cs="Calibri"/>
        </w:rPr>
        <w:t xml:space="preserve"> </w:t>
      </w:r>
      <w:r w:rsidR="00577B7A" w:rsidRPr="00DD477A">
        <w:rPr>
          <w:rFonts w:cs="Calibri"/>
        </w:rPr>
        <w:t>should</w:t>
      </w:r>
      <w:r w:rsidR="00B37DFC" w:rsidRPr="00DD477A">
        <w:rPr>
          <w:rFonts w:cs="Calibri"/>
        </w:rPr>
        <w:t xml:space="preserve"> </w:t>
      </w:r>
      <w:r w:rsidR="000D5624" w:rsidRPr="00DD477A">
        <w:rPr>
          <w:rFonts w:cs="Calibri"/>
        </w:rPr>
        <w:t>report</w:t>
      </w:r>
      <w:r w:rsidR="009C4BE3" w:rsidRPr="00DD477A">
        <w:rPr>
          <w:rFonts w:cs="Calibri"/>
        </w:rPr>
        <w:t>:</w:t>
      </w:r>
    </w:p>
    <w:p w14:paraId="133CE716" w14:textId="26C760CA" w:rsidR="00FA0945" w:rsidRPr="00DD477A" w:rsidRDefault="00BC41DF" w:rsidP="00A85E0D">
      <w:pPr>
        <w:pStyle w:val="Bullet1"/>
        <w:tabs>
          <w:tab w:val="clear" w:pos="360"/>
        </w:tabs>
        <w:ind w:left="425" w:hanging="425"/>
      </w:pPr>
      <w:r w:rsidRPr="00DD477A">
        <w:t>t</w:t>
      </w:r>
      <w:r w:rsidR="53BF0693" w:rsidRPr="00DD477A">
        <w:t xml:space="preserve">he </w:t>
      </w:r>
      <w:r w:rsidR="00577B7A" w:rsidRPr="00DD477A">
        <w:t xml:space="preserve">associated resourcing </w:t>
      </w:r>
      <w:r w:rsidR="00C079E1" w:rsidRPr="00DD477A">
        <w:t xml:space="preserve">in the </w:t>
      </w:r>
      <w:r w:rsidR="00B11749" w:rsidRPr="00DD477A">
        <w:rPr>
          <w:b/>
          <w:bCs/>
        </w:rPr>
        <w:t>202</w:t>
      </w:r>
      <w:r w:rsidR="007D38D8" w:rsidRPr="00DD477A">
        <w:rPr>
          <w:b/>
          <w:bCs/>
        </w:rPr>
        <w:t>3</w:t>
      </w:r>
      <w:r w:rsidR="00B11749" w:rsidRPr="00DD477A">
        <w:rPr>
          <w:b/>
          <w:bCs/>
        </w:rPr>
        <w:t>-2</w:t>
      </w:r>
      <w:r w:rsidR="007D38D8" w:rsidRPr="00DD477A">
        <w:rPr>
          <w:b/>
          <w:bCs/>
        </w:rPr>
        <w:t>4</w:t>
      </w:r>
      <w:r w:rsidR="008E1BDD" w:rsidRPr="00DD477A">
        <w:rPr>
          <w:b/>
          <w:bCs/>
        </w:rPr>
        <w:t xml:space="preserve"> </w:t>
      </w:r>
      <w:r w:rsidR="53BF0693" w:rsidRPr="00DD477A">
        <w:rPr>
          <w:b/>
          <w:bCs/>
        </w:rPr>
        <w:t>Actual</w:t>
      </w:r>
      <w:r w:rsidR="53BF0693" w:rsidRPr="00DD477A">
        <w:t xml:space="preserve"> column </w:t>
      </w:r>
      <w:r w:rsidR="00E86FFC" w:rsidRPr="00DD477A">
        <w:t xml:space="preserve">as </w:t>
      </w:r>
      <w:r w:rsidR="00F37308" w:rsidRPr="00DD477A">
        <w:t>this figure</w:t>
      </w:r>
      <w:r w:rsidR="53BF0693" w:rsidRPr="00DD477A">
        <w:t xml:space="preserve"> reflect</w:t>
      </w:r>
      <w:r w:rsidR="00F37308" w:rsidRPr="00DD477A">
        <w:t>s</w:t>
      </w:r>
      <w:r w:rsidR="53BF0693" w:rsidRPr="00DD477A">
        <w:t xml:space="preserve"> all resources available to the entity</w:t>
      </w:r>
      <w:r w:rsidR="00EF27CC" w:rsidRPr="00DD477A">
        <w:t>.</w:t>
      </w:r>
    </w:p>
    <w:p w14:paraId="2279FB8E" w14:textId="5A107BEB" w:rsidR="00FA0945" w:rsidRPr="00DD477A" w:rsidRDefault="00CB36FC" w:rsidP="00282B62">
      <w:pPr>
        <w:pStyle w:val="Bullet2"/>
      </w:pPr>
      <w:r w:rsidRPr="00DD477A">
        <w:t>those resources available from the agreed date of effect of the MoG changes onwards</w:t>
      </w:r>
      <w:r w:rsidR="003445B7" w:rsidRPr="00DD477A">
        <w:t>.</w:t>
      </w:r>
    </w:p>
    <w:p w14:paraId="3CB431C8" w14:textId="62160CC8" w:rsidR="00FA0945" w:rsidRPr="00DD477A" w:rsidRDefault="00770A85" w:rsidP="00A85E0D">
      <w:pPr>
        <w:pStyle w:val="Bullet1"/>
        <w:tabs>
          <w:tab w:val="clear" w:pos="360"/>
        </w:tabs>
        <w:ind w:left="425" w:hanging="425"/>
      </w:pPr>
      <w:r w:rsidRPr="00DD477A">
        <w:t xml:space="preserve">details </w:t>
      </w:r>
      <w:r w:rsidR="00F27E62" w:rsidRPr="00DD477A">
        <w:t xml:space="preserve">of the MoG changes in </w:t>
      </w:r>
      <w:r w:rsidR="6B6EE5C4" w:rsidRPr="00DD477A">
        <w:t>a footnote to Table 1.1.</w:t>
      </w:r>
    </w:p>
    <w:p w14:paraId="67E68C29" w14:textId="77777777" w:rsidR="00FA0945" w:rsidRPr="00DD477A" w:rsidRDefault="53BF0693" w:rsidP="00E548A0">
      <w:pPr>
        <w:pStyle w:val="Heading2"/>
      </w:pPr>
      <w:bookmarkStart w:id="1415" w:name="_Toc160715603"/>
      <w:r w:rsidRPr="00DD477A">
        <w:t>Transferring entities</w:t>
      </w:r>
      <w:bookmarkEnd w:id="1415"/>
    </w:p>
    <w:p w14:paraId="129BFE2D" w14:textId="797482E7" w:rsidR="00FA0945" w:rsidRPr="00DD477A" w:rsidRDefault="004D4119" w:rsidP="000A7DEC">
      <w:pPr>
        <w:rPr>
          <w:rFonts w:cs="Calibri"/>
        </w:rPr>
      </w:pPr>
      <w:r w:rsidRPr="00DD477A">
        <w:rPr>
          <w:rFonts w:cs="Calibri"/>
        </w:rPr>
        <w:t>E</w:t>
      </w:r>
      <w:r w:rsidR="6B6EE5C4" w:rsidRPr="00DD477A">
        <w:rPr>
          <w:rFonts w:cs="Calibri"/>
        </w:rPr>
        <w:t xml:space="preserve">ntities that </w:t>
      </w:r>
      <w:r w:rsidR="005529B0" w:rsidRPr="00DD477A">
        <w:rPr>
          <w:rFonts w:cs="Calibri"/>
        </w:rPr>
        <w:t xml:space="preserve">transfer </w:t>
      </w:r>
      <w:r w:rsidR="6B6EE5C4" w:rsidRPr="00DD477A">
        <w:rPr>
          <w:rFonts w:cs="Calibri"/>
        </w:rPr>
        <w:t xml:space="preserve">functions </w:t>
      </w:r>
      <w:r w:rsidR="009B5CB6" w:rsidRPr="00DD477A">
        <w:rPr>
          <w:rFonts w:cs="Calibri"/>
        </w:rPr>
        <w:t xml:space="preserve">outwards </w:t>
      </w:r>
      <w:r w:rsidR="009573DD" w:rsidRPr="00DD477A">
        <w:rPr>
          <w:rFonts w:cs="Calibri"/>
        </w:rPr>
        <w:t>through</w:t>
      </w:r>
      <w:r w:rsidR="6B6EE5C4" w:rsidRPr="00DD477A">
        <w:rPr>
          <w:rFonts w:cs="Calibri"/>
        </w:rPr>
        <w:t xml:space="preserve"> MoG</w:t>
      </w:r>
      <w:r w:rsidR="00B7186B" w:rsidRPr="00DD477A">
        <w:rPr>
          <w:rFonts w:cs="Calibri"/>
        </w:rPr>
        <w:t xml:space="preserve"> changes</w:t>
      </w:r>
      <w:r w:rsidR="000D5624" w:rsidRPr="00DD477A">
        <w:rPr>
          <w:rFonts w:cs="Calibri"/>
        </w:rPr>
        <w:t xml:space="preserve"> should report</w:t>
      </w:r>
      <w:r w:rsidR="6B6EE5C4" w:rsidRPr="00DD477A">
        <w:rPr>
          <w:rFonts w:cs="Calibri"/>
        </w:rPr>
        <w:t>.</w:t>
      </w:r>
    </w:p>
    <w:p w14:paraId="0572D2CD" w14:textId="69C7B718" w:rsidR="00FA0945" w:rsidRPr="00DD477A" w:rsidRDefault="00347D8D" w:rsidP="00A85E0D">
      <w:pPr>
        <w:pStyle w:val="Bullet1"/>
        <w:tabs>
          <w:tab w:val="clear" w:pos="360"/>
        </w:tabs>
        <w:ind w:left="425" w:hanging="425"/>
      </w:pPr>
      <w:r w:rsidRPr="00DD477A">
        <w:t xml:space="preserve">all resources available to the entity, </w:t>
      </w:r>
      <w:r w:rsidRPr="00DD477A">
        <w:rPr>
          <w:b/>
        </w:rPr>
        <w:t>excluding</w:t>
      </w:r>
      <w:r w:rsidRPr="00DD477A">
        <w:t xml:space="preserve"> those functions it has transferred, </w:t>
      </w:r>
      <w:r w:rsidR="00036EC8" w:rsidRPr="00DD477A">
        <w:t>in t</w:t>
      </w:r>
      <w:r w:rsidR="53BF0693" w:rsidRPr="00DD477A">
        <w:t xml:space="preserve">he </w:t>
      </w:r>
      <w:r w:rsidR="00B11749" w:rsidRPr="00DD477A">
        <w:rPr>
          <w:b/>
          <w:bCs/>
        </w:rPr>
        <w:t>202</w:t>
      </w:r>
      <w:r w:rsidR="00A94AE6" w:rsidRPr="00DD477A">
        <w:rPr>
          <w:b/>
          <w:bCs/>
        </w:rPr>
        <w:t>3</w:t>
      </w:r>
      <w:r w:rsidR="00B11749" w:rsidRPr="00DD477A">
        <w:rPr>
          <w:b/>
          <w:bCs/>
        </w:rPr>
        <w:t>-2</w:t>
      </w:r>
      <w:r w:rsidR="00A94AE6" w:rsidRPr="00DD477A">
        <w:rPr>
          <w:b/>
          <w:bCs/>
        </w:rPr>
        <w:t>4</w:t>
      </w:r>
      <w:r w:rsidR="008E1BDD" w:rsidRPr="00DD477A">
        <w:rPr>
          <w:b/>
          <w:bCs/>
        </w:rPr>
        <w:t xml:space="preserve"> </w:t>
      </w:r>
      <w:r w:rsidR="53BF0693" w:rsidRPr="00DD477A">
        <w:rPr>
          <w:b/>
          <w:bCs/>
        </w:rPr>
        <w:t>Actual</w:t>
      </w:r>
      <w:r w:rsidR="53BF0693" w:rsidRPr="00DD477A">
        <w:t xml:space="preserve"> column </w:t>
      </w:r>
    </w:p>
    <w:p w14:paraId="210DBCC5" w14:textId="3AA53C06" w:rsidR="00FA0945" w:rsidRPr="00DD477A" w:rsidRDefault="00B25E89" w:rsidP="00282B62">
      <w:pPr>
        <w:pStyle w:val="Bullet2"/>
      </w:pPr>
      <w:bookmarkStart w:id="1416" w:name="_Toc411852706"/>
      <w:r w:rsidRPr="00DD477A">
        <w:t xml:space="preserve">those resources available up to the agreed date of effect of the MoG changes </w:t>
      </w:r>
    </w:p>
    <w:p w14:paraId="270F912F" w14:textId="60150AE1" w:rsidR="00FA0945" w:rsidRPr="00DD477A" w:rsidRDefault="00F27E62" w:rsidP="00A85E0D">
      <w:pPr>
        <w:pStyle w:val="Bullet1"/>
        <w:tabs>
          <w:tab w:val="clear" w:pos="360"/>
        </w:tabs>
        <w:ind w:left="425" w:hanging="425"/>
      </w:pPr>
      <w:r w:rsidRPr="00DD477A">
        <w:t xml:space="preserve">details of </w:t>
      </w:r>
      <w:r w:rsidR="00D0240D" w:rsidRPr="00DD477A">
        <w:t xml:space="preserve">the MoG changes </w:t>
      </w:r>
      <w:r w:rsidR="00BA72AE" w:rsidRPr="00DD477A">
        <w:t xml:space="preserve">in </w:t>
      </w:r>
      <w:r w:rsidR="6B6EE5C4" w:rsidRPr="00DD477A">
        <w:t>a footnote to Table 1.1</w:t>
      </w:r>
      <w:r w:rsidR="00BA72AE" w:rsidRPr="00DD477A">
        <w:t>.</w:t>
      </w:r>
      <w:r w:rsidR="6B6EE5C4" w:rsidRPr="00DD477A">
        <w:t xml:space="preserve"> </w:t>
      </w:r>
    </w:p>
    <w:p w14:paraId="1B4173B8" w14:textId="00AF3EBA" w:rsidR="00FA0945" w:rsidRPr="00DD477A" w:rsidRDefault="53BF0693" w:rsidP="00E548A0">
      <w:pPr>
        <w:pStyle w:val="Heading2"/>
      </w:pPr>
      <w:bookmarkStart w:id="1417" w:name="_Toc63347738"/>
      <w:bookmarkStart w:id="1418" w:name="_Toc160715604"/>
      <w:r w:rsidRPr="00DD477A">
        <w:t>Outcome information</w:t>
      </w:r>
      <w:bookmarkEnd w:id="1417"/>
      <w:bookmarkEnd w:id="1418"/>
    </w:p>
    <w:p w14:paraId="390123CC" w14:textId="6B5D8EEB" w:rsidR="00FA0945" w:rsidRPr="00DD477A" w:rsidRDefault="00DA1188" w:rsidP="000A7DEC">
      <w:pPr>
        <w:rPr>
          <w:rFonts w:cs="Calibri"/>
        </w:rPr>
      </w:pPr>
      <w:r w:rsidRPr="00DD477A">
        <w:rPr>
          <w:rFonts w:cs="Calibri"/>
        </w:rPr>
        <w:t>C</w:t>
      </w:r>
      <w:r w:rsidR="6B6EE5C4" w:rsidRPr="00DD477A">
        <w:rPr>
          <w:rFonts w:cs="Calibri"/>
        </w:rPr>
        <w:t xml:space="preserve">hanges to outcome and program structures </w:t>
      </w:r>
      <w:r w:rsidR="00D84CCE" w:rsidRPr="00DD477A">
        <w:rPr>
          <w:rFonts w:cs="Calibri"/>
        </w:rPr>
        <w:t xml:space="preserve">as a consequence </w:t>
      </w:r>
      <w:r w:rsidR="00751AA0" w:rsidRPr="00DD477A">
        <w:rPr>
          <w:rFonts w:cs="Calibri"/>
        </w:rPr>
        <w:t>of</w:t>
      </w:r>
      <w:r w:rsidR="6B6EE5C4" w:rsidRPr="00DD477A">
        <w:rPr>
          <w:rFonts w:cs="Calibri"/>
        </w:rPr>
        <w:t xml:space="preserve"> MoG changes </w:t>
      </w:r>
      <w:r w:rsidR="000959DF" w:rsidRPr="00DD477A">
        <w:rPr>
          <w:rFonts w:cs="Calibri"/>
        </w:rPr>
        <w:t>should be rep</w:t>
      </w:r>
      <w:r w:rsidR="00B27328" w:rsidRPr="00DD477A">
        <w:rPr>
          <w:rFonts w:cs="Calibri"/>
        </w:rPr>
        <w:t xml:space="preserve">orted </w:t>
      </w:r>
      <w:r w:rsidR="009F75EA" w:rsidRPr="00DD477A">
        <w:rPr>
          <w:rFonts w:cs="Calibri"/>
        </w:rPr>
        <w:t>in</w:t>
      </w:r>
      <w:r w:rsidR="6B6EE5C4" w:rsidRPr="00DD477A">
        <w:rPr>
          <w:rFonts w:cs="Calibri"/>
        </w:rPr>
        <w:t xml:space="preserve"> Section 2 of PB Statements, including information on functions transferred and to/from whom.</w:t>
      </w:r>
    </w:p>
    <w:p w14:paraId="7BC72DA9" w14:textId="03EC76F9" w:rsidR="00FA0945" w:rsidRPr="00DD477A" w:rsidRDefault="001954FB" w:rsidP="00A85E0D">
      <w:pPr>
        <w:pStyle w:val="Bullet1"/>
        <w:tabs>
          <w:tab w:val="clear" w:pos="360"/>
        </w:tabs>
        <w:ind w:left="425" w:hanging="425"/>
      </w:pPr>
      <w:r w:rsidRPr="00DD477A">
        <w:lastRenderedPageBreak/>
        <w:t>O</w:t>
      </w:r>
      <w:r w:rsidR="53BF0693" w:rsidRPr="00DD477A">
        <w:t xml:space="preserve">utcome statements presented must be those approved by the </w:t>
      </w:r>
      <w:r w:rsidR="009C007F" w:rsidRPr="00DD477A">
        <w:t>Minister for Finance</w:t>
      </w:r>
      <w:r w:rsidR="53BF0693" w:rsidRPr="00DD477A">
        <w:t xml:space="preserve"> and program names/structures must be those approved by Finance and as reported in CBMS</w:t>
      </w:r>
      <w:r w:rsidRPr="00DD477A">
        <w:t>.</w:t>
      </w:r>
    </w:p>
    <w:p w14:paraId="232FA375" w14:textId="225D0B25" w:rsidR="00FA0945" w:rsidRPr="00DD477A" w:rsidRDefault="001954FB" w:rsidP="00282B62">
      <w:pPr>
        <w:pStyle w:val="Bullet2"/>
      </w:pPr>
      <w:r w:rsidRPr="00DD477A">
        <w:t xml:space="preserve">An </w:t>
      </w:r>
      <w:r w:rsidR="53BF0693" w:rsidRPr="00DD477A">
        <w:t xml:space="preserve">optional template </w:t>
      </w:r>
      <w:r w:rsidR="00721C67" w:rsidRPr="00DD477A">
        <w:t>to represent</w:t>
      </w:r>
      <w:r w:rsidR="53BF0693" w:rsidRPr="00DD477A">
        <w:t xml:space="preserve"> outcome and program changes is </w:t>
      </w:r>
      <w:r w:rsidR="00721C67" w:rsidRPr="00DD477A">
        <w:t>provided</w:t>
      </w:r>
      <w:r w:rsidR="53BF0693" w:rsidRPr="00DD477A">
        <w:t xml:space="preserve"> in </w:t>
      </w:r>
      <w:r w:rsidR="00453241" w:rsidRPr="00DD477A">
        <w:t>“Attachment B</w:t>
      </w:r>
      <w:r w:rsidR="00385479" w:rsidRPr="00DD477A">
        <w:t>” (Excel Tables workbook,</w:t>
      </w:r>
      <w:r w:rsidR="00282B62" w:rsidRPr="00DD477A">
        <w:t xml:space="preserve"> </w:t>
      </w:r>
      <w:r w:rsidR="00385479" w:rsidRPr="00DD477A">
        <w:t>‘Table 2 optional’ tab)</w:t>
      </w:r>
      <w:r w:rsidR="53BF0693" w:rsidRPr="00DD477A">
        <w:t xml:space="preserve">. </w:t>
      </w:r>
      <w:r w:rsidR="00682438" w:rsidRPr="00DD477A">
        <w:t>This template is optional</w:t>
      </w:r>
      <w:r w:rsidR="000B025E" w:rsidRPr="00DD477A">
        <w:t>, with e</w:t>
      </w:r>
      <w:r w:rsidR="53BF0693" w:rsidRPr="00DD477A">
        <w:t xml:space="preserve">ntities </w:t>
      </w:r>
      <w:r w:rsidR="000B025E" w:rsidRPr="00DD477A">
        <w:t>able to</w:t>
      </w:r>
      <w:r w:rsidR="53BF0693" w:rsidRPr="00DD477A">
        <w:t xml:space="preserve"> choose an alternative table or pictorial format </w:t>
      </w:r>
      <w:r w:rsidR="00D448AE" w:rsidRPr="00DD477A">
        <w:t xml:space="preserve">that better </w:t>
      </w:r>
      <w:r w:rsidR="00A169E4" w:rsidRPr="00DD477A">
        <w:t xml:space="preserve">suits </w:t>
      </w:r>
      <w:r w:rsidR="53BF0693" w:rsidRPr="00DD477A">
        <w:t>the scope of the changes</w:t>
      </w:r>
      <w:r w:rsidRPr="00DD477A">
        <w:t>.</w:t>
      </w:r>
    </w:p>
    <w:p w14:paraId="759E8B1B" w14:textId="521AD36B" w:rsidR="008C2D38" w:rsidRPr="00DD477A" w:rsidRDefault="001954FB" w:rsidP="00282B62">
      <w:pPr>
        <w:pStyle w:val="Bullet2"/>
      </w:pPr>
      <w:r w:rsidRPr="00DD477A">
        <w:t xml:space="preserve">Further </w:t>
      </w:r>
      <w:r w:rsidR="6B6EE5C4" w:rsidRPr="00DD477A">
        <w:t xml:space="preserve">information on reporting MoG changes in financial statements can be found </w:t>
      </w:r>
      <w:r w:rsidR="00761298" w:rsidRPr="00DD477A">
        <w:t>in</w:t>
      </w:r>
      <w:r w:rsidR="6B6EE5C4" w:rsidRPr="00DD477A">
        <w:t>:</w:t>
      </w:r>
    </w:p>
    <w:p w14:paraId="02200BA9" w14:textId="705C3909" w:rsidR="004E76A4" w:rsidRPr="00DD477A" w:rsidRDefault="00000000" w:rsidP="00074797">
      <w:pPr>
        <w:pStyle w:val="Bullet3"/>
        <w:rPr>
          <w:rStyle w:val="Hyperlink"/>
        </w:rPr>
      </w:pPr>
      <w:hyperlink r:id="rId206">
        <w:r w:rsidR="6B6EE5C4" w:rsidRPr="00DD477A">
          <w:rPr>
            <w:rStyle w:val="Hyperlink"/>
          </w:rPr>
          <w:t>Commonwealth entities financial statements guide (RMG</w:t>
        </w:r>
        <w:r w:rsidR="006165CD" w:rsidRPr="00DD477A">
          <w:rPr>
            <w:rStyle w:val="Hyperlink"/>
          </w:rPr>
          <w:t> </w:t>
        </w:r>
        <w:r w:rsidR="6B6EE5C4" w:rsidRPr="00DD477A">
          <w:rPr>
            <w:rStyle w:val="Hyperlink"/>
          </w:rPr>
          <w:t>125)</w:t>
        </w:r>
      </w:hyperlink>
    </w:p>
    <w:p w14:paraId="5E4B6F36" w14:textId="654E322F" w:rsidR="00357C9B" w:rsidRPr="00DD477A" w:rsidRDefault="00000000" w:rsidP="00074797">
      <w:pPr>
        <w:pStyle w:val="Bullet3"/>
        <w:rPr>
          <w:rStyle w:val="Hyperlink"/>
        </w:rPr>
      </w:pPr>
      <w:hyperlink r:id="rId207" w:tgtFrame="_blank" w:tooltip="https://www.finance.gov.au/publications/resource-management-guides/reporting-requirements-following-machinery-government-changes-rmg-119#key-points" w:history="1">
        <w:r w:rsidR="004E76A4" w:rsidRPr="00DD477A">
          <w:rPr>
            <w:rStyle w:val="Hyperlink"/>
          </w:rPr>
          <w:t>Reporting requirements following machinery of government changes (RMG</w:t>
        </w:r>
        <w:r w:rsidR="006165CD" w:rsidRPr="00DD477A">
          <w:rPr>
            <w:rStyle w:val="Hyperlink"/>
          </w:rPr>
          <w:t> </w:t>
        </w:r>
        <w:r w:rsidR="004E76A4" w:rsidRPr="00DD477A">
          <w:rPr>
            <w:rStyle w:val="Hyperlink"/>
          </w:rPr>
          <w:t xml:space="preserve">119) </w:t>
        </w:r>
      </w:hyperlink>
    </w:p>
    <w:p w14:paraId="0EF653BF" w14:textId="03E81BBB" w:rsidR="00357C9B" w:rsidRPr="00DD477A" w:rsidRDefault="00000000" w:rsidP="00074797">
      <w:pPr>
        <w:pStyle w:val="Bullet3"/>
      </w:pPr>
      <w:hyperlink r:id="rId208">
        <w:r w:rsidR="00AE5D3E" w:rsidRPr="00DD477A">
          <w:rPr>
            <w:rStyle w:val="Hyperlink"/>
          </w:rPr>
          <w:t>A</w:t>
        </w:r>
        <w:r w:rsidR="008A7416" w:rsidRPr="00DD477A">
          <w:rPr>
            <w:rStyle w:val="Hyperlink"/>
          </w:rPr>
          <w:t>ccounting for machinery of government changes (RMG</w:t>
        </w:r>
        <w:r w:rsidR="006165CD" w:rsidRPr="00DD477A">
          <w:rPr>
            <w:rStyle w:val="Hyperlink"/>
          </w:rPr>
          <w:t> </w:t>
        </w:r>
        <w:r w:rsidR="008A7416" w:rsidRPr="00DD477A">
          <w:rPr>
            <w:rStyle w:val="Hyperlink"/>
          </w:rPr>
          <w:t>118)</w:t>
        </w:r>
      </w:hyperlink>
      <w:r w:rsidR="6B6EE5C4" w:rsidRPr="00DD477A">
        <w:rPr>
          <w:rStyle w:val="Hyperlink"/>
          <w:rFonts w:cs="Calibri"/>
          <w:u w:val="none"/>
        </w:rPr>
        <w:t>.</w:t>
      </w:r>
    </w:p>
    <w:p w14:paraId="1AF773CC" w14:textId="2FABE9B7" w:rsidR="00FA0945" w:rsidRPr="00DD477A" w:rsidRDefault="53BF0693" w:rsidP="00E548A0">
      <w:pPr>
        <w:pStyle w:val="Heading2"/>
      </w:pPr>
      <w:bookmarkStart w:id="1419" w:name="_Toc61875051"/>
      <w:bookmarkStart w:id="1420" w:name="_Toc62648903"/>
      <w:bookmarkStart w:id="1421" w:name="_Toc63347739"/>
      <w:bookmarkStart w:id="1422" w:name="_Toc160715605"/>
      <w:bookmarkEnd w:id="1419"/>
      <w:bookmarkEnd w:id="1420"/>
      <w:r w:rsidRPr="00DD477A">
        <w:t>Budgeted financial statements</w:t>
      </w:r>
      <w:bookmarkEnd w:id="1421"/>
      <w:bookmarkEnd w:id="1422"/>
    </w:p>
    <w:p w14:paraId="22220F6F" w14:textId="4B6F7213" w:rsidR="00FA0945" w:rsidRPr="00DD477A" w:rsidRDefault="00A51A57" w:rsidP="000A7DEC">
      <w:pPr>
        <w:rPr>
          <w:rFonts w:cs="Calibri"/>
        </w:rPr>
      </w:pPr>
      <w:r w:rsidRPr="00DD477A">
        <w:rPr>
          <w:rFonts w:cs="Calibri"/>
        </w:rPr>
        <w:t xml:space="preserve">The financial impact of </w:t>
      </w:r>
      <w:r w:rsidR="0063141D" w:rsidRPr="00DD477A">
        <w:rPr>
          <w:rFonts w:cs="Calibri"/>
        </w:rPr>
        <w:t>MoG</w:t>
      </w:r>
      <w:r w:rsidRPr="00DD477A">
        <w:rPr>
          <w:rFonts w:cs="Calibri"/>
        </w:rPr>
        <w:t xml:space="preserve"> transfer</w:t>
      </w:r>
      <w:r w:rsidR="00FE64BF" w:rsidRPr="00DD477A">
        <w:rPr>
          <w:rFonts w:cs="Calibri"/>
        </w:rPr>
        <w:t>s</w:t>
      </w:r>
      <w:r w:rsidRPr="00DD477A">
        <w:rPr>
          <w:rFonts w:cs="Calibri"/>
        </w:rPr>
        <w:t xml:space="preserve"> </w:t>
      </w:r>
      <w:r w:rsidR="004254FC" w:rsidRPr="00DD477A">
        <w:rPr>
          <w:rFonts w:cs="Calibri"/>
        </w:rPr>
        <w:t xml:space="preserve">of </w:t>
      </w:r>
      <w:r w:rsidRPr="00DD477A">
        <w:rPr>
          <w:rFonts w:cs="Calibri"/>
        </w:rPr>
        <w:t xml:space="preserve">functions/activities/programs </w:t>
      </w:r>
      <w:r w:rsidR="00BA08B0" w:rsidRPr="00DD477A">
        <w:rPr>
          <w:rFonts w:cs="Calibri"/>
        </w:rPr>
        <w:t>needs</w:t>
      </w:r>
      <w:r w:rsidR="004254FC" w:rsidRPr="00DD477A">
        <w:rPr>
          <w:rFonts w:cs="Calibri"/>
        </w:rPr>
        <w:t xml:space="preserve"> to be reflected in each e</w:t>
      </w:r>
      <w:r w:rsidR="53BF0693" w:rsidRPr="00DD477A">
        <w:rPr>
          <w:rFonts w:cs="Calibri"/>
        </w:rPr>
        <w:t>ntit</w:t>
      </w:r>
      <w:r w:rsidR="00282B62" w:rsidRPr="00DD477A">
        <w:rPr>
          <w:rFonts w:cs="Calibri"/>
        </w:rPr>
        <w:t>y’</w:t>
      </w:r>
      <w:r w:rsidR="53BF0693" w:rsidRPr="00DD477A">
        <w:rPr>
          <w:rFonts w:cs="Calibri"/>
        </w:rPr>
        <w:t>s financial statements</w:t>
      </w:r>
      <w:r w:rsidR="004254FC" w:rsidRPr="00DD477A">
        <w:rPr>
          <w:rFonts w:cs="Calibri"/>
        </w:rPr>
        <w:t>.</w:t>
      </w:r>
    </w:p>
    <w:p w14:paraId="0FB6E341" w14:textId="033BF58A" w:rsidR="00FA0945" w:rsidRPr="00DD477A" w:rsidRDefault="00282B62" w:rsidP="00AA1E87">
      <w:pPr>
        <w:pStyle w:val="Bullet1"/>
        <w:numPr>
          <w:ilvl w:val="0"/>
          <w:numId w:val="38"/>
        </w:numPr>
      </w:pPr>
      <w:r w:rsidRPr="00DD477A">
        <w:t xml:space="preserve">receiving </w:t>
      </w:r>
      <w:r w:rsidR="6B6EE5C4" w:rsidRPr="00DD477A">
        <w:t>entities should report the financial impact from the agreed date of transfer onwards</w:t>
      </w:r>
      <w:r w:rsidR="001954FB" w:rsidRPr="00DD477A">
        <w:t>.</w:t>
      </w:r>
    </w:p>
    <w:p w14:paraId="7638E47D" w14:textId="1FDCBEBB" w:rsidR="00FA0945" w:rsidRPr="00DD477A" w:rsidRDefault="00282B62" w:rsidP="00AA1E87">
      <w:pPr>
        <w:pStyle w:val="Bullet1"/>
        <w:numPr>
          <w:ilvl w:val="0"/>
          <w:numId w:val="38"/>
        </w:numPr>
      </w:pPr>
      <w:r w:rsidRPr="00DD477A">
        <w:t xml:space="preserve">transferring </w:t>
      </w:r>
      <w:r w:rsidR="6B6EE5C4" w:rsidRPr="00DD477A">
        <w:t>entities should report the financial impact up to the agreed date of transfer.</w:t>
      </w:r>
    </w:p>
    <w:p w14:paraId="7FA2923B" w14:textId="2A38D1D8" w:rsidR="00BD51B0" w:rsidRPr="00DD477A" w:rsidRDefault="53BF0693" w:rsidP="00E548A0">
      <w:pPr>
        <w:pStyle w:val="Heading2"/>
      </w:pPr>
      <w:bookmarkStart w:id="1423" w:name="_Toc63347740"/>
      <w:bookmarkStart w:id="1424" w:name="_Toc160715606"/>
      <w:r w:rsidRPr="00DD477A">
        <w:t>Other important information</w:t>
      </w:r>
      <w:bookmarkEnd w:id="1423"/>
      <w:bookmarkEnd w:id="1424"/>
    </w:p>
    <w:p w14:paraId="1AD0E755" w14:textId="77777777" w:rsidR="00FA0945" w:rsidRPr="00DD477A" w:rsidRDefault="6B6EE5C4" w:rsidP="0070486B">
      <w:pPr>
        <w:pStyle w:val="Heading3"/>
      </w:pPr>
      <w:bookmarkStart w:id="1425" w:name="_Toc160715607"/>
      <w:r w:rsidRPr="00DD477A">
        <w:t>Subsequent MoG changes following the PB Statements</w:t>
      </w:r>
      <w:bookmarkEnd w:id="1425"/>
    </w:p>
    <w:p w14:paraId="5B477222" w14:textId="38BF8DC4" w:rsidR="00FA0945" w:rsidRPr="00DD477A" w:rsidRDefault="6B6EE5C4" w:rsidP="000A7DEC">
      <w:pPr>
        <w:rPr>
          <w:rFonts w:cs="Calibri"/>
        </w:rPr>
      </w:pPr>
      <w:r w:rsidRPr="00DD477A">
        <w:rPr>
          <w:rFonts w:cs="Calibri"/>
        </w:rPr>
        <w:t>MoG changes can be announced at any time</w:t>
      </w:r>
      <w:r w:rsidR="007D65CE" w:rsidRPr="00DD477A">
        <w:rPr>
          <w:rFonts w:cs="Calibri"/>
        </w:rPr>
        <w:t>, including</w:t>
      </w:r>
      <w:r w:rsidRPr="00DD477A">
        <w:rPr>
          <w:rFonts w:cs="Calibri"/>
        </w:rPr>
        <w:t xml:space="preserve"> after the preparation of the </w:t>
      </w:r>
      <w:r w:rsidR="00F20545" w:rsidRPr="00DD477A">
        <w:rPr>
          <w:rFonts w:cs="Calibri"/>
        </w:rPr>
        <w:t>Appropriation </w:t>
      </w:r>
      <w:r w:rsidRPr="00DD477A">
        <w:rPr>
          <w:rFonts w:cs="Calibri"/>
        </w:rPr>
        <w:t xml:space="preserve">Bills has commenced or </w:t>
      </w:r>
      <w:r w:rsidR="005627D5" w:rsidRPr="00DD477A">
        <w:rPr>
          <w:rFonts w:cs="Calibri"/>
        </w:rPr>
        <w:t xml:space="preserve">the completion of </w:t>
      </w:r>
      <w:r w:rsidRPr="00DD477A">
        <w:rPr>
          <w:rFonts w:cs="Calibri"/>
        </w:rPr>
        <w:t>the PB Statements but not yet tabled in Parliament</w:t>
      </w:r>
      <w:r w:rsidR="007F5C19" w:rsidRPr="00DD477A">
        <w:rPr>
          <w:rFonts w:cs="Calibri"/>
        </w:rPr>
        <w:t xml:space="preserve"> </w:t>
      </w:r>
      <w:r w:rsidR="008D1F62" w:rsidRPr="00DD477A">
        <w:rPr>
          <w:rFonts w:cs="Calibri"/>
        </w:rPr>
        <w:t>through</w:t>
      </w:r>
      <w:r w:rsidR="007F5C19" w:rsidRPr="00DD477A">
        <w:rPr>
          <w:rFonts w:cs="Calibri"/>
        </w:rPr>
        <w:t xml:space="preserve"> the Senate</w:t>
      </w:r>
      <w:r w:rsidRPr="00DD477A">
        <w:rPr>
          <w:rFonts w:cs="Calibri"/>
        </w:rPr>
        <w:t>.</w:t>
      </w:r>
    </w:p>
    <w:p w14:paraId="5EF25C6A" w14:textId="4750DB79" w:rsidR="004215DD" w:rsidRPr="00DD477A" w:rsidRDefault="00CF0ACA" w:rsidP="53BF0693">
      <w:pPr>
        <w:rPr>
          <w:rFonts w:eastAsia="Cambria" w:cs="Calibri"/>
        </w:rPr>
      </w:pPr>
      <w:r w:rsidRPr="00DD477A">
        <w:rPr>
          <w:rFonts w:cs="Calibri"/>
        </w:rPr>
        <w:t>Where</w:t>
      </w:r>
      <w:r w:rsidR="53BF0693" w:rsidRPr="00DD477A">
        <w:rPr>
          <w:rFonts w:cs="Calibri"/>
        </w:rPr>
        <w:t xml:space="preserve"> </w:t>
      </w:r>
      <w:r w:rsidR="00FA2922" w:rsidRPr="00DD477A">
        <w:rPr>
          <w:rFonts w:cs="Calibri"/>
        </w:rPr>
        <w:t xml:space="preserve">announced </w:t>
      </w:r>
      <w:r w:rsidR="53BF0693" w:rsidRPr="00DD477A">
        <w:rPr>
          <w:rFonts w:cs="Calibri"/>
        </w:rPr>
        <w:t>changes are</w:t>
      </w:r>
      <w:r w:rsidR="00FA2922" w:rsidRPr="00DD477A">
        <w:rPr>
          <w:rFonts w:cs="Calibri"/>
        </w:rPr>
        <w:t xml:space="preserve"> unable</w:t>
      </w:r>
      <w:r w:rsidR="008E4D2B" w:rsidRPr="00DD477A">
        <w:rPr>
          <w:rFonts w:cs="Calibri"/>
        </w:rPr>
        <w:t xml:space="preserve"> to be reflected in</w:t>
      </w:r>
      <w:r w:rsidR="00B2453C" w:rsidRPr="00DD477A">
        <w:rPr>
          <w:rFonts w:cs="Calibri"/>
        </w:rPr>
        <w:t xml:space="preserve"> </w:t>
      </w:r>
      <w:r w:rsidR="53BF0693" w:rsidRPr="00DD477A">
        <w:rPr>
          <w:rFonts w:cs="Calibri"/>
        </w:rPr>
        <w:t xml:space="preserve">the </w:t>
      </w:r>
      <w:r w:rsidR="00F20545" w:rsidRPr="00DD477A">
        <w:rPr>
          <w:rFonts w:cs="Calibri"/>
        </w:rPr>
        <w:t xml:space="preserve">Appropriation </w:t>
      </w:r>
      <w:r w:rsidR="53BF0693" w:rsidRPr="00DD477A">
        <w:rPr>
          <w:rFonts w:cs="Calibri"/>
        </w:rPr>
        <w:t>Bills or the budget statements</w:t>
      </w:r>
      <w:r w:rsidR="00B2453C" w:rsidRPr="00DD477A">
        <w:rPr>
          <w:rFonts w:cs="Calibri"/>
        </w:rPr>
        <w:t>,</w:t>
      </w:r>
      <w:r w:rsidRPr="00DD477A">
        <w:rPr>
          <w:rFonts w:cs="Calibri"/>
        </w:rPr>
        <w:t xml:space="preserve"> an </w:t>
      </w:r>
      <w:r w:rsidR="53BF0693" w:rsidRPr="00DD477A">
        <w:rPr>
          <w:rFonts w:cs="Calibri"/>
        </w:rPr>
        <w:t>expla</w:t>
      </w:r>
      <w:r w:rsidRPr="00DD477A">
        <w:rPr>
          <w:rFonts w:cs="Calibri"/>
        </w:rPr>
        <w:t>nation</w:t>
      </w:r>
      <w:r w:rsidR="53BF0693" w:rsidRPr="00DD477A">
        <w:rPr>
          <w:rFonts w:cs="Calibri"/>
        </w:rPr>
        <w:t xml:space="preserve"> in the next budget statements (i.e.</w:t>
      </w:r>
      <w:r w:rsidR="157A32BF" w:rsidRPr="00DD477A">
        <w:rPr>
          <w:rFonts w:cs="Calibri"/>
        </w:rPr>
        <w:t>,</w:t>
      </w:r>
      <w:r w:rsidR="53BF0693" w:rsidRPr="00DD477A">
        <w:rPr>
          <w:rFonts w:cs="Calibri"/>
        </w:rPr>
        <w:t xml:space="preserve"> PAES) and subsequently in the entity’s annual report</w:t>
      </w:r>
      <w:r w:rsidR="00F64ADC" w:rsidRPr="00DD477A">
        <w:rPr>
          <w:rFonts w:cs="Calibri"/>
        </w:rPr>
        <w:t xml:space="preserve"> should be included</w:t>
      </w:r>
      <w:r w:rsidR="53BF0693" w:rsidRPr="00DD477A">
        <w:rPr>
          <w:rFonts w:cs="Calibri"/>
        </w:rPr>
        <w:t>.</w:t>
      </w:r>
    </w:p>
    <w:p w14:paraId="12D03516" w14:textId="44AA3246" w:rsidR="00FA0945" w:rsidRPr="00DD477A" w:rsidRDefault="53BF0693" w:rsidP="0070486B">
      <w:pPr>
        <w:pStyle w:val="Heading3"/>
      </w:pPr>
      <w:bookmarkStart w:id="1426" w:name="_Toc536108599"/>
      <w:bookmarkStart w:id="1427" w:name="_Toc534382583"/>
      <w:bookmarkStart w:id="1428" w:name="_Toc160715608"/>
      <w:bookmarkEnd w:id="1426"/>
      <w:r w:rsidRPr="00DD477A">
        <w:t>Program and outcome changes</w:t>
      </w:r>
      <w:bookmarkEnd w:id="1416"/>
      <w:bookmarkEnd w:id="1427"/>
      <w:bookmarkEnd w:id="1428"/>
    </w:p>
    <w:p w14:paraId="58915A04" w14:textId="1ABC9DB0" w:rsidR="00FA0945" w:rsidRPr="00DD477A" w:rsidRDefault="00F81224" w:rsidP="000A7DEC">
      <w:pPr>
        <w:rPr>
          <w:rFonts w:cs="Calibri"/>
        </w:rPr>
      </w:pPr>
      <w:r w:rsidRPr="00DD477A">
        <w:rPr>
          <w:rFonts w:cs="Calibri"/>
        </w:rPr>
        <w:t xml:space="preserve">PB Statements cannot report </w:t>
      </w:r>
      <w:r w:rsidR="53BF0693" w:rsidRPr="00DD477A">
        <w:rPr>
          <w:rFonts w:cs="Calibri"/>
        </w:rPr>
        <w:t xml:space="preserve">outcome and program </w:t>
      </w:r>
      <w:r w:rsidR="00087019" w:rsidRPr="00DD477A">
        <w:rPr>
          <w:rFonts w:cs="Calibri"/>
        </w:rPr>
        <w:t>amendments</w:t>
      </w:r>
      <w:r w:rsidR="00A04D69" w:rsidRPr="00DD477A">
        <w:rPr>
          <w:rFonts w:cs="Calibri"/>
        </w:rPr>
        <w:t xml:space="preserve"> </w:t>
      </w:r>
      <w:r w:rsidR="53BF0693" w:rsidRPr="00DD477A">
        <w:rPr>
          <w:rFonts w:cs="Calibri"/>
        </w:rPr>
        <w:t xml:space="preserve">until the </w:t>
      </w:r>
      <w:r w:rsidR="009C007F" w:rsidRPr="00DD477A">
        <w:rPr>
          <w:rFonts w:cs="Calibri"/>
        </w:rPr>
        <w:t>Minister for Finance</w:t>
      </w:r>
      <w:r w:rsidR="00671E4E" w:rsidRPr="00DD477A">
        <w:rPr>
          <w:rFonts w:cs="Calibri"/>
        </w:rPr>
        <w:t xml:space="preserve"> and/or Finance (depending on the change) </w:t>
      </w:r>
      <w:r w:rsidR="00A04D69" w:rsidRPr="00DD477A">
        <w:rPr>
          <w:rFonts w:cs="Calibri"/>
        </w:rPr>
        <w:t xml:space="preserve">has </w:t>
      </w:r>
      <w:r w:rsidR="00087019" w:rsidRPr="00DD477A">
        <w:rPr>
          <w:rFonts w:cs="Calibri"/>
        </w:rPr>
        <w:t>approved the changes.</w:t>
      </w:r>
    </w:p>
    <w:p w14:paraId="12E295AE" w14:textId="2F113B83" w:rsidR="001240D0" w:rsidRPr="00DD477A" w:rsidRDefault="00B33B53" w:rsidP="00580008">
      <w:pPr>
        <w:rPr>
          <w:rFonts w:cs="Calibri"/>
        </w:rPr>
      </w:pPr>
      <w:r w:rsidRPr="00DD477A">
        <w:rPr>
          <w:rFonts w:cs="Calibri"/>
        </w:rPr>
        <w:t>The</w:t>
      </w:r>
      <w:r w:rsidR="00CF0ACA" w:rsidRPr="00DD477A">
        <w:rPr>
          <w:rFonts w:cs="Calibri"/>
        </w:rPr>
        <w:t xml:space="preserve"> </w:t>
      </w:r>
      <w:r w:rsidRPr="00DD477A">
        <w:rPr>
          <w:rStyle w:val="CrossReferenceChar"/>
        </w:rPr>
        <w:fldChar w:fldCharType="begin"/>
      </w:r>
      <w:r w:rsidRPr="00DD477A">
        <w:rPr>
          <w:rStyle w:val="CrossReferenceChar"/>
        </w:rPr>
        <w:instrText xml:space="preserve"> REF _Ref33522182 \h  \* MERGEFORMAT </w:instrText>
      </w:r>
      <w:r w:rsidRPr="00DD477A">
        <w:rPr>
          <w:rStyle w:val="CrossReferenceChar"/>
        </w:rPr>
      </w:r>
      <w:r w:rsidRPr="00DD477A">
        <w:rPr>
          <w:rStyle w:val="CrossReferenceChar"/>
        </w:rPr>
        <w:fldChar w:fldCharType="separate"/>
      </w:r>
      <w:r w:rsidRPr="00DD477A">
        <w:t>Outcome statements</w:t>
      </w:r>
      <w:r w:rsidRPr="00DD477A">
        <w:rPr>
          <w:rStyle w:val="CrossReferenceChar"/>
        </w:rPr>
        <w:fldChar w:fldCharType="end"/>
      </w:r>
      <w:r w:rsidRPr="00DD477A">
        <w:rPr>
          <w:rFonts w:cs="Calibri"/>
        </w:rPr>
        <w:t xml:space="preserve"> section provides</w:t>
      </w:r>
      <w:r w:rsidR="00FA0945" w:rsidRPr="00DD477A">
        <w:rPr>
          <w:rFonts w:cs="Calibri"/>
        </w:rPr>
        <w:t xml:space="preserve"> </w:t>
      </w:r>
      <w:r w:rsidR="0045475E" w:rsidRPr="00DD477A">
        <w:rPr>
          <w:rFonts w:cs="Calibri"/>
        </w:rPr>
        <w:t xml:space="preserve">further </w:t>
      </w:r>
      <w:r w:rsidR="00FA0945" w:rsidRPr="00DD477A">
        <w:rPr>
          <w:rFonts w:cs="Calibri"/>
        </w:rPr>
        <w:t xml:space="preserve">information on </w:t>
      </w:r>
      <w:r w:rsidR="0045475E" w:rsidRPr="00DD477A">
        <w:rPr>
          <w:rFonts w:cs="Calibri"/>
        </w:rPr>
        <w:t>t</w:t>
      </w:r>
      <w:r w:rsidR="000B4CED" w:rsidRPr="00DD477A">
        <w:rPr>
          <w:rFonts w:cs="Calibri"/>
        </w:rPr>
        <w:t>he p</w:t>
      </w:r>
      <w:r w:rsidR="00FA0945" w:rsidRPr="00DD477A">
        <w:rPr>
          <w:rFonts w:cs="Calibri"/>
        </w:rPr>
        <w:t xml:space="preserve">olicy and </w:t>
      </w:r>
      <w:r w:rsidR="000B4CED" w:rsidRPr="00DD477A">
        <w:rPr>
          <w:rFonts w:cs="Calibri"/>
        </w:rPr>
        <w:t>a</w:t>
      </w:r>
      <w:r w:rsidR="00FA0945" w:rsidRPr="00DD477A">
        <w:rPr>
          <w:rFonts w:cs="Calibri"/>
        </w:rPr>
        <w:t xml:space="preserve">pproval </w:t>
      </w:r>
      <w:r w:rsidR="00CC3256" w:rsidRPr="00DD477A">
        <w:rPr>
          <w:rFonts w:cs="Calibri"/>
        </w:rPr>
        <w:t>p</w:t>
      </w:r>
      <w:r w:rsidR="00FA0945" w:rsidRPr="00DD477A">
        <w:rPr>
          <w:rFonts w:cs="Calibri"/>
        </w:rPr>
        <w:t xml:space="preserve">rocess </w:t>
      </w:r>
      <w:r w:rsidR="000B4CED" w:rsidRPr="00DD477A">
        <w:rPr>
          <w:rFonts w:cs="Calibri"/>
        </w:rPr>
        <w:t xml:space="preserve">for outcome and program </w:t>
      </w:r>
      <w:r w:rsidR="00B06B0D" w:rsidRPr="00DD477A">
        <w:rPr>
          <w:rFonts w:cs="Calibri"/>
        </w:rPr>
        <w:t>changes</w:t>
      </w:r>
      <w:r w:rsidR="00CF0ACA" w:rsidRPr="00DD477A">
        <w:rPr>
          <w:rFonts w:cs="Calibri"/>
        </w:rPr>
        <w:t>.</w:t>
      </w:r>
      <w:r w:rsidR="00B06B0D" w:rsidRPr="00DD477A">
        <w:rPr>
          <w:rFonts w:cs="Calibri"/>
        </w:rPr>
        <w:t xml:space="preserve"> </w:t>
      </w:r>
    </w:p>
    <w:p w14:paraId="53C72B46" w14:textId="77777777" w:rsidR="00CE2856" w:rsidRPr="00DD477A" w:rsidRDefault="00CE2856">
      <w:pPr>
        <w:suppressAutoHyphens w:val="0"/>
        <w:spacing w:before="0" w:after="120" w:line="440" w:lineRule="atLeast"/>
        <w:rPr>
          <w:rFonts w:cs="Calibri"/>
        </w:rPr>
        <w:sectPr w:rsidR="00CE2856" w:rsidRPr="00DD477A" w:rsidSect="00E73E0E">
          <w:headerReference w:type="even" r:id="rId209"/>
          <w:headerReference w:type="default" r:id="rId210"/>
          <w:footerReference w:type="default" r:id="rId211"/>
          <w:headerReference w:type="first" r:id="rId212"/>
          <w:pgSz w:w="11900" w:h="16840" w:code="9"/>
          <w:pgMar w:top="1418" w:right="851" w:bottom="1418" w:left="1418" w:header="624" w:footer="624" w:gutter="0"/>
          <w:cols w:space="708"/>
          <w:docGrid w:linePitch="360"/>
        </w:sectPr>
      </w:pPr>
    </w:p>
    <w:p w14:paraId="3A9DB91C" w14:textId="66847AA3" w:rsidR="00CE2856" w:rsidRPr="00DD477A" w:rsidRDefault="00593E3A" w:rsidP="00E548A0">
      <w:pPr>
        <w:pStyle w:val="Heading1"/>
        <w:numPr>
          <w:ilvl w:val="0"/>
          <w:numId w:val="0"/>
        </w:numPr>
        <w:ind w:left="1134" w:hanging="1134"/>
      </w:pPr>
      <w:bookmarkStart w:id="1429" w:name="_Toc160715609"/>
      <w:r w:rsidRPr="00DD477A">
        <w:lastRenderedPageBreak/>
        <w:t xml:space="preserve">Appendix </w:t>
      </w:r>
      <w:r w:rsidR="001434C8" w:rsidRPr="00DD477A">
        <w:t>1</w:t>
      </w:r>
      <w:r w:rsidRPr="00DD477A">
        <w:t>:</w:t>
      </w:r>
      <w:bookmarkEnd w:id="1429"/>
    </w:p>
    <w:p w14:paraId="3706A72B" w14:textId="4FD34967" w:rsidR="00506FD3" w:rsidRPr="00DD477A" w:rsidRDefault="00BB2E1B" w:rsidP="00E548A0">
      <w:pPr>
        <w:pStyle w:val="Heading1"/>
      </w:pPr>
      <w:bookmarkStart w:id="1430" w:name="_Toc160715610"/>
      <w:r w:rsidRPr="00DD477A">
        <w:t>Index of Source Information</w:t>
      </w:r>
      <w:bookmarkEnd w:id="1430"/>
    </w:p>
    <w:p w14:paraId="01CCC580" w14:textId="3B611989" w:rsidR="00642EA7" w:rsidRPr="00DD477A" w:rsidRDefault="00DF2697" w:rsidP="00A85E0D">
      <w:pPr>
        <w:pStyle w:val="Boxed2Text"/>
      </w:pPr>
      <w:r w:rsidRPr="00DD477A">
        <w:t>When running CBMS reports, the budget stage to be selected is “Validated”.</w:t>
      </w:r>
      <w:bookmarkStart w:id="1431" w:name="_CBMS_Chart_of"/>
      <w:bookmarkEnd w:id="1431"/>
    </w:p>
    <w:p w14:paraId="6AE8E36E" w14:textId="73F576D0" w:rsidR="00BB2E1B" w:rsidRPr="00DD477A" w:rsidRDefault="00515764" w:rsidP="00E548A0">
      <w:pPr>
        <w:pStyle w:val="Heading3"/>
      </w:pPr>
      <w:bookmarkStart w:id="1432" w:name="_Portfolio_structure_and"/>
      <w:bookmarkStart w:id="1433" w:name="_Toc160715611"/>
      <w:bookmarkStart w:id="1434" w:name="App1_Portstructure"/>
      <w:bookmarkEnd w:id="1432"/>
      <w:r w:rsidRPr="00DD477A">
        <w:t>Portfolio structure and outcomes</w:t>
      </w:r>
      <w:bookmarkEnd w:id="1433"/>
    </w:p>
    <w:bookmarkEnd w:id="1434"/>
    <w:p w14:paraId="0F4D9A1E" w14:textId="77777777" w:rsidR="00E2392F" w:rsidRPr="00DD477A" w:rsidRDefault="00E2392F" w:rsidP="00A85E0D">
      <w:pPr>
        <w:rPr>
          <w:szCs w:val="22"/>
        </w:rPr>
      </w:pPr>
      <w:r w:rsidRPr="00DD477A">
        <w:rPr>
          <w:szCs w:val="22"/>
        </w:rPr>
        <w:t>A summary of portfolio entities which are subject to the PGPA Act can be viewed via the</w:t>
      </w:r>
      <w:r w:rsidRPr="00DD477A">
        <w:rPr>
          <w:rStyle w:val="Hyperlink"/>
          <w:szCs w:val="22"/>
        </w:rPr>
        <w:t xml:space="preserve"> </w:t>
      </w:r>
      <w:hyperlink r:id="rId213" w:history="1">
        <w:r w:rsidRPr="00DD477A">
          <w:rPr>
            <w:rStyle w:val="Hyperlink"/>
            <w:szCs w:val="22"/>
          </w:rPr>
          <w:t>PGPA flipchart and list</w:t>
        </w:r>
      </w:hyperlink>
      <w:r w:rsidRPr="00DD477A">
        <w:rPr>
          <w:rStyle w:val="Hyperlink"/>
          <w:szCs w:val="22"/>
        </w:rPr>
        <w:t xml:space="preserve"> webpage</w:t>
      </w:r>
      <w:r w:rsidRPr="00DD477A">
        <w:rPr>
          <w:szCs w:val="22"/>
        </w:rPr>
        <w:t>.</w:t>
      </w:r>
    </w:p>
    <w:p w14:paraId="2627B211" w14:textId="30B2901C" w:rsidR="005C6C76" w:rsidRPr="00DD477A" w:rsidRDefault="00E2392F" w:rsidP="00A85E0D">
      <w:pPr>
        <w:rPr>
          <w:rStyle w:val="BodyTextChar"/>
          <w:rFonts w:cs="Calibri"/>
          <w:szCs w:val="22"/>
        </w:rPr>
      </w:pPr>
      <w:r w:rsidRPr="00DD477A">
        <w:rPr>
          <w:szCs w:val="22"/>
        </w:rPr>
        <w:t xml:space="preserve">Principal or Primary bodies are defined on the </w:t>
      </w:r>
      <w:hyperlink r:id="rId214" w:history="1">
        <w:r w:rsidRPr="00DD477A">
          <w:rPr>
            <w:rStyle w:val="Hyperlink"/>
            <w:szCs w:val="22"/>
          </w:rPr>
          <w:t>AGOR types of bodies</w:t>
        </w:r>
      </w:hyperlink>
      <w:r w:rsidRPr="00DD477A">
        <w:rPr>
          <w:rStyle w:val="Hyperlink"/>
          <w:szCs w:val="22"/>
        </w:rPr>
        <w:t xml:space="preserve"> webpage.</w:t>
      </w:r>
    </w:p>
    <w:p w14:paraId="74D39259" w14:textId="171D74D0" w:rsidR="00E73C37" w:rsidRPr="00DD477A" w:rsidRDefault="003C1080" w:rsidP="00E548A0">
      <w:pPr>
        <w:pStyle w:val="Heading3"/>
      </w:pPr>
      <w:bookmarkStart w:id="1435" w:name="_Resource_Statement_section"/>
      <w:bookmarkStart w:id="1436" w:name="_Toc160715612"/>
      <w:bookmarkStart w:id="1437" w:name="App1_ResourceStatement"/>
      <w:bookmarkEnd w:id="1435"/>
      <w:r w:rsidRPr="00DD477A">
        <w:t xml:space="preserve">Table 1.1 Entity </w:t>
      </w:r>
      <w:r w:rsidR="00C40973" w:rsidRPr="00DD477A">
        <w:t xml:space="preserve">Resource </w:t>
      </w:r>
      <w:r w:rsidR="009812AD" w:rsidRPr="00DD477A">
        <w:t xml:space="preserve">Statement </w:t>
      </w:r>
      <w:r w:rsidRPr="00DD477A">
        <w:t>-</w:t>
      </w:r>
      <w:r w:rsidR="00E90FB5" w:rsidRPr="00DD477A">
        <w:t xml:space="preserve"> CBMS Reports</w:t>
      </w:r>
      <w:bookmarkEnd w:id="1436"/>
    </w:p>
    <w:p w14:paraId="03D2F654" w14:textId="7C86B733" w:rsidR="002F55F8" w:rsidRPr="00DD477A" w:rsidRDefault="002F55F8" w:rsidP="008610B4">
      <w:pPr>
        <w:rPr>
          <w:i/>
        </w:rPr>
      </w:pPr>
      <w:bookmarkStart w:id="1438" w:name="_Reports_(_CBMS"/>
      <w:bookmarkEnd w:id="1437"/>
      <w:bookmarkEnd w:id="1438"/>
      <w:r w:rsidRPr="00DD477A">
        <w:t>In addition to the reports listed under the subsections below, the following report can be used to quality assure all appropriation types</w:t>
      </w:r>
      <w:r w:rsidR="008C203D" w:rsidRPr="00DD477A">
        <w:t>:</w:t>
      </w:r>
    </w:p>
    <w:p w14:paraId="1FB4F48F" w14:textId="45E62E58" w:rsidR="0079364E" w:rsidRPr="008610B4" w:rsidRDefault="0079364E" w:rsidP="008610B4">
      <w:pPr>
        <w:pStyle w:val="Bullet1"/>
      </w:pPr>
      <w:r w:rsidRPr="008610B4">
        <w:t xml:space="preserve">All Reports </w:t>
      </w:r>
      <w:r w:rsidR="008610B4">
        <w:sym w:font="Wingdings" w:char="F0E0"/>
      </w:r>
      <w:r w:rsidRPr="008610B4">
        <w:t xml:space="preserve"> Operational Reports </w:t>
      </w:r>
      <w:r w:rsidR="008610B4">
        <w:sym w:font="Wingdings" w:char="F0E0"/>
      </w:r>
      <w:r w:rsidRPr="008610B4">
        <w:t xml:space="preserve"> Estimates </w:t>
      </w:r>
      <w:r w:rsidR="008610B4">
        <w:sym w:font="Wingdings" w:char="F0E0"/>
      </w:r>
      <w:r w:rsidRPr="008610B4">
        <w:t xml:space="preserve"> Annual Estimates </w:t>
      </w:r>
      <w:r w:rsidR="008610B4">
        <w:sym w:font="Wingdings" w:char="F0E0"/>
      </w:r>
      <w:r w:rsidRPr="008610B4">
        <w:t xml:space="preserve"> AE.OR.17 Agency Resourcing QA Report</w:t>
      </w:r>
    </w:p>
    <w:p w14:paraId="26D6B275" w14:textId="7E173076" w:rsidR="003C38E2" w:rsidRPr="00DD477A" w:rsidRDefault="003C38E2" w:rsidP="008610B4">
      <w:r w:rsidRPr="00DD477A">
        <w:t>For those tables that are not yet available in CBMS (i.e., Section 1), quality assurance and cross-checking data</w:t>
      </w:r>
      <w:r w:rsidR="009A1F81" w:rsidRPr="00DD477A">
        <w:t xml:space="preserve"> can be undertaken using </w:t>
      </w:r>
      <w:r w:rsidR="00993445" w:rsidRPr="00DD477A">
        <w:t xml:space="preserve">information sourced from </w:t>
      </w:r>
      <w:r w:rsidR="009A1F81" w:rsidRPr="00DD477A">
        <w:t xml:space="preserve">the </w:t>
      </w:r>
      <w:r w:rsidRPr="00DD477A">
        <w:t>following reports in CBMS.</w:t>
      </w:r>
    </w:p>
    <w:p w14:paraId="75B671C5" w14:textId="77777777" w:rsidR="004B5238" w:rsidRPr="00DD477A" w:rsidRDefault="003C38E2" w:rsidP="00E548A0">
      <w:pPr>
        <w:pStyle w:val="Heading3"/>
      </w:pPr>
      <w:bookmarkStart w:id="1439" w:name="_Toc160715613"/>
      <w:r w:rsidRPr="00DD477A">
        <w:t>Appropriation Bills 1 and 2 (for 2024-25)</w:t>
      </w:r>
      <w:bookmarkEnd w:id="1439"/>
    </w:p>
    <w:p w14:paraId="4255A40D" w14:textId="3E7E9E02" w:rsidR="003C38E2" w:rsidRPr="008610B4" w:rsidRDefault="003C38E2" w:rsidP="008610B4">
      <w:pPr>
        <w:pStyle w:val="Bullet1"/>
      </w:pPr>
      <w:r w:rsidRPr="008610B4">
        <w:t xml:space="preserve">All Reports </w:t>
      </w:r>
      <w:r w:rsidR="00BD36DA" w:rsidRPr="008610B4">
        <w:sym w:font="Wingdings" w:char="F0E0"/>
      </w:r>
      <w:r w:rsidR="00BD36DA" w:rsidRPr="008610B4">
        <w:t xml:space="preserve"> </w:t>
      </w:r>
      <w:r w:rsidRPr="008610B4">
        <w:t xml:space="preserve">Statutory Reports </w:t>
      </w:r>
      <w:r w:rsidR="00BD36DA" w:rsidRPr="008610B4">
        <w:sym w:font="Wingdings" w:char="F0E0"/>
      </w:r>
      <w:r w:rsidRPr="008610B4">
        <w:t xml:space="preserve"> Appropriation Bills </w:t>
      </w:r>
      <w:r w:rsidR="00BD36DA" w:rsidRPr="008610B4">
        <w:sym w:font="Wingdings" w:char="F0E0"/>
      </w:r>
      <w:r w:rsidRPr="008610B4">
        <w:t xml:space="preserve"> Budget Bills </w:t>
      </w:r>
      <w:r w:rsidR="00BD36DA" w:rsidRPr="008610B4">
        <w:sym w:font="Wingdings" w:char="F0E0"/>
      </w:r>
      <w:r w:rsidRPr="008610B4">
        <w:t xml:space="preserve"> Appropriation Bill 1 - Portfolio Summary and Detail</w:t>
      </w:r>
    </w:p>
    <w:p w14:paraId="6A835C70" w14:textId="38368367" w:rsidR="003C38E2" w:rsidRPr="008610B4" w:rsidRDefault="003C38E2" w:rsidP="008610B4">
      <w:pPr>
        <w:pStyle w:val="Bullet1"/>
      </w:pPr>
      <w:r w:rsidRPr="008610B4">
        <w:t xml:space="preserve">All Reports </w:t>
      </w:r>
      <w:r w:rsidR="00BC3FB2" w:rsidRPr="008610B4">
        <w:t>v</w:t>
      </w:r>
      <w:r w:rsidRPr="008610B4">
        <w:t xml:space="preserve"> Statutory Reports </w:t>
      </w:r>
      <w:r w:rsidR="00BD36DA" w:rsidRPr="008610B4">
        <w:sym w:font="Wingdings" w:char="F0E0"/>
      </w:r>
      <w:r w:rsidRPr="008610B4">
        <w:t xml:space="preserve"> Appropriation Bills </w:t>
      </w:r>
      <w:r w:rsidR="00BD36DA" w:rsidRPr="008610B4">
        <w:sym w:font="Wingdings" w:char="F0E0"/>
      </w:r>
      <w:r w:rsidRPr="008610B4">
        <w:t xml:space="preserve"> Budget Bills </w:t>
      </w:r>
      <w:r w:rsidR="00BD36DA" w:rsidRPr="008610B4">
        <w:sym w:font="Wingdings" w:char="F0E0"/>
      </w:r>
      <w:r w:rsidRPr="008610B4">
        <w:t xml:space="preserve"> Appropriation Bill 2 - Portfolio Summary and Detail.</w:t>
      </w:r>
    </w:p>
    <w:p w14:paraId="74783FDD" w14:textId="1E5BDDF0" w:rsidR="004B5238" w:rsidRPr="00DD477A" w:rsidRDefault="003C38E2" w:rsidP="00E548A0">
      <w:pPr>
        <w:pStyle w:val="Heading3"/>
      </w:pPr>
      <w:bookmarkStart w:id="1440" w:name="_Toc160715614"/>
      <w:r w:rsidRPr="00DD477A">
        <w:t>Appropriation Act No. 3 and 4 (for 2023-24)</w:t>
      </w:r>
      <w:bookmarkEnd w:id="1440"/>
    </w:p>
    <w:p w14:paraId="1F94EDF4" w14:textId="323EB521" w:rsidR="003C38E2" w:rsidRPr="008610B4" w:rsidRDefault="003C38E2" w:rsidP="008610B4">
      <w:pPr>
        <w:pStyle w:val="Bullet1"/>
      </w:pPr>
      <w:r w:rsidRPr="008610B4">
        <w:t xml:space="preserve">All Reports </w:t>
      </w:r>
      <w:r w:rsidR="00A7381C" w:rsidRPr="008610B4">
        <w:sym w:font="Wingdings" w:char="F0E0"/>
      </w:r>
      <w:r w:rsidRPr="008610B4">
        <w:t xml:space="preserve"> Statutory Reports </w:t>
      </w:r>
      <w:r w:rsidR="00667C1F" w:rsidRPr="008610B4">
        <w:sym w:font="Wingdings" w:char="F0E0"/>
      </w:r>
      <w:r w:rsidRPr="008610B4">
        <w:t xml:space="preserve"> Appropriation Bills </w:t>
      </w:r>
      <w:r w:rsidR="00667C1F" w:rsidRPr="008610B4">
        <w:sym w:font="Wingdings" w:char="F0E0"/>
      </w:r>
      <w:r w:rsidRPr="008610B4">
        <w:t xml:space="preserve"> Additional Estimates Bills </w:t>
      </w:r>
      <w:r w:rsidR="00667C1F" w:rsidRPr="008610B4">
        <w:sym w:font="Wingdings" w:char="F0E0"/>
      </w:r>
      <w:r w:rsidRPr="008610B4">
        <w:t xml:space="preserve"> Appropriation Bill 3 - Portfolio Summary and Detail</w:t>
      </w:r>
    </w:p>
    <w:p w14:paraId="2F796343" w14:textId="538500EB" w:rsidR="003C38E2" w:rsidRPr="008610B4" w:rsidRDefault="003C38E2" w:rsidP="008610B4">
      <w:pPr>
        <w:pStyle w:val="Bullet1"/>
      </w:pPr>
      <w:r w:rsidRPr="008610B4">
        <w:t xml:space="preserve">All Reports </w:t>
      </w:r>
      <w:r w:rsidR="00667C1F" w:rsidRPr="008610B4">
        <w:sym w:font="Wingdings" w:char="F0E0"/>
      </w:r>
      <w:r w:rsidRPr="008610B4">
        <w:t xml:space="preserve"> Statutory Reports </w:t>
      </w:r>
      <w:r w:rsidR="00667C1F" w:rsidRPr="008610B4">
        <w:sym w:font="Wingdings" w:char="F0E0"/>
      </w:r>
      <w:r w:rsidRPr="008610B4">
        <w:t xml:space="preserve"> Appropriation Bills </w:t>
      </w:r>
      <w:r w:rsidR="00667C1F" w:rsidRPr="008610B4">
        <w:sym w:font="Wingdings" w:char="F0E0"/>
      </w:r>
      <w:r w:rsidRPr="008610B4">
        <w:t xml:space="preserve"> Additional Estimates Bills </w:t>
      </w:r>
      <w:r w:rsidR="00667C1F" w:rsidRPr="008610B4">
        <w:sym w:font="Wingdings" w:char="F0E0"/>
      </w:r>
      <w:r w:rsidRPr="008610B4">
        <w:t xml:space="preserve"> Appropriation Bill 4 - Portfolio Summary and Detail.</w:t>
      </w:r>
    </w:p>
    <w:p w14:paraId="3725665B" w14:textId="3081249E" w:rsidR="004B5238" w:rsidRPr="00E548A0" w:rsidRDefault="003C38E2" w:rsidP="00E548A0">
      <w:pPr>
        <w:pStyle w:val="Heading3"/>
      </w:pPr>
      <w:bookmarkStart w:id="1441" w:name="_Toc160715615"/>
      <w:r w:rsidRPr="00E548A0">
        <w:t>Other reports</w:t>
      </w:r>
      <w:bookmarkEnd w:id="1441"/>
    </w:p>
    <w:p w14:paraId="70A1CF3E" w14:textId="4575FE86" w:rsidR="00A33783" w:rsidRPr="008610B4" w:rsidRDefault="00A33783" w:rsidP="008610B4">
      <w:pPr>
        <w:pStyle w:val="Bullet1"/>
      </w:pPr>
      <w:r w:rsidRPr="008610B4">
        <w:t xml:space="preserve">All Reports </w:t>
      </w:r>
      <w:r w:rsidRPr="008610B4">
        <w:sym w:font="Wingdings" w:char="F0E0"/>
      </w:r>
      <w:r w:rsidRPr="008610B4">
        <w:t xml:space="preserve"> Operational Reports </w:t>
      </w:r>
      <w:r w:rsidRPr="008610B4">
        <w:sym w:font="Wingdings" w:char="F0E0"/>
      </w:r>
      <w:r w:rsidRPr="008610B4">
        <w:t xml:space="preserve"> Cash Management </w:t>
      </w:r>
      <w:r w:rsidRPr="008610B4">
        <w:sym w:font="Wingdings" w:char="F0E0"/>
      </w:r>
      <w:r w:rsidRPr="008610B4">
        <w:t xml:space="preserve"> Cash Operational Reports </w:t>
      </w:r>
      <w:r w:rsidRPr="008610B4">
        <w:sym w:font="Wingdings" w:char="F0E0"/>
      </w:r>
      <w:r w:rsidRPr="008610B4">
        <w:t xml:space="preserve"> CM.OR.010 Appropriation Balances Report</w:t>
      </w:r>
    </w:p>
    <w:p w14:paraId="17CDBA77" w14:textId="3FECA894" w:rsidR="003C38E2" w:rsidRPr="008610B4" w:rsidRDefault="003C38E2" w:rsidP="008610B4">
      <w:pPr>
        <w:pStyle w:val="Bullet1"/>
      </w:pPr>
      <w:r w:rsidRPr="008610B4">
        <w:t xml:space="preserve">All Reports </w:t>
      </w:r>
      <w:r w:rsidR="00A33783" w:rsidRPr="008610B4">
        <w:sym w:font="Wingdings" w:char="F0E0"/>
      </w:r>
      <w:r w:rsidRPr="008610B4">
        <w:t xml:space="preserve"> Operational Reports </w:t>
      </w:r>
      <w:r w:rsidR="00A33783" w:rsidRPr="008610B4">
        <w:sym w:font="Wingdings" w:char="F0E0"/>
      </w:r>
      <w:r w:rsidRPr="008610B4">
        <w:t xml:space="preserve"> Estimates </w:t>
      </w:r>
      <w:r w:rsidR="00A33783" w:rsidRPr="008610B4">
        <w:sym w:font="Wingdings" w:char="F0E0"/>
      </w:r>
      <w:r w:rsidRPr="008610B4">
        <w:t xml:space="preserve"> Annual Estimates </w:t>
      </w:r>
      <w:r w:rsidR="00A33783" w:rsidRPr="008610B4">
        <w:sym w:font="Wingdings" w:char="F0E0"/>
      </w:r>
      <w:r w:rsidRPr="008610B4">
        <w:t xml:space="preserve"> AE.OR.13 Annual Estimates Detail Listing AEIFRS Report (PBF)</w:t>
      </w:r>
    </w:p>
    <w:p w14:paraId="4A772DD0" w14:textId="7BAE5F27" w:rsidR="003C38E2" w:rsidRPr="008610B4" w:rsidRDefault="003C38E2" w:rsidP="008610B4">
      <w:pPr>
        <w:pStyle w:val="Bullet1"/>
      </w:pPr>
      <w:r w:rsidRPr="008610B4">
        <w:t xml:space="preserve">All Reports </w:t>
      </w:r>
      <w:r w:rsidR="00667C1F" w:rsidRPr="008610B4">
        <w:sym w:font="Wingdings" w:char="F0E0"/>
      </w:r>
      <w:r w:rsidRPr="008610B4">
        <w:t xml:space="preserve"> Operational Reports </w:t>
      </w:r>
      <w:r w:rsidR="00667C1F" w:rsidRPr="008610B4">
        <w:sym w:font="Wingdings" w:char="F0E0"/>
      </w:r>
      <w:r w:rsidRPr="008610B4">
        <w:t xml:space="preserve"> Estimates </w:t>
      </w:r>
      <w:r w:rsidR="00667C1F" w:rsidRPr="008610B4">
        <w:sym w:font="Wingdings" w:char="F0E0"/>
      </w:r>
      <w:r w:rsidRPr="008610B4">
        <w:t xml:space="preserve"> Annual Estimates </w:t>
      </w:r>
      <w:r w:rsidR="00667C1F" w:rsidRPr="008610B4">
        <w:sym w:font="Wingdings" w:char="F0E0"/>
      </w:r>
      <w:r w:rsidRPr="008610B4">
        <w:t xml:space="preserve"> AE.OR.06 Annual Estimates Capital Budget Statement Report</w:t>
      </w:r>
    </w:p>
    <w:p w14:paraId="542507E9" w14:textId="44838A8B" w:rsidR="00E1794A" w:rsidRPr="008610B4" w:rsidRDefault="003C38E2" w:rsidP="008610B4">
      <w:pPr>
        <w:pStyle w:val="Bullet1"/>
      </w:pPr>
      <w:r w:rsidRPr="008610B4">
        <w:lastRenderedPageBreak/>
        <w:t xml:space="preserve">All Reports </w:t>
      </w:r>
      <w:r w:rsidR="008610B4">
        <w:sym w:font="Wingdings" w:char="F0E0"/>
      </w:r>
      <w:r w:rsidRPr="008610B4">
        <w:t xml:space="preserve"> Operational Reports </w:t>
      </w:r>
      <w:r w:rsidR="008610B4">
        <w:sym w:font="Wingdings" w:char="F0E0"/>
      </w:r>
      <w:r w:rsidRPr="008610B4">
        <w:t xml:space="preserve"> Estimates </w:t>
      </w:r>
      <w:r w:rsidR="008610B4">
        <w:sym w:font="Wingdings" w:char="F0E0"/>
      </w:r>
      <w:r w:rsidRPr="008610B4">
        <w:t xml:space="preserve"> Annual Estimates </w:t>
      </w:r>
      <w:r w:rsidR="008610B4">
        <w:sym w:font="Wingdings" w:char="F0E0"/>
      </w:r>
      <w:r w:rsidRPr="008610B4">
        <w:t xml:space="preserve"> AE.OR.10 Appropriation Bill - Actual Available Appropriations (AAA) Report</w:t>
      </w:r>
    </w:p>
    <w:p w14:paraId="1CAD7EB6" w14:textId="0AADA5DF" w:rsidR="00AC1708" w:rsidRPr="00DD477A" w:rsidRDefault="00AC1708" w:rsidP="00A85E0D">
      <w:pPr>
        <w:pStyle w:val="CBMSReportParamater"/>
        <w:ind w:left="426"/>
        <w:rPr>
          <w:i/>
          <w:u w:val="single"/>
        </w:rPr>
      </w:pPr>
      <w:r w:rsidRPr="00DD477A">
        <w:t>For the report</w:t>
      </w:r>
      <w:r w:rsidR="008D236D" w:rsidRPr="00DD477A">
        <w:t>’</w:t>
      </w:r>
      <w:r w:rsidRPr="00DD477A">
        <w:t xml:space="preserve">s budget year parameter select the </w:t>
      </w:r>
      <w:r w:rsidRPr="00DD477A">
        <w:rPr>
          <w:b/>
          <w:bCs/>
        </w:rPr>
        <w:t>current year</w:t>
      </w:r>
      <w:r w:rsidRPr="00DD477A">
        <w:t xml:space="preserve"> only to </w:t>
      </w:r>
      <w:r w:rsidR="008D236D" w:rsidRPr="00DD477A">
        <w:t>derive</w:t>
      </w:r>
      <w:r w:rsidRPr="00DD477A">
        <w:t xml:space="preserve"> the ‘AAA’ figure.</w:t>
      </w:r>
    </w:p>
    <w:p w14:paraId="59256272" w14:textId="6B39BBBF" w:rsidR="003C38E2" w:rsidRPr="00DD477A" w:rsidRDefault="00AC1708" w:rsidP="00A85E0D">
      <w:pPr>
        <w:pStyle w:val="Boxed2Text"/>
        <w:rPr>
          <w:i/>
        </w:rPr>
      </w:pPr>
      <w:r w:rsidRPr="00DD477A">
        <w:t>The</w:t>
      </w:r>
      <w:r w:rsidR="00E1794A" w:rsidRPr="00DD477A">
        <w:t xml:space="preserve"> </w:t>
      </w:r>
      <w:r w:rsidR="006364D5" w:rsidRPr="00DD477A">
        <w:t>AAA amount is live figure which means it will change from day today depend</w:t>
      </w:r>
      <w:r w:rsidRPr="00DD477A">
        <w:t>ing</w:t>
      </w:r>
      <w:r w:rsidR="006364D5" w:rsidRPr="00DD477A">
        <w:t xml:space="preserve"> on the drawdowns and other transact</w:t>
      </w:r>
      <w:r w:rsidRPr="00DD477A">
        <w:t>ion</w:t>
      </w:r>
      <w:r w:rsidR="006364D5" w:rsidRPr="00DD477A">
        <w:t xml:space="preserve">s that have occurred. </w:t>
      </w:r>
      <w:r w:rsidR="00E1794A" w:rsidRPr="00DD477A">
        <w:t>Th</w:t>
      </w:r>
      <w:r w:rsidR="00A33783" w:rsidRPr="00DD477A">
        <w:t>e</w:t>
      </w:r>
      <w:r w:rsidR="00E1794A" w:rsidRPr="00DD477A">
        <w:t xml:space="preserve"> amount reflects what is </w:t>
      </w:r>
      <w:r w:rsidR="00080319" w:rsidRPr="00DD477A">
        <w:rPr>
          <w:rFonts w:eastAsiaTheme="minorEastAsia"/>
          <w:i/>
        </w:rPr>
        <w:t xml:space="preserve">legally </w:t>
      </w:r>
      <w:r w:rsidR="00E1794A" w:rsidRPr="00DD477A">
        <w:rPr>
          <w:i/>
        </w:rPr>
        <w:t>available</w:t>
      </w:r>
      <w:r w:rsidR="00E1794A" w:rsidRPr="00DD477A">
        <w:t xml:space="preserve"> in </w:t>
      </w:r>
      <w:r w:rsidR="00A33783" w:rsidRPr="00DD477A">
        <w:t xml:space="preserve">CBMS’s </w:t>
      </w:r>
      <w:r w:rsidR="00E1794A" w:rsidRPr="00DD477A">
        <w:t xml:space="preserve">Cash Management </w:t>
      </w:r>
      <w:r w:rsidR="00080319" w:rsidRPr="00DD477A">
        <w:rPr>
          <w:rFonts w:eastAsiaTheme="minorEastAsia"/>
        </w:rPr>
        <w:t xml:space="preserve">module </w:t>
      </w:r>
      <w:r w:rsidRPr="00DD477A">
        <w:rPr>
          <w:rFonts w:eastAsiaTheme="minorEastAsia"/>
        </w:rPr>
        <w:t xml:space="preserve">at a point in time </w:t>
      </w:r>
      <w:r w:rsidR="00E1794A" w:rsidRPr="00DD477A">
        <w:t xml:space="preserve">and should be adjusted for </w:t>
      </w:r>
      <w:r w:rsidR="00A33783" w:rsidRPr="00DD477A">
        <w:t xml:space="preserve">payments </w:t>
      </w:r>
      <w:r w:rsidR="00E1794A" w:rsidRPr="00DD477A">
        <w:t>expected to be paid out by 30 June 202</w:t>
      </w:r>
      <w:r w:rsidR="00080319" w:rsidRPr="00DD477A">
        <w:rPr>
          <w:rFonts w:eastAsiaTheme="minorEastAsia"/>
          <w:sz w:val="20"/>
          <w:szCs w:val="20"/>
        </w:rPr>
        <w:t>4</w:t>
      </w:r>
      <w:r w:rsidR="00E1794A" w:rsidRPr="00DD477A">
        <w:t>. The amount shown in the AAA Report will be net of any s51 withholdings and administrative quarantines.</w:t>
      </w:r>
    </w:p>
    <w:p w14:paraId="3BE7EF16" w14:textId="1EEF3CAC" w:rsidR="005077A4" w:rsidRPr="00DD477A" w:rsidRDefault="00C36058" w:rsidP="00E548A0">
      <w:pPr>
        <w:pStyle w:val="Heading3"/>
      </w:pPr>
      <w:bookmarkStart w:id="1442" w:name="_Toc160715616"/>
      <w:r w:rsidRPr="00DD477A">
        <w:t>Prior year annual appropriation balances</w:t>
      </w:r>
      <w:bookmarkEnd w:id="1442"/>
    </w:p>
    <w:p w14:paraId="32A99427" w14:textId="72F04B86" w:rsidR="00E73C37" w:rsidRPr="008610B4" w:rsidRDefault="00D55A04" w:rsidP="008610B4">
      <w:pPr>
        <w:pStyle w:val="Bullet1"/>
      </w:pPr>
      <w:r w:rsidRPr="008610B4">
        <w:t xml:space="preserve">All </w:t>
      </w:r>
      <w:r w:rsidR="00E73C37" w:rsidRPr="008610B4">
        <w:t xml:space="preserve">Reports </w:t>
      </w:r>
      <w:r w:rsidR="00E0406C" w:rsidRPr="008610B4">
        <w:sym w:font="Wingdings" w:char="F0E0"/>
      </w:r>
      <w:r w:rsidR="00E73C37" w:rsidRPr="008610B4">
        <w:t xml:space="preserve"> CBMS Reporting </w:t>
      </w:r>
      <w:r w:rsidR="00E0406C" w:rsidRPr="008610B4">
        <w:sym w:font="Wingdings" w:char="F0E0"/>
      </w:r>
      <w:r w:rsidR="00E73C37" w:rsidRPr="008610B4">
        <w:t xml:space="preserve"> Operational Reports </w:t>
      </w:r>
      <w:r w:rsidR="00E0406C" w:rsidRPr="008610B4">
        <w:sym w:font="Wingdings" w:char="F0E0"/>
      </w:r>
      <w:r w:rsidR="00E73C37" w:rsidRPr="008610B4">
        <w:t xml:space="preserve"> Cash Management </w:t>
      </w:r>
      <w:r w:rsidR="00E0406C" w:rsidRPr="008610B4">
        <w:sym w:font="Wingdings" w:char="F0E0"/>
      </w:r>
      <w:r w:rsidR="00E73C37" w:rsidRPr="008610B4">
        <w:t xml:space="preserve"> Cash Operational Reports </w:t>
      </w:r>
      <w:r w:rsidR="00E0406C" w:rsidRPr="008610B4">
        <w:sym w:font="Wingdings" w:char="F0E0"/>
      </w:r>
      <w:r w:rsidR="00E73C37" w:rsidRPr="008610B4">
        <w:t xml:space="preserve"> CM.OR.010 Appropriation Balances Report.</w:t>
      </w:r>
    </w:p>
    <w:p w14:paraId="64DDB959" w14:textId="5B38408E" w:rsidR="004B5238" w:rsidRPr="00751C33" w:rsidRDefault="00442B62" w:rsidP="00E548A0">
      <w:pPr>
        <w:pStyle w:val="Heading3"/>
      </w:pPr>
      <w:bookmarkStart w:id="1443" w:name="_Toc160715617"/>
      <w:r w:rsidRPr="00751C33">
        <w:t>Section 74 Receipts Reports</w:t>
      </w:r>
      <w:bookmarkEnd w:id="1443"/>
    </w:p>
    <w:p w14:paraId="4421F908" w14:textId="6166C781" w:rsidR="00297159" w:rsidRPr="008610B4" w:rsidRDefault="00297159" w:rsidP="008610B4">
      <w:pPr>
        <w:pStyle w:val="Bullet1"/>
      </w:pPr>
      <w:r w:rsidRPr="008610B4">
        <w:t xml:space="preserve">All Reports </w:t>
      </w:r>
      <w:r w:rsidR="00667C1F" w:rsidRPr="008610B4">
        <w:sym w:font="Wingdings" w:char="F0E0"/>
      </w:r>
      <w:r w:rsidRPr="008610B4">
        <w:t xml:space="preserve"> Statutory Reports </w:t>
      </w:r>
      <w:r w:rsidR="00667C1F" w:rsidRPr="008610B4">
        <w:sym w:font="Wingdings" w:char="F0E0"/>
      </w:r>
      <w:r w:rsidRPr="008610B4">
        <w:t xml:space="preserve"> Budget Paper 4 </w:t>
      </w:r>
      <w:r w:rsidR="00667C1F" w:rsidRPr="008610B4">
        <w:sym w:font="Wingdings" w:char="F0E0"/>
      </w:r>
      <w:r w:rsidRPr="008610B4">
        <w:t xml:space="preserve"> B4.T1 Agency resourcing table</w:t>
      </w:r>
    </w:p>
    <w:p w14:paraId="665B79CD" w14:textId="631B5572" w:rsidR="00297159" w:rsidRPr="008610B4" w:rsidRDefault="00297159" w:rsidP="008610B4">
      <w:pPr>
        <w:pStyle w:val="Bullet1"/>
      </w:pPr>
      <w:r w:rsidRPr="008610B4">
        <w:t xml:space="preserve">All Reports </w:t>
      </w:r>
      <w:r w:rsidR="00667C1F" w:rsidRPr="008610B4">
        <w:sym w:font="Wingdings" w:char="F0E0"/>
      </w:r>
      <w:r w:rsidRPr="008610B4">
        <w:t xml:space="preserve"> Operational Reports </w:t>
      </w:r>
      <w:r w:rsidR="00667C1F" w:rsidRPr="008610B4">
        <w:sym w:font="Wingdings" w:char="F0E0"/>
      </w:r>
      <w:r w:rsidRPr="008610B4">
        <w:t xml:space="preserve"> Estimates </w:t>
      </w:r>
      <w:r w:rsidR="00667C1F" w:rsidRPr="008610B4">
        <w:sym w:font="Wingdings" w:char="F0E0"/>
      </w:r>
      <w:r w:rsidRPr="008610B4">
        <w:t xml:space="preserve"> Annual Estimates </w:t>
      </w:r>
      <w:r w:rsidR="00667C1F" w:rsidRPr="008610B4">
        <w:sym w:font="Wingdings" w:char="F0E0"/>
      </w:r>
      <w:r w:rsidRPr="008610B4">
        <w:t xml:space="preserve"> AE.OR.16 Annual Estimates</w:t>
      </w:r>
      <w:r w:rsidR="0022713C" w:rsidRPr="008610B4">
        <w:t xml:space="preserve"> </w:t>
      </w:r>
      <w:r w:rsidRPr="008610B4">
        <w:t>Appropriation by Outcome/Program Report</w:t>
      </w:r>
    </w:p>
    <w:p w14:paraId="5887D696" w14:textId="2AA9E995" w:rsidR="004B5238" w:rsidRPr="00751C33" w:rsidRDefault="00536D59" w:rsidP="00E548A0">
      <w:pPr>
        <w:pStyle w:val="Heading3"/>
      </w:pPr>
      <w:bookmarkStart w:id="1444" w:name="_Toc160715618"/>
      <w:r w:rsidRPr="00751C33">
        <w:t>Departmental / administered capital budget</w:t>
      </w:r>
      <w:bookmarkEnd w:id="1444"/>
    </w:p>
    <w:p w14:paraId="42ACA13D" w14:textId="2B54B695" w:rsidR="0024564D" w:rsidRPr="008610B4" w:rsidRDefault="003E3EA5" w:rsidP="008610B4">
      <w:pPr>
        <w:pStyle w:val="Bullet1"/>
      </w:pPr>
      <w:r w:rsidRPr="008610B4">
        <w:t xml:space="preserve">All Reports </w:t>
      </w:r>
      <w:r w:rsidR="00FD602E" w:rsidRPr="008610B4">
        <w:t></w:t>
      </w:r>
      <w:r w:rsidRPr="008610B4">
        <w:t xml:space="preserve"> Operational Reports </w:t>
      </w:r>
      <w:r w:rsidR="00FD602E" w:rsidRPr="008610B4">
        <w:t></w:t>
      </w:r>
      <w:r w:rsidRPr="008610B4">
        <w:t xml:space="preserve"> Estimates </w:t>
      </w:r>
      <w:r w:rsidR="00FD602E" w:rsidRPr="008610B4">
        <w:t></w:t>
      </w:r>
      <w:r w:rsidRPr="008610B4">
        <w:t xml:space="preserve"> Annual Estimates </w:t>
      </w:r>
      <w:r w:rsidR="00FD602E" w:rsidRPr="008610B4">
        <w:t></w:t>
      </w:r>
      <w:r w:rsidRPr="008610B4">
        <w:t xml:space="preserve"> AE.OR.06 Annual Estimates Capital Budget Statement Report</w:t>
      </w:r>
    </w:p>
    <w:p w14:paraId="50E024F2" w14:textId="6BED4226" w:rsidR="004B5238" w:rsidRPr="00DD477A" w:rsidRDefault="0024564D" w:rsidP="00E548A0">
      <w:pPr>
        <w:pStyle w:val="Heading3"/>
      </w:pPr>
      <w:bookmarkStart w:id="1445" w:name="_Toc160715619"/>
      <w:r w:rsidRPr="00DD477A">
        <w:t>Annual Appropriations – other services</w:t>
      </w:r>
      <w:bookmarkEnd w:id="1445"/>
    </w:p>
    <w:p w14:paraId="6FE57B8C" w14:textId="1E0D5CFA" w:rsidR="000640D8" w:rsidRPr="008610B4" w:rsidRDefault="000640D8" w:rsidP="008610B4">
      <w:pPr>
        <w:pStyle w:val="Bullet1"/>
      </w:pPr>
      <w:r w:rsidRPr="008610B4">
        <w:t xml:space="preserve">All Reports </w:t>
      </w:r>
      <w:r w:rsidR="008610B4">
        <w:sym w:font="Wingdings" w:char="F0E0"/>
      </w:r>
      <w:r w:rsidRPr="008610B4">
        <w:t xml:space="preserve"> Statutory Reports </w:t>
      </w:r>
      <w:r w:rsidR="008610B4">
        <w:sym w:font="Wingdings" w:char="F0E0"/>
      </w:r>
      <w:r w:rsidRPr="008610B4">
        <w:t xml:space="preserve"> Appropriation Bills </w:t>
      </w:r>
      <w:r w:rsidR="008610B4">
        <w:sym w:font="Wingdings" w:char="F0E0"/>
      </w:r>
      <w:r w:rsidRPr="008610B4">
        <w:t xml:space="preserve"> Budget Bills </w:t>
      </w:r>
      <w:r w:rsidR="008610B4" w:rsidRPr="00502725">
        <w:sym w:font="Wingdings" w:char="F0E0"/>
      </w:r>
      <w:r w:rsidRPr="008610B4">
        <w:t xml:space="preserve"> Appropriation Bill 2 – Portfolio Summary and Detail</w:t>
      </w:r>
    </w:p>
    <w:p w14:paraId="1C149E1E" w14:textId="4012A331" w:rsidR="000640D8" w:rsidRPr="008610B4" w:rsidRDefault="000640D8" w:rsidP="008610B4">
      <w:pPr>
        <w:pStyle w:val="Bullet1"/>
      </w:pPr>
      <w:r w:rsidRPr="008610B4">
        <w:t xml:space="preserve">All Reports </w:t>
      </w:r>
      <w:r w:rsidR="008610B4" w:rsidRPr="00502725">
        <w:sym w:font="Wingdings" w:char="F0E0"/>
      </w:r>
      <w:r w:rsidRPr="008610B4">
        <w:t xml:space="preserve"> Operational Reports </w:t>
      </w:r>
      <w:r w:rsidR="008610B4" w:rsidRPr="00502725">
        <w:sym w:font="Wingdings" w:char="F0E0"/>
      </w:r>
      <w:r w:rsidRPr="008610B4">
        <w:t xml:space="preserve"> Estimates </w:t>
      </w:r>
      <w:r w:rsidR="008610B4" w:rsidRPr="00502725">
        <w:sym w:font="Wingdings" w:char="F0E0"/>
      </w:r>
      <w:r w:rsidRPr="008610B4">
        <w:t xml:space="preserve"> Annual Estimates </w:t>
      </w:r>
      <w:r w:rsidR="008610B4" w:rsidRPr="00502725">
        <w:sym w:font="Wingdings" w:char="F0E0"/>
      </w:r>
      <w:r w:rsidRPr="008610B4">
        <w:t xml:space="preserve"> AE.OR.10 Appropriation Bill – Actual Available Appropriations (AAA) Report</w:t>
      </w:r>
    </w:p>
    <w:p w14:paraId="5BD384D2" w14:textId="2A97D3E7" w:rsidR="0024564D" w:rsidRPr="008610B4" w:rsidRDefault="000640D8" w:rsidP="008610B4">
      <w:pPr>
        <w:pStyle w:val="Bullet1"/>
      </w:pPr>
      <w:r w:rsidRPr="008610B4">
        <w:t xml:space="preserve">All Reports </w:t>
      </w:r>
      <w:r w:rsidR="008610B4" w:rsidRPr="00502725">
        <w:sym w:font="Wingdings" w:char="F0E0"/>
      </w:r>
      <w:r w:rsidRPr="008610B4">
        <w:t xml:space="preserve"> Operational Reports </w:t>
      </w:r>
      <w:r w:rsidR="008610B4" w:rsidRPr="00502725">
        <w:sym w:font="Wingdings" w:char="F0E0"/>
      </w:r>
      <w:r w:rsidRPr="008610B4">
        <w:t xml:space="preserve"> Estimates </w:t>
      </w:r>
      <w:r w:rsidR="008610B4" w:rsidRPr="00502725">
        <w:sym w:font="Wingdings" w:char="F0E0"/>
      </w:r>
      <w:r w:rsidRPr="008610B4">
        <w:t xml:space="preserve"> Annual Estimates </w:t>
      </w:r>
      <w:r w:rsidR="008610B4" w:rsidRPr="00502725">
        <w:sym w:font="Wingdings" w:char="F0E0"/>
      </w:r>
      <w:r w:rsidRPr="008610B4">
        <w:t xml:space="preserve"> AE.OR.11 Annual Estimates Appropriations QA Report.</w:t>
      </w:r>
    </w:p>
    <w:p w14:paraId="107E857B" w14:textId="0239B6BC" w:rsidR="00965806" w:rsidRPr="00751C33" w:rsidRDefault="00042946" w:rsidP="00E548A0">
      <w:pPr>
        <w:pStyle w:val="Heading3"/>
      </w:pPr>
      <w:bookmarkStart w:id="1446" w:name="_Toc160715620"/>
      <w:r w:rsidRPr="00751C33">
        <w:t xml:space="preserve">Payments </w:t>
      </w:r>
      <w:r w:rsidR="004B4136" w:rsidRPr="00751C33">
        <w:t>to corporate entities</w:t>
      </w:r>
      <w:bookmarkEnd w:id="1446"/>
    </w:p>
    <w:p w14:paraId="05D7C9CD" w14:textId="4EC78FBC" w:rsidR="00AC2CFE" w:rsidRPr="008610B4" w:rsidRDefault="005077A4" w:rsidP="008610B4">
      <w:pPr>
        <w:pStyle w:val="Bullet1"/>
      </w:pPr>
      <w:r w:rsidRPr="008610B4">
        <w:t xml:space="preserve">All Reports </w:t>
      </w:r>
      <w:r w:rsidR="008610B4" w:rsidRPr="00502725">
        <w:sym w:font="Wingdings" w:char="F0E0"/>
      </w:r>
      <w:r w:rsidRPr="008610B4">
        <w:t xml:space="preserve"> Statutory Reports </w:t>
      </w:r>
      <w:r w:rsidR="008610B4" w:rsidRPr="00502725">
        <w:sym w:font="Wingdings" w:char="F0E0"/>
      </w:r>
      <w:r w:rsidRPr="008610B4">
        <w:t xml:space="preserve"> Appropriation Bills </w:t>
      </w:r>
      <w:r w:rsidR="008610B4" w:rsidRPr="00502725">
        <w:sym w:font="Wingdings" w:char="F0E0"/>
      </w:r>
      <w:r w:rsidRPr="008610B4">
        <w:t xml:space="preserve"> Budget Bills </w:t>
      </w:r>
      <w:r w:rsidR="008610B4" w:rsidRPr="00502725">
        <w:sym w:font="Wingdings" w:char="F0E0"/>
      </w:r>
      <w:r w:rsidRPr="008610B4">
        <w:t xml:space="preserve"> Appropriation Bill x – Portfolio Summary and Detail</w:t>
      </w:r>
    </w:p>
    <w:p w14:paraId="5204230B" w14:textId="095F3A28" w:rsidR="00965806" w:rsidRPr="00751C33" w:rsidRDefault="004B4136" w:rsidP="00E548A0">
      <w:pPr>
        <w:pStyle w:val="Heading3"/>
      </w:pPr>
      <w:bookmarkStart w:id="1447" w:name="_Toc160715621"/>
      <w:r w:rsidRPr="00751C33">
        <w:t>Special Appropriations</w:t>
      </w:r>
      <w:bookmarkEnd w:id="1447"/>
    </w:p>
    <w:p w14:paraId="02F921BB" w14:textId="3A32B6D9" w:rsidR="004B4136" w:rsidRPr="008610B4" w:rsidRDefault="004B4136" w:rsidP="008610B4">
      <w:pPr>
        <w:pStyle w:val="Bullet1"/>
      </w:pPr>
      <w:r w:rsidRPr="008610B4">
        <w:t xml:space="preserve">All Reports </w:t>
      </w:r>
      <w:r w:rsidR="008610B4" w:rsidRPr="00502725">
        <w:sym w:font="Wingdings" w:char="F0E0"/>
      </w:r>
      <w:r w:rsidRPr="008610B4">
        <w:t xml:space="preserve"> Operational Reports </w:t>
      </w:r>
      <w:r w:rsidR="008610B4" w:rsidRPr="00502725">
        <w:sym w:font="Wingdings" w:char="F0E0"/>
      </w:r>
      <w:r w:rsidRPr="008610B4">
        <w:t xml:space="preserve"> Estimates </w:t>
      </w:r>
      <w:r w:rsidR="008610B4" w:rsidRPr="00502725">
        <w:sym w:font="Wingdings" w:char="F0E0"/>
      </w:r>
      <w:r w:rsidRPr="008610B4">
        <w:t xml:space="preserve"> Annual Estimates </w:t>
      </w:r>
      <w:r w:rsidR="008610B4" w:rsidRPr="00502725">
        <w:sym w:font="Wingdings" w:char="F0E0"/>
      </w:r>
      <w:r w:rsidRPr="008610B4">
        <w:t xml:space="preserve"> AE.OR.13 Annual Estimates Detail Listing AEIFRS Report (PBF)</w:t>
      </w:r>
    </w:p>
    <w:p w14:paraId="6C62C296" w14:textId="05D9F5CC" w:rsidR="00965806" w:rsidRPr="00DD477A" w:rsidRDefault="00712D3B" w:rsidP="00E548A0">
      <w:pPr>
        <w:pStyle w:val="Heading3"/>
      </w:pPr>
      <w:bookmarkStart w:id="1448" w:name="_Toc160715622"/>
      <w:r w:rsidRPr="00DD477A">
        <w:lastRenderedPageBreak/>
        <w:t>Special accounts and Exclusion of Trust Moneys</w:t>
      </w:r>
      <w:bookmarkEnd w:id="1448"/>
    </w:p>
    <w:p w14:paraId="3EF7D538" w14:textId="24928144" w:rsidR="00712D3B" w:rsidRPr="00DD477A" w:rsidRDefault="00712D3B" w:rsidP="00A85E0D">
      <w:pPr>
        <w:pStyle w:val="Bullet1"/>
      </w:pPr>
      <w:r w:rsidRPr="00DD477A">
        <w:t xml:space="preserve">All Reports </w:t>
      </w:r>
      <w:r w:rsidR="00181AC9" w:rsidRPr="00DD477A">
        <w:rPr>
          <w:rFonts w:ascii="Wingdings" w:eastAsia="Wingdings" w:hAnsi="Wingdings" w:cs="Wingdings"/>
        </w:rPr>
        <w:t></w:t>
      </w:r>
      <w:r w:rsidRPr="00DD477A">
        <w:t xml:space="preserve"> Statutory Reports </w:t>
      </w:r>
      <w:r w:rsidR="00181AC9" w:rsidRPr="00DD477A">
        <w:rPr>
          <w:rFonts w:ascii="Wingdings" w:eastAsia="Wingdings" w:hAnsi="Wingdings" w:cs="Wingdings"/>
        </w:rPr>
        <w:t></w:t>
      </w:r>
      <w:r w:rsidRPr="00DD477A">
        <w:t xml:space="preserve"> Budget Paper 4 </w:t>
      </w:r>
      <w:r w:rsidR="00181AC9" w:rsidRPr="00DD477A">
        <w:rPr>
          <w:rFonts w:ascii="Wingdings" w:eastAsia="Wingdings" w:hAnsi="Wingdings" w:cs="Wingdings"/>
        </w:rPr>
        <w:t></w:t>
      </w:r>
      <w:r w:rsidRPr="00DD477A">
        <w:t xml:space="preserve"> B4.T4 Special accounts table</w:t>
      </w:r>
    </w:p>
    <w:p w14:paraId="2E9C269D" w14:textId="2375DB1B" w:rsidR="00712D3B" w:rsidRPr="00DD477A" w:rsidRDefault="00712D3B" w:rsidP="00A85E0D">
      <w:pPr>
        <w:pStyle w:val="Bullet1"/>
        <w:rPr>
          <w:rFonts w:eastAsiaTheme="minorHAnsi"/>
          <w:sz w:val="20"/>
          <w:szCs w:val="20"/>
        </w:rPr>
      </w:pPr>
      <w:r w:rsidRPr="00DD477A">
        <w:t xml:space="preserve">All Reports </w:t>
      </w:r>
      <w:r w:rsidR="00181AC9" w:rsidRPr="00DD477A">
        <w:rPr>
          <w:rFonts w:ascii="Wingdings" w:eastAsia="Wingdings" w:hAnsi="Wingdings" w:cs="Wingdings"/>
        </w:rPr>
        <w:t></w:t>
      </w:r>
      <w:r w:rsidRPr="00DD477A">
        <w:t xml:space="preserve"> Operational Reports </w:t>
      </w:r>
      <w:r w:rsidR="00181AC9" w:rsidRPr="00DD477A">
        <w:rPr>
          <w:rFonts w:ascii="Wingdings" w:eastAsia="Wingdings" w:hAnsi="Wingdings" w:cs="Wingdings"/>
        </w:rPr>
        <w:t></w:t>
      </w:r>
      <w:r w:rsidRPr="00DD477A">
        <w:t xml:space="preserve"> Estimates </w:t>
      </w:r>
      <w:r w:rsidR="00181AC9" w:rsidRPr="00DD477A">
        <w:rPr>
          <w:rFonts w:ascii="Wingdings" w:eastAsia="Wingdings" w:hAnsi="Wingdings" w:cs="Wingdings"/>
        </w:rPr>
        <w:t></w:t>
      </w:r>
      <w:r w:rsidRPr="00DD477A">
        <w:t xml:space="preserve"> Annual Estimates </w:t>
      </w:r>
      <w:r w:rsidR="0049238D" w:rsidRPr="00DD477A">
        <w:sym w:font="Wingdings" w:char="F0E0"/>
      </w:r>
      <w:r w:rsidRPr="00DD477A">
        <w:t xml:space="preserve"> AE.OR.09 Annual Estimates Special Accounts Report</w:t>
      </w:r>
    </w:p>
    <w:p w14:paraId="4D8B3E44" w14:textId="2F654E29" w:rsidR="00965806" w:rsidRPr="00DD477A" w:rsidRDefault="00E56119" w:rsidP="00E548A0">
      <w:pPr>
        <w:pStyle w:val="Heading2"/>
      </w:pPr>
      <w:bookmarkStart w:id="1449" w:name="_Toc160715623"/>
      <w:r w:rsidRPr="00DD477A">
        <w:t>Budgeted financial statements</w:t>
      </w:r>
      <w:bookmarkEnd w:id="1449"/>
    </w:p>
    <w:p w14:paraId="1FF92AFF" w14:textId="77777777" w:rsidR="00DF2697" w:rsidRPr="00DD477A" w:rsidRDefault="00DF2697" w:rsidP="00E548A0">
      <w:pPr>
        <w:pStyle w:val="Heading3"/>
      </w:pPr>
      <w:bookmarkStart w:id="1450" w:name="_Toc160715624"/>
      <w:r w:rsidRPr="00DD477A">
        <w:t>CBMS Chart of account mappings</w:t>
      </w:r>
      <w:bookmarkEnd w:id="1450"/>
    </w:p>
    <w:p w14:paraId="34F33721" w14:textId="694804C0" w:rsidR="00DF2697" w:rsidRPr="00DD477A" w:rsidRDefault="00DF2697" w:rsidP="00A85E0D">
      <w:pPr>
        <w:pStyle w:val="Bullet1"/>
        <w:numPr>
          <w:ilvl w:val="0"/>
          <w:numId w:val="0"/>
        </w:numPr>
      </w:pPr>
      <w:bookmarkStart w:id="1451" w:name="App1_Budgetedfinsts"/>
      <w:r w:rsidRPr="00DD477A">
        <w:t xml:space="preserve">A mappings file exists which describes how </w:t>
      </w:r>
      <w:r w:rsidR="003714D2" w:rsidRPr="00DD477A">
        <w:t xml:space="preserve">CBMS’s PBS </w:t>
      </w:r>
      <w:r w:rsidRPr="00DD477A">
        <w:t xml:space="preserve">reports </w:t>
      </w:r>
      <w:r w:rsidR="003714D2" w:rsidRPr="00DD477A">
        <w:t>a</w:t>
      </w:r>
      <w:r w:rsidRPr="00DD477A">
        <w:t xml:space="preserve">re derived </w:t>
      </w:r>
      <w:r w:rsidR="003714D2" w:rsidRPr="00DD477A">
        <w:t xml:space="preserve">by the system’s </w:t>
      </w:r>
      <w:r w:rsidRPr="00DD477A">
        <w:t>chart of accounts</w:t>
      </w:r>
      <w:r w:rsidR="003714D2" w:rsidRPr="00DD477A">
        <w:t xml:space="preserve"> and this is located in CBMS under the following path</w:t>
      </w:r>
      <w:r w:rsidR="008C4F90" w:rsidRPr="00DD477A">
        <w:t>:</w:t>
      </w:r>
    </w:p>
    <w:p w14:paraId="7196B332" w14:textId="5E0DE6D2" w:rsidR="00DF2697" w:rsidRPr="00DD477A" w:rsidRDefault="00DF2697" w:rsidP="00667C1F">
      <w:pPr>
        <w:pStyle w:val="Bullet1"/>
      </w:pPr>
      <w:r w:rsidRPr="00DD477A">
        <w:t xml:space="preserve">Guidance and Resources </w:t>
      </w:r>
      <w:r w:rsidRPr="00DD477A">
        <w:sym w:font="Wingdings" w:char="F0E0"/>
      </w:r>
      <w:r w:rsidRPr="00DD477A">
        <w:t xml:space="preserve"> Reference Material </w:t>
      </w:r>
      <w:r w:rsidRPr="00DD477A">
        <w:sym w:font="Wingdings" w:char="F0E0"/>
      </w:r>
      <w:r w:rsidRPr="00DD477A">
        <w:t xml:space="preserve"> PBS &amp; PAES Mappings</w:t>
      </w:r>
      <w:r w:rsidR="00AC1708" w:rsidRPr="00DD477A">
        <w:t xml:space="preserve"> PBS &amp; PAES Section Financial Statements vx.xx.xlsx</w:t>
      </w:r>
    </w:p>
    <w:p w14:paraId="6AC0121B" w14:textId="0CAE6EB5" w:rsidR="003714D2" w:rsidRPr="00DD477A" w:rsidRDefault="003714D2" w:rsidP="00E548A0">
      <w:pPr>
        <w:pStyle w:val="Heading3"/>
      </w:pPr>
      <w:bookmarkStart w:id="1452" w:name="_Toc160715625"/>
      <w:r w:rsidRPr="00DD477A">
        <w:t>Transactional Annual Estimates Data</w:t>
      </w:r>
      <w:bookmarkEnd w:id="1452"/>
    </w:p>
    <w:bookmarkEnd w:id="1451"/>
    <w:p w14:paraId="1AD9A4DC" w14:textId="77777777" w:rsidR="00E56119" w:rsidRPr="00DD477A" w:rsidRDefault="00E56119" w:rsidP="00E56119">
      <w:r w:rsidRPr="00DD477A">
        <w:t>The following report contains transaction-level data and can be used to cross-check or verify data sourced from other reports:</w:t>
      </w:r>
    </w:p>
    <w:p w14:paraId="2A965042" w14:textId="64B3FA5C" w:rsidR="00E56119" w:rsidRPr="00DD477A" w:rsidRDefault="00E56119" w:rsidP="00A85E0D">
      <w:pPr>
        <w:pStyle w:val="Bullet1"/>
      </w:pPr>
      <w:r w:rsidRPr="00DD477A">
        <w:t xml:space="preserve">All Reports </w:t>
      </w:r>
      <w:r w:rsidR="00181AC9" w:rsidRPr="00DD477A">
        <w:rPr>
          <w:rFonts w:ascii="Wingdings" w:eastAsia="Wingdings" w:hAnsi="Wingdings" w:cs="Wingdings"/>
        </w:rPr>
        <w:t></w:t>
      </w:r>
      <w:r w:rsidRPr="00DD477A">
        <w:t xml:space="preserve"> Operational Reports </w:t>
      </w:r>
      <w:r w:rsidR="00181AC9" w:rsidRPr="00DD477A">
        <w:rPr>
          <w:rFonts w:ascii="Wingdings" w:eastAsia="Wingdings" w:hAnsi="Wingdings" w:cs="Wingdings"/>
        </w:rPr>
        <w:t></w:t>
      </w:r>
      <w:r w:rsidRPr="00DD477A">
        <w:t xml:space="preserve"> Estimates </w:t>
      </w:r>
      <w:r w:rsidR="00181AC9" w:rsidRPr="00DD477A">
        <w:rPr>
          <w:rFonts w:ascii="Wingdings" w:eastAsia="Wingdings" w:hAnsi="Wingdings" w:cs="Wingdings"/>
        </w:rPr>
        <w:t></w:t>
      </w:r>
      <w:r w:rsidRPr="00DD477A">
        <w:t xml:space="preserve"> Annual Estimates </w:t>
      </w:r>
      <w:r w:rsidR="00181AC9" w:rsidRPr="00DD477A">
        <w:rPr>
          <w:rFonts w:ascii="Wingdings" w:eastAsia="Wingdings" w:hAnsi="Wingdings" w:cs="Wingdings"/>
        </w:rPr>
        <w:t></w:t>
      </w:r>
      <w:r w:rsidRPr="00DD477A">
        <w:t xml:space="preserve"> AE.OR.13 Annual Estimates Detail Listing AEIFRS Report (PBF)</w:t>
      </w:r>
    </w:p>
    <w:p w14:paraId="19956E1E" w14:textId="222FD938" w:rsidR="00956F31" w:rsidRPr="009F579E" w:rsidRDefault="00A7269F" w:rsidP="009F579E">
      <w:pPr>
        <w:pStyle w:val="Heading3"/>
      </w:pPr>
      <w:bookmarkStart w:id="1453" w:name="_Toc160715626"/>
      <w:bookmarkStart w:id="1454" w:name="App1_DeptPL"/>
      <w:r w:rsidRPr="009F579E">
        <w:t xml:space="preserve">PBS T3.01 </w:t>
      </w:r>
      <w:r w:rsidR="00956F31" w:rsidRPr="009F579E">
        <w:t>Comprehensive income statement (showing net cost of services)</w:t>
      </w:r>
      <w:bookmarkEnd w:id="1453"/>
      <w:r w:rsidR="00956F31" w:rsidRPr="009F579E">
        <w:t xml:space="preserve"> </w:t>
      </w:r>
    </w:p>
    <w:bookmarkEnd w:id="1454"/>
    <w:p w14:paraId="28F47920" w14:textId="6AF08E53" w:rsidR="00FD064D" w:rsidRPr="00DD477A" w:rsidRDefault="00FD064D" w:rsidP="00A85E0D">
      <w:r w:rsidRPr="00DD477A">
        <w:t>Main report for derivation purposes:</w:t>
      </w:r>
    </w:p>
    <w:p w14:paraId="7EDEC7FE" w14:textId="72AB95F6" w:rsidR="00FD064D" w:rsidRPr="00DD477A" w:rsidRDefault="003F5F6A" w:rsidP="00FD064D">
      <w:pPr>
        <w:pStyle w:val="Bullet1"/>
        <w:rPr>
          <w:rFonts w:cs="Times New Roman"/>
          <w:sz w:val="20"/>
          <w:szCs w:val="20"/>
        </w:rPr>
      </w:pPr>
      <w:r w:rsidRPr="00DD477A">
        <w:t xml:space="preserve">All Reports </w:t>
      </w:r>
      <w:r w:rsidR="00FD064D" w:rsidRPr="00DD477A">
        <w:sym w:font="Wingdings" w:char="F0E0"/>
      </w:r>
      <w:r w:rsidR="00FD064D" w:rsidRPr="00DD477A">
        <w:t xml:space="preserve"> CBMS Reporting </w:t>
      </w:r>
      <w:r w:rsidR="00FD064D" w:rsidRPr="00DD477A">
        <w:sym w:font="Wingdings" w:char="F0E0"/>
      </w:r>
      <w:r w:rsidR="00FD064D" w:rsidRPr="00DD477A">
        <w:t xml:space="preserve"> Statutory Report </w:t>
      </w:r>
      <w:r w:rsidR="00FD064D" w:rsidRPr="00DD477A">
        <w:sym w:font="Wingdings" w:char="F0E0"/>
      </w:r>
      <w:r w:rsidR="00FD064D" w:rsidRPr="00DD477A">
        <w:t xml:space="preserve"> PBS </w:t>
      </w:r>
      <w:r w:rsidR="00FD064D" w:rsidRPr="00DD477A">
        <w:sym w:font="Wingdings" w:char="F0E0"/>
      </w:r>
      <w:r w:rsidR="00FD064D" w:rsidRPr="00DD477A">
        <w:t xml:space="preserve"> PBS.T3.01 Comprehensive Income Statement (showing net cost of services)</w:t>
      </w:r>
    </w:p>
    <w:p w14:paraId="6044C2C7" w14:textId="18BDF0DB" w:rsidR="00FD064D" w:rsidRPr="00DD477A" w:rsidRDefault="00FD064D" w:rsidP="00A85E0D">
      <w:r w:rsidRPr="00DD477A">
        <w:t>For cross-checking purposes:</w:t>
      </w:r>
    </w:p>
    <w:p w14:paraId="4FCCDFED" w14:textId="155AB178" w:rsidR="003F5F6A" w:rsidRPr="00DD477A" w:rsidRDefault="003F5F6A" w:rsidP="00A85E0D">
      <w:pPr>
        <w:pStyle w:val="Bullet1"/>
        <w:rPr>
          <w:rFonts w:cs="Times New Roman"/>
          <w:sz w:val="20"/>
          <w:szCs w:val="20"/>
        </w:rPr>
      </w:pPr>
      <w:r w:rsidRPr="00DD477A">
        <w:t xml:space="preserve">All Reports </w:t>
      </w:r>
      <w:r w:rsidR="00BD36DA" w:rsidRPr="00DD477A">
        <w:sym w:font="Wingdings" w:char="F0E0"/>
      </w:r>
      <w:r w:rsidRPr="00DD477A">
        <w:t xml:space="preserve"> Operational Reports </w:t>
      </w:r>
      <w:r w:rsidR="00BD36DA" w:rsidRPr="00DD477A">
        <w:sym w:font="Wingdings" w:char="F0E0"/>
      </w:r>
      <w:r w:rsidRPr="00DD477A">
        <w:t xml:space="preserve"> Estimates </w:t>
      </w:r>
      <w:r w:rsidR="00BD36DA" w:rsidRPr="00DD477A">
        <w:sym w:font="Wingdings" w:char="F0E0"/>
      </w:r>
      <w:r w:rsidRPr="00DD477A">
        <w:t xml:space="preserve"> Annual Estimates </w:t>
      </w:r>
      <w:r w:rsidR="00BD36DA" w:rsidRPr="00DD477A">
        <w:sym w:font="Wingdings" w:char="F0E0"/>
      </w:r>
      <w:r w:rsidRPr="00DD477A">
        <w:t xml:space="preserve"> AE.OR.01 Annual Estimates Financial</w:t>
      </w:r>
      <w:r w:rsidRPr="00DD477A">
        <w:rPr>
          <w:rFonts w:cs="Times New Roman"/>
          <w:sz w:val="20"/>
          <w:szCs w:val="20"/>
        </w:rPr>
        <w:t xml:space="preserve"> Statements</w:t>
      </w:r>
    </w:p>
    <w:p w14:paraId="71B8E15D" w14:textId="77777777" w:rsidR="00BD36DA" w:rsidRPr="00DD477A" w:rsidRDefault="003F5F6A" w:rsidP="00A85E0D">
      <w:pPr>
        <w:pStyle w:val="IndentBlueText"/>
      </w:pPr>
      <w:r w:rsidRPr="00DD477A">
        <w:t xml:space="preserve">All Account Hierarchies can be expanded (by right clicking on one of the Account Hierarchy items and selecting </w:t>
      </w:r>
    </w:p>
    <w:p w14:paraId="24BD11EB" w14:textId="09333346" w:rsidR="00FC7F1D" w:rsidRPr="009F579E" w:rsidRDefault="00A7269F" w:rsidP="009F579E">
      <w:pPr>
        <w:pStyle w:val="Heading3"/>
      </w:pPr>
      <w:bookmarkStart w:id="1455" w:name="_Toc160715627"/>
      <w:r w:rsidRPr="009F579E">
        <w:t xml:space="preserve">PBS T3.02 </w:t>
      </w:r>
      <w:bookmarkStart w:id="1456" w:name="App1_DeptBalSheet"/>
      <w:r w:rsidR="00FC7F1D" w:rsidRPr="009F579E">
        <w:t>Budgeted departmental balance sheet</w:t>
      </w:r>
      <w:bookmarkEnd w:id="1455"/>
    </w:p>
    <w:bookmarkEnd w:id="1456"/>
    <w:p w14:paraId="2C4C6F15" w14:textId="77777777" w:rsidR="00FD064D" w:rsidRPr="00DD477A" w:rsidRDefault="00FD064D" w:rsidP="00FD064D">
      <w:r w:rsidRPr="00DD477A">
        <w:t>Main report for derivation purposes:</w:t>
      </w:r>
    </w:p>
    <w:p w14:paraId="2F05635B" w14:textId="4BD9FCED" w:rsidR="00FD064D" w:rsidRPr="00DD477A" w:rsidRDefault="00FD064D" w:rsidP="00A85E0D">
      <w:pPr>
        <w:pStyle w:val="Bullet1"/>
      </w:pPr>
      <w:r w:rsidRPr="00DD477A">
        <w:t xml:space="preserve">All Reports </w:t>
      </w:r>
      <w:r w:rsidRPr="00DD477A">
        <w:sym w:font="Wingdings" w:char="F0E0"/>
      </w:r>
      <w:r w:rsidRPr="00DD477A">
        <w:t xml:space="preserve"> CBMS Reporting </w:t>
      </w:r>
      <w:r w:rsidRPr="00DD477A">
        <w:sym w:font="Wingdings" w:char="F0E0"/>
      </w:r>
      <w:r w:rsidRPr="00DD477A">
        <w:t xml:space="preserve"> Statutory Report </w:t>
      </w:r>
      <w:r w:rsidRPr="00DD477A">
        <w:sym w:font="Wingdings" w:char="F0E0"/>
      </w:r>
      <w:r w:rsidRPr="00DD477A">
        <w:t xml:space="preserve"> PBS </w:t>
      </w:r>
      <w:r w:rsidRPr="00DD477A">
        <w:sym w:font="Wingdings" w:char="F0E0"/>
      </w:r>
      <w:r w:rsidRPr="00DD477A">
        <w:t xml:space="preserve"> PBS.T3.02 Budgeted Departmental Balance Sheet</w:t>
      </w:r>
    </w:p>
    <w:p w14:paraId="615DD1A9" w14:textId="77777777" w:rsidR="00FD064D" w:rsidRPr="00DD477A" w:rsidRDefault="00FD064D" w:rsidP="00FD064D">
      <w:r w:rsidRPr="00DD477A">
        <w:t>For cross-checking purposes:</w:t>
      </w:r>
    </w:p>
    <w:p w14:paraId="24E18D2F" w14:textId="78287ED8" w:rsidR="00FC7F1D" w:rsidRPr="00DD477A" w:rsidRDefault="00FC7F1D" w:rsidP="00A85E0D">
      <w:pPr>
        <w:pStyle w:val="Bullet1"/>
      </w:pPr>
      <w:r w:rsidRPr="00DD477A">
        <w:t xml:space="preserve">All Reports </w:t>
      </w:r>
      <w:r w:rsidR="00487843" w:rsidRPr="00DD477A">
        <w:rPr>
          <w:rFonts w:ascii="Wingdings" w:eastAsia="Wingdings" w:hAnsi="Wingdings" w:cs="Wingdings"/>
        </w:rPr>
        <w:t></w:t>
      </w:r>
      <w:r w:rsidRPr="00DD477A">
        <w:t xml:space="preserve"> Operational Reports </w:t>
      </w:r>
      <w:r w:rsidR="00487843" w:rsidRPr="00DD477A">
        <w:rPr>
          <w:rFonts w:ascii="Wingdings" w:eastAsia="Wingdings" w:hAnsi="Wingdings" w:cs="Wingdings"/>
        </w:rPr>
        <w:t></w:t>
      </w:r>
      <w:r w:rsidRPr="00DD477A">
        <w:t xml:space="preserve"> Estimates </w:t>
      </w:r>
      <w:r w:rsidR="00487843" w:rsidRPr="00DD477A">
        <w:rPr>
          <w:rFonts w:ascii="Wingdings" w:eastAsia="Wingdings" w:hAnsi="Wingdings" w:cs="Wingdings"/>
        </w:rPr>
        <w:t></w:t>
      </w:r>
      <w:r w:rsidRPr="00DD477A">
        <w:t xml:space="preserve"> Annual Estimates </w:t>
      </w:r>
      <w:r w:rsidR="00FD064D" w:rsidRPr="00DD477A">
        <w:sym w:font="Wingdings" w:char="F0E0"/>
      </w:r>
      <w:r w:rsidRPr="00DD477A">
        <w:t xml:space="preserve"> AE.OR.01 Annual Estimates Financial Statements</w:t>
      </w:r>
    </w:p>
    <w:p w14:paraId="7BF20D93" w14:textId="751BEF97" w:rsidR="00FC7F1D" w:rsidRPr="00DD477A" w:rsidRDefault="00FC7F1D" w:rsidP="00A85E0D">
      <w:pPr>
        <w:pStyle w:val="CBMSReportParamater"/>
      </w:pPr>
      <w:r w:rsidRPr="00DD477A">
        <w:t>Select ‘Departmental’ as the control type and go to ‘</w:t>
      </w:r>
      <w:r w:rsidR="002C3981" w:rsidRPr="00DD477A">
        <w:t>Summary</w:t>
      </w:r>
      <w:r w:rsidRPr="00DD477A">
        <w:t xml:space="preserve"> View’.</w:t>
      </w:r>
    </w:p>
    <w:p w14:paraId="18885811" w14:textId="371F80BF" w:rsidR="00FC7F1D" w:rsidRPr="00DD477A" w:rsidRDefault="00A7269F" w:rsidP="00E548A0">
      <w:pPr>
        <w:pStyle w:val="Heading3"/>
      </w:pPr>
      <w:bookmarkStart w:id="1457" w:name="_Toc160715628"/>
      <w:bookmarkStart w:id="1458" w:name="App1_DeptStChangesinEquity"/>
      <w:r w:rsidRPr="00DD477A">
        <w:lastRenderedPageBreak/>
        <w:t xml:space="preserve">PBS T3.03 </w:t>
      </w:r>
      <w:r w:rsidR="00FC7F1D" w:rsidRPr="00DD477A">
        <w:t>Departmental statement of changes in equity</w:t>
      </w:r>
      <w:bookmarkEnd w:id="1457"/>
    </w:p>
    <w:bookmarkEnd w:id="1458"/>
    <w:p w14:paraId="43797838" w14:textId="77777777" w:rsidR="008D236D" w:rsidRPr="00DD477A" w:rsidRDefault="008D236D" w:rsidP="008D236D">
      <w:r w:rsidRPr="00DD477A">
        <w:t>Main report for derivation purposes:</w:t>
      </w:r>
    </w:p>
    <w:p w14:paraId="631BE912" w14:textId="7D54A219" w:rsidR="00FD064D" w:rsidRPr="00DD477A" w:rsidRDefault="00FC7F1D" w:rsidP="000D1925">
      <w:pPr>
        <w:pStyle w:val="Bullet1"/>
        <w:tabs>
          <w:tab w:val="clear" w:pos="360"/>
        </w:tabs>
        <w:ind w:left="425" w:hanging="425"/>
        <w:rPr>
          <w:rFonts w:cs="Times New Roman"/>
          <w:sz w:val="20"/>
          <w:szCs w:val="20"/>
        </w:rPr>
      </w:pPr>
      <w:r w:rsidRPr="00DD477A">
        <w:t xml:space="preserve">All Reports </w:t>
      </w:r>
      <w:r w:rsidR="008D236D" w:rsidRPr="00DD477A">
        <w:sym w:font="Wingdings" w:char="F0E0"/>
      </w:r>
      <w:r w:rsidR="008D236D" w:rsidRPr="00DD477A">
        <w:t xml:space="preserve"> CBMS Reporting </w:t>
      </w:r>
      <w:r w:rsidR="008D236D" w:rsidRPr="00DD477A">
        <w:sym w:font="Wingdings" w:char="F0E0"/>
      </w:r>
      <w:r w:rsidR="008D236D" w:rsidRPr="00DD477A">
        <w:t xml:space="preserve"> Statutory Report </w:t>
      </w:r>
      <w:r w:rsidR="008D236D" w:rsidRPr="00DD477A">
        <w:sym w:font="Wingdings" w:char="F0E0"/>
      </w:r>
      <w:r w:rsidR="008D236D" w:rsidRPr="00DD477A">
        <w:t xml:space="preserve"> PBS </w:t>
      </w:r>
      <w:r w:rsidR="008D236D" w:rsidRPr="00DD477A">
        <w:sym w:font="Wingdings" w:char="F0E0"/>
      </w:r>
      <w:r w:rsidR="008D236D" w:rsidRPr="00DD477A">
        <w:t xml:space="preserve"> PBS.T3.03 Departmental Statement of Changes in Equity</w:t>
      </w:r>
    </w:p>
    <w:p w14:paraId="2092374D" w14:textId="77777777" w:rsidR="008D236D" w:rsidRPr="00DD477A" w:rsidRDefault="008D236D" w:rsidP="008D236D">
      <w:r w:rsidRPr="00DD477A">
        <w:t>For cross-checking purposes:</w:t>
      </w:r>
    </w:p>
    <w:p w14:paraId="266F9E96" w14:textId="215D440B" w:rsidR="00FC7F1D" w:rsidRPr="00DD477A" w:rsidRDefault="00FC7F1D" w:rsidP="00667C1F">
      <w:pPr>
        <w:pStyle w:val="Bullet1"/>
        <w:rPr>
          <w:rFonts w:cs="Times New Roman"/>
          <w:sz w:val="20"/>
          <w:szCs w:val="20"/>
        </w:rPr>
      </w:pPr>
      <w:r w:rsidRPr="00DD477A">
        <w:t xml:space="preserve">All Reports </w:t>
      </w:r>
      <w:r w:rsidR="00BD36DA" w:rsidRPr="00DD477A">
        <w:sym w:font="Wingdings" w:char="F0E0"/>
      </w:r>
      <w:r w:rsidRPr="00DD477A">
        <w:t xml:space="preserve"> Operational Reports </w:t>
      </w:r>
      <w:r w:rsidR="00BD36DA" w:rsidRPr="00DD477A">
        <w:sym w:font="Wingdings" w:char="F0E0"/>
      </w:r>
      <w:r w:rsidRPr="00DD477A">
        <w:t xml:space="preserve"> Estimates </w:t>
      </w:r>
      <w:r w:rsidR="00BD36DA" w:rsidRPr="00DD477A">
        <w:sym w:font="Wingdings" w:char="F0E0"/>
      </w:r>
      <w:r w:rsidRPr="00DD477A">
        <w:t xml:space="preserve"> Annual Estimates </w:t>
      </w:r>
      <w:r w:rsidR="00BD36DA" w:rsidRPr="00DD477A">
        <w:sym w:font="Wingdings" w:char="F0E0"/>
      </w:r>
      <w:r w:rsidRPr="00DD477A">
        <w:t xml:space="preserve"> AE.OR.02 Annual Estimates and Equity</w:t>
      </w:r>
      <w:r w:rsidRPr="00DD477A">
        <w:rPr>
          <w:rFonts w:cs="Times New Roman"/>
          <w:sz w:val="20"/>
          <w:szCs w:val="20"/>
        </w:rPr>
        <w:t xml:space="preserve"> Report.</w:t>
      </w:r>
    </w:p>
    <w:p w14:paraId="421216E1" w14:textId="77AABA56" w:rsidR="00FC7F1D" w:rsidRPr="00DD477A" w:rsidRDefault="00FC7F1D" w:rsidP="00A85E0D">
      <w:pPr>
        <w:pStyle w:val="CBMSReportParamater"/>
        <w:rPr>
          <w:i/>
        </w:rPr>
      </w:pPr>
      <w:r w:rsidRPr="00DD477A">
        <w:t>Select ‘</w:t>
      </w:r>
      <w:r w:rsidR="002C3981" w:rsidRPr="00DD477A">
        <w:t>2024-25</w:t>
      </w:r>
      <w:r w:rsidRPr="00DD477A">
        <w:t>’ as the financial year and ‘Departmental’ as the control type</w:t>
      </w:r>
      <w:r w:rsidRPr="00DD477A">
        <w:rPr>
          <w:i/>
        </w:rPr>
        <w:t>.</w:t>
      </w:r>
    </w:p>
    <w:p w14:paraId="43C0E579" w14:textId="77B1ADC2" w:rsidR="00DC5A2D" w:rsidRPr="009F579E" w:rsidRDefault="00A7269F" w:rsidP="009F579E">
      <w:pPr>
        <w:pStyle w:val="Heading3"/>
      </w:pPr>
      <w:bookmarkStart w:id="1459" w:name="_Toc160715629"/>
      <w:bookmarkStart w:id="1460" w:name="App1_DeptCFS"/>
      <w:r w:rsidRPr="009F579E">
        <w:t xml:space="preserve">PBS T3.04 </w:t>
      </w:r>
      <w:r w:rsidR="00DC5A2D" w:rsidRPr="009F579E">
        <w:t>Budgeted departmental statement of cash flows</w:t>
      </w:r>
      <w:bookmarkEnd w:id="1459"/>
    </w:p>
    <w:bookmarkEnd w:id="1460"/>
    <w:p w14:paraId="3DEF9E87" w14:textId="77777777" w:rsidR="008D236D" w:rsidRPr="00DD477A" w:rsidRDefault="008D236D" w:rsidP="008D236D">
      <w:r w:rsidRPr="00DD477A">
        <w:t>Main report for derivation purposes:</w:t>
      </w:r>
    </w:p>
    <w:p w14:paraId="33EC1274" w14:textId="082E14A6" w:rsidR="008D236D" w:rsidRPr="00DD477A" w:rsidRDefault="008D236D" w:rsidP="00A85E0D">
      <w:pPr>
        <w:pStyle w:val="Bullet1"/>
      </w:pPr>
      <w:r w:rsidRPr="00DD477A">
        <w:t xml:space="preserve">All Reports </w:t>
      </w:r>
      <w:r w:rsidRPr="00DD477A">
        <w:sym w:font="Wingdings" w:char="F0E0"/>
      </w:r>
      <w:r w:rsidRPr="00DD477A">
        <w:t xml:space="preserve"> CBMS Reporting </w:t>
      </w:r>
      <w:r w:rsidRPr="00DD477A">
        <w:sym w:font="Wingdings" w:char="F0E0"/>
      </w:r>
      <w:r w:rsidRPr="00DD477A">
        <w:t xml:space="preserve"> Statutory Report </w:t>
      </w:r>
      <w:r w:rsidRPr="00DD477A">
        <w:sym w:font="Wingdings" w:char="F0E0"/>
      </w:r>
      <w:r w:rsidRPr="00DD477A">
        <w:t xml:space="preserve"> PBS </w:t>
      </w:r>
      <w:r w:rsidRPr="00DD477A">
        <w:sym w:font="Wingdings" w:char="F0E0"/>
      </w:r>
      <w:r w:rsidRPr="00DD477A">
        <w:t xml:space="preserve"> PBS.T3.04 Budgeted Departmental Statement of Cash Flows </w:t>
      </w:r>
    </w:p>
    <w:p w14:paraId="5DF19574" w14:textId="77777777" w:rsidR="008D236D" w:rsidRPr="00DD477A" w:rsidRDefault="008D236D" w:rsidP="008D236D">
      <w:r w:rsidRPr="00DD477A">
        <w:t>For cross-checking purposes:</w:t>
      </w:r>
    </w:p>
    <w:p w14:paraId="4F18EC67" w14:textId="6BBB6DE0" w:rsidR="00DC5A2D" w:rsidRPr="00DD477A" w:rsidRDefault="00DC5A2D" w:rsidP="00A85E0D">
      <w:pPr>
        <w:pStyle w:val="Bullet1"/>
      </w:pPr>
      <w:r w:rsidRPr="00DD477A">
        <w:t xml:space="preserve">All Reports </w:t>
      </w:r>
      <w:r w:rsidR="00487843" w:rsidRPr="00DD477A">
        <w:rPr>
          <w:rFonts w:ascii="Wingdings" w:eastAsia="Wingdings" w:hAnsi="Wingdings" w:cs="Wingdings"/>
        </w:rPr>
        <w:t></w:t>
      </w:r>
      <w:r w:rsidRPr="00DD477A">
        <w:t xml:space="preserve"> Operational Reports </w:t>
      </w:r>
      <w:r w:rsidR="00487843" w:rsidRPr="00DD477A">
        <w:rPr>
          <w:rFonts w:ascii="Wingdings" w:eastAsia="Wingdings" w:hAnsi="Wingdings" w:cs="Wingdings"/>
        </w:rPr>
        <w:t></w:t>
      </w:r>
      <w:r w:rsidRPr="00DD477A">
        <w:t xml:space="preserve"> Estimates </w:t>
      </w:r>
      <w:r w:rsidR="00487843" w:rsidRPr="00DD477A">
        <w:rPr>
          <w:rFonts w:ascii="Wingdings" w:eastAsia="Wingdings" w:hAnsi="Wingdings" w:cs="Wingdings"/>
        </w:rPr>
        <w:t></w:t>
      </w:r>
      <w:r w:rsidRPr="00DD477A">
        <w:t xml:space="preserve"> Annual Estimates </w:t>
      </w:r>
      <w:r w:rsidR="00487843" w:rsidRPr="00DD477A">
        <w:rPr>
          <w:rFonts w:ascii="Wingdings" w:eastAsia="Wingdings" w:hAnsi="Wingdings" w:cs="Wingdings"/>
        </w:rPr>
        <w:t></w:t>
      </w:r>
      <w:r w:rsidRPr="00DD477A">
        <w:t xml:space="preserve"> AE.OR.01 Annual Estimates Financial Statements</w:t>
      </w:r>
    </w:p>
    <w:p w14:paraId="63865FFF" w14:textId="1073154D" w:rsidR="00DC5A2D" w:rsidRPr="00DD477A" w:rsidRDefault="00DC5A2D" w:rsidP="00A85E0D">
      <w:pPr>
        <w:pStyle w:val="CBMSReportParamater"/>
      </w:pPr>
      <w:r w:rsidRPr="00DD477A">
        <w:t>Select ‘Departmental’ as the control type and look up ‘</w:t>
      </w:r>
      <w:r w:rsidR="002C3981" w:rsidRPr="00DD477A">
        <w:t>Summary</w:t>
      </w:r>
      <w:r w:rsidRPr="00DD477A">
        <w:t xml:space="preserve"> View’.</w:t>
      </w:r>
    </w:p>
    <w:p w14:paraId="137069D0" w14:textId="15129573" w:rsidR="00FC7F1D" w:rsidRPr="009F579E" w:rsidRDefault="00A7269F" w:rsidP="009F579E">
      <w:pPr>
        <w:pStyle w:val="Heading3"/>
      </w:pPr>
      <w:bookmarkStart w:id="1461" w:name="_Toc160715630"/>
      <w:bookmarkStart w:id="1462" w:name="App1_DeptCapBudgetSt"/>
      <w:r w:rsidRPr="009F579E">
        <w:t xml:space="preserve">PBS T3.05 </w:t>
      </w:r>
      <w:r w:rsidR="00FC7F1D" w:rsidRPr="009F579E">
        <w:t>Departmental capital budget statement</w:t>
      </w:r>
      <w:bookmarkEnd w:id="1461"/>
    </w:p>
    <w:bookmarkEnd w:id="1462"/>
    <w:p w14:paraId="3E6C9927" w14:textId="1901A601" w:rsidR="00FC7F1D" w:rsidRPr="00DD477A" w:rsidRDefault="00FC7F1D" w:rsidP="00667C1F">
      <w:pPr>
        <w:pStyle w:val="Bullet1"/>
      </w:pPr>
      <w:r w:rsidRPr="00DD477A">
        <w:t xml:space="preserve">All Reports </w:t>
      </w:r>
      <w:r w:rsidR="00487843" w:rsidRPr="00DD477A">
        <w:rPr>
          <w:rFonts w:ascii="Wingdings" w:eastAsia="Wingdings" w:hAnsi="Wingdings" w:cs="Wingdings"/>
        </w:rPr>
        <w:t></w:t>
      </w:r>
      <w:r w:rsidRPr="00DD477A">
        <w:t xml:space="preserve"> Operational Reports </w:t>
      </w:r>
      <w:r w:rsidR="00487843" w:rsidRPr="00DD477A">
        <w:rPr>
          <w:rFonts w:ascii="Wingdings" w:eastAsia="Wingdings" w:hAnsi="Wingdings" w:cs="Wingdings"/>
        </w:rPr>
        <w:t></w:t>
      </w:r>
      <w:r w:rsidRPr="00DD477A">
        <w:t xml:space="preserve"> Estimates </w:t>
      </w:r>
      <w:r w:rsidR="00487843" w:rsidRPr="00DD477A">
        <w:rPr>
          <w:rFonts w:ascii="Wingdings" w:eastAsia="Wingdings" w:hAnsi="Wingdings" w:cs="Wingdings"/>
        </w:rPr>
        <w:t></w:t>
      </w:r>
      <w:r w:rsidRPr="00DD477A">
        <w:t xml:space="preserve"> Annual Estimates </w:t>
      </w:r>
      <w:r w:rsidR="00BD36DA" w:rsidRPr="00DD477A">
        <w:sym w:font="Wingdings" w:char="F0E0"/>
      </w:r>
      <w:r w:rsidRPr="00DD477A">
        <w:t xml:space="preserve"> AE.OR.06 Capital Budget Statement Report</w:t>
      </w:r>
    </w:p>
    <w:p w14:paraId="2442AE19" w14:textId="77777777" w:rsidR="00FC7F1D" w:rsidRPr="00DD477A" w:rsidRDefault="00FC7F1D" w:rsidP="00A85E0D">
      <w:pPr>
        <w:pStyle w:val="CBMSReportParamater"/>
      </w:pPr>
      <w:r w:rsidRPr="00DD477A">
        <w:t>Select ‘Departmental’ as the control type.</w:t>
      </w:r>
    </w:p>
    <w:p w14:paraId="2A078A49" w14:textId="3EDCC172" w:rsidR="00FC7F1D" w:rsidRPr="009F579E" w:rsidRDefault="00A7269F" w:rsidP="009F579E">
      <w:pPr>
        <w:pStyle w:val="Heading3"/>
      </w:pPr>
      <w:bookmarkStart w:id="1463" w:name="_Toc160715631"/>
      <w:bookmarkStart w:id="1464" w:name="App1_DeptStatementAssetMvt"/>
      <w:r w:rsidRPr="009F579E">
        <w:t xml:space="preserve">PBS T3.06 </w:t>
      </w:r>
      <w:r w:rsidR="00FC7F1D" w:rsidRPr="009F579E">
        <w:t>Departmental statement of asset movements</w:t>
      </w:r>
      <w:bookmarkEnd w:id="1463"/>
    </w:p>
    <w:bookmarkEnd w:id="1464"/>
    <w:p w14:paraId="19F384DA" w14:textId="77777777" w:rsidR="00702A9C" w:rsidRPr="00DD477A" w:rsidRDefault="00702A9C" w:rsidP="00702A9C">
      <w:r w:rsidRPr="00DD477A">
        <w:t>Main report for derivation purposes:</w:t>
      </w:r>
    </w:p>
    <w:p w14:paraId="4490B10B" w14:textId="7AD920EA" w:rsidR="00702A9C" w:rsidRPr="00DD477A" w:rsidRDefault="00702A9C" w:rsidP="00702A9C">
      <w:r w:rsidRPr="00DD477A">
        <w:t>•</w:t>
      </w:r>
      <w:r w:rsidRPr="00DD477A">
        <w:tab/>
      </w:r>
      <w:r w:rsidR="00FC7F1D" w:rsidRPr="00DD477A">
        <w:t xml:space="preserve">All Reports </w:t>
      </w:r>
      <w:r w:rsidRPr="00DD477A">
        <w:sym w:font="Wingdings" w:char="F0E0"/>
      </w:r>
      <w:r w:rsidRPr="00DD477A">
        <w:t xml:space="preserve"> CBMS Reporting </w:t>
      </w:r>
      <w:r w:rsidRPr="00DD477A">
        <w:sym w:font="Wingdings" w:char="F0E0"/>
      </w:r>
      <w:r w:rsidRPr="00DD477A">
        <w:t xml:space="preserve"> Statutory Report </w:t>
      </w:r>
      <w:r w:rsidRPr="00DD477A">
        <w:sym w:font="Wingdings" w:char="F0E0"/>
      </w:r>
      <w:r w:rsidRPr="00DD477A">
        <w:t xml:space="preserve"> PBS </w:t>
      </w:r>
      <w:r w:rsidRPr="00DD477A">
        <w:sym w:font="Wingdings" w:char="F0E0"/>
      </w:r>
      <w:r w:rsidRPr="00DD477A">
        <w:t xml:space="preserve"> PBS.T3.06 Statement of Departmental Asset Movements</w:t>
      </w:r>
    </w:p>
    <w:p w14:paraId="4E8519C1" w14:textId="77777777" w:rsidR="00702A9C" w:rsidRPr="00DD477A" w:rsidRDefault="00702A9C" w:rsidP="00702A9C">
      <w:r w:rsidRPr="00DD477A">
        <w:t>For cross-checking purposes:</w:t>
      </w:r>
    </w:p>
    <w:p w14:paraId="72BA3C8B" w14:textId="3ABB0B0A" w:rsidR="00FC7F1D" w:rsidRPr="00DD477A" w:rsidRDefault="00FC7F1D" w:rsidP="00A85E0D">
      <w:pPr>
        <w:pStyle w:val="Bullet1"/>
        <w:rPr>
          <w:rFonts w:cs="Times New Roman"/>
          <w:sz w:val="20"/>
          <w:szCs w:val="20"/>
        </w:rPr>
      </w:pPr>
      <w:r w:rsidRPr="00DD477A">
        <w:t xml:space="preserve">All Reports </w:t>
      </w:r>
      <w:r w:rsidR="00BD36DA" w:rsidRPr="00DD477A">
        <w:sym w:font="Wingdings" w:char="F0E0"/>
      </w:r>
      <w:r w:rsidRPr="00DD477A">
        <w:t xml:space="preserve"> Operational Reports </w:t>
      </w:r>
      <w:r w:rsidR="00BD36DA" w:rsidRPr="00DD477A">
        <w:sym w:font="Wingdings" w:char="F0E0"/>
      </w:r>
      <w:r w:rsidRPr="00DD477A">
        <w:t xml:space="preserve"> Estimates </w:t>
      </w:r>
      <w:r w:rsidR="00BD36DA" w:rsidRPr="00DD477A">
        <w:sym w:font="Wingdings" w:char="F0E0"/>
      </w:r>
      <w:r w:rsidRPr="00DD477A">
        <w:t xml:space="preserve"> Annual Estimates </w:t>
      </w:r>
      <w:r w:rsidR="00BD36DA" w:rsidRPr="00DD477A">
        <w:sym w:font="Wingdings" w:char="F0E0"/>
      </w:r>
      <w:r w:rsidRPr="00DD477A">
        <w:t xml:space="preserve"> AE.OR.02 Annual Estimates and Equity</w:t>
      </w:r>
      <w:r w:rsidRPr="00DD477A">
        <w:rPr>
          <w:rFonts w:cs="Times New Roman"/>
          <w:sz w:val="20"/>
          <w:szCs w:val="20"/>
        </w:rPr>
        <w:t xml:space="preserve"> Report</w:t>
      </w:r>
    </w:p>
    <w:p w14:paraId="6611F216" w14:textId="789A363B" w:rsidR="00FC7F1D" w:rsidRPr="00DD477A" w:rsidRDefault="00FC7F1D" w:rsidP="00A85E0D">
      <w:pPr>
        <w:pStyle w:val="CBMSReportParamater"/>
      </w:pPr>
      <w:r w:rsidRPr="00DD477A">
        <w:t>Select ‘202</w:t>
      </w:r>
      <w:r w:rsidR="002C3981" w:rsidRPr="00DD477A">
        <w:t>4</w:t>
      </w:r>
      <w:r w:rsidRPr="00DD477A">
        <w:t>-2</w:t>
      </w:r>
      <w:r w:rsidR="002C3981" w:rsidRPr="00DD477A">
        <w:t>5</w:t>
      </w:r>
      <w:r w:rsidRPr="00DD477A">
        <w:t>’ as the financial year and ‘Departmental’ as the control type.</w:t>
      </w:r>
    </w:p>
    <w:p w14:paraId="640F9FFE" w14:textId="03C5CD6A" w:rsidR="00FC7F1D" w:rsidRPr="00DD477A" w:rsidRDefault="00FC7F1D" w:rsidP="00E548A0">
      <w:pPr>
        <w:pStyle w:val="Heading3"/>
      </w:pPr>
      <w:bookmarkStart w:id="1465" w:name="_Toc160715632"/>
      <w:bookmarkStart w:id="1466" w:name="App1_AdminFinSts"/>
      <w:r w:rsidRPr="00DD477A">
        <w:t>Administered financial statements</w:t>
      </w:r>
      <w:bookmarkEnd w:id="1465"/>
      <w:r w:rsidRPr="00DD477A">
        <w:t xml:space="preserve"> </w:t>
      </w:r>
    </w:p>
    <w:bookmarkEnd w:id="1466"/>
    <w:p w14:paraId="6B42646A" w14:textId="2650B497" w:rsidR="00477C4E" w:rsidRPr="00DD477A" w:rsidRDefault="00FC7F1D">
      <w:pPr>
        <w:sectPr w:rsidR="00477C4E" w:rsidRPr="00DD477A" w:rsidSect="00E73E0E">
          <w:pgSz w:w="11900" w:h="16840" w:code="9"/>
          <w:pgMar w:top="1418" w:right="851" w:bottom="1418" w:left="1418" w:header="624" w:footer="624" w:gutter="0"/>
          <w:cols w:space="708"/>
          <w:docGrid w:linePitch="360"/>
        </w:sectPr>
      </w:pPr>
      <w:r w:rsidRPr="00DD477A">
        <w:t xml:space="preserve">Information for these tables should be sourced by running the same CBMS reports as Tables 3.1 to 3.6 </w:t>
      </w:r>
      <w:r w:rsidR="00C217FE" w:rsidRPr="00DD477A">
        <w:t>utilised</w:t>
      </w:r>
      <w:r w:rsidRPr="00DD477A">
        <w:t xml:space="preserve"> for</w:t>
      </w:r>
      <w:r w:rsidR="00C217FE" w:rsidRPr="00DD477A">
        <w:t xml:space="preserve"> </w:t>
      </w:r>
      <w:r w:rsidR="00CA2BD3" w:rsidRPr="00DD477A">
        <w:t xml:space="preserve">the </w:t>
      </w:r>
      <w:r w:rsidR="00C217FE" w:rsidRPr="00DD477A">
        <w:t xml:space="preserve">Departmental </w:t>
      </w:r>
      <w:r w:rsidR="00CA2BD3" w:rsidRPr="00DD477A">
        <w:t xml:space="preserve">financial statement tables </w:t>
      </w:r>
      <w:r w:rsidR="00C217FE" w:rsidRPr="00DD477A">
        <w:t xml:space="preserve">above </w:t>
      </w:r>
      <w:r w:rsidRPr="00DD477A">
        <w:t>but changing the control type to ‘Administered’.</w:t>
      </w:r>
    </w:p>
    <w:p w14:paraId="759661A1" w14:textId="4565AB97" w:rsidR="00477C4E" w:rsidRPr="00DD477A" w:rsidRDefault="00A86B02" w:rsidP="00E548A0">
      <w:pPr>
        <w:pStyle w:val="Heading1"/>
        <w:numPr>
          <w:ilvl w:val="0"/>
          <w:numId w:val="0"/>
        </w:numPr>
        <w:ind w:left="1134" w:hanging="1134"/>
      </w:pPr>
      <w:bookmarkStart w:id="1467" w:name="_Toc29394574"/>
      <w:bookmarkStart w:id="1468" w:name="_Toc29394872"/>
      <w:bookmarkStart w:id="1469" w:name="_Toc29394999"/>
      <w:bookmarkStart w:id="1470" w:name="_Toc29395396"/>
      <w:bookmarkStart w:id="1471" w:name="_Toc29395483"/>
      <w:bookmarkStart w:id="1472" w:name="_Toc29396914"/>
      <w:bookmarkStart w:id="1473" w:name="_Toc29478156"/>
      <w:bookmarkStart w:id="1474" w:name="_Toc29481894"/>
      <w:bookmarkStart w:id="1475" w:name="_Toc29544198"/>
      <w:bookmarkStart w:id="1476" w:name="_Toc29544785"/>
      <w:bookmarkStart w:id="1477" w:name="_Toc29544860"/>
      <w:bookmarkStart w:id="1478" w:name="_Toc29546724"/>
      <w:bookmarkStart w:id="1479" w:name="_Toc29980741"/>
      <w:bookmarkStart w:id="1480" w:name="_Toc30405629"/>
      <w:bookmarkStart w:id="1481" w:name="_Toc30581370"/>
      <w:bookmarkStart w:id="1482" w:name="_Toc32830032"/>
      <w:bookmarkStart w:id="1483" w:name="_Toc32917539"/>
      <w:bookmarkStart w:id="1484" w:name="_Toc32918345"/>
      <w:bookmarkStart w:id="1485" w:name="_Toc32999728"/>
      <w:bookmarkStart w:id="1486" w:name="_Toc33099452"/>
      <w:bookmarkStart w:id="1487" w:name="_Toc33196077"/>
      <w:bookmarkStart w:id="1488" w:name="_Toc33196379"/>
      <w:bookmarkStart w:id="1489" w:name="_Toc160715633"/>
      <w:bookmarkStart w:id="1490" w:name="_Toc411852707"/>
      <w:bookmarkStart w:id="1491" w:name="_Toc534382584"/>
      <w:bookmarkStart w:id="1492" w:name="_Toc63347741"/>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r w:rsidRPr="00DD477A">
        <w:lastRenderedPageBreak/>
        <w:t xml:space="preserve">Appendix </w:t>
      </w:r>
      <w:r w:rsidR="00FC135D" w:rsidRPr="00DD477A">
        <w:t>2</w:t>
      </w:r>
      <w:r w:rsidRPr="00DD477A">
        <w:t>:</w:t>
      </w:r>
      <w:bookmarkEnd w:id="1489"/>
    </w:p>
    <w:p w14:paraId="1F078F44" w14:textId="523926E8" w:rsidR="002941A0" w:rsidRPr="00DD477A" w:rsidRDefault="002941A0" w:rsidP="00E548A0">
      <w:pPr>
        <w:pStyle w:val="Heading1"/>
      </w:pPr>
      <w:bookmarkStart w:id="1493" w:name="_Toc160715634"/>
      <w:r w:rsidRPr="00DD477A">
        <w:t>Working with the templates</w:t>
      </w:r>
      <w:bookmarkEnd w:id="1493"/>
    </w:p>
    <w:p w14:paraId="32F01317" w14:textId="7CFC48D4" w:rsidR="00FA0945" w:rsidRPr="00DD477A" w:rsidRDefault="53BF0693" w:rsidP="00E548A0">
      <w:pPr>
        <w:pStyle w:val="Heading2"/>
      </w:pPr>
      <w:bookmarkStart w:id="1494" w:name="_Toc63347742"/>
      <w:bookmarkStart w:id="1495" w:name="_Toc160715635"/>
      <w:bookmarkEnd w:id="1490"/>
      <w:bookmarkEnd w:id="1491"/>
      <w:bookmarkEnd w:id="1492"/>
      <w:r w:rsidRPr="00DD477A">
        <w:t>Saving the files</w:t>
      </w:r>
      <w:bookmarkEnd w:id="1494"/>
      <w:bookmarkEnd w:id="1495"/>
    </w:p>
    <w:p w14:paraId="447DB9BA" w14:textId="77777777" w:rsidR="0058245C" w:rsidRPr="00DD477A" w:rsidRDefault="53BF0693" w:rsidP="000A7DEC">
      <w:pPr>
        <w:rPr>
          <w:rFonts w:cs="Calibri"/>
        </w:rPr>
      </w:pPr>
      <w:r w:rsidRPr="00DD477A">
        <w:rPr>
          <w:rFonts w:cs="Calibri"/>
          <w:b/>
          <w:bCs/>
        </w:rPr>
        <w:t>Do not</w:t>
      </w:r>
      <w:r w:rsidRPr="00DD477A">
        <w:rPr>
          <w:rFonts w:cs="Calibri"/>
        </w:rPr>
        <w:t xml:space="preserve"> open and save the files</w:t>
      </w:r>
      <w:r w:rsidR="00C007B1" w:rsidRPr="00DD477A">
        <w:rPr>
          <w:rFonts w:cs="Calibri"/>
        </w:rPr>
        <w:t xml:space="preserve"> onto your </w:t>
      </w:r>
      <w:r w:rsidR="0058245C" w:rsidRPr="00DD477A">
        <w:rPr>
          <w:rFonts w:cs="Calibri"/>
        </w:rPr>
        <w:t>computer</w:t>
      </w:r>
      <w:r w:rsidRPr="00DD477A">
        <w:rPr>
          <w:rFonts w:cs="Calibri"/>
        </w:rPr>
        <w:t>.</w:t>
      </w:r>
    </w:p>
    <w:p w14:paraId="3F191992" w14:textId="43C1BE90" w:rsidR="00FA0945" w:rsidRPr="00DD477A" w:rsidRDefault="0058245C" w:rsidP="000A7DEC">
      <w:pPr>
        <w:rPr>
          <w:rFonts w:cs="Calibri"/>
        </w:rPr>
      </w:pPr>
      <w:r w:rsidRPr="00DD477A">
        <w:rPr>
          <w:rFonts w:cs="Calibri"/>
        </w:rPr>
        <w:t>To save the file</w:t>
      </w:r>
      <w:r w:rsidR="003D4F20" w:rsidRPr="00DD477A">
        <w:rPr>
          <w:rFonts w:cs="Calibri"/>
        </w:rPr>
        <w:t xml:space="preserve"> attachments</w:t>
      </w:r>
      <w:r w:rsidRPr="00DD477A">
        <w:rPr>
          <w:rFonts w:cs="Calibri"/>
        </w:rPr>
        <w:t>,</w:t>
      </w:r>
      <w:r w:rsidR="53BF0693" w:rsidRPr="00DD477A">
        <w:rPr>
          <w:rFonts w:cs="Calibri"/>
        </w:rPr>
        <w:t xml:space="preserve"> </w:t>
      </w:r>
      <w:r w:rsidR="003D4F20" w:rsidRPr="00DD477A">
        <w:rPr>
          <w:rFonts w:cs="Calibri"/>
        </w:rPr>
        <w:t>u</w:t>
      </w:r>
      <w:r w:rsidR="53BF0693" w:rsidRPr="00DD477A">
        <w:rPr>
          <w:rFonts w:cs="Calibri"/>
        </w:rPr>
        <w:t>se your email program</w:t>
      </w:r>
      <w:r w:rsidR="003442B2" w:rsidRPr="00DD477A">
        <w:rPr>
          <w:rFonts w:cs="Calibri"/>
        </w:rPr>
        <w:t xml:space="preserve"> as per below instructions:</w:t>
      </w:r>
    </w:p>
    <w:p w14:paraId="1A628F7A" w14:textId="77777777" w:rsidR="003442B2" w:rsidRPr="00DD477A" w:rsidRDefault="003442B2" w:rsidP="00AA1E87">
      <w:pPr>
        <w:pStyle w:val="Numbered"/>
        <w:numPr>
          <w:ilvl w:val="0"/>
          <w:numId w:val="21"/>
        </w:numPr>
      </w:pPr>
      <w:r w:rsidRPr="00DD477A">
        <w:t>open Outlook from Microsoft 365</w:t>
      </w:r>
    </w:p>
    <w:p w14:paraId="40F6C311" w14:textId="559042E1" w:rsidR="00FA0945" w:rsidRPr="00DD477A" w:rsidRDefault="00F62D83" w:rsidP="00AA1E87">
      <w:pPr>
        <w:pStyle w:val="Numbered"/>
        <w:numPr>
          <w:ilvl w:val="0"/>
          <w:numId w:val="21"/>
        </w:numPr>
      </w:pPr>
      <w:r w:rsidRPr="00DD477A">
        <w:t>s</w:t>
      </w:r>
      <w:r w:rsidR="53BF0693" w:rsidRPr="00DD477A">
        <w:t>elect the email containing the attachments</w:t>
      </w:r>
    </w:p>
    <w:p w14:paraId="55A63286" w14:textId="08E1A2EE" w:rsidR="00FA0945" w:rsidRPr="00DD477A" w:rsidRDefault="53BF0693" w:rsidP="00AA1E87">
      <w:pPr>
        <w:pStyle w:val="Numbered"/>
        <w:numPr>
          <w:ilvl w:val="0"/>
          <w:numId w:val="21"/>
        </w:numPr>
      </w:pPr>
      <w:r w:rsidRPr="00DD477A">
        <w:t>click File and select Save Attachments.</w:t>
      </w:r>
    </w:p>
    <w:p w14:paraId="63ED263B" w14:textId="00A63BE9" w:rsidR="00FA0945" w:rsidRPr="00DD477A" w:rsidRDefault="53BF0693" w:rsidP="00E548A0">
      <w:pPr>
        <w:pStyle w:val="Heading2"/>
      </w:pPr>
      <w:bookmarkStart w:id="1496" w:name="_Toc63347743"/>
      <w:bookmarkStart w:id="1497" w:name="_Toc160715636"/>
      <w:r w:rsidRPr="00DD477A">
        <w:t>Excel table specifications</w:t>
      </w:r>
      <w:bookmarkEnd w:id="1496"/>
      <w:bookmarkEnd w:id="1497"/>
    </w:p>
    <w:p w14:paraId="1BE08053" w14:textId="61E57B3D" w:rsidR="004B345F" w:rsidRPr="00DD477A" w:rsidRDefault="53BF0693" w:rsidP="003A192E">
      <w:pPr>
        <w:rPr>
          <w:rFonts w:cs="Calibri"/>
        </w:rPr>
      </w:pPr>
      <w:r w:rsidRPr="00DD477A">
        <w:rPr>
          <w:rFonts w:cs="Calibri"/>
        </w:rPr>
        <w:t xml:space="preserve">The Excel Tables have been formatted to B5 size. </w:t>
      </w:r>
      <w:r w:rsidR="0051399A" w:rsidRPr="00DD477A">
        <w:rPr>
          <w:rFonts w:cs="Calibri"/>
        </w:rPr>
        <w:t xml:space="preserve"> If</w:t>
      </w:r>
      <w:r w:rsidR="00780A8D" w:rsidRPr="00DD477A">
        <w:rPr>
          <w:rFonts w:cs="Calibri"/>
        </w:rPr>
        <w:t xml:space="preserve"> the following requirements</w:t>
      </w:r>
      <w:r w:rsidR="0051399A" w:rsidRPr="00DD477A">
        <w:rPr>
          <w:rFonts w:cs="Calibri"/>
        </w:rPr>
        <w:t xml:space="preserve"> are revised</w:t>
      </w:r>
      <w:r w:rsidR="00780A8D" w:rsidRPr="00DD477A">
        <w:rPr>
          <w:rFonts w:cs="Calibri"/>
        </w:rPr>
        <w:t xml:space="preserve">, separate advice will be provided to </w:t>
      </w:r>
      <w:r w:rsidR="00AD2C5D" w:rsidRPr="00DD477A">
        <w:rPr>
          <w:rFonts w:cs="Calibri"/>
        </w:rPr>
        <w:t xml:space="preserve">PB Statement </w:t>
      </w:r>
      <w:r w:rsidR="00780A8D" w:rsidRPr="00DD477A">
        <w:rPr>
          <w:rFonts w:cs="Calibri"/>
        </w:rPr>
        <w:t>Portfolio Coordinators</w:t>
      </w:r>
      <w:r w:rsidR="001954FB" w:rsidRPr="00DD477A">
        <w:rPr>
          <w:rFonts w:cs="Calibri"/>
        </w:rPr>
        <w:t>.</w:t>
      </w:r>
      <w:r w:rsidR="003A192E" w:rsidRPr="00DD477A">
        <w:rPr>
          <w:rFonts w:cs="Calibri"/>
        </w:rPr>
        <w:t xml:space="preserve"> </w:t>
      </w:r>
      <w:r w:rsidR="0051399A" w:rsidRPr="00DD477A">
        <w:rPr>
          <w:rFonts w:cs="Calibri"/>
        </w:rPr>
        <w:t>Should you need to reformat any of the tables, please use the specifications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3397"/>
        <w:gridCol w:w="2386"/>
        <w:gridCol w:w="3710"/>
      </w:tblGrid>
      <w:tr w:rsidR="00FA0945" w:rsidRPr="00DD477A" w14:paraId="21DCCACF" w14:textId="77777777" w:rsidTr="00F62D83">
        <w:tc>
          <w:tcPr>
            <w:tcW w:w="3397" w:type="dxa"/>
            <w:shd w:val="clear" w:color="auto" w:fill="F2F2F2" w:themeFill="background1" w:themeFillShade="F2"/>
          </w:tcPr>
          <w:p w14:paraId="0EA7B04B"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Font name</w:t>
            </w:r>
          </w:p>
        </w:tc>
        <w:tc>
          <w:tcPr>
            <w:tcW w:w="6096" w:type="dxa"/>
            <w:gridSpan w:val="2"/>
            <w:shd w:val="clear" w:color="auto" w:fill="F2F2F2" w:themeFill="background1" w:themeFillShade="F2"/>
          </w:tcPr>
          <w:p w14:paraId="5222F34E"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Arial</w:t>
            </w:r>
          </w:p>
        </w:tc>
      </w:tr>
      <w:tr w:rsidR="00FA0945" w:rsidRPr="00DD477A" w14:paraId="6EA8D83E" w14:textId="77777777" w:rsidTr="00F62D83">
        <w:tc>
          <w:tcPr>
            <w:tcW w:w="3397" w:type="dxa"/>
            <w:shd w:val="clear" w:color="auto" w:fill="F2F2F2" w:themeFill="background1" w:themeFillShade="F2"/>
          </w:tcPr>
          <w:p w14:paraId="2E5D2803"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Font size</w:t>
            </w:r>
          </w:p>
        </w:tc>
        <w:tc>
          <w:tcPr>
            <w:tcW w:w="6096" w:type="dxa"/>
            <w:gridSpan w:val="2"/>
            <w:shd w:val="clear" w:color="auto" w:fill="F2F2F2" w:themeFill="background1" w:themeFillShade="F2"/>
          </w:tcPr>
          <w:p w14:paraId="46D4D980"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8 pts (colour = Black not automatic)</w:t>
            </w:r>
          </w:p>
        </w:tc>
      </w:tr>
      <w:tr w:rsidR="00FA0945" w:rsidRPr="00DD477A" w14:paraId="25D35D0F" w14:textId="77777777" w:rsidTr="005B3DF8">
        <w:trPr>
          <w:trHeight w:val="646"/>
        </w:trPr>
        <w:tc>
          <w:tcPr>
            <w:tcW w:w="3397" w:type="dxa"/>
            <w:shd w:val="clear" w:color="auto" w:fill="F2F2F2" w:themeFill="background1" w:themeFillShade="F2"/>
          </w:tcPr>
          <w:p w14:paraId="5E7CAD12"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Height/width dimensions</w:t>
            </w:r>
          </w:p>
          <w:p w14:paraId="700870C4"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Portrait tables</w:t>
            </w:r>
          </w:p>
        </w:tc>
        <w:tc>
          <w:tcPr>
            <w:tcW w:w="6096" w:type="dxa"/>
            <w:gridSpan w:val="2"/>
            <w:shd w:val="clear" w:color="auto" w:fill="F2F2F2" w:themeFill="background1" w:themeFillShade="F2"/>
          </w:tcPr>
          <w:p w14:paraId="0EDAF842"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Width 13.6 cm (13 cm in a shaded cell)</w:t>
            </w:r>
          </w:p>
          <w:p w14:paraId="0172A292"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Height 21 cm</w:t>
            </w:r>
          </w:p>
        </w:tc>
      </w:tr>
      <w:tr w:rsidR="00FA0945" w:rsidRPr="00DD477A" w14:paraId="1CBBADC5" w14:textId="77777777" w:rsidTr="00F62D83">
        <w:trPr>
          <w:trHeight w:val="600"/>
        </w:trPr>
        <w:tc>
          <w:tcPr>
            <w:tcW w:w="3397" w:type="dxa"/>
            <w:shd w:val="clear" w:color="auto" w:fill="F2F2F2" w:themeFill="background1" w:themeFillShade="F2"/>
          </w:tcPr>
          <w:p w14:paraId="38A5CDC3"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Landscape</w:t>
            </w:r>
          </w:p>
        </w:tc>
        <w:tc>
          <w:tcPr>
            <w:tcW w:w="6096" w:type="dxa"/>
            <w:gridSpan w:val="2"/>
            <w:shd w:val="clear" w:color="auto" w:fill="F2F2F2" w:themeFill="background1" w:themeFillShade="F2"/>
          </w:tcPr>
          <w:p w14:paraId="4BD3717E"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Width 21 cm</w:t>
            </w:r>
          </w:p>
          <w:p w14:paraId="09B5C10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Height 13.6 cm</w:t>
            </w:r>
          </w:p>
        </w:tc>
      </w:tr>
      <w:tr w:rsidR="00FA0945" w:rsidRPr="00DD477A" w14:paraId="015794F5" w14:textId="77777777" w:rsidTr="00F62D83">
        <w:trPr>
          <w:trHeight w:val="600"/>
        </w:trPr>
        <w:tc>
          <w:tcPr>
            <w:tcW w:w="3397" w:type="dxa"/>
            <w:shd w:val="clear" w:color="auto" w:fill="F2F2F2" w:themeFill="background1" w:themeFillShade="F2"/>
          </w:tcPr>
          <w:p w14:paraId="6706322F"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Row height</w:t>
            </w:r>
          </w:p>
          <w:p w14:paraId="73C02A2F"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Text and numbers in the body of table (8pt font size)</w:t>
            </w:r>
          </w:p>
        </w:tc>
        <w:tc>
          <w:tcPr>
            <w:tcW w:w="6096" w:type="dxa"/>
            <w:gridSpan w:val="2"/>
            <w:shd w:val="clear" w:color="auto" w:fill="F2F2F2" w:themeFill="background1" w:themeFillShade="F2"/>
          </w:tcPr>
          <w:p w14:paraId="2E1F499B" w14:textId="2A45CE65" w:rsidR="00FA0945" w:rsidRPr="00DD477A" w:rsidRDefault="53BF0693">
            <w:pPr>
              <w:pStyle w:val="TableText-Medium"/>
              <w:spacing w:beforeLines="20" w:before="48" w:afterLines="20" w:after="48"/>
              <w:rPr>
                <w:rFonts w:cs="Calibri"/>
                <w:sz w:val="19"/>
                <w:szCs w:val="19"/>
              </w:rPr>
            </w:pPr>
            <w:r w:rsidRPr="00DD477A">
              <w:rPr>
                <w:rFonts w:cs="Calibri"/>
                <w:sz w:val="19"/>
                <w:szCs w:val="19"/>
              </w:rPr>
              <w:t xml:space="preserve">Set row height to 11.25 pts </w:t>
            </w:r>
          </w:p>
        </w:tc>
      </w:tr>
      <w:tr w:rsidR="00FA0945" w:rsidRPr="00DD477A" w14:paraId="4DC0C03E" w14:textId="77777777" w:rsidTr="00595CC0">
        <w:trPr>
          <w:trHeight w:val="834"/>
        </w:trPr>
        <w:tc>
          <w:tcPr>
            <w:tcW w:w="3397" w:type="dxa"/>
            <w:shd w:val="clear" w:color="auto" w:fill="F2F2F2" w:themeFill="background1" w:themeFillShade="F2"/>
          </w:tcPr>
          <w:p w14:paraId="719FAFD5" w14:textId="43DA4940" w:rsidR="00FA0945" w:rsidRPr="00DD477A" w:rsidRDefault="53BF0693" w:rsidP="002B4935">
            <w:pPr>
              <w:pStyle w:val="TableText-Medium"/>
              <w:spacing w:beforeLines="20" w:before="48" w:afterLines="20" w:after="48"/>
              <w:rPr>
                <w:rFonts w:cs="Calibri"/>
                <w:b/>
                <w:sz w:val="19"/>
                <w:szCs w:val="19"/>
              </w:rPr>
            </w:pPr>
            <w:r w:rsidRPr="00DD477A">
              <w:rPr>
                <w:rFonts w:cs="Calibri"/>
                <w:sz w:val="19"/>
                <w:szCs w:val="19"/>
              </w:rPr>
              <w:t xml:space="preserve">If you need to squeeze a table onto one page, the font size </w:t>
            </w:r>
            <w:r w:rsidR="006522A1" w:rsidRPr="00DD477A">
              <w:rPr>
                <w:rFonts w:cs="Calibri"/>
                <w:b/>
                <w:bCs/>
                <w:sz w:val="19"/>
                <w:szCs w:val="19"/>
              </w:rPr>
              <w:t xml:space="preserve">can </w:t>
            </w:r>
            <w:r w:rsidR="004B7CC2" w:rsidRPr="00DD477A">
              <w:rPr>
                <w:rFonts w:cs="Calibri"/>
                <w:b/>
                <w:bCs/>
                <w:sz w:val="19"/>
                <w:szCs w:val="19"/>
              </w:rPr>
              <w:t xml:space="preserve">be </w:t>
            </w:r>
            <w:r w:rsidR="006522A1" w:rsidRPr="00DD477A">
              <w:rPr>
                <w:rFonts w:cs="Calibri"/>
                <w:b/>
                <w:bCs/>
                <w:sz w:val="19"/>
                <w:szCs w:val="19"/>
              </w:rPr>
              <w:t>reduce</w:t>
            </w:r>
            <w:r w:rsidR="004B7CC2" w:rsidRPr="00DD477A">
              <w:rPr>
                <w:rFonts w:cs="Calibri"/>
                <w:b/>
                <w:bCs/>
                <w:sz w:val="19"/>
                <w:szCs w:val="19"/>
              </w:rPr>
              <w:t>d</w:t>
            </w:r>
            <w:r w:rsidR="006522A1" w:rsidRPr="00DD477A">
              <w:rPr>
                <w:rFonts w:cs="Calibri"/>
                <w:b/>
                <w:bCs/>
                <w:sz w:val="19"/>
                <w:szCs w:val="19"/>
              </w:rPr>
              <w:t xml:space="preserve"> </w:t>
            </w:r>
            <w:r w:rsidRPr="00DD477A">
              <w:rPr>
                <w:rFonts w:cs="Calibri"/>
                <w:b/>
                <w:bCs/>
                <w:sz w:val="19"/>
                <w:szCs w:val="19"/>
              </w:rPr>
              <w:t xml:space="preserve">to </w:t>
            </w:r>
            <w:r w:rsidR="004B7CC2" w:rsidRPr="00DD477A">
              <w:rPr>
                <w:rFonts w:cs="Calibri"/>
                <w:b/>
                <w:bCs/>
                <w:sz w:val="19"/>
                <w:szCs w:val="19"/>
              </w:rPr>
              <w:t xml:space="preserve">no smaller than </w:t>
            </w:r>
            <w:r w:rsidRPr="00DD477A">
              <w:rPr>
                <w:rFonts w:cs="Calibri"/>
                <w:b/>
                <w:bCs/>
                <w:sz w:val="19"/>
                <w:szCs w:val="19"/>
              </w:rPr>
              <w:t>7.5 pts.</w:t>
            </w:r>
          </w:p>
        </w:tc>
        <w:tc>
          <w:tcPr>
            <w:tcW w:w="6096" w:type="dxa"/>
            <w:gridSpan w:val="2"/>
            <w:shd w:val="clear" w:color="auto" w:fill="F2F2F2" w:themeFill="background1" w:themeFillShade="F2"/>
          </w:tcPr>
          <w:p w14:paraId="1629697E"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Set row height to 10.5 pts</w:t>
            </w:r>
          </w:p>
        </w:tc>
      </w:tr>
      <w:tr w:rsidR="00FA0945" w:rsidRPr="00DD477A" w14:paraId="474AB4A9" w14:textId="77777777" w:rsidTr="00F62D83">
        <w:trPr>
          <w:trHeight w:val="285"/>
        </w:trPr>
        <w:tc>
          <w:tcPr>
            <w:tcW w:w="3397" w:type="dxa"/>
            <w:vMerge w:val="restart"/>
            <w:shd w:val="clear" w:color="auto" w:fill="F2F2F2" w:themeFill="background1" w:themeFillShade="F2"/>
          </w:tcPr>
          <w:p w14:paraId="769BF093"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Table cell alignment</w:t>
            </w:r>
          </w:p>
          <w:p w14:paraId="57692060"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Text</w:t>
            </w:r>
          </w:p>
        </w:tc>
        <w:tc>
          <w:tcPr>
            <w:tcW w:w="2386" w:type="dxa"/>
            <w:shd w:val="clear" w:color="auto" w:fill="F2F2F2" w:themeFill="background1" w:themeFillShade="F2"/>
          </w:tcPr>
          <w:p w14:paraId="770BEF25"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Horizontal</w:t>
            </w:r>
          </w:p>
        </w:tc>
        <w:tc>
          <w:tcPr>
            <w:tcW w:w="3710" w:type="dxa"/>
            <w:shd w:val="clear" w:color="auto" w:fill="F2F2F2" w:themeFill="background1" w:themeFillShade="F2"/>
          </w:tcPr>
          <w:p w14:paraId="1FE24A57"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Vertical</w:t>
            </w:r>
          </w:p>
        </w:tc>
      </w:tr>
      <w:tr w:rsidR="00FA0945" w:rsidRPr="00DD477A" w14:paraId="3453EC1D" w14:textId="77777777" w:rsidTr="00F62D83">
        <w:trPr>
          <w:trHeight w:val="330"/>
        </w:trPr>
        <w:tc>
          <w:tcPr>
            <w:tcW w:w="3397" w:type="dxa"/>
            <w:vMerge/>
            <w:shd w:val="clear" w:color="auto" w:fill="F2F2F2" w:themeFill="background1" w:themeFillShade="F2"/>
          </w:tcPr>
          <w:p w14:paraId="1801950F" w14:textId="77777777" w:rsidR="00FA0945" w:rsidRPr="00DD477A" w:rsidRDefault="00FA0945" w:rsidP="002B4935">
            <w:pPr>
              <w:pStyle w:val="TableText-Medium"/>
              <w:spacing w:beforeLines="20" w:before="48" w:afterLines="20" w:after="48"/>
              <w:rPr>
                <w:rFonts w:cs="Calibri"/>
                <w:sz w:val="19"/>
                <w:szCs w:val="19"/>
              </w:rPr>
            </w:pPr>
          </w:p>
        </w:tc>
        <w:tc>
          <w:tcPr>
            <w:tcW w:w="2386" w:type="dxa"/>
            <w:shd w:val="clear" w:color="auto" w:fill="F2F2F2" w:themeFill="background1" w:themeFillShade="F2"/>
          </w:tcPr>
          <w:p w14:paraId="0FC015E0"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Left align</w:t>
            </w:r>
          </w:p>
        </w:tc>
        <w:tc>
          <w:tcPr>
            <w:tcW w:w="3710" w:type="dxa"/>
            <w:shd w:val="clear" w:color="auto" w:fill="F2F2F2" w:themeFill="background1" w:themeFillShade="F2"/>
          </w:tcPr>
          <w:p w14:paraId="5713F96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r>
      <w:tr w:rsidR="00FA0945" w:rsidRPr="00DD477A" w14:paraId="7C020E67" w14:textId="77777777" w:rsidTr="00F62D83">
        <w:trPr>
          <w:trHeight w:val="270"/>
        </w:trPr>
        <w:tc>
          <w:tcPr>
            <w:tcW w:w="3397" w:type="dxa"/>
            <w:shd w:val="clear" w:color="auto" w:fill="F2F2F2" w:themeFill="background1" w:themeFillShade="F2"/>
          </w:tcPr>
          <w:p w14:paraId="1295EC81"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Numbers (use ROUND function)</w:t>
            </w:r>
          </w:p>
        </w:tc>
        <w:tc>
          <w:tcPr>
            <w:tcW w:w="2386" w:type="dxa"/>
            <w:shd w:val="clear" w:color="auto" w:fill="F2F2F2" w:themeFill="background1" w:themeFillShade="F2"/>
          </w:tcPr>
          <w:p w14:paraId="1C9ECDC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Right align</w:t>
            </w:r>
          </w:p>
        </w:tc>
        <w:tc>
          <w:tcPr>
            <w:tcW w:w="3710" w:type="dxa"/>
            <w:shd w:val="clear" w:color="auto" w:fill="F2F2F2" w:themeFill="background1" w:themeFillShade="F2"/>
          </w:tcPr>
          <w:p w14:paraId="13493EF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r>
      <w:tr w:rsidR="00FA0945" w:rsidRPr="00DD477A" w14:paraId="3CD42BDB" w14:textId="77777777" w:rsidTr="003A192E">
        <w:trPr>
          <w:trHeight w:val="423"/>
        </w:trPr>
        <w:tc>
          <w:tcPr>
            <w:tcW w:w="3397" w:type="dxa"/>
            <w:shd w:val="clear" w:color="auto" w:fill="F2F2F2" w:themeFill="background1" w:themeFillShade="F2"/>
          </w:tcPr>
          <w:p w14:paraId="75EF82D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Braced column headings</w:t>
            </w:r>
          </w:p>
        </w:tc>
        <w:tc>
          <w:tcPr>
            <w:tcW w:w="2386" w:type="dxa"/>
            <w:shd w:val="clear" w:color="auto" w:fill="F2F2F2" w:themeFill="background1" w:themeFillShade="F2"/>
          </w:tcPr>
          <w:p w14:paraId="007B9B5F"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c>
          <w:tcPr>
            <w:tcW w:w="3710" w:type="dxa"/>
            <w:shd w:val="clear" w:color="auto" w:fill="F2F2F2" w:themeFill="background1" w:themeFillShade="F2"/>
          </w:tcPr>
          <w:p w14:paraId="21044B94"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Centre</w:t>
            </w:r>
          </w:p>
        </w:tc>
      </w:tr>
      <w:tr w:rsidR="00FA0945" w:rsidRPr="00DD477A" w14:paraId="590ACA64" w14:textId="77777777" w:rsidTr="00F62D83">
        <w:tc>
          <w:tcPr>
            <w:tcW w:w="3397" w:type="dxa"/>
            <w:shd w:val="clear" w:color="auto" w:fill="F2F2F2" w:themeFill="background1" w:themeFillShade="F2"/>
          </w:tcPr>
          <w:p w14:paraId="32A353A7"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Borders</w:t>
            </w:r>
          </w:p>
        </w:tc>
        <w:tc>
          <w:tcPr>
            <w:tcW w:w="6096" w:type="dxa"/>
            <w:gridSpan w:val="2"/>
            <w:shd w:val="clear" w:color="auto" w:fill="F2F2F2" w:themeFill="background1" w:themeFillShade="F2"/>
          </w:tcPr>
          <w:p w14:paraId="3ECCFCCB" w14:textId="07C95AE2" w:rsidR="00FA0945" w:rsidRPr="00DD477A" w:rsidRDefault="53BF0693">
            <w:pPr>
              <w:pStyle w:val="TableText-Medium"/>
              <w:spacing w:beforeLines="20" w:before="48" w:afterLines="20" w:after="48"/>
              <w:rPr>
                <w:rFonts w:cs="Calibri"/>
                <w:sz w:val="19"/>
                <w:szCs w:val="19"/>
              </w:rPr>
            </w:pPr>
            <w:r w:rsidRPr="00DD477A">
              <w:rPr>
                <w:rFonts w:cs="Calibri"/>
                <w:sz w:val="19"/>
                <w:szCs w:val="19"/>
              </w:rPr>
              <w:t>Colour = Black, hairline weight (first option in list, not the default)</w:t>
            </w:r>
          </w:p>
        </w:tc>
      </w:tr>
      <w:tr w:rsidR="00FA0945" w:rsidRPr="00DD477A" w14:paraId="11247011" w14:textId="77777777" w:rsidTr="00F62D83">
        <w:tc>
          <w:tcPr>
            <w:tcW w:w="3397" w:type="dxa"/>
            <w:shd w:val="clear" w:color="auto" w:fill="F2F2F2" w:themeFill="background1" w:themeFillShade="F2"/>
          </w:tcPr>
          <w:p w14:paraId="0E034595"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Column width</w:t>
            </w:r>
          </w:p>
        </w:tc>
        <w:tc>
          <w:tcPr>
            <w:tcW w:w="6096" w:type="dxa"/>
            <w:gridSpan w:val="2"/>
            <w:shd w:val="clear" w:color="auto" w:fill="F2F2F2" w:themeFill="background1" w:themeFillShade="F2"/>
          </w:tcPr>
          <w:p w14:paraId="2E912425" w14:textId="41330449"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Be consistent</w:t>
            </w:r>
            <w:r w:rsidR="003A192E" w:rsidRPr="00DD477A">
              <w:rPr>
                <w:rFonts w:cs="Calibri"/>
                <w:sz w:val="19"/>
                <w:szCs w:val="19"/>
              </w:rPr>
              <w:t>,</w:t>
            </w:r>
            <w:r w:rsidRPr="00DD477A">
              <w:rPr>
                <w:rFonts w:cs="Calibri"/>
                <w:sz w:val="19"/>
                <w:szCs w:val="19"/>
              </w:rPr>
              <w:t xml:space="preserve"> particularly if there are similar tables on the one page</w:t>
            </w:r>
          </w:p>
        </w:tc>
      </w:tr>
      <w:tr w:rsidR="00FA0945" w:rsidRPr="00DD477A" w14:paraId="3A5D0D47" w14:textId="77777777" w:rsidTr="00595CC0">
        <w:trPr>
          <w:trHeight w:val="878"/>
        </w:trPr>
        <w:tc>
          <w:tcPr>
            <w:tcW w:w="3397" w:type="dxa"/>
            <w:shd w:val="clear" w:color="auto" w:fill="F2F2F2" w:themeFill="background1" w:themeFillShade="F2"/>
          </w:tcPr>
          <w:p w14:paraId="3DEC00B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Blank columns and rows</w:t>
            </w:r>
          </w:p>
          <w:p w14:paraId="6B515110" w14:textId="5791D025"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Columns</w:t>
            </w:r>
          </w:p>
        </w:tc>
        <w:tc>
          <w:tcPr>
            <w:tcW w:w="6096" w:type="dxa"/>
            <w:gridSpan w:val="2"/>
            <w:shd w:val="clear" w:color="auto" w:fill="F2F2F2" w:themeFill="background1" w:themeFillShade="F2"/>
          </w:tcPr>
          <w:p w14:paraId="299FD018"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Set column width to .5</w:t>
            </w:r>
          </w:p>
          <w:p w14:paraId="59084104" w14:textId="77777777" w:rsidR="00343FA8" w:rsidRPr="00DD477A" w:rsidRDefault="53BF0693" w:rsidP="002B4935">
            <w:pPr>
              <w:pStyle w:val="TableText-Medium"/>
              <w:spacing w:beforeLines="20" w:before="48" w:afterLines="20" w:after="48"/>
              <w:rPr>
                <w:rFonts w:cs="Calibri"/>
                <w:sz w:val="19"/>
                <w:szCs w:val="19"/>
              </w:rPr>
            </w:pPr>
            <w:r w:rsidRPr="00DD477A">
              <w:rPr>
                <w:rFonts w:cs="Calibri"/>
                <w:sz w:val="19"/>
                <w:szCs w:val="19"/>
              </w:rPr>
              <w:t>Remove the bottom border for blank columns (see example table 1)</w:t>
            </w:r>
            <w:r w:rsidR="003A192E" w:rsidRPr="00DD477A">
              <w:rPr>
                <w:rFonts w:cs="Calibri"/>
                <w:sz w:val="19"/>
                <w:szCs w:val="19"/>
              </w:rPr>
              <w:t>.</w:t>
            </w:r>
          </w:p>
          <w:p w14:paraId="72FEF72A" w14:textId="2838EEAC" w:rsidR="00FA0945" w:rsidRPr="00DD477A" w:rsidRDefault="003A192E" w:rsidP="002B4935">
            <w:pPr>
              <w:pStyle w:val="TableText-Medium"/>
              <w:spacing w:beforeLines="20" w:before="48" w:afterLines="20" w:after="48"/>
              <w:rPr>
                <w:rFonts w:cs="Calibri"/>
                <w:sz w:val="19"/>
                <w:szCs w:val="19"/>
              </w:rPr>
            </w:pPr>
            <w:r w:rsidRPr="00DD477A">
              <w:rPr>
                <w:rFonts w:cs="Calibri"/>
                <w:sz w:val="19"/>
                <w:szCs w:val="19"/>
              </w:rPr>
              <w:t>To separate columns where braced headings have been used</w:t>
            </w:r>
          </w:p>
        </w:tc>
      </w:tr>
      <w:tr w:rsidR="00FA0945" w:rsidRPr="00DD477A" w14:paraId="0AF9E224" w14:textId="77777777" w:rsidTr="003A192E">
        <w:trPr>
          <w:trHeight w:val="384"/>
        </w:trPr>
        <w:tc>
          <w:tcPr>
            <w:tcW w:w="3397" w:type="dxa"/>
            <w:shd w:val="clear" w:color="auto" w:fill="F2F2F2" w:themeFill="background1" w:themeFillShade="F2"/>
          </w:tcPr>
          <w:p w14:paraId="1ED342EC" w14:textId="77777777" w:rsidR="00FA0945" w:rsidRPr="00DD477A" w:rsidRDefault="53BF0693" w:rsidP="002B4935">
            <w:pPr>
              <w:pStyle w:val="TableText-Medium"/>
              <w:spacing w:beforeLines="20" w:before="48" w:afterLines="20" w:after="48"/>
              <w:rPr>
                <w:rFonts w:cs="Calibri"/>
                <w:sz w:val="19"/>
                <w:szCs w:val="19"/>
              </w:rPr>
            </w:pPr>
            <w:r w:rsidRPr="00DD477A">
              <w:rPr>
                <w:rFonts w:cs="Calibri"/>
                <w:sz w:val="19"/>
                <w:szCs w:val="19"/>
              </w:rPr>
              <w:t>Rows</w:t>
            </w:r>
          </w:p>
        </w:tc>
        <w:tc>
          <w:tcPr>
            <w:tcW w:w="6096" w:type="dxa"/>
            <w:gridSpan w:val="2"/>
            <w:shd w:val="clear" w:color="auto" w:fill="F2F2F2" w:themeFill="background1" w:themeFillShade="F2"/>
          </w:tcPr>
          <w:p w14:paraId="29BB2151" w14:textId="745E3500" w:rsidR="00FA0945" w:rsidRPr="00DD477A" w:rsidRDefault="53BF0693">
            <w:pPr>
              <w:pStyle w:val="TableText-Medium"/>
              <w:spacing w:beforeLines="20" w:before="48" w:afterLines="20" w:after="48"/>
              <w:rPr>
                <w:rFonts w:cs="Calibri"/>
                <w:sz w:val="19"/>
                <w:szCs w:val="19"/>
              </w:rPr>
            </w:pPr>
            <w:r w:rsidRPr="00DD477A">
              <w:rPr>
                <w:rFonts w:cs="Calibri"/>
                <w:sz w:val="19"/>
                <w:szCs w:val="19"/>
              </w:rPr>
              <w:t>Set row height to 3 pts</w:t>
            </w:r>
          </w:p>
        </w:tc>
      </w:tr>
    </w:tbl>
    <w:p w14:paraId="2F653E05" w14:textId="77777777" w:rsidR="00FA0945" w:rsidRPr="00DD477A" w:rsidRDefault="53BF0693" w:rsidP="00580008">
      <w:pPr>
        <w:pStyle w:val="Boxed2Text"/>
        <w:rPr>
          <w:rFonts w:cs="Calibri"/>
        </w:rPr>
      </w:pPr>
      <w:r w:rsidRPr="00DD477A">
        <w:rPr>
          <w:rFonts w:cs="Calibri"/>
        </w:rPr>
        <w:t xml:space="preserve">Please use minimal capitalisation. </w:t>
      </w:r>
      <w:r w:rsidRPr="00DD477A">
        <w:rPr>
          <w:rFonts w:cs="Calibri"/>
          <w:b/>
          <w:bCs/>
        </w:rPr>
        <w:t>Wrap text</w:t>
      </w:r>
      <w:r w:rsidRPr="00DD477A">
        <w:rPr>
          <w:rFonts w:cs="Calibri"/>
        </w:rPr>
        <w:t xml:space="preserve"> if text goes over a column width. </w:t>
      </w:r>
    </w:p>
    <w:p w14:paraId="5A090F78" w14:textId="02071EAC" w:rsidR="00FA0945" w:rsidRPr="00DD477A" w:rsidRDefault="53BF0693" w:rsidP="00E548A0">
      <w:pPr>
        <w:pStyle w:val="Heading2"/>
      </w:pPr>
      <w:bookmarkStart w:id="1498" w:name="_Toc63347744"/>
      <w:bookmarkStart w:id="1499" w:name="_Toc160715637"/>
      <w:r w:rsidRPr="00DD477A">
        <w:lastRenderedPageBreak/>
        <w:t>Formatting an existing table to budget standards</w:t>
      </w:r>
      <w:bookmarkEnd w:id="1498"/>
      <w:bookmarkEnd w:id="1499"/>
    </w:p>
    <w:p w14:paraId="28A35DA4" w14:textId="41ADED6C" w:rsidR="00FA0945" w:rsidRPr="00DD477A" w:rsidRDefault="00006697" w:rsidP="000A7DEC">
      <w:pPr>
        <w:rPr>
          <w:rFonts w:cs="Calibri"/>
        </w:rPr>
      </w:pPr>
      <w:r w:rsidRPr="00DD477A">
        <w:rPr>
          <w:rFonts w:cs="Calibri"/>
        </w:rPr>
        <w:t>In</w:t>
      </w:r>
      <w:r w:rsidR="53BF0693" w:rsidRPr="00DD477A">
        <w:rPr>
          <w:rFonts w:cs="Calibri"/>
        </w:rPr>
        <w:t xml:space="preserve"> </w:t>
      </w:r>
      <w:r w:rsidRPr="00DD477A">
        <w:rPr>
          <w:rFonts w:cs="Calibri"/>
        </w:rPr>
        <w:t xml:space="preserve">Excel, to </w:t>
      </w:r>
      <w:r w:rsidR="53BF0693" w:rsidRPr="00DD477A">
        <w:rPr>
          <w:rFonts w:cs="Calibri"/>
        </w:rPr>
        <w:t xml:space="preserve">create a table which fits </w:t>
      </w:r>
      <w:r w:rsidR="00655080" w:rsidRPr="00DD477A">
        <w:rPr>
          <w:rFonts w:cs="Calibri"/>
        </w:rPr>
        <w:t>within</w:t>
      </w:r>
      <w:r w:rsidR="53BF0693" w:rsidRPr="00DD477A">
        <w:rPr>
          <w:rFonts w:cs="Calibri"/>
        </w:rPr>
        <w:t xml:space="preserve"> </w:t>
      </w:r>
      <w:r w:rsidR="00AF20E5" w:rsidRPr="00DD477A">
        <w:rPr>
          <w:rFonts w:cs="Calibri"/>
        </w:rPr>
        <w:t xml:space="preserve">the margins </w:t>
      </w:r>
      <w:r w:rsidR="000D4EA4" w:rsidRPr="00DD477A">
        <w:rPr>
          <w:rFonts w:cs="Calibri"/>
        </w:rPr>
        <w:t xml:space="preserve">set for the PB Statements in the </w:t>
      </w:r>
      <w:r w:rsidR="00B20F81" w:rsidRPr="00DD477A">
        <w:rPr>
          <w:rFonts w:cs="Calibri"/>
        </w:rPr>
        <w:t>W</w:t>
      </w:r>
      <w:r w:rsidR="53BF0693" w:rsidRPr="00DD477A">
        <w:rPr>
          <w:rFonts w:cs="Calibri"/>
        </w:rPr>
        <w:t>ord document</w:t>
      </w:r>
      <w:r w:rsidR="009649BC" w:rsidRPr="00DD477A">
        <w:rPr>
          <w:rFonts w:cs="Calibri"/>
        </w:rPr>
        <w:t xml:space="preserve">, follow the </w:t>
      </w:r>
      <w:r w:rsidR="00AF20E5" w:rsidRPr="00DD477A">
        <w:rPr>
          <w:rFonts w:cs="Calibri"/>
        </w:rPr>
        <w:t>below instructions:</w:t>
      </w:r>
    </w:p>
    <w:p w14:paraId="1E4C1766" w14:textId="10FA2118" w:rsidR="00FA0945" w:rsidRPr="00DD477A" w:rsidRDefault="00AF20E5" w:rsidP="00E548A0">
      <w:pPr>
        <w:pStyle w:val="Heading2"/>
      </w:pPr>
      <w:bookmarkStart w:id="1500" w:name="_Ref45028756"/>
      <w:bookmarkStart w:id="1501" w:name="_Toc160715638"/>
      <w:r w:rsidRPr="00DD477A">
        <w:t xml:space="preserve">For </w:t>
      </w:r>
      <w:r w:rsidR="53BF0693" w:rsidRPr="00DD477A">
        <w:t>Portrait tables</w:t>
      </w:r>
      <w:bookmarkEnd w:id="1500"/>
      <w:bookmarkEnd w:id="1501"/>
    </w:p>
    <w:p w14:paraId="682A6E15" w14:textId="6176A247" w:rsidR="00FA0945" w:rsidRPr="00DD477A" w:rsidRDefault="00FA0945" w:rsidP="00AA1E87">
      <w:pPr>
        <w:pStyle w:val="Numbered"/>
        <w:numPr>
          <w:ilvl w:val="0"/>
          <w:numId w:val="23"/>
        </w:numPr>
      </w:pPr>
      <w:r w:rsidRPr="00DD477A">
        <w:t xml:space="preserve">from </w:t>
      </w:r>
      <w:r w:rsidR="00006697" w:rsidRPr="00DD477A">
        <w:t xml:space="preserve">the </w:t>
      </w:r>
      <w:r w:rsidR="006714EB" w:rsidRPr="00DD477A">
        <w:t>‘</w:t>
      </w:r>
      <w:r w:rsidRPr="00DD477A">
        <w:t>Page Layout</w:t>
      </w:r>
      <w:r w:rsidR="006714EB" w:rsidRPr="00DD477A">
        <w:t>’</w:t>
      </w:r>
      <w:r w:rsidRPr="00DD477A">
        <w:t xml:space="preserve"> ribbon</w:t>
      </w:r>
      <w:r w:rsidR="00006697" w:rsidRPr="00DD477A">
        <w:t>,</w:t>
      </w:r>
      <w:r w:rsidRPr="00DD477A">
        <w:t xml:space="preserve"> select Page Layout </w:t>
      </w:r>
      <w:r w:rsidR="004B76F7" w:rsidRPr="00DD477A">
        <w:rPr>
          <w:rFonts w:ascii="Wingdings" w:eastAsia="Wingdings" w:hAnsi="Wingdings" w:cs="Wingdings"/>
        </w:rPr>
        <w:t></w:t>
      </w:r>
      <w:r w:rsidRPr="00DD477A">
        <w:t xml:space="preserve"> Margins </w:t>
      </w:r>
      <w:r w:rsidR="004B76F7" w:rsidRPr="00DD477A">
        <w:rPr>
          <w:rFonts w:ascii="Wingdings" w:eastAsia="Wingdings" w:hAnsi="Wingdings" w:cs="Wingdings"/>
        </w:rPr>
        <w:t></w:t>
      </w:r>
      <w:r w:rsidRPr="00DD477A">
        <w:t xml:space="preserve"> Custom Margins</w:t>
      </w:r>
    </w:p>
    <w:p w14:paraId="3ECE0727" w14:textId="693430EF" w:rsidR="00FA0945" w:rsidRPr="00DD477A" w:rsidRDefault="00F05ECA" w:rsidP="00AA1E87">
      <w:pPr>
        <w:pStyle w:val="Numbered"/>
        <w:numPr>
          <w:ilvl w:val="0"/>
          <w:numId w:val="23"/>
        </w:numPr>
      </w:pPr>
      <w:r w:rsidRPr="00DD477A">
        <w:t>c</w:t>
      </w:r>
      <w:r w:rsidR="53BF0693" w:rsidRPr="00DD477A">
        <w:t xml:space="preserve">lick on the </w:t>
      </w:r>
      <w:r w:rsidR="006714EB" w:rsidRPr="00DD477A">
        <w:t>‘</w:t>
      </w:r>
      <w:r w:rsidR="00751B8A" w:rsidRPr="00DD477A">
        <w:t>Orientation</w:t>
      </w:r>
      <w:r w:rsidR="006714EB" w:rsidRPr="00DD477A">
        <w:t>’</w:t>
      </w:r>
      <w:r w:rsidR="53BF0693" w:rsidRPr="00DD477A">
        <w:t xml:space="preserve"> </w:t>
      </w:r>
      <w:r w:rsidR="00751B8A" w:rsidRPr="00DD477A">
        <w:t>command</w:t>
      </w:r>
      <w:r w:rsidR="53BF0693" w:rsidRPr="00DD477A">
        <w:t xml:space="preserve">, select </w:t>
      </w:r>
      <w:r w:rsidR="006714EB" w:rsidRPr="00DD477A">
        <w:t>‘</w:t>
      </w:r>
      <w:r w:rsidR="53BF0693" w:rsidRPr="00DD477A">
        <w:t>Portrait orientation</w:t>
      </w:r>
      <w:r w:rsidR="006714EB" w:rsidRPr="00DD477A">
        <w:t>’</w:t>
      </w:r>
    </w:p>
    <w:p w14:paraId="00F52FC0" w14:textId="61AADB55" w:rsidR="00FA0945" w:rsidRPr="00DD477A" w:rsidRDefault="00006697" w:rsidP="00AA1E87">
      <w:pPr>
        <w:pStyle w:val="Numbered"/>
        <w:numPr>
          <w:ilvl w:val="0"/>
          <w:numId w:val="23"/>
        </w:numPr>
      </w:pPr>
      <w:r w:rsidRPr="00DD477A">
        <w:t>set</w:t>
      </w:r>
      <w:r w:rsidR="53BF0693" w:rsidRPr="00DD477A">
        <w:t xml:space="preserve"> the Scaling to 100% normal size</w:t>
      </w:r>
    </w:p>
    <w:p w14:paraId="59357E4A" w14:textId="5F92DDBD" w:rsidR="00FA0945" w:rsidRPr="00DD477A" w:rsidRDefault="00F05ECA" w:rsidP="00AA1E87">
      <w:pPr>
        <w:pStyle w:val="Numbered"/>
        <w:numPr>
          <w:ilvl w:val="0"/>
          <w:numId w:val="23"/>
        </w:numPr>
      </w:pPr>
      <w:r w:rsidRPr="00DD477A">
        <w:t>c</w:t>
      </w:r>
      <w:r w:rsidR="53BF0693" w:rsidRPr="00DD477A">
        <w:t xml:space="preserve">lick on the </w:t>
      </w:r>
      <w:r w:rsidR="006714EB" w:rsidRPr="00DD477A">
        <w:t>‘</w:t>
      </w:r>
      <w:r w:rsidR="53BF0693" w:rsidRPr="00DD477A">
        <w:t>Margins tab</w:t>
      </w:r>
      <w:r w:rsidR="006714EB" w:rsidRPr="00DD477A">
        <w:t>’</w:t>
      </w:r>
      <w:r w:rsidR="53BF0693" w:rsidRPr="00DD477A">
        <w:t xml:space="preserve"> and set margins to:</w:t>
      </w:r>
    </w:p>
    <w:p w14:paraId="743AB6CC" w14:textId="20517CD8" w:rsidR="00FA0945" w:rsidRPr="00DD477A" w:rsidRDefault="006F2D40" w:rsidP="0003645A">
      <w:pPr>
        <w:pStyle w:val="Bullet2"/>
      </w:pPr>
      <w:r w:rsidRPr="00DD477A">
        <w:t>l</w:t>
      </w:r>
      <w:r w:rsidR="00FA0945" w:rsidRPr="00DD477A">
        <w:t>eft and right</w:t>
      </w:r>
      <w:r w:rsidR="004D0115" w:rsidRPr="00DD477A">
        <w:tab/>
        <w:t xml:space="preserve">= </w:t>
      </w:r>
      <w:r w:rsidR="00FA0945" w:rsidRPr="00DD477A">
        <w:t>3.7</w:t>
      </w:r>
      <w:r w:rsidR="004D0115" w:rsidRPr="00DD477A">
        <w:t>cm</w:t>
      </w:r>
    </w:p>
    <w:p w14:paraId="0B839438" w14:textId="712F347F" w:rsidR="00FA0945" w:rsidRPr="00DD477A" w:rsidRDefault="006F2D40" w:rsidP="0003645A">
      <w:pPr>
        <w:pStyle w:val="Bullet2"/>
      </w:pPr>
      <w:r w:rsidRPr="00DD477A">
        <w:t>t</w:t>
      </w:r>
      <w:r w:rsidR="00FA0945" w:rsidRPr="00DD477A">
        <w:t>op and bottom</w:t>
      </w:r>
      <w:r w:rsidR="00FA0945" w:rsidRPr="00DD477A">
        <w:tab/>
      </w:r>
      <w:r w:rsidR="004D0115" w:rsidRPr="00DD477A">
        <w:t xml:space="preserve">= </w:t>
      </w:r>
      <w:r w:rsidR="00FA0945" w:rsidRPr="00DD477A">
        <w:t>4.3</w:t>
      </w:r>
      <w:r w:rsidR="004D0115" w:rsidRPr="00DD477A">
        <w:t>cm</w:t>
      </w:r>
      <w:r w:rsidR="003936B4" w:rsidRPr="00DD477A">
        <w:t>.</w:t>
      </w:r>
    </w:p>
    <w:p w14:paraId="51D9CF3B" w14:textId="7973B3E8" w:rsidR="00FA0945" w:rsidRPr="00DD477A" w:rsidRDefault="00AF20E5" w:rsidP="0003645A">
      <w:pPr>
        <w:pStyle w:val="Bullet2"/>
        <w:numPr>
          <w:ilvl w:val="0"/>
          <w:numId w:val="0"/>
        </w:numPr>
        <w:rPr>
          <w:rFonts w:asciiTheme="majorHAnsi" w:eastAsiaTheme="majorEastAsia" w:hAnsiTheme="majorHAnsi"/>
          <w:bCs/>
          <w:iCs/>
          <w:sz w:val="26"/>
          <w:szCs w:val="26"/>
        </w:rPr>
      </w:pPr>
      <w:r w:rsidRPr="00DD477A">
        <w:rPr>
          <w:rFonts w:asciiTheme="majorHAnsi" w:eastAsiaTheme="majorEastAsia" w:hAnsiTheme="majorHAnsi"/>
          <w:bCs/>
          <w:iCs/>
          <w:sz w:val="26"/>
          <w:szCs w:val="26"/>
        </w:rPr>
        <w:t xml:space="preserve">For </w:t>
      </w:r>
      <w:r w:rsidR="00E36D0F" w:rsidRPr="00DD477A">
        <w:rPr>
          <w:rFonts w:asciiTheme="majorHAnsi" w:eastAsiaTheme="majorEastAsia" w:hAnsiTheme="majorHAnsi"/>
          <w:bCs/>
          <w:iCs/>
          <w:sz w:val="26"/>
          <w:szCs w:val="26"/>
        </w:rPr>
        <w:t>L</w:t>
      </w:r>
      <w:r w:rsidR="53BF0693" w:rsidRPr="00DD477A">
        <w:rPr>
          <w:rFonts w:asciiTheme="majorHAnsi" w:eastAsiaTheme="majorEastAsia" w:hAnsiTheme="majorHAnsi"/>
          <w:bCs/>
          <w:iCs/>
          <w:sz w:val="26"/>
          <w:szCs w:val="26"/>
        </w:rPr>
        <w:t>andscape tables</w:t>
      </w:r>
    </w:p>
    <w:p w14:paraId="2BEFEEB0" w14:textId="2927DE3C" w:rsidR="00FA0945" w:rsidRPr="00DD477A" w:rsidRDefault="00FA0945" w:rsidP="00AA1E87">
      <w:pPr>
        <w:pStyle w:val="Numbered"/>
        <w:numPr>
          <w:ilvl w:val="0"/>
          <w:numId w:val="35"/>
        </w:numPr>
      </w:pPr>
      <w:r w:rsidRPr="00DD477A">
        <w:t xml:space="preserve">from the </w:t>
      </w:r>
      <w:r w:rsidR="006714EB" w:rsidRPr="00DD477A">
        <w:t>‘</w:t>
      </w:r>
      <w:r w:rsidRPr="00DD477A">
        <w:t>Page Layout</w:t>
      </w:r>
      <w:r w:rsidR="006714EB" w:rsidRPr="00DD477A">
        <w:t>’</w:t>
      </w:r>
      <w:r w:rsidRPr="00DD477A">
        <w:t xml:space="preserve"> </w:t>
      </w:r>
      <w:r w:rsidR="00BC53F8" w:rsidRPr="00DD477A">
        <w:t>tab</w:t>
      </w:r>
      <w:r w:rsidRPr="00DD477A">
        <w:t xml:space="preserve">, select Page Layout </w:t>
      </w:r>
      <w:r w:rsidR="004B76F7" w:rsidRPr="00DD477A">
        <w:rPr>
          <w:rFonts w:ascii="Wingdings" w:eastAsia="Wingdings" w:hAnsi="Wingdings" w:cs="Wingdings"/>
        </w:rPr>
        <w:t></w:t>
      </w:r>
      <w:r w:rsidRPr="00DD477A">
        <w:t xml:space="preserve"> Margins </w:t>
      </w:r>
      <w:r w:rsidR="004B76F7" w:rsidRPr="00DD477A">
        <w:rPr>
          <w:rFonts w:ascii="Wingdings" w:eastAsia="Wingdings" w:hAnsi="Wingdings" w:cs="Wingdings"/>
        </w:rPr>
        <w:t></w:t>
      </w:r>
      <w:r w:rsidR="0045475E" w:rsidRPr="00DD477A">
        <w:t xml:space="preserve"> Custom Margins</w:t>
      </w:r>
    </w:p>
    <w:p w14:paraId="2EA4B120" w14:textId="0D88920D" w:rsidR="00FA0945" w:rsidRPr="00DD477A" w:rsidRDefault="00F05ECA" w:rsidP="00AA1E87">
      <w:pPr>
        <w:pStyle w:val="Numbered"/>
        <w:numPr>
          <w:ilvl w:val="0"/>
          <w:numId w:val="35"/>
        </w:numPr>
      </w:pPr>
      <w:r w:rsidRPr="00DD477A">
        <w:t>c</w:t>
      </w:r>
      <w:r w:rsidR="53BF0693" w:rsidRPr="00DD477A">
        <w:t xml:space="preserve">lick on the </w:t>
      </w:r>
      <w:r w:rsidR="006714EB" w:rsidRPr="00DD477A">
        <w:t>‘</w:t>
      </w:r>
      <w:r w:rsidR="00F93D41" w:rsidRPr="00DD477A">
        <w:t>Orientation</w:t>
      </w:r>
      <w:r w:rsidR="006714EB" w:rsidRPr="00DD477A">
        <w:t>’</w:t>
      </w:r>
      <w:r w:rsidR="53BF0693" w:rsidRPr="00DD477A">
        <w:t xml:space="preserve"> </w:t>
      </w:r>
      <w:r w:rsidR="00F93D41" w:rsidRPr="00DD477A">
        <w:t>command</w:t>
      </w:r>
      <w:r w:rsidR="53BF0693" w:rsidRPr="00DD477A">
        <w:t xml:space="preserve">, select </w:t>
      </w:r>
      <w:r w:rsidR="006714EB" w:rsidRPr="00DD477A">
        <w:t>‘</w:t>
      </w:r>
      <w:r w:rsidR="53BF0693" w:rsidRPr="00DD477A">
        <w:t>Landscape orientation</w:t>
      </w:r>
      <w:r w:rsidR="006714EB" w:rsidRPr="00DD477A">
        <w:t>’</w:t>
      </w:r>
    </w:p>
    <w:p w14:paraId="7F2BF4A2" w14:textId="68EA337A" w:rsidR="00FA0945" w:rsidRPr="00DD477A" w:rsidRDefault="00254C5B" w:rsidP="00AA1E87">
      <w:pPr>
        <w:pStyle w:val="Numbered"/>
        <w:numPr>
          <w:ilvl w:val="0"/>
          <w:numId w:val="35"/>
        </w:numPr>
      </w:pPr>
      <w:r w:rsidRPr="00DD477A">
        <w:t>set</w:t>
      </w:r>
      <w:r w:rsidR="53BF0693" w:rsidRPr="00DD477A">
        <w:t xml:space="preserve"> the Scaling to 100% normal size</w:t>
      </w:r>
    </w:p>
    <w:p w14:paraId="5454ED27" w14:textId="77D2B59C" w:rsidR="00FA0945" w:rsidRPr="00DD477A" w:rsidRDefault="00F05ECA" w:rsidP="00AA1E87">
      <w:pPr>
        <w:pStyle w:val="Numbered"/>
        <w:numPr>
          <w:ilvl w:val="0"/>
          <w:numId w:val="35"/>
        </w:numPr>
      </w:pPr>
      <w:r w:rsidRPr="00DD477A">
        <w:t>c</w:t>
      </w:r>
      <w:r w:rsidR="00346167" w:rsidRPr="00DD477A">
        <w:t xml:space="preserve">lick on the </w:t>
      </w:r>
      <w:r w:rsidR="006714EB" w:rsidRPr="00DD477A">
        <w:t>‘</w:t>
      </w:r>
      <w:r w:rsidR="00346167" w:rsidRPr="00DD477A">
        <w:t>Margins</w:t>
      </w:r>
      <w:r w:rsidR="006714EB" w:rsidRPr="00DD477A">
        <w:t>’</w:t>
      </w:r>
      <w:r w:rsidR="00346167" w:rsidRPr="00DD477A">
        <w:t xml:space="preserve"> tab:</w:t>
      </w:r>
    </w:p>
    <w:p w14:paraId="591AC636" w14:textId="0A100A2F" w:rsidR="00FA0945" w:rsidRPr="00DD477A" w:rsidRDefault="00346167" w:rsidP="0003645A">
      <w:pPr>
        <w:pStyle w:val="Bullet2"/>
      </w:pPr>
      <w:r w:rsidRPr="00DD477A">
        <w:t>l</w:t>
      </w:r>
      <w:r w:rsidR="00FA0945" w:rsidRPr="00DD477A">
        <w:t>eft and right</w:t>
      </w:r>
      <w:r w:rsidR="00444045" w:rsidRPr="00DD477A">
        <w:tab/>
      </w:r>
      <w:r w:rsidR="004D0115" w:rsidRPr="00DD477A">
        <w:t xml:space="preserve">= </w:t>
      </w:r>
      <w:r w:rsidR="00FA0945" w:rsidRPr="00DD477A">
        <w:t>4.3</w:t>
      </w:r>
      <w:r w:rsidR="004D0115" w:rsidRPr="00DD477A">
        <w:t>cm</w:t>
      </w:r>
    </w:p>
    <w:p w14:paraId="7332E5AC" w14:textId="77777777" w:rsidR="00655600" w:rsidRPr="00DD477A" w:rsidRDefault="00346167" w:rsidP="0003645A">
      <w:pPr>
        <w:pStyle w:val="Bullet2"/>
        <w:rPr>
          <w:rFonts w:eastAsiaTheme="majorEastAsia"/>
        </w:rPr>
      </w:pPr>
      <w:r w:rsidRPr="00DD477A">
        <w:t>t</w:t>
      </w:r>
      <w:r w:rsidR="00FA0945" w:rsidRPr="00DD477A">
        <w:t>op and bottom</w:t>
      </w:r>
      <w:r w:rsidR="00FA0945" w:rsidRPr="00DD477A">
        <w:tab/>
      </w:r>
      <w:r w:rsidR="004D0115" w:rsidRPr="00DD477A">
        <w:t xml:space="preserve">= </w:t>
      </w:r>
      <w:r w:rsidR="00FA0945" w:rsidRPr="00DD477A">
        <w:t>3.7</w:t>
      </w:r>
      <w:r w:rsidR="004D0115" w:rsidRPr="00DD477A">
        <w:t>cm</w:t>
      </w:r>
      <w:r w:rsidR="006F2D40" w:rsidRPr="00DD477A">
        <w:t>.</w:t>
      </w:r>
    </w:p>
    <w:p w14:paraId="02A1F272" w14:textId="78760EE8" w:rsidR="00FA0945" w:rsidRPr="00DD477A" w:rsidRDefault="53BF0693" w:rsidP="0095142C">
      <w:pPr>
        <w:pStyle w:val="Bullet2"/>
        <w:numPr>
          <w:ilvl w:val="0"/>
          <w:numId w:val="0"/>
        </w:numPr>
        <w:rPr>
          <w:iCs/>
          <w:sz w:val="26"/>
        </w:rPr>
      </w:pPr>
      <w:bookmarkStart w:id="1502" w:name="_Toc63347745"/>
      <w:r w:rsidRPr="00DD477A">
        <w:rPr>
          <w:rFonts w:asciiTheme="majorHAnsi" w:eastAsiaTheme="majorEastAsia" w:hAnsiTheme="majorHAnsi"/>
          <w:bCs/>
          <w:iCs/>
          <w:sz w:val="26"/>
          <w:szCs w:val="26"/>
        </w:rPr>
        <w:t>Setting font and text alignment</w:t>
      </w:r>
      <w:bookmarkEnd w:id="1502"/>
    </w:p>
    <w:p w14:paraId="19DEB5BD" w14:textId="5605DFD5" w:rsidR="000C42A6" w:rsidRPr="00DD477A" w:rsidRDefault="00F05ECA" w:rsidP="00AA1E87">
      <w:pPr>
        <w:pStyle w:val="Numbered"/>
        <w:numPr>
          <w:ilvl w:val="0"/>
          <w:numId w:val="24"/>
        </w:numPr>
      </w:pPr>
      <w:r w:rsidRPr="00DD477A">
        <w:t>c</w:t>
      </w:r>
      <w:r w:rsidR="00FA0945" w:rsidRPr="00DD477A">
        <w:t>lick the select all button in the upper left corner of the worksheet (where the row and column headings meet)</w:t>
      </w:r>
      <w:r w:rsidR="004C0DE8" w:rsidRPr="00DD477A">
        <w:br/>
      </w:r>
      <w:r w:rsidR="00363E96" w:rsidRPr="00DD477A">
        <w:rPr>
          <w:noProof/>
          <w:lang w:eastAsia="en-AU"/>
        </w:rPr>
        <w:drawing>
          <wp:inline distT="0" distB="0" distL="0" distR="0" wp14:anchorId="0277B128" wp14:editId="78BD9F2E">
            <wp:extent cx="810000" cy="504000"/>
            <wp:effectExtent l="19050" t="19050" r="9525" b="1079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810000" cy="504000"/>
                    </a:xfrm>
                    <a:prstGeom prst="rect">
                      <a:avLst/>
                    </a:prstGeom>
                    <a:ln>
                      <a:solidFill>
                        <a:schemeClr val="tx1"/>
                      </a:solidFill>
                    </a:ln>
                  </pic:spPr>
                </pic:pic>
              </a:graphicData>
            </a:graphic>
          </wp:inline>
        </w:drawing>
      </w:r>
    </w:p>
    <w:p w14:paraId="0FEEE197" w14:textId="201AE0B1" w:rsidR="00FA0945" w:rsidRPr="00DD477A" w:rsidRDefault="00F05ECA" w:rsidP="00AA1E87">
      <w:pPr>
        <w:pStyle w:val="Numbered"/>
        <w:numPr>
          <w:ilvl w:val="0"/>
          <w:numId w:val="24"/>
        </w:numPr>
      </w:pPr>
      <w:r w:rsidRPr="00DD477A">
        <w:t>f</w:t>
      </w:r>
      <w:r w:rsidR="53BF0693" w:rsidRPr="00DD477A">
        <w:t xml:space="preserve">rom the </w:t>
      </w:r>
      <w:r w:rsidR="006714EB" w:rsidRPr="00DD477A">
        <w:t>‘</w:t>
      </w:r>
      <w:r w:rsidR="53BF0693" w:rsidRPr="00DD477A">
        <w:t>Home</w:t>
      </w:r>
      <w:r w:rsidR="006714EB" w:rsidRPr="00DD477A">
        <w:t>’</w:t>
      </w:r>
      <w:r w:rsidR="53BF0693" w:rsidRPr="00DD477A">
        <w:t xml:space="preserve"> ribbon, on the </w:t>
      </w:r>
      <w:r w:rsidR="006714EB" w:rsidRPr="00DD477A">
        <w:t>‘</w:t>
      </w:r>
      <w:r w:rsidR="53BF0693" w:rsidRPr="00DD477A">
        <w:t>Font</w:t>
      </w:r>
      <w:r w:rsidR="006714EB" w:rsidRPr="00DD477A">
        <w:t>’</w:t>
      </w:r>
      <w:r w:rsidR="53BF0693" w:rsidRPr="00DD477A">
        <w:t xml:space="preserve"> tab set font to 8 pts Arial</w:t>
      </w:r>
    </w:p>
    <w:p w14:paraId="5A5124BD" w14:textId="6E97BF75" w:rsidR="00360283" w:rsidRPr="00DD477A" w:rsidRDefault="00EA2FD1" w:rsidP="00AA1E87">
      <w:pPr>
        <w:pStyle w:val="Numbered"/>
        <w:numPr>
          <w:ilvl w:val="0"/>
          <w:numId w:val="24"/>
        </w:numPr>
      </w:pPr>
      <w:r w:rsidRPr="00DD477A">
        <w:rPr>
          <w:noProof/>
        </w:rPr>
        <mc:AlternateContent>
          <mc:Choice Requires="wps">
            <w:drawing>
              <wp:anchor distT="0" distB="0" distL="114300" distR="114300" simplePos="0" relativeHeight="251658240" behindDoc="0" locked="0" layoutInCell="1" allowOverlap="1" wp14:anchorId="76714973" wp14:editId="084C5ECD">
                <wp:simplePos x="0" y="0"/>
                <wp:positionH relativeFrom="column">
                  <wp:posOffset>2344136</wp:posOffset>
                </wp:positionH>
                <wp:positionV relativeFrom="paragraph">
                  <wp:posOffset>284605</wp:posOffset>
                </wp:positionV>
                <wp:extent cx="45719" cy="552709"/>
                <wp:effectExtent l="38100" t="0" r="50165" b="57150"/>
                <wp:wrapNone/>
                <wp:docPr id="1090871561" name="Straight Arrow Connector 1090871561"/>
                <wp:cNvGraphicFramePr/>
                <a:graphic xmlns:a="http://schemas.openxmlformats.org/drawingml/2006/main">
                  <a:graphicData uri="http://schemas.microsoft.com/office/word/2010/wordprocessingShape">
                    <wps:wsp>
                      <wps:cNvCnPr/>
                      <wps:spPr>
                        <a:xfrm flipH="1">
                          <a:off x="0" y="0"/>
                          <a:ext cx="45719" cy="55270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7AA177" id="_x0000_t32" coordsize="21600,21600" o:spt="32" o:oned="t" path="m,l21600,21600e" filled="f">
                <v:path arrowok="t" fillok="f" o:connecttype="none"/>
                <o:lock v:ext="edit" shapetype="t"/>
              </v:shapetype>
              <v:shape id="Straight Arrow Connector 1090871561" o:spid="_x0000_s1026" type="#_x0000_t32" style="position:absolute;margin-left:184.6pt;margin-top:22.4pt;width:3.6pt;height:4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" strokecolor="black [3200]" strokeweight="1.5pt">
                <v:stroke endarrow="block" joinstyle="miter"/>
              </v:shape>
            </w:pict>
          </mc:Fallback>
        </mc:AlternateContent>
      </w:r>
      <w:r w:rsidR="00F05ECA" w:rsidRPr="00DD477A">
        <w:t>s</w:t>
      </w:r>
      <w:r w:rsidR="00FA0945" w:rsidRPr="00DD477A">
        <w:t xml:space="preserve">elect the </w:t>
      </w:r>
      <w:r w:rsidR="006714EB" w:rsidRPr="00DD477A">
        <w:t>‘</w:t>
      </w:r>
      <w:r w:rsidR="00FA0945" w:rsidRPr="00DD477A">
        <w:t>Alignment</w:t>
      </w:r>
      <w:r w:rsidR="006714EB" w:rsidRPr="00DD477A">
        <w:t>’</w:t>
      </w:r>
      <w:r w:rsidR="00FA0945" w:rsidRPr="00DD477A">
        <w:t xml:space="preserve"> tab set the Vertical text alignment to </w:t>
      </w:r>
      <w:r w:rsidR="006714EB" w:rsidRPr="00DD477A">
        <w:t>‘</w:t>
      </w:r>
      <w:r w:rsidR="00FA0945" w:rsidRPr="00DD477A">
        <w:t>Centre</w:t>
      </w:r>
      <w:r w:rsidR="006714EB" w:rsidRPr="00DD477A">
        <w:t>’</w:t>
      </w:r>
      <w:r w:rsidR="00AE0D55" w:rsidRPr="00DD477A">
        <w:t>.</w:t>
      </w:r>
      <w:r w:rsidR="004C0DE8" w:rsidRPr="00DD477A">
        <w:br/>
      </w:r>
      <w:r w:rsidR="004C0DE8" w:rsidRPr="00DD477A">
        <w:br/>
      </w:r>
      <w:r w:rsidR="00EA7987" w:rsidRPr="00DD477A">
        <w:rPr>
          <w:noProof/>
          <w:lang w:eastAsia="en-AU"/>
        </w:rPr>
        <w:drawing>
          <wp:inline distT="0" distB="0" distL="0" distR="0" wp14:anchorId="67E36F15" wp14:editId="4DE6B323">
            <wp:extent cx="3945600" cy="774000"/>
            <wp:effectExtent l="19050" t="19050" r="17145" b="266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3945600" cy="774000"/>
                    </a:xfrm>
                    <a:prstGeom prst="rect">
                      <a:avLst/>
                    </a:prstGeom>
                    <a:ln>
                      <a:solidFill>
                        <a:schemeClr val="tx1"/>
                      </a:solidFill>
                    </a:ln>
                  </pic:spPr>
                </pic:pic>
              </a:graphicData>
            </a:graphic>
          </wp:inline>
        </w:drawing>
      </w:r>
    </w:p>
    <w:p w14:paraId="38A799D8" w14:textId="77777777" w:rsidR="00360283" w:rsidRPr="00DD477A" w:rsidRDefault="00360283">
      <w:pPr>
        <w:suppressAutoHyphens w:val="0"/>
        <w:spacing w:before="0" w:after="120" w:line="440" w:lineRule="atLeast"/>
        <w:rPr>
          <w:rFonts w:eastAsia="Cambria" w:cs="Calibri"/>
        </w:rPr>
      </w:pPr>
      <w:r w:rsidRPr="00DD477A">
        <w:rPr>
          <w:rFonts w:cs="Calibri"/>
        </w:rPr>
        <w:br w:type="page"/>
      </w:r>
    </w:p>
    <w:p w14:paraId="75FB3A0D" w14:textId="463973AD" w:rsidR="00FA0945" w:rsidRPr="00DD477A" w:rsidRDefault="53BF0693" w:rsidP="0095142C">
      <w:pPr>
        <w:pStyle w:val="Bullet2"/>
        <w:numPr>
          <w:ilvl w:val="0"/>
          <w:numId w:val="0"/>
        </w:numPr>
        <w:rPr>
          <w:iCs/>
          <w:sz w:val="26"/>
        </w:rPr>
      </w:pPr>
      <w:bookmarkStart w:id="1503" w:name="_Toc128665535"/>
      <w:bookmarkStart w:id="1504" w:name="_Toc129015771"/>
      <w:bookmarkStart w:id="1505" w:name="_Toc129017926"/>
      <w:bookmarkStart w:id="1506" w:name="_Toc129163735"/>
      <w:bookmarkStart w:id="1507" w:name="_Toc129166978"/>
      <w:bookmarkStart w:id="1508" w:name="_Toc63347746"/>
      <w:bookmarkEnd w:id="1503"/>
      <w:bookmarkEnd w:id="1504"/>
      <w:bookmarkEnd w:id="1505"/>
      <w:bookmarkEnd w:id="1506"/>
      <w:bookmarkEnd w:id="1507"/>
      <w:r w:rsidRPr="00DD477A">
        <w:rPr>
          <w:rFonts w:asciiTheme="majorHAnsi" w:eastAsiaTheme="majorEastAsia" w:hAnsiTheme="majorHAnsi"/>
          <w:bCs/>
          <w:iCs/>
          <w:sz w:val="26"/>
          <w:szCs w:val="26"/>
        </w:rPr>
        <w:lastRenderedPageBreak/>
        <w:t>Row height</w:t>
      </w:r>
      <w:bookmarkEnd w:id="1508"/>
    </w:p>
    <w:p w14:paraId="41EF0B4B" w14:textId="77777777" w:rsidR="00FA0945" w:rsidRPr="00DD477A" w:rsidRDefault="00F05ECA" w:rsidP="00AA1E87">
      <w:pPr>
        <w:pStyle w:val="Numbered"/>
        <w:numPr>
          <w:ilvl w:val="0"/>
          <w:numId w:val="25"/>
        </w:numPr>
      </w:pPr>
      <w:r w:rsidRPr="00DD477A">
        <w:t>s</w:t>
      </w:r>
      <w:r w:rsidR="53BF0693" w:rsidRPr="00DD477A">
        <w:t>elect the rows to be adjusted</w:t>
      </w:r>
    </w:p>
    <w:p w14:paraId="0A911EC8" w14:textId="29CEE7D7" w:rsidR="00FA0945" w:rsidRPr="00DD477A" w:rsidRDefault="00F05ECA" w:rsidP="00AA1E87">
      <w:pPr>
        <w:pStyle w:val="Numbered"/>
        <w:numPr>
          <w:ilvl w:val="0"/>
          <w:numId w:val="25"/>
        </w:numPr>
      </w:pPr>
      <w:r w:rsidRPr="00DD477A">
        <w:t>f</w:t>
      </w:r>
      <w:r w:rsidR="00FA0945" w:rsidRPr="00DD477A">
        <w:t xml:space="preserve">rom the </w:t>
      </w:r>
      <w:r w:rsidR="006714EB" w:rsidRPr="00DD477A">
        <w:t>‘</w:t>
      </w:r>
      <w:r w:rsidR="00FA0945" w:rsidRPr="00DD477A">
        <w:t>Home</w:t>
      </w:r>
      <w:r w:rsidR="006714EB" w:rsidRPr="00DD477A">
        <w:t>’</w:t>
      </w:r>
      <w:r w:rsidR="00FA0945" w:rsidRPr="00DD477A">
        <w:t xml:space="preserve"> ribbon, in the </w:t>
      </w:r>
      <w:r w:rsidR="006714EB" w:rsidRPr="00DD477A">
        <w:t>‘</w:t>
      </w:r>
      <w:r w:rsidR="00FA0945" w:rsidRPr="00DD477A">
        <w:t>Cells</w:t>
      </w:r>
      <w:r w:rsidR="006714EB" w:rsidRPr="00DD477A">
        <w:t>’</w:t>
      </w:r>
      <w:r w:rsidR="00FA0945" w:rsidRPr="00DD477A">
        <w:t xml:space="preserve"> </w:t>
      </w:r>
      <w:r w:rsidR="0023216D" w:rsidRPr="00DD477A">
        <w:t>tab</w:t>
      </w:r>
      <w:r w:rsidR="00FA0945" w:rsidRPr="00DD477A">
        <w:t xml:space="preserve"> select </w:t>
      </w:r>
      <w:r w:rsidR="0023216D" w:rsidRPr="00DD477A">
        <w:t xml:space="preserve">the </w:t>
      </w:r>
      <w:r w:rsidR="006714EB" w:rsidRPr="00DD477A">
        <w:t>‘</w:t>
      </w:r>
      <w:r w:rsidR="00FA0945" w:rsidRPr="00DD477A">
        <w:t>Format</w:t>
      </w:r>
      <w:r w:rsidR="006714EB" w:rsidRPr="00DD477A">
        <w:t>’</w:t>
      </w:r>
      <w:r w:rsidR="00FA0945" w:rsidRPr="00DD477A">
        <w:t xml:space="preserve"> </w:t>
      </w:r>
      <w:r w:rsidR="0023216D" w:rsidRPr="00DD477A">
        <w:t xml:space="preserve">command </w:t>
      </w:r>
      <w:r w:rsidR="00FA0945" w:rsidRPr="00DD477A">
        <w:t xml:space="preserve">and then </w:t>
      </w:r>
      <w:r w:rsidR="006714EB" w:rsidRPr="00DD477A">
        <w:t>‘</w:t>
      </w:r>
      <w:r w:rsidR="00FA0945" w:rsidRPr="00DD477A">
        <w:t>Row height</w:t>
      </w:r>
      <w:r w:rsidR="006714EB" w:rsidRPr="00DD477A">
        <w:t>’</w:t>
      </w:r>
      <w:r w:rsidR="005E3007" w:rsidRPr="00DD477A">
        <w:t>.</w:t>
      </w:r>
      <w:r w:rsidR="003936B4" w:rsidRPr="00DD477A">
        <w:br/>
      </w:r>
      <w:r w:rsidR="004C0DE8" w:rsidRPr="00DD477A">
        <w:br/>
      </w:r>
      <w:r w:rsidR="00685AB2" w:rsidRPr="00DD477A">
        <w:rPr>
          <w:noProof/>
          <w:lang w:eastAsia="en-AU"/>
        </w:rPr>
        <w:drawing>
          <wp:inline distT="0" distB="0" distL="0" distR="0" wp14:anchorId="5980F090" wp14:editId="12C31DF5">
            <wp:extent cx="1913828" cy="2209485"/>
            <wp:effectExtent l="19050" t="19050" r="10795" b="196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1924570" cy="2221887"/>
                    </a:xfrm>
                    <a:prstGeom prst="rect">
                      <a:avLst/>
                    </a:prstGeom>
                    <a:ln>
                      <a:solidFill>
                        <a:schemeClr val="tx1"/>
                      </a:solidFill>
                    </a:ln>
                  </pic:spPr>
                </pic:pic>
              </a:graphicData>
            </a:graphic>
          </wp:inline>
        </w:drawing>
      </w:r>
    </w:p>
    <w:p w14:paraId="7C568CA9" w14:textId="77777777" w:rsidR="00E23D4B" w:rsidRPr="00DD477A" w:rsidRDefault="00F05ECA" w:rsidP="00AA1E87">
      <w:pPr>
        <w:pStyle w:val="Numbered"/>
        <w:numPr>
          <w:ilvl w:val="0"/>
          <w:numId w:val="25"/>
        </w:numPr>
      </w:pPr>
      <w:r w:rsidRPr="00DD477A">
        <w:t>e</w:t>
      </w:r>
      <w:r w:rsidR="53BF0693" w:rsidRPr="00DD477A">
        <w:t>nter 11.25 and then click OK.</w:t>
      </w:r>
    </w:p>
    <w:p w14:paraId="1F5F1D77" w14:textId="77777777" w:rsidR="00FA0945" w:rsidRPr="00DD477A" w:rsidRDefault="53BF0693" w:rsidP="00580008">
      <w:pPr>
        <w:pStyle w:val="Boxed2Text"/>
        <w:rPr>
          <w:rFonts w:cs="Calibri"/>
        </w:rPr>
      </w:pPr>
      <w:r w:rsidRPr="00DD477A">
        <w:rPr>
          <w:rFonts w:cs="Calibri"/>
        </w:rPr>
        <w:t>If a table is difficult to fit onto a Word page the row height can be reduced. In Word check the printed page to ensure that numbers and text are not cut off.</w:t>
      </w:r>
    </w:p>
    <w:p w14:paraId="1EFA31A1" w14:textId="5CE4C813" w:rsidR="00FA0945" w:rsidRPr="00DD477A" w:rsidRDefault="53BF0693" w:rsidP="0095142C">
      <w:pPr>
        <w:pStyle w:val="Bullet2"/>
        <w:numPr>
          <w:ilvl w:val="0"/>
          <w:numId w:val="0"/>
        </w:numPr>
        <w:rPr>
          <w:iCs/>
          <w:sz w:val="26"/>
        </w:rPr>
      </w:pPr>
      <w:bookmarkStart w:id="1509" w:name="_Toc63347747"/>
      <w:r w:rsidRPr="00DD477A">
        <w:rPr>
          <w:rFonts w:asciiTheme="majorHAnsi" w:eastAsiaTheme="majorEastAsia" w:hAnsiTheme="majorHAnsi"/>
          <w:bCs/>
          <w:iCs/>
          <w:sz w:val="26"/>
          <w:szCs w:val="26"/>
        </w:rPr>
        <w:t>Table borders</w:t>
      </w:r>
      <w:bookmarkEnd w:id="1509"/>
    </w:p>
    <w:p w14:paraId="7F4EA754" w14:textId="01A0E113" w:rsidR="00FA0945" w:rsidRPr="00DD477A" w:rsidRDefault="00F05ECA" w:rsidP="00AA1E87">
      <w:pPr>
        <w:pStyle w:val="Numbered"/>
        <w:numPr>
          <w:ilvl w:val="0"/>
          <w:numId w:val="26"/>
        </w:numPr>
      </w:pPr>
      <w:r w:rsidRPr="00DD477A">
        <w:t>s</w:t>
      </w:r>
      <w:r w:rsidR="53BF0693" w:rsidRPr="00DD477A">
        <w:t xml:space="preserve">elect the row </w:t>
      </w:r>
      <w:r w:rsidR="00596BD1" w:rsidRPr="00DD477A">
        <w:t xml:space="preserve">of the table </w:t>
      </w:r>
      <w:r w:rsidR="001D2D83" w:rsidRPr="00DD477A">
        <w:t xml:space="preserve">that will </w:t>
      </w:r>
      <w:r w:rsidR="53BF0693" w:rsidRPr="00DD477A">
        <w:t>contain the ruled line</w:t>
      </w:r>
      <w:r w:rsidR="00596BD1" w:rsidRPr="00DD477A">
        <w:t xml:space="preserve"> as a border</w:t>
      </w:r>
    </w:p>
    <w:p w14:paraId="07764A6A" w14:textId="09E2B91E" w:rsidR="003E05CE" w:rsidRPr="00DD477A" w:rsidRDefault="00F05ECA" w:rsidP="00AA1E87">
      <w:pPr>
        <w:pStyle w:val="Numbered"/>
        <w:numPr>
          <w:ilvl w:val="0"/>
          <w:numId w:val="26"/>
        </w:numPr>
      </w:pPr>
      <w:r w:rsidRPr="00DD477A">
        <w:t>f</w:t>
      </w:r>
      <w:r w:rsidR="00FA0945" w:rsidRPr="00DD477A">
        <w:t xml:space="preserve">rom the </w:t>
      </w:r>
      <w:r w:rsidR="006714EB" w:rsidRPr="00DD477A">
        <w:t>‘</w:t>
      </w:r>
      <w:r w:rsidR="00FA0945" w:rsidRPr="00DD477A">
        <w:t>Home</w:t>
      </w:r>
      <w:r w:rsidR="006714EB" w:rsidRPr="00DD477A">
        <w:t>’</w:t>
      </w:r>
      <w:r w:rsidR="00FA0945" w:rsidRPr="00DD477A">
        <w:t xml:space="preserve"> ribbon, select the </w:t>
      </w:r>
      <w:r w:rsidR="006714EB" w:rsidRPr="00DD477A">
        <w:t>‘</w:t>
      </w:r>
      <w:r w:rsidR="00FA0945" w:rsidRPr="00DD477A">
        <w:t>Font</w:t>
      </w:r>
      <w:r w:rsidR="006714EB" w:rsidRPr="00DD477A">
        <w:t>’</w:t>
      </w:r>
      <w:r w:rsidR="00FA0945" w:rsidRPr="00DD477A">
        <w:t xml:space="preserve"> </w:t>
      </w:r>
      <w:r w:rsidR="000367F4" w:rsidRPr="00DD477A">
        <w:t>sub-</w:t>
      </w:r>
      <w:r w:rsidR="00FA0945" w:rsidRPr="00DD477A">
        <w:t>tab</w:t>
      </w:r>
      <w:r w:rsidR="004C0DE8" w:rsidRPr="00DD477A">
        <w:br/>
      </w:r>
      <w:r w:rsidR="00696620" w:rsidRPr="00DD477A">
        <w:rPr>
          <w:noProof/>
          <w:lang w:eastAsia="en-AU"/>
        </w:rPr>
        <w:drawing>
          <wp:inline distT="0" distB="0" distL="0" distR="0" wp14:anchorId="61A8D626" wp14:editId="6590FA0D">
            <wp:extent cx="1553485" cy="663533"/>
            <wp:effectExtent l="19050" t="19050" r="8890" b="2286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571341" cy="671160"/>
                    </a:xfrm>
                    <a:prstGeom prst="rect">
                      <a:avLst/>
                    </a:prstGeom>
                    <a:ln>
                      <a:solidFill>
                        <a:schemeClr val="tx1"/>
                      </a:solidFill>
                    </a:ln>
                  </pic:spPr>
                </pic:pic>
              </a:graphicData>
            </a:graphic>
          </wp:inline>
        </w:drawing>
      </w:r>
    </w:p>
    <w:p w14:paraId="60117296" w14:textId="13E751B3" w:rsidR="00FA0945" w:rsidRPr="00DD477A" w:rsidRDefault="00F05ECA" w:rsidP="00AA1E87">
      <w:pPr>
        <w:pStyle w:val="Numbered"/>
        <w:numPr>
          <w:ilvl w:val="0"/>
          <w:numId w:val="26"/>
        </w:numPr>
      </w:pPr>
      <w:r w:rsidRPr="00DD477A">
        <w:t>s</w:t>
      </w:r>
      <w:r w:rsidR="00FA0945" w:rsidRPr="00DD477A">
        <w:t xml:space="preserve">elect the </w:t>
      </w:r>
      <w:r w:rsidR="006714EB" w:rsidRPr="00DD477A">
        <w:t>‘</w:t>
      </w:r>
      <w:r w:rsidR="00FA0945" w:rsidRPr="00DD477A">
        <w:t>Border</w:t>
      </w:r>
      <w:r w:rsidR="006714EB" w:rsidRPr="00DD477A">
        <w:t>’</w:t>
      </w:r>
      <w:r w:rsidR="00FA0945" w:rsidRPr="00DD477A">
        <w:t xml:space="preserve"> tab</w:t>
      </w:r>
      <w:r w:rsidR="004C0DE8" w:rsidRPr="00DD477A">
        <w:br/>
      </w:r>
      <w:r w:rsidR="004B10B9" w:rsidRPr="00DD477A">
        <w:rPr>
          <w:noProof/>
          <w:lang w:eastAsia="en-AU"/>
        </w:rPr>
        <w:drawing>
          <wp:inline distT="0" distB="0" distL="0" distR="0" wp14:anchorId="07A5D9E4" wp14:editId="4608CD65">
            <wp:extent cx="3300451" cy="2840369"/>
            <wp:effectExtent l="19050" t="19050" r="10160" b="133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19"/>
                    <a:stretch>
                      <a:fillRect/>
                    </a:stretch>
                  </pic:blipFill>
                  <pic:spPr>
                    <a:xfrm>
                      <a:off x="0" y="0"/>
                      <a:ext cx="3300451" cy="2840369"/>
                    </a:xfrm>
                    <a:prstGeom prst="rect">
                      <a:avLst/>
                    </a:prstGeom>
                    <a:ln>
                      <a:solidFill>
                        <a:schemeClr val="tx1"/>
                      </a:solidFill>
                    </a:ln>
                  </pic:spPr>
                </pic:pic>
              </a:graphicData>
            </a:graphic>
          </wp:inline>
        </w:drawing>
      </w:r>
    </w:p>
    <w:p w14:paraId="1865D988" w14:textId="77777777" w:rsidR="00E23D4B" w:rsidRPr="00DD477A" w:rsidRDefault="00F05ECA" w:rsidP="00AA1E87">
      <w:pPr>
        <w:pStyle w:val="Numbered"/>
        <w:numPr>
          <w:ilvl w:val="0"/>
          <w:numId w:val="35"/>
        </w:numPr>
      </w:pPr>
      <w:r w:rsidRPr="00DD477A">
        <w:lastRenderedPageBreak/>
        <w:t>s</w:t>
      </w:r>
      <w:r w:rsidR="53BF0693" w:rsidRPr="00DD477A">
        <w:t>elect the first weight (first in list) and Colour = Black</w:t>
      </w:r>
    </w:p>
    <w:p w14:paraId="1657059C" w14:textId="77777777" w:rsidR="00FE449B" w:rsidRPr="00DD477A" w:rsidRDefault="00090962" w:rsidP="00580008">
      <w:pPr>
        <w:pStyle w:val="Boxed2Text"/>
        <w:rPr>
          <w:rFonts w:cs="Calibri"/>
        </w:rPr>
      </w:pPr>
      <w:r w:rsidRPr="00DD477A">
        <w:rPr>
          <w:rFonts w:cs="Calibri"/>
          <w:bCs/>
        </w:rPr>
        <w:t>T</w:t>
      </w:r>
      <w:r w:rsidR="53BF0693" w:rsidRPr="00DD477A">
        <w:rPr>
          <w:rFonts w:cs="Calibri"/>
        </w:rPr>
        <w:t>hough the line appears to be broken it will appear as solid when linked in Word.</w:t>
      </w:r>
    </w:p>
    <w:p w14:paraId="237EE4ED" w14:textId="77777777" w:rsidR="007363C0" w:rsidRPr="00DD477A" w:rsidRDefault="00F05ECA" w:rsidP="00AA1E87">
      <w:pPr>
        <w:pStyle w:val="Numbered"/>
        <w:numPr>
          <w:ilvl w:val="0"/>
          <w:numId w:val="35"/>
        </w:numPr>
      </w:pPr>
      <w:r w:rsidRPr="00DD477A">
        <w:t>c</w:t>
      </w:r>
      <w:r w:rsidR="53BF0693" w:rsidRPr="00DD477A">
        <w:t>lick OK.</w:t>
      </w:r>
    </w:p>
    <w:p w14:paraId="562114DD" w14:textId="77777777" w:rsidR="00FA0945" w:rsidRPr="00DD477A" w:rsidRDefault="53BF0693" w:rsidP="00580008">
      <w:pPr>
        <w:pStyle w:val="Boxed2Text"/>
        <w:rPr>
          <w:rFonts w:cs="Calibri"/>
        </w:rPr>
      </w:pPr>
      <w:r w:rsidRPr="00DD477A">
        <w:rPr>
          <w:rFonts w:cs="Calibri"/>
        </w:rPr>
        <w:t xml:space="preserve">Only apply borders to the row with the description and values, not the row above or below. </w:t>
      </w:r>
    </w:p>
    <w:p w14:paraId="4E2A480A" w14:textId="7E744F98" w:rsidR="00FA0945" w:rsidRPr="00DD477A" w:rsidRDefault="53BF0693" w:rsidP="0095142C">
      <w:pPr>
        <w:pStyle w:val="Bullet2"/>
        <w:numPr>
          <w:ilvl w:val="0"/>
          <w:numId w:val="0"/>
        </w:numPr>
      </w:pPr>
      <w:bookmarkStart w:id="1510" w:name="_Toc63347748"/>
      <w:r w:rsidRPr="00DD477A">
        <w:rPr>
          <w:rFonts w:asciiTheme="majorHAnsi" w:eastAsiaTheme="majorEastAsia" w:hAnsiTheme="majorHAnsi"/>
          <w:bCs/>
          <w:iCs/>
          <w:sz w:val="26"/>
          <w:szCs w:val="26"/>
        </w:rPr>
        <w:t>Shading</w:t>
      </w:r>
      <w:bookmarkEnd w:id="1510"/>
      <w:r w:rsidR="003B56AB" w:rsidRPr="00DD477A">
        <w:t xml:space="preserve"> </w:t>
      </w:r>
    </w:p>
    <w:p w14:paraId="471A74BC" w14:textId="77777777" w:rsidR="00FA0945" w:rsidRPr="00DD477A" w:rsidRDefault="00F05ECA" w:rsidP="00AA1E87">
      <w:pPr>
        <w:pStyle w:val="Numbered"/>
        <w:numPr>
          <w:ilvl w:val="0"/>
          <w:numId w:val="42"/>
        </w:numPr>
      </w:pPr>
      <w:r w:rsidRPr="00DD477A">
        <w:t>s</w:t>
      </w:r>
      <w:r w:rsidR="53BF0693" w:rsidRPr="00DD477A">
        <w:t>elect the cells to be shaded</w:t>
      </w:r>
    </w:p>
    <w:p w14:paraId="5CFD269D" w14:textId="2C35F18F" w:rsidR="00FE449B" w:rsidRPr="00DD477A" w:rsidRDefault="00F05ECA" w:rsidP="00AA1E87">
      <w:pPr>
        <w:pStyle w:val="Numbered"/>
        <w:numPr>
          <w:ilvl w:val="0"/>
          <w:numId w:val="42"/>
        </w:numPr>
      </w:pPr>
      <w:r w:rsidRPr="00DD477A">
        <w:t>s</w:t>
      </w:r>
      <w:r w:rsidR="53BF0693" w:rsidRPr="00DD477A">
        <w:t xml:space="preserve">elect the </w:t>
      </w:r>
      <w:r w:rsidR="006714EB" w:rsidRPr="00DD477A">
        <w:t>‘</w:t>
      </w:r>
      <w:r w:rsidR="53BF0693" w:rsidRPr="00DD477A">
        <w:t>Fill</w:t>
      </w:r>
      <w:r w:rsidR="006714EB" w:rsidRPr="00DD477A">
        <w:t>’</w:t>
      </w:r>
      <w:r w:rsidR="53BF0693" w:rsidRPr="00DD477A">
        <w:t xml:space="preserve"> </w:t>
      </w:r>
      <w:r w:rsidR="000367F4" w:rsidRPr="00DD477A">
        <w:t>sub-</w:t>
      </w:r>
      <w:r w:rsidR="53BF0693" w:rsidRPr="00DD477A">
        <w:t xml:space="preserve">tab from the </w:t>
      </w:r>
      <w:r w:rsidR="006714EB" w:rsidRPr="00DD477A">
        <w:t>‘</w:t>
      </w:r>
      <w:r w:rsidR="53BF0693" w:rsidRPr="00DD477A">
        <w:t>Font</w:t>
      </w:r>
      <w:r w:rsidR="006714EB" w:rsidRPr="00DD477A">
        <w:t>’</w:t>
      </w:r>
      <w:r w:rsidR="53BF0693" w:rsidRPr="00DD477A">
        <w:t xml:space="preserve"> </w:t>
      </w:r>
      <w:r w:rsidR="000367F4" w:rsidRPr="00DD477A">
        <w:t>tab</w:t>
      </w:r>
    </w:p>
    <w:p w14:paraId="76BF3876" w14:textId="08AD3601" w:rsidR="00FE449B" w:rsidRPr="00DD477A" w:rsidRDefault="00F05ECA" w:rsidP="00AA1E87">
      <w:pPr>
        <w:pStyle w:val="Numbered"/>
        <w:numPr>
          <w:ilvl w:val="0"/>
          <w:numId w:val="42"/>
        </w:numPr>
      </w:pPr>
      <w:r w:rsidRPr="00DD477A">
        <w:t>s</w:t>
      </w:r>
      <w:r w:rsidR="53BF0693" w:rsidRPr="00DD477A">
        <w:t xml:space="preserve">elect </w:t>
      </w:r>
      <w:r w:rsidR="006714EB" w:rsidRPr="00DD477A">
        <w:t>‘</w:t>
      </w:r>
      <w:r w:rsidR="53BF0693" w:rsidRPr="00DD477A">
        <w:t>More colours</w:t>
      </w:r>
      <w:r w:rsidR="006714EB" w:rsidRPr="00DD477A">
        <w:t>’</w:t>
      </w:r>
    </w:p>
    <w:p w14:paraId="20E6087F" w14:textId="4FAC5EA4" w:rsidR="00FE449B" w:rsidRPr="00DD477A" w:rsidRDefault="00F05ECA" w:rsidP="00AA1E87">
      <w:pPr>
        <w:pStyle w:val="Numbered"/>
        <w:numPr>
          <w:ilvl w:val="0"/>
          <w:numId w:val="42"/>
        </w:numPr>
      </w:pPr>
      <w:r w:rsidRPr="00DD477A">
        <w:t>s</w:t>
      </w:r>
      <w:r w:rsidR="53BF0693" w:rsidRPr="00DD477A">
        <w:t xml:space="preserve">elect the </w:t>
      </w:r>
      <w:r w:rsidR="006714EB" w:rsidRPr="00DD477A">
        <w:t>‘</w:t>
      </w:r>
      <w:r w:rsidR="53BF0693" w:rsidRPr="00DD477A">
        <w:t>Custom</w:t>
      </w:r>
      <w:r w:rsidR="006714EB" w:rsidRPr="00DD477A">
        <w:t>’</w:t>
      </w:r>
      <w:r w:rsidR="53BF0693" w:rsidRPr="00DD477A">
        <w:t xml:space="preserve"> tab</w:t>
      </w:r>
    </w:p>
    <w:p w14:paraId="33E0ACE8" w14:textId="77777777" w:rsidR="00FA0945" w:rsidRPr="00DD477A" w:rsidRDefault="00F05ECA" w:rsidP="00AA1E87">
      <w:pPr>
        <w:pStyle w:val="Numbered"/>
        <w:numPr>
          <w:ilvl w:val="0"/>
          <w:numId w:val="42"/>
        </w:numPr>
      </w:pPr>
      <w:r w:rsidRPr="00DD477A">
        <w:t>s</w:t>
      </w:r>
      <w:r w:rsidR="53BF0693" w:rsidRPr="00DD477A">
        <w:t>et as: Red – 235, Green – 235 and Blue – 235.</w:t>
      </w:r>
    </w:p>
    <w:p w14:paraId="4D55FFAC" w14:textId="44E0E261" w:rsidR="00FA0945" w:rsidRPr="00DD477A" w:rsidRDefault="53BF0693" w:rsidP="0095142C">
      <w:pPr>
        <w:pStyle w:val="Bullet2"/>
        <w:numPr>
          <w:ilvl w:val="0"/>
          <w:numId w:val="0"/>
        </w:numPr>
        <w:rPr>
          <w:iCs/>
          <w:sz w:val="26"/>
        </w:rPr>
      </w:pPr>
      <w:bookmarkStart w:id="1511" w:name="_Toc63347749"/>
      <w:r w:rsidRPr="00DD477A">
        <w:rPr>
          <w:rFonts w:asciiTheme="majorHAnsi" w:eastAsiaTheme="majorEastAsia" w:hAnsiTheme="majorHAnsi"/>
          <w:bCs/>
          <w:iCs/>
          <w:sz w:val="26"/>
          <w:szCs w:val="26"/>
        </w:rPr>
        <w:t>Indenting text</w:t>
      </w:r>
      <w:bookmarkEnd w:id="1511"/>
    </w:p>
    <w:p w14:paraId="773E3695" w14:textId="316A5C52" w:rsidR="00FA0945" w:rsidRPr="00DD477A" w:rsidRDefault="53BF0693" w:rsidP="000A7DEC">
      <w:pPr>
        <w:rPr>
          <w:rFonts w:cs="Calibri"/>
        </w:rPr>
      </w:pPr>
      <w:r w:rsidRPr="00DD477A">
        <w:rPr>
          <w:rFonts w:cs="Calibri"/>
        </w:rPr>
        <w:t xml:space="preserve">Use the </w:t>
      </w:r>
      <w:r w:rsidR="006714EB" w:rsidRPr="00DD477A">
        <w:rPr>
          <w:rFonts w:cs="Calibri"/>
        </w:rPr>
        <w:t>‘</w:t>
      </w:r>
      <w:r w:rsidRPr="00DD477A">
        <w:rPr>
          <w:rFonts w:cs="Calibri"/>
        </w:rPr>
        <w:t>Right Indent</w:t>
      </w:r>
      <w:r w:rsidR="006714EB" w:rsidRPr="00DD477A">
        <w:rPr>
          <w:rFonts w:cs="Calibri"/>
        </w:rPr>
        <w:t>’</w:t>
      </w:r>
      <w:r w:rsidRPr="00DD477A">
        <w:rPr>
          <w:rFonts w:cs="Calibri"/>
        </w:rPr>
        <w:t xml:space="preserve"> button </w:t>
      </w:r>
      <w:r w:rsidR="00FC79F5" w:rsidRPr="00DD477A">
        <w:rPr>
          <w:rFonts w:cs="Calibri"/>
        </w:rPr>
        <w:t xml:space="preserve">on the </w:t>
      </w:r>
      <w:r w:rsidR="001761F2" w:rsidRPr="00DD477A">
        <w:rPr>
          <w:rFonts w:cs="Calibri"/>
        </w:rPr>
        <w:t xml:space="preserve">“Alignment” group </w:t>
      </w:r>
      <w:r w:rsidRPr="00DD477A">
        <w:rPr>
          <w:rFonts w:cs="Calibri"/>
        </w:rPr>
        <w:t xml:space="preserve">to indent text in columns. </w:t>
      </w:r>
      <w:r w:rsidRPr="00DD477A">
        <w:rPr>
          <w:rFonts w:cs="Calibri"/>
          <w:u w:val="single"/>
        </w:rPr>
        <w:t>Do not</w:t>
      </w:r>
      <w:r w:rsidRPr="00DD477A">
        <w:rPr>
          <w:rFonts w:cs="Calibri"/>
        </w:rPr>
        <w:t xml:space="preserve"> create a second column to indent text or use spaces to indent text. </w:t>
      </w:r>
    </w:p>
    <w:p w14:paraId="28C0EED0" w14:textId="5AB631D0" w:rsidR="00FA0945" w:rsidRPr="00DD477A" w:rsidRDefault="0013008A">
      <w:pPr>
        <w:pStyle w:val="BodyText"/>
        <w:rPr>
          <w:rFonts w:cs="Calibri"/>
        </w:rPr>
      </w:pPr>
      <w:r w:rsidRPr="00DD477A">
        <w:rPr>
          <w:rFonts w:cs="Calibri"/>
          <w:noProof/>
          <w:lang w:eastAsia="en-AU"/>
        </w:rPr>
        <w:drawing>
          <wp:inline distT="0" distB="0" distL="0" distR="0" wp14:anchorId="0A831786" wp14:editId="440DCB6F">
            <wp:extent cx="1494000" cy="846000"/>
            <wp:effectExtent l="19050" t="19050" r="11430" b="1143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494000" cy="846000"/>
                    </a:xfrm>
                    <a:prstGeom prst="rect">
                      <a:avLst/>
                    </a:prstGeom>
                    <a:ln>
                      <a:solidFill>
                        <a:schemeClr val="tx1"/>
                      </a:solidFill>
                    </a:ln>
                  </pic:spPr>
                </pic:pic>
              </a:graphicData>
            </a:graphic>
          </wp:inline>
        </w:drawing>
      </w:r>
    </w:p>
    <w:p w14:paraId="0C965EA2" w14:textId="61C87526" w:rsidR="00FA0945" w:rsidRPr="00DD477A" w:rsidRDefault="53BF0693" w:rsidP="00E548A0">
      <w:pPr>
        <w:pStyle w:val="Heading2"/>
      </w:pPr>
      <w:bookmarkStart w:id="1512" w:name="_Toc63347750"/>
      <w:bookmarkStart w:id="1513" w:name="_Toc160715639"/>
      <w:r w:rsidRPr="00DD477A">
        <w:t xml:space="preserve">Inserting linked </w:t>
      </w:r>
      <w:r w:rsidR="00860488" w:rsidRPr="00DD477A">
        <w:t xml:space="preserve">Excel </w:t>
      </w:r>
      <w:r w:rsidRPr="00DD477A">
        <w:t xml:space="preserve">tables into the </w:t>
      </w:r>
      <w:r w:rsidR="00860488" w:rsidRPr="00DD477A">
        <w:t xml:space="preserve">Word </w:t>
      </w:r>
      <w:r w:rsidRPr="00DD477A">
        <w:t>template</w:t>
      </w:r>
      <w:bookmarkEnd w:id="1512"/>
      <w:bookmarkEnd w:id="1513"/>
    </w:p>
    <w:p w14:paraId="7FB921BF" w14:textId="3D4B08B6" w:rsidR="00FA0945" w:rsidRPr="00DD477A" w:rsidRDefault="53BF0693" w:rsidP="000A7DEC">
      <w:pPr>
        <w:rPr>
          <w:rFonts w:cs="Calibri"/>
        </w:rPr>
      </w:pPr>
      <w:r w:rsidRPr="00DD477A">
        <w:rPr>
          <w:rFonts w:cs="Calibri"/>
        </w:rPr>
        <w:t xml:space="preserve">The standard practice </w:t>
      </w:r>
      <w:r w:rsidR="00922736" w:rsidRPr="00DD477A">
        <w:rPr>
          <w:rFonts w:cs="Calibri"/>
        </w:rPr>
        <w:t>when</w:t>
      </w:r>
      <w:r w:rsidRPr="00DD477A">
        <w:rPr>
          <w:rFonts w:cs="Calibri"/>
        </w:rPr>
        <w:t xml:space="preserve"> preparing Budget documentation is to </w:t>
      </w:r>
      <w:r w:rsidRPr="00DD477A">
        <w:rPr>
          <w:rFonts w:cs="Calibri"/>
          <w:u w:val="single"/>
        </w:rPr>
        <w:t>link</w:t>
      </w:r>
      <w:r w:rsidRPr="00DD477A">
        <w:rPr>
          <w:rFonts w:cs="Calibri"/>
        </w:rPr>
        <w:t xml:space="preserve"> tables and charts from Excel into Word. Th</w:t>
      </w:r>
      <w:r w:rsidR="00A4629F" w:rsidRPr="00DD477A">
        <w:rPr>
          <w:rFonts w:cs="Calibri"/>
        </w:rPr>
        <w:t>is is the preferred practice</w:t>
      </w:r>
      <w:r w:rsidR="005B7A24" w:rsidRPr="00DD477A">
        <w:rPr>
          <w:rFonts w:cs="Calibri"/>
        </w:rPr>
        <w:t xml:space="preserve"> </w:t>
      </w:r>
      <w:r w:rsidR="00D1035F" w:rsidRPr="00DD477A">
        <w:rPr>
          <w:rFonts w:cs="Calibri"/>
        </w:rPr>
        <w:t>as it allows for the following</w:t>
      </w:r>
      <w:r w:rsidRPr="00DD477A">
        <w:rPr>
          <w:rFonts w:cs="Calibri"/>
        </w:rPr>
        <w:t>:</w:t>
      </w:r>
    </w:p>
    <w:p w14:paraId="7C50A5BA" w14:textId="4BDC0711" w:rsidR="00FA0945" w:rsidRPr="00DD477A" w:rsidRDefault="53BF0693" w:rsidP="00A7381C">
      <w:pPr>
        <w:pStyle w:val="Bullet1"/>
      </w:pPr>
      <w:r w:rsidRPr="00DD477A">
        <w:t xml:space="preserve">when Excel </w:t>
      </w:r>
      <w:r w:rsidR="006B43F6" w:rsidRPr="00DD477A">
        <w:t xml:space="preserve">Tables </w:t>
      </w:r>
      <w:r w:rsidRPr="00DD477A">
        <w:t xml:space="preserve">are updated, the Word template can be easily updated </w:t>
      </w:r>
      <w:r w:rsidR="00702984" w:rsidRPr="00DD477A">
        <w:t xml:space="preserve">to reflect these changes </w:t>
      </w:r>
      <w:r w:rsidRPr="00DD477A">
        <w:t>by pressing the F9 key in Word</w:t>
      </w:r>
    </w:p>
    <w:p w14:paraId="3CF2CED3" w14:textId="66CA2591" w:rsidR="00FA0945" w:rsidRPr="00DD477A" w:rsidRDefault="00D1035F" w:rsidP="00A7381C">
      <w:pPr>
        <w:pStyle w:val="Bullet1"/>
      </w:pPr>
      <w:r w:rsidRPr="00DD477A">
        <w:t xml:space="preserve">using </w:t>
      </w:r>
      <w:r w:rsidR="53BF0693" w:rsidRPr="00DD477A">
        <w:t xml:space="preserve"> linked object</w:t>
      </w:r>
      <w:r w:rsidR="0067062D" w:rsidRPr="00DD477A">
        <w:t>s</w:t>
      </w:r>
      <w:r w:rsidR="53BF0693" w:rsidRPr="00DD477A">
        <w:t xml:space="preserve"> in</w:t>
      </w:r>
      <w:r w:rsidR="0067062D" w:rsidRPr="00DD477A">
        <w:t xml:space="preserve"> Word</w:t>
      </w:r>
      <w:r w:rsidR="53BF0693" w:rsidRPr="00DD477A">
        <w:t xml:space="preserve"> document</w:t>
      </w:r>
      <w:r w:rsidR="0067062D" w:rsidRPr="00DD477A">
        <w:t>s</w:t>
      </w:r>
      <w:r w:rsidR="53BF0693" w:rsidRPr="00DD477A">
        <w:t xml:space="preserve"> </w:t>
      </w:r>
      <w:r w:rsidR="0067062D" w:rsidRPr="00DD477A">
        <w:t>minim</w:t>
      </w:r>
      <w:r w:rsidR="000E6F1C" w:rsidRPr="00DD477A">
        <w:t xml:space="preserve">ise </w:t>
      </w:r>
      <w:r w:rsidR="53BF0693" w:rsidRPr="00DD477A">
        <w:t>the file size</w:t>
      </w:r>
      <w:r w:rsidR="000E6F1C" w:rsidRPr="00DD477A">
        <w:t xml:space="preserve">, </w:t>
      </w:r>
      <w:r w:rsidR="53BF0693" w:rsidRPr="00DD477A">
        <w:t>unlinked object</w:t>
      </w:r>
      <w:r w:rsidR="000E6F1C" w:rsidRPr="00DD477A">
        <w:t>s</w:t>
      </w:r>
      <w:r w:rsidR="53BF0693" w:rsidRPr="00DD477A">
        <w:t xml:space="preserve"> increase the document size</w:t>
      </w:r>
    </w:p>
    <w:p w14:paraId="49F5510A" w14:textId="012AFA9F" w:rsidR="00FA0945" w:rsidRPr="00DD477A" w:rsidRDefault="00450579" w:rsidP="00A7381C">
      <w:pPr>
        <w:pStyle w:val="Bullet1"/>
      </w:pPr>
      <w:r w:rsidRPr="00DD477A">
        <w:t xml:space="preserve">Improvements to security by disallowing </w:t>
      </w:r>
      <w:r w:rsidR="00E62493" w:rsidRPr="00DD477A">
        <w:t xml:space="preserve">access to the source Excel file </w:t>
      </w:r>
      <w:r w:rsidR="53BF0693" w:rsidRPr="00DD477A">
        <w:t>when</w:t>
      </w:r>
      <w:r w:rsidR="00E62493" w:rsidRPr="00DD477A">
        <w:t xml:space="preserve"> </w:t>
      </w:r>
      <w:r w:rsidR="002D2E3C" w:rsidRPr="00DD477A">
        <w:t xml:space="preserve">unauthorised users </w:t>
      </w:r>
      <w:r w:rsidR="53BF0693" w:rsidRPr="00DD477A">
        <w:t>double click on a linked object in Word</w:t>
      </w:r>
      <w:r w:rsidR="00E62493" w:rsidRPr="00DD477A">
        <w:t>.</w:t>
      </w:r>
    </w:p>
    <w:p w14:paraId="6332C50C" w14:textId="77777777" w:rsidR="00FA0945" w:rsidRPr="00DD477A" w:rsidRDefault="53BF0693" w:rsidP="00E548A0">
      <w:pPr>
        <w:pStyle w:val="Heading2"/>
      </w:pPr>
      <w:bookmarkStart w:id="1514" w:name="_Toc160715640"/>
      <w:r w:rsidRPr="00DD477A">
        <w:t>To insert a linked Excel table into the Word template:</w:t>
      </w:r>
      <w:bookmarkEnd w:id="1514"/>
    </w:p>
    <w:p w14:paraId="2DBE4416" w14:textId="68DD5CFB" w:rsidR="00FA0945" w:rsidRPr="00DD477A" w:rsidRDefault="00F05ECA" w:rsidP="00AA1E87">
      <w:pPr>
        <w:pStyle w:val="Numbered"/>
        <w:numPr>
          <w:ilvl w:val="0"/>
          <w:numId w:val="27"/>
        </w:numPr>
      </w:pPr>
      <w:r w:rsidRPr="00DD477A">
        <w:t>i</w:t>
      </w:r>
      <w:r w:rsidR="53BF0693" w:rsidRPr="00DD477A">
        <w:t xml:space="preserve">n Excel, format the table to budget standards (see </w:t>
      </w:r>
      <w:r w:rsidR="00836B9B" w:rsidRPr="00DD477A">
        <w:t>above</w:t>
      </w:r>
      <w:r w:rsidR="53BF0693" w:rsidRPr="00DD477A">
        <w:t>)</w:t>
      </w:r>
    </w:p>
    <w:p w14:paraId="7746DAF4" w14:textId="77777777" w:rsidR="00FA0945" w:rsidRPr="00DD477A" w:rsidRDefault="00F05ECA" w:rsidP="00AA1E87">
      <w:pPr>
        <w:pStyle w:val="Numbered"/>
        <w:numPr>
          <w:ilvl w:val="0"/>
          <w:numId w:val="27"/>
        </w:numPr>
      </w:pPr>
      <w:r w:rsidRPr="00DD477A">
        <w:t>i</w:t>
      </w:r>
      <w:r w:rsidR="53BF0693" w:rsidRPr="00DD477A">
        <w:t>n Excel, select and copy the table</w:t>
      </w:r>
    </w:p>
    <w:p w14:paraId="744AB01C" w14:textId="20E8D14E" w:rsidR="00FA0945" w:rsidRPr="00DD477A" w:rsidRDefault="00F05ECA" w:rsidP="00AA1E87">
      <w:pPr>
        <w:pStyle w:val="Numbered"/>
        <w:numPr>
          <w:ilvl w:val="0"/>
          <w:numId w:val="27"/>
        </w:numPr>
      </w:pPr>
      <w:r w:rsidRPr="00DD477A">
        <w:t>i</w:t>
      </w:r>
      <w:r w:rsidR="53BF0693" w:rsidRPr="00DD477A">
        <w:t>n Word, enter the appropriate heading and apply the Table Heading format to the text</w:t>
      </w:r>
    </w:p>
    <w:p w14:paraId="70530A8B" w14:textId="71D8F1C5" w:rsidR="00FA0945" w:rsidRPr="00DD477A" w:rsidRDefault="00F05ECA" w:rsidP="00AA1E87">
      <w:pPr>
        <w:pStyle w:val="Numbered"/>
        <w:numPr>
          <w:ilvl w:val="0"/>
          <w:numId w:val="27"/>
        </w:numPr>
      </w:pPr>
      <w:r w:rsidRPr="00DD477A">
        <w:t>i</w:t>
      </w:r>
      <w:r w:rsidR="53BF0693" w:rsidRPr="00DD477A">
        <w:t xml:space="preserve">n Word, select </w:t>
      </w:r>
      <w:r w:rsidR="006714EB" w:rsidRPr="00DD477A">
        <w:t>‘</w:t>
      </w:r>
      <w:r w:rsidR="53BF0693" w:rsidRPr="00DD477A">
        <w:t>Paste Special</w:t>
      </w:r>
      <w:r w:rsidR="006714EB" w:rsidRPr="00DD477A">
        <w:t>’</w:t>
      </w:r>
      <w:r w:rsidR="53BF0693" w:rsidRPr="00DD477A">
        <w:t xml:space="preserve">, choose </w:t>
      </w:r>
      <w:r w:rsidR="006714EB" w:rsidRPr="00DD477A">
        <w:t>‘</w:t>
      </w:r>
      <w:r w:rsidR="53BF0693" w:rsidRPr="00DD477A">
        <w:t xml:space="preserve">Paste Link – </w:t>
      </w:r>
      <w:r w:rsidR="00BC04B2" w:rsidRPr="00DD477A">
        <w:t>HTML Format</w:t>
      </w:r>
      <w:r w:rsidR="006714EB" w:rsidRPr="00DD477A">
        <w:t>’</w:t>
      </w:r>
      <w:r w:rsidR="53BF0693" w:rsidRPr="00DD477A">
        <w:t xml:space="preserve"> and click </w:t>
      </w:r>
      <w:r w:rsidR="006714EB" w:rsidRPr="00DD477A">
        <w:t>‘</w:t>
      </w:r>
      <w:r w:rsidR="53BF0693" w:rsidRPr="00DD477A">
        <w:t>OK</w:t>
      </w:r>
      <w:r w:rsidR="006714EB" w:rsidRPr="00DD477A">
        <w:t>’</w:t>
      </w:r>
    </w:p>
    <w:p w14:paraId="3CC877BF" w14:textId="77777777" w:rsidR="00FA0945" w:rsidRPr="00DD477A" w:rsidRDefault="00F05ECA" w:rsidP="00AA1E87">
      <w:pPr>
        <w:pStyle w:val="Numbered"/>
        <w:numPr>
          <w:ilvl w:val="0"/>
          <w:numId w:val="27"/>
        </w:numPr>
      </w:pPr>
      <w:r w:rsidRPr="00DD477A">
        <w:lastRenderedPageBreak/>
        <w:t>i</w:t>
      </w:r>
      <w:r w:rsidR="53BF0693" w:rsidRPr="00DD477A">
        <w:t>n Word, type in the footnotes and other text</w:t>
      </w:r>
    </w:p>
    <w:p w14:paraId="71A6C0F6" w14:textId="65413439" w:rsidR="00FA0945" w:rsidRPr="00DD477A" w:rsidRDefault="00F05ECA" w:rsidP="00AA1E87">
      <w:pPr>
        <w:pStyle w:val="Numbered"/>
        <w:numPr>
          <w:ilvl w:val="0"/>
          <w:numId w:val="27"/>
        </w:numPr>
      </w:pPr>
      <w:r w:rsidRPr="00DD477A">
        <w:t>i</w:t>
      </w:r>
      <w:r w:rsidR="00FA0945" w:rsidRPr="00DD477A">
        <w:t xml:space="preserve">n Word lock the links by right clicking the linked table and choosing Linked Worksheet Object </w:t>
      </w:r>
      <w:r w:rsidR="004B76F7" w:rsidRPr="00DD477A">
        <w:rPr>
          <w:rFonts w:ascii="Wingdings" w:eastAsia="Wingdings" w:hAnsi="Wingdings" w:cs="Wingdings"/>
        </w:rPr>
        <w:t></w:t>
      </w:r>
      <w:r w:rsidR="00FA0945" w:rsidRPr="00DD477A">
        <w:t xml:space="preserve"> Links and then checking the </w:t>
      </w:r>
      <w:r w:rsidR="006714EB" w:rsidRPr="00DD477A">
        <w:t>‘</w:t>
      </w:r>
      <w:r w:rsidR="00FA0945" w:rsidRPr="00DD477A">
        <w:t>Locked</w:t>
      </w:r>
      <w:r w:rsidR="006714EB" w:rsidRPr="00DD477A">
        <w:t>’</w:t>
      </w:r>
      <w:r w:rsidR="00FA0945" w:rsidRPr="00DD477A">
        <w:t xml:space="preserve"> tick box, then click </w:t>
      </w:r>
      <w:r w:rsidR="006714EB" w:rsidRPr="00DD477A">
        <w:t>‘</w:t>
      </w:r>
      <w:r w:rsidR="00FA0945" w:rsidRPr="00DD477A">
        <w:t>OK</w:t>
      </w:r>
      <w:r w:rsidR="006714EB" w:rsidRPr="00DD477A">
        <w:t>’</w:t>
      </w:r>
      <w:r w:rsidR="00FA0945" w:rsidRPr="00DD477A">
        <w:t>.</w:t>
      </w:r>
    </w:p>
    <w:p w14:paraId="254590C2" w14:textId="77777777" w:rsidR="00FA0945" w:rsidRPr="00DD477A" w:rsidRDefault="53BF0693" w:rsidP="00E548A0">
      <w:pPr>
        <w:pStyle w:val="Heading2"/>
      </w:pPr>
      <w:bookmarkStart w:id="1515" w:name="_Toc160715641"/>
      <w:r w:rsidRPr="00DD477A">
        <w:t>To update linked tables</w:t>
      </w:r>
      <w:bookmarkEnd w:id="1515"/>
    </w:p>
    <w:p w14:paraId="78CF31D3" w14:textId="77777777" w:rsidR="00FA0945" w:rsidRPr="00DD477A" w:rsidRDefault="00F05ECA" w:rsidP="00AA1E87">
      <w:pPr>
        <w:pStyle w:val="Numbered"/>
        <w:numPr>
          <w:ilvl w:val="0"/>
          <w:numId w:val="28"/>
        </w:numPr>
      </w:pPr>
      <w:r w:rsidRPr="00DD477A">
        <w:t>i</w:t>
      </w:r>
      <w:r w:rsidR="53BF0693" w:rsidRPr="00DD477A">
        <w:t>n Excel, open the source workbook to update the table</w:t>
      </w:r>
    </w:p>
    <w:p w14:paraId="3FB75334" w14:textId="41259160" w:rsidR="00FA0945" w:rsidRPr="00DD477A" w:rsidRDefault="00F05ECA" w:rsidP="00AA1E87">
      <w:pPr>
        <w:pStyle w:val="Numbered"/>
        <w:numPr>
          <w:ilvl w:val="0"/>
          <w:numId w:val="28"/>
        </w:numPr>
      </w:pPr>
      <w:r w:rsidRPr="00DD477A">
        <w:t>t</w:t>
      </w:r>
      <w:r w:rsidR="00FA0945" w:rsidRPr="00DD477A">
        <w:t>o update the table, in Word, right click the table and select Linked Worksheet Object</w:t>
      </w:r>
      <w:r w:rsidR="009244B3" w:rsidRPr="00DD477A">
        <w:t> </w:t>
      </w:r>
      <w:r w:rsidR="004B76F7" w:rsidRPr="00DD477A">
        <w:rPr>
          <w:rFonts w:ascii="Wingdings" w:eastAsia="Wingdings" w:hAnsi="Wingdings" w:cs="Wingdings"/>
        </w:rPr>
        <w:t></w:t>
      </w:r>
      <w:r w:rsidR="009244B3" w:rsidRPr="00DD477A">
        <w:t> </w:t>
      </w:r>
      <w:r w:rsidR="00FA0945" w:rsidRPr="00DD477A">
        <w:t xml:space="preserve">Links. Uncheck the </w:t>
      </w:r>
      <w:r w:rsidR="006714EB" w:rsidRPr="00DD477A">
        <w:t>‘</w:t>
      </w:r>
      <w:r w:rsidR="00FA0945" w:rsidRPr="00DD477A">
        <w:t>Locked</w:t>
      </w:r>
      <w:r w:rsidR="006714EB" w:rsidRPr="00DD477A">
        <w:t>’</w:t>
      </w:r>
      <w:r w:rsidR="00FA0945" w:rsidRPr="00DD477A">
        <w:t xml:space="preserve"> tick box, then select update now, then re-check the </w:t>
      </w:r>
      <w:r w:rsidR="006714EB" w:rsidRPr="00DD477A">
        <w:t>‘</w:t>
      </w:r>
      <w:r w:rsidR="00FA0945" w:rsidRPr="00DD477A">
        <w:t>Locked</w:t>
      </w:r>
      <w:r w:rsidR="006714EB" w:rsidRPr="00DD477A">
        <w:t>’</w:t>
      </w:r>
      <w:r w:rsidR="00FA0945" w:rsidRPr="00DD477A">
        <w:t xml:space="preserve"> tick box, then click </w:t>
      </w:r>
      <w:r w:rsidR="006714EB" w:rsidRPr="00DD477A">
        <w:t>‘</w:t>
      </w:r>
      <w:r w:rsidR="00FA0945" w:rsidRPr="00DD477A">
        <w:t>OK</w:t>
      </w:r>
      <w:r w:rsidR="006714EB" w:rsidRPr="00DD477A">
        <w:t>’</w:t>
      </w:r>
    </w:p>
    <w:p w14:paraId="76FFCCED" w14:textId="77777777" w:rsidR="00FA0945" w:rsidRPr="00DD477A" w:rsidRDefault="00F05ECA" w:rsidP="00AA1E87">
      <w:pPr>
        <w:pStyle w:val="Numbered"/>
        <w:numPr>
          <w:ilvl w:val="0"/>
          <w:numId w:val="28"/>
        </w:numPr>
      </w:pPr>
      <w:r w:rsidRPr="00DD477A">
        <w:t>i</w:t>
      </w:r>
      <w:r w:rsidR="53BF0693" w:rsidRPr="00DD477A">
        <w:t xml:space="preserve">f you have not locked the tables, press F9 to update the table in the Word document. </w:t>
      </w:r>
    </w:p>
    <w:p w14:paraId="4E659489" w14:textId="0F45045F" w:rsidR="00FA0945" w:rsidRPr="00DD477A" w:rsidRDefault="53BF0693" w:rsidP="00E548A0">
      <w:pPr>
        <w:pStyle w:val="Heading2"/>
      </w:pPr>
      <w:bookmarkStart w:id="1516" w:name="_Toc534382585"/>
      <w:bookmarkStart w:id="1517" w:name="_Toc63347751"/>
      <w:bookmarkStart w:id="1518" w:name="_Toc160715642"/>
      <w:r w:rsidRPr="00DD477A">
        <w:t xml:space="preserve">Preparing the </w:t>
      </w:r>
      <w:r w:rsidR="00860488" w:rsidRPr="00DD477A">
        <w:t xml:space="preserve">Word </w:t>
      </w:r>
      <w:r w:rsidRPr="00DD477A">
        <w:t>template for printing</w:t>
      </w:r>
      <w:bookmarkEnd w:id="1516"/>
      <w:bookmarkEnd w:id="1517"/>
      <w:bookmarkEnd w:id="1518"/>
    </w:p>
    <w:p w14:paraId="2A00301A" w14:textId="10082896" w:rsidR="00FA0945" w:rsidRPr="00DD477A" w:rsidRDefault="53BF0693">
      <w:pPr>
        <w:pStyle w:val="BodyText"/>
        <w:rPr>
          <w:rFonts w:cs="Calibri"/>
        </w:rPr>
      </w:pPr>
      <w:r w:rsidRPr="00DD477A">
        <w:rPr>
          <w:rFonts w:cs="Calibri"/>
        </w:rPr>
        <w:t>To prepare the Word template for printing, the links to the Excel template should be broken</w:t>
      </w:r>
      <w:r w:rsidR="00E1633A" w:rsidRPr="00DD477A">
        <w:rPr>
          <w:rFonts w:cs="Calibri"/>
        </w:rPr>
        <w:t xml:space="preserve"> and </w:t>
      </w:r>
      <w:r w:rsidR="005B41EB" w:rsidRPr="00DD477A">
        <w:rPr>
          <w:rFonts w:cs="Calibri"/>
        </w:rPr>
        <w:t>to do this you must</w:t>
      </w:r>
      <w:r w:rsidRPr="00DD477A">
        <w:rPr>
          <w:rFonts w:cs="Calibri"/>
        </w:rPr>
        <w:t>:</w:t>
      </w:r>
    </w:p>
    <w:p w14:paraId="6442113C" w14:textId="083FBD5B" w:rsidR="00FA0945" w:rsidRPr="00DD477A" w:rsidRDefault="00F05ECA" w:rsidP="00AA1E87">
      <w:pPr>
        <w:pStyle w:val="Numbered"/>
        <w:numPr>
          <w:ilvl w:val="0"/>
          <w:numId w:val="46"/>
        </w:numPr>
      </w:pPr>
      <w:r w:rsidRPr="00DD477A">
        <w:t>i</w:t>
      </w:r>
      <w:r w:rsidR="53BF0693" w:rsidRPr="00DD477A">
        <w:t xml:space="preserve">n </w:t>
      </w:r>
      <w:r w:rsidR="53BF0693" w:rsidRPr="00157BAB">
        <w:t>Word</w:t>
      </w:r>
      <w:r w:rsidR="53BF0693" w:rsidRPr="00DD477A">
        <w:t xml:space="preserve">, click the Office button, then </w:t>
      </w:r>
      <w:r w:rsidR="006714EB" w:rsidRPr="00DD477A">
        <w:t>‘</w:t>
      </w:r>
      <w:r w:rsidR="53BF0693" w:rsidRPr="00DD477A">
        <w:t>Prepare</w:t>
      </w:r>
      <w:r w:rsidR="006714EB" w:rsidRPr="00DD477A">
        <w:t>’</w:t>
      </w:r>
      <w:r w:rsidR="53BF0693" w:rsidRPr="00DD477A">
        <w:t xml:space="preserve"> and then </w:t>
      </w:r>
      <w:r w:rsidR="006714EB" w:rsidRPr="00DD477A">
        <w:t>‘</w:t>
      </w:r>
      <w:r w:rsidR="53BF0693" w:rsidRPr="00DD477A">
        <w:t>Edit Links to Files</w:t>
      </w:r>
      <w:r w:rsidR="006714EB" w:rsidRPr="00DD477A">
        <w:t>’</w:t>
      </w:r>
    </w:p>
    <w:p w14:paraId="559C290D" w14:textId="68CE73A5" w:rsidR="00FA0945" w:rsidRPr="00DD477A" w:rsidRDefault="00F05ECA" w:rsidP="00157BAB">
      <w:pPr>
        <w:pStyle w:val="Numbered"/>
      </w:pPr>
      <w:r w:rsidRPr="00DD477A">
        <w:t>f</w:t>
      </w:r>
      <w:r w:rsidR="53BF0693" w:rsidRPr="00DD477A">
        <w:t xml:space="preserve">or each link listed, click </w:t>
      </w:r>
      <w:r w:rsidR="006714EB" w:rsidRPr="00DD477A">
        <w:t>‘</w:t>
      </w:r>
      <w:r w:rsidR="53BF0693" w:rsidRPr="00DD477A">
        <w:t>Break Link</w:t>
      </w:r>
      <w:r w:rsidR="006714EB" w:rsidRPr="00DD477A">
        <w:t>’</w:t>
      </w:r>
    </w:p>
    <w:p w14:paraId="62DFB408" w14:textId="77777777" w:rsidR="00FA0945" w:rsidRPr="00DD477A" w:rsidRDefault="00F05ECA" w:rsidP="00157BAB">
      <w:pPr>
        <w:pStyle w:val="Numbered"/>
      </w:pPr>
      <w:r w:rsidRPr="00DD477A">
        <w:t>s</w:t>
      </w:r>
      <w:r w:rsidR="53BF0693" w:rsidRPr="00DD477A">
        <w:t xml:space="preserve">ave the file and if required by your publisher, convert to Adobe PDF format for printing. </w:t>
      </w:r>
    </w:p>
    <w:p w14:paraId="3B0A8EB8" w14:textId="4D927F33" w:rsidR="00FA0945" w:rsidRPr="00DD477A" w:rsidRDefault="53BF0693" w:rsidP="00E548A0">
      <w:pPr>
        <w:pStyle w:val="Heading2"/>
      </w:pPr>
      <w:bookmarkStart w:id="1519" w:name="_Toc534382586"/>
      <w:bookmarkStart w:id="1520" w:name="_Toc63347752"/>
      <w:bookmarkStart w:id="1521" w:name="_Toc160715643"/>
      <w:r w:rsidRPr="00DD477A">
        <w:t xml:space="preserve">Preparing the </w:t>
      </w:r>
      <w:r w:rsidR="00860488" w:rsidRPr="00DD477A">
        <w:t xml:space="preserve">Word </w:t>
      </w:r>
      <w:r w:rsidRPr="00DD477A">
        <w:t>template for online publication</w:t>
      </w:r>
      <w:bookmarkEnd w:id="1519"/>
      <w:bookmarkEnd w:id="1520"/>
      <w:bookmarkEnd w:id="1521"/>
    </w:p>
    <w:p w14:paraId="1F11ED55" w14:textId="05B1AA5D" w:rsidR="00FA0945" w:rsidRPr="00DD477A" w:rsidRDefault="53BF0693">
      <w:pPr>
        <w:pStyle w:val="BodyText"/>
        <w:rPr>
          <w:rFonts w:cs="Calibri"/>
        </w:rPr>
      </w:pPr>
      <w:r w:rsidRPr="00DD477A">
        <w:rPr>
          <w:rFonts w:cs="Calibri"/>
        </w:rPr>
        <w:t>In order to prepare the Word template for online publication and to ensure they are web accessible entities will need to re-paste the</w:t>
      </w:r>
      <w:r w:rsidR="00CD0F3A" w:rsidRPr="00DD477A">
        <w:rPr>
          <w:rFonts w:cs="Calibri"/>
        </w:rPr>
        <w:t>ir</w:t>
      </w:r>
      <w:r w:rsidRPr="00DD477A">
        <w:rPr>
          <w:rFonts w:cs="Calibri"/>
        </w:rPr>
        <w:t xml:space="preserve"> Excel tables into the Word document in HTML format:</w:t>
      </w:r>
    </w:p>
    <w:p w14:paraId="0DCA8A1B" w14:textId="77777777" w:rsidR="00FA0945" w:rsidRPr="00DD477A" w:rsidRDefault="00F05ECA" w:rsidP="00AA1E87">
      <w:pPr>
        <w:pStyle w:val="Numbered"/>
        <w:numPr>
          <w:ilvl w:val="0"/>
          <w:numId w:val="43"/>
        </w:numPr>
      </w:pPr>
      <w:r w:rsidRPr="00DD477A">
        <w:t>i</w:t>
      </w:r>
      <w:r w:rsidR="53BF0693" w:rsidRPr="00DD477A">
        <w:t>n Excel, select and copy the table</w:t>
      </w:r>
    </w:p>
    <w:p w14:paraId="2E20F870" w14:textId="2A09A2BF" w:rsidR="00FA0945" w:rsidRPr="00DD477A" w:rsidRDefault="00F05ECA" w:rsidP="00AA1E87">
      <w:pPr>
        <w:pStyle w:val="Numbered"/>
        <w:numPr>
          <w:ilvl w:val="0"/>
          <w:numId w:val="43"/>
        </w:numPr>
      </w:pPr>
      <w:r w:rsidRPr="00DD477A">
        <w:t>i</w:t>
      </w:r>
      <w:r w:rsidR="53BF0693" w:rsidRPr="00DD477A">
        <w:t xml:space="preserve">n Word, select </w:t>
      </w:r>
      <w:r w:rsidR="006714EB" w:rsidRPr="00DD477A">
        <w:t>‘</w:t>
      </w:r>
      <w:r w:rsidR="53BF0693" w:rsidRPr="00DD477A">
        <w:t>Paste Special</w:t>
      </w:r>
      <w:r w:rsidR="006714EB" w:rsidRPr="00DD477A">
        <w:t>’</w:t>
      </w:r>
      <w:r w:rsidR="53BF0693" w:rsidRPr="00DD477A">
        <w:t xml:space="preserve">, choose </w:t>
      </w:r>
      <w:r w:rsidR="006714EB" w:rsidRPr="00DD477A">
        <w:t>‘</w:t>
      </w:r>
      <w:r w:rsidR="53BF0693" w:rsidRPr="00DD477A">
        <w:t>Paste – HTML Format</w:t>
      </w:r>
      <w:r w:rsidR="006714EB" w:rsidRPr="00DD477A">
        <w:t>’</w:t>
      </w:r>
      <w:r w:rsidR="53BF0693" w:rsidRPr="00DD477A">
        <w:t xml:space="preserve"> and click </w:t>
      </w:r>
      <w:r w:rsidR="006714EB" w:rsidRPr="00DD477A">
        <w:t>‘</w:t>
      </w:r>
      <w:r w:rsidR="53BF0693" w:rsidRPr="00DD477A">
        <w:t>OK</w:t>
      </w:r>
      <w:r w:rsidR="006714EB" w:rsidRPr="00DD477A">
        <w:t>’</w:t>
      </w:r>
    </w:p>
    <w:p w14:paraId="41E7B73B" w14:textId="4006D58C" w:rsidR="00FA0945" w:rsidRPr="00DD477A" w:rsidRDefault="00F05ECA" w:rsidP="00AA1E87">
      <w:pPr>
        <w:pStyle w:val="Numbered"/>
        <w:numPr>
          <w:ilvl w:val="0"/>
          <w:numId w:val="43"/>
        </w:numPr>
      </w:pPr>
      <w:r w:rsidRPr="00DD477A">
        <w:t>s</w:t>
      </w:r>
      <w:r w:rsidR="53BF0693" w:rsidRPr="00DD477A">
        <w:t>ave the file</w:t>
      </w:r>
      <w:r w:rsidR="004F6B15" w:rsidRPr="00DD477A">
        <w:t xml:space="preserve"> as i</w:t>
      </w:r>
      <w:r w:rsidR="53BF0693" w:rsidRPr="00DD477A">
        <w:t>t is now ready for conversion into Adobe PDF or HTML format by your Web Publishing area</w:t>
      </w:r>
      <w:r w:rsidR="002C78E5" w:rsidRPr="00DD477A">
        <w:t>.</w:t>
      </w:r>
    </w:p>
    <w:p w14:paraId="716D2467" w14:textId="2E80CC23" w:rsidR="00FA0945" w:rsidRPr="00DD477A" w:rsidRDefault="00860D0A" w:rsidP="00E548A0">
      <w:pPr>
        <w:pStyle w:val="Heading2"/>
      </w:pPr>
      <w:bookmarkStart w:id="1522" w:name="_Toc534382587"/>
      <w:bookmarkStart w:id="1523" w:name="_Toc63347753"/>
      <w:bookmarkStart w:id="1524" w:name="_Toc160715644"/>
      <w:r w:rsidRPr="00DD477A">
        <w:t>A</w:t>
      </w:r>
      <w:r w:rsidR="53BF0693" w:rsidRPr="00DD477A">
        <w:t>ccessibility requirements</w:t>
      </w:r>
      <w:bookmarkEnd w:id="1522"/>
      <w:bookmarkEnd w:id="1523"/>
      <w:bookmarkEnd w:id="1524"/>
    </w:p>
    <w:p w14:paraId="08F275EC" w14:textId="3735FE78" w:rsidR="00055116" w:rsidRPr="00DD477A" w:rsidRDefault="00206B0B" w:rsidP="00801889">
      <w:pPr>
        <w:pStyle w:val="Heading3"/>
      </w:pPr>
      <w:bookmarkStart w:id="1525" w:name="_Toc160715645"/>
      <w:r w:rsidRPr="00DD477A">
        <w:t>Online accessibility</w:t>
      </w:r>
      <w:bookmarkEnd w:id="1525"/>
      <w:r w:rsidRPr="00DD477A">
        <w:t xml:space="preserve"> </w:t>
      </w:r>
    </w:p>
    <w:p w14:paraId="031A78AF" w14:textId="155B9093" w:rsidR="00FA0945" w:rsidRPr="00DD477A" w:rsidRDefault="53BF0693" w:rsidP="000A7DEC">
      <w:pPr>
        <w:rPr>
          <w:rFonts w:cs="Calibri"/>
        </w:rPr>
      </w:pPr>
      <w:r w:rsidRPr="00DD477A">
        <w:rPr>
          <w:rFonts w:cs="Calibri"/>
        </w:rPr>
        <w:t xml:space="preserve">Entities must ensure web content published on government websites meets the mandatory accessibility standard ‘Web Content Accessibility Guidelines Version 2.0’. Details of the standard and associated policy advice can be found online at </w:t>
      </w:r>
      <w:hyperlink r:id="rId221">
        <w:r w:rsidRPr="00DD477A">
          <w:rPr>
            <w:rStyle w:val="Hyperlink"/>
          </w:rPr>
          <w:t>www.stylemanual.gov.au/user-needs/accessibility-and-inclusion</w:t>
        </w:r>
      </w:hyperlink>
      <w:r w:rsidRPr="00DD477A">
        <w:rPr>
          <w:rFonts w:cs="Calibri"/>
        </w:rPr>
        <w:t>.</w:t>
      </w:r>
    </w:p>
    <w:p w14:paraId="3E52B122" w14:textId="58EF9377" w:rsidR="00FA0945" w:rsidRPr="00DD477A" w:rsidRDefault="00DC0477" w:rsidP="0095142C">
      <w:r w:rsidRPr="00DD477A">
        <w:rPr>
          <w:rFonts w:cs="Calibri"/>
        </w:rPr>
        <w:t xml:space="preserve">Where possible, </w:t>
      </w:r>
      <w:r w:rsidR="00CC385A" w:rsidRPr="00DD477A">
        <w:rPr>
          <w:rFonts w:cs="Calibri"/>
        </w:rPr>
        <w:t>t</w:t>
      </w:r>
      <w:r w:rsidR="53BF0693" w:rsidRPr="00DD477A">
        <w:rPr>
          <w:rFonts w:cs="Calibri"/>
        </w:rPr>
        <w:t xml:space="preserve">he tables for the PB Statements have been reformatted to improve accessibility for users with a disability. </w:t>
      </w:r>
    </w:p>
    <w:p w14:paraId="05623EAC" w14:textId="20F904DD" w:rsidR="00FA0945" w:rsidRPr="00DD477A" w:rsidRDefault="006A1FFB" w:rsidP="00751C33">
      <w:pPr>
        <w:pStyle w:val="Heading3"/>
      </w:pPr>
      <w:bookmarkStart w:id="1526" w:name="_Toc160715646"/>
      <w:bookmarkStart w:id="1527" w:name="_Toc63347754"/>
      <w:r w:rsidRPr="00DD477A">
        <w:t xml:space="preserve">Improving </w:t>
      </w:r>
      <w:r w:rsidR="0028392C" w:rsidRPr="00DD477A">
        <w:t xml:space="preserve">documents </w:t>
      </w:r>
      <w:r w:rsidR="53BF0693" w:rsidRPr="00DD477A">
        <w:t>accessib</w:t>
      </w:r>
      <w:r w:rsidRPr="00DD477A">
        <w:t>ility</w:t>
      </w:r>
      <w:bookmarkEnd w:id="1526"/>
      <w:r w:rsidR="53BF0693" w:rsidRPr="00DD477A">
        <w:t xml:space="preserve"> </w:t>
      </w:r>
      <w:bookmarkEnd w:id="1527"/>
    </w:p>
    <w:p w14:paraId="250AED61" w14:textId="11BE8D9C" w:rsidR="00FA0945" w:rsidRPr="00DD477A" w:rsidRDefault="53BF0693" w:rsidP="000A7DEC">
      <w:pPr>
        <w:rPr>
          <w:rFonts w:cs="Calibri"/>
        </w:rPr>
      </w:pPr>
      <w:r w:rsidRPr="00DD477A">
        <w:rPr>
          <w:rFonts w:cs="Calibri"/>
        </w:rPr>
        <w:t xml:space="preserve">Entities are responsible for making their documents accessible and it is recommended entities contact their publishing </w:t>
      </w:r>
      <w:r w:rsidR="00372423" w:rsidRPr="00DD477A">
        <w:rPr>
          <w:rFonts w:cs="Calibri"/>
        </w:rPr>
        <w:t>and</w:t>
      </w:r>
      <w:r w:rsidRPr="00DD477A">
        <w:rPr>
          <w:rFonts w:cs="Calibri"/>
        </w:rPr>
        <w:t xml:space="preserve"> web</w:t>
      </w:r>
      <w:r w:rsidR="00622136" w:rsidRPr="00DD477A">
        <w:rPr>
          <w:rFonts w:cs="Calibri"/>
        </w:rPr>
        <w:t>-publishing</w:t>
      </w:r>
      <w:r w:rsidRPr="00DD477A">
        <w:rPr>
          <w:rFonts w:cs="Calibri"/>
        </w:rPr>
        <w:t xml:space="preserve"> teams early to ensure requirements are met.</w:t>
      </w:r>
    </w:p>
    <w:p w14:paraId="2F41721D" w14:textId="77777777" w:rsidR="00FA0945" w:rsidRPr="00DD477A" w:rsidRDefault="00AE0D55" w:rsidP="00AA1E87">
      <w:pPr>
        <w:pStyle w:val="Numbered"/>
        <w:numPr>
          <w:ilvl w:val="0"/>
          <w:numId w:val="44"/>
        </w:numPr>
      </w:pPr>
      <w:r w:rsidRPr="00DD477A">
        <w:lastRenderedPageBreak/>
        <w:t>c</w:t>
      </w:r>
      <w:r w:rsidR="53BF0693" w:rsidRPr="00DD477A">
        <w:t>ontent structure — use styles:</w:t>
      </w:r>
    </w:p>
    <w:p w14:paraId="7CC38E22" w14:textId="77777777" w:rsidR="00FA0945" w:rsidRPr="00DD477A" w:rsidRDefault="53BF0693" w:rsidP="0003645A">
      <w:pPr>
        <w:pStyle w:val="Bullet2"/>
      </w:pPr>
      <w:r w:rsidRPr="00DD477A">
        <w:t>using styles such as heading types, bullet point lists and numbered lists makes it easier for users with disabilities to navigate through a document</w:t>
      </w:r>
    </w:p>
    <w:p w14:paraId="7530B91E" w14:textId="6071618D" w:rsidR="00FA0945" w:rsidRPr="00DD477A" w:rsidRDefault="003141CD" w:rsidP="0003645A">
      <w:pPr>
        <w:pStyle w:val="Bullet2"/>
      </w:pPr>
      <w:r w:rsidRPr="00DD477A">
        <w:t>u</w:t>
      </w:r>
      <w:r w:rsidR="00FA0945" w:rsidRPr="00DD477A">
        <w:t>se the styles that are available on the Office ribbon under the Home tab or through the Styles window (Alt</w:t>
      </w:r>
      <w:r w:rsidR="00C37129" w:rsidRPr="00DD477A">
        <w:t xml:space="preserve"> </w:t>
      </w:r>
      <w:r w:rsidR="00FA0945" w:rsidRPr="00DD477A">
        <w:t>+</w:t>
      </w:r>
      <w:r w:rsidR="00C37129" w:rsidRPr="00DD477A">
        <w:t xml:space="preserve"> </w:t>
      </w:r>
      <w:r w:rsidR="00FA0945" w:rsidRPr="00DD477A">
        <w:t>Ctrl</w:t>
      </w:r>
      <w:r w:rsidR="00C37129" w:rsidRPr="00DD477A">
        <w:t xml:space="preserve"> </w:t>
      </w:r>
      <w:r w:rsidR="00FA0945" w:rsidRPr="00DD477A">
        <w:t>+</w:t>
      </w:r>
      <w:r w:rsidR="00C37129" w:rsidRPr="00DD477A">
        <w:t xml:space="preserve"> </w:t>
      </w:r>
      <w:r w:rsidR="00FA0945" w:rsidRPr="00DD477A">
        <w:t>Shift</w:t>
      </w:r>
      <w:r w:rsidR="00C37129" w:rsidRPr="00DD477A">
        <w:t xml:space="preserve"> </w:t>
      </w:r>
      <w:r w:rsidR="00FA0945" w:rsidRPr="00DD477A">
        <w:t>+</w:t>
      </w:r>
      <w:r w:rsidR="00C37129" w:rsidRPr="00DD477A">
        <w:t xml:space="preserve"> </w:t>
      </w:r>
      <w:r w:rsidR="00FA0945" w:rsidRPr="00DD477A">
        <w:t>S)</w:t>
      </w:r>
      <w:r w:rsidR="00E10C89" w:rsidRPr="00DD477A">
        <w:t xml:space="preserve"> (</w:t>
      </w:r>
      <w:r w:rsidR="00F62339" w:rsidRPr="00DD477A">
        <w:t>i.e.</w:t>
      </w:r>
      <w:r w:rsidR="00FA0945" w:rsidRPr="00DD477A">
        <w:t xml:space="preserve"> Heading 1, Heading 2, Heading 3, Heading 4, Normal etc</w:t>
      </w:r>
      <w:r w:rsidR="00E10C89" w:rsidRPr="00DD477A">
        <w:t>)</w:t>
      </w:r>
      <w:r w:rsidR="003911FC" w:rsidRPr="00DD477A">
        <w:br/>
      </w:r>
      <w:r w:rsidR="0013008A" w:rsidRPr="00DD477A">
        <w:rPr>
          <w:noProof/>
          <w:lang w:eastAsia="en-AU"/>
        </w:rPr>
        <w:drawing>
          <wp:inline distT="0" distB="0" distL="0" distR="0" wp14:anchorId="3A5819D3" wp14:editId="7CFBF00E">
            <wp:extent cx="2329200" cy="892800"/>
            <wp:effectExtent l="19050" t="19050" r="13970" b="222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2329200" cy="892800"/>
                    </a:xfrm>
                    <a:prstGeom prst="rect">
                      <a:avLst/>
                    </a:prstGeom>
                    <a:ln>
                      <a:solidFill>
                        <a:schemeClr val="tx1"/>
                      </a:solidFill>
                    </a:ln>
                  </pic:spPr>
                </pic:pic>
              </a:graphicData>
            </a:graphic>
          </wp:inline>
        </w:drawing>
      </w:r>
      <w:r w:rsidR="004E58F5" w:rsidRPr="00DD477A">
        <w:br/>
      </w:r>
    </w:p>
    <w:p w14:paraId="693A9D05" w14:textId="77777777" w:rsidR="00FA0945" w:rsidRPr="00DD477A" w:rsidRDefault="53BF0693" w:rsidP="0003645A">
      <w:pPr>
        <w:pStyle w:val="Bullet2"/>
      </w:pPr>
      <w:r w:rsidRPr="00DD477A">
        <w:t>use heading styles to apply a logical structure to your document. Headings will allow screen reader users to navigate through the page easily and will make the page more usable for everyone. Use the Outline view to see the hierarchy of styles</w:t>
      </w:r>
    </w:p>
    <w:p w14:paraId="08A6C307" w14:textId="77777777" w:rsidR="00FA0945" w:rsidRPr="00DD477A" w:rsidRDefault="53BF0693" w:rsidP="0003645A">
      <w:pPr>
        <w:pStyle w:val="Bullet2"/>
      </w:pPr>
      <w:r w:rsidRPr="00DD477A">
        <w:t>do not skip any heading level — this may affect the logical reading order of the document when used by a screen reader</w:t>
      </w:r>
    </w:p>
    <w:p w14:paraId="0094A0D7" w14:textId="77777777" w:rsidR="00FA0945" w:rsidRPr="00DD477A" w:rsidRDefault="53BF0693" w:rsidP="0003645A">
      <w:pPr>
        <w:pStyle w:val="Bullet2"/>
      </w:pPr>
      <w:r w:rsidRPr="00DD477A">
        <w:t>make a page break to move text to the next page to ensure there is no blank space for screen reader audio.</w:t>
      </w:r>
    </w:p>
    <w:p w14:paraId="60EAFB8B" w14:textId="77777777" w:rsidR="00FA0945" w:rsidRPr="00DD477A" w:rsidRDefault="00AE0D55" w:rsidP="00AA1E87">
      <w:pPr>
        <w:pStyle w:val="Numbered"/>
        <w:numPr>
          <w:ilvl w:val="0"/>
          <w:numId w:val="44"/>
        </w:numPr>
      </w:pPr>
      <w:r w:rsidRPr="00DD477A">
        <w:t>a</w:t>
      </w:r>
      <w:r w:rsidR="53BF0693" w:rsidRPr="00DD477A">
        <w:t>lternative text:</w:t>
      </w:r>
    </w:p>
    <w:p w14:paraId="31C1007B" w14:textId="77777777" w:rsidR="00FA0945" w:rsidRPr="00DD477A" w:rsidRDefault="53BF0693" w:rsidP="0003645A">
      <w:pPr>
        <w:pStyle w:val="Bullet2"/>
      </w:pPr>
      <w:r w:rsidRPr="00DD477A">
        <w:t>charts and images all need to have alternative text, this text will be read by a screen reader in a Word file and will remain intact when exported to HTML or PDF</w:t>
      </w:r>
    </w:p>
    <w:p w14:paraId="543C2CB9" w14:textId="77777777" w:rsidR="00FA0945" w:rsidRPr="00DD477A" w:rsidRDefault="53BF0693" w:rsidP="0003645A">
      <w:pPr>
        <w:pStyle w:val="Bullet2"/>
      </w:pPr>
      <w:r w:rsidRPr="00DD477A">
        <w:t>entities must pr</w:t>
      </w:r>
      <w:r w:rsidR="00BD1BD3" w:rsidRPr="00DD477A">
        <w:t>ovide an alternative text (ALT t</w:t>
      </w:r>
      <w:r w:rsidRPr="00DD477A">
        <w:t>ext) description for all non-text objects and should communicate the essential content of the image as efficiently as possible</w:t>
      </w:r>
    </w:p>
    <w:p w14:paraId="238C9E55" w14:textId="77777777" w:rsidR="00FA0945" w:rsidRPr="00DD477A" w:rsidRDefault="53BF0693" w:rsidP="0003645A">
      <w:pPr>
        <w:pStyle w:val="Bullet2"/>
      </w:pPr>
      <w:r w:rsidRPr="00DD477A">
        <w:t>to enter in ALT text right click on the image, select Format Picture/Shape and then select the ALT text tab to enter in the title and description.</w:t>
      </w:r>
    </w:p>
    <w:p w14:paraId="64A2F6A6" w14:textId="77777777" w:rsidR="00FA0945" w:rsidRPr="00DD477A" w:rsidRDefault="00AE0D55" w:rsidP="00AA1E87">
      <w:pPr>
        <w:pStyle w:val="Numbered"/>
        <w:numPr>
          <w:ilvl w:val="0"/>
          <w:numId w:val="44"/>
        </w:numPr>
      </w:pPr>
      <w:r w:rsidRPr="00DD477A">
        <w:t>u</w:t>
      </w:r>
      <w:r w:rsidR="53BF0693" w:rsidRPr="00DD477A">
        <w:t>se the accessibility checker:</w:t>
      </w:r>
    </w:p>
    <w:p w14:paraId="5ADD1AFD" w14:textId="6BA391D8" w:rsidR="00FA0945" w:rsidRPr="00DD477A" w:rsidRDefault="53BF0693" w:rsidP="0003645A">
      <w:pPr>
        <w:pStyle w:val="Bullet2"/>
      </w:pPr>
      <w:r w:rsidRPr="00DD477A">
        <w:t xml:space="preserve">Word offers an </w:t>
      </w:r>
      <w:r w:rsidR="006714EB" w:rsidRPr="00DD477A">
        <w:t>‘</w:t>
      </w:r>
      <w:r w:rsidRPr="00DD477A">
        <w:t>Accessibility Checker</w:t>
      </w:r>
      <w:r w:rsidR="006714EB" w:rsidRPr="00DD477A">
        <w:t>’</w:t>
      </w:r>
      <w:r w:rsidRPr="00DD477A">
        <w:t xml:space="preserve"> to review your document against a set of possible issues that users with disabilities may experience in your file: </w:t>
      </w:r>
    </w:p>
    <w:p w14:paraId="6F615032" w14:textId="77777777" w:rsidR="00FA0945" w:rsidRPr="00DD477A" w:rsidRDefault="003141CD" w:rsidP="00074797">
      <w:pPr>
        <w:pStyle w:val="Bullet3"/>
      </w:pPr>
      <w:r w:rsidRPr="00DD477A">
        <w:t>s</w:t>
      </w:r>
      <w:r w:rsidR="00FA0945" w:rsidRPr="00DD477A">
        <w:t xml:space="preserve">elect File </w:t>
      </w:r>
      <w:r w:rsidR="004B76F7" w:rsidRPr="00DD477A">
        <w:rPr>
          <w:rFonts w:ascii="Wingdings" w:eastAsia="Wingdings" w:hAnsi="Wingdings" w:cs="Wingdings"/>
        </w:rPr>
        <w:t></w:t>
      </w:r>
      <w:r w:rsidR="00FA0945" w:rsidRPr="00DD477A">
        <w:t xml:space="preserve"> Info</w:t>
      </w:r>
    </w:p>
    <w:p w14:paraId="034E8AC6" w14:textId="77777777" w:rsidR="00FA0945" w:rsidRPr="00DD477A" w:rsidRDefault="003141CD" w:rsidP="00074797">
      <w:pPr>
        <w:pStyle w:val="Bullet3"/>
      </w:pPr>
      <w:r w:rsidRPr="00DD477A">
        <w:t>s</w:t>
      </w:r>
      <w:r w:rsidR="00FA0945" w:rsidRPr="00DD477A">
        <w:t xml:space="preserve">elect ‘Check for Issues’ </w:t>
      </w:r>
      <w:r w:rsidR="004B76F7" w:rsidRPr="00DD477A">
        <w:rPr>
          <w:rFonts w:ascii="Wingdings" w:eastAsia="Wingdings" w:hAnsi="Wingdings" w:cs="Wingdings"/>
        </w:rPr>
        <w:t></w:t>
      </w:r>
      <w:r w:rsidR="00FA0945" w:rsidRPr="00DD477A">
        <w:t xml:space="preserve"> ‘Check Accessibility’.</w:t>
      </w:r>
    </w:p>
    <w:p w14:paraId="772E841A" w14:textId="4F8A4CBD" w:rsidR="00FA0945" w:rsidRPr="00DD477A" w:rsidRDefault="00AE0D55" w:rsidP="00AA1E87">
      <w:pPr>
        <w:pStyle w:val="Numbered"/>
        <w:numPr>
          <w:ilvl w:val="0"/>
          <w:numId w:val="44"/>
        </w:numPr>
      </w:pPr>
      <w:r w:rsidRPr="00DD477A">
        <w:t>c</w:t>
      </w:r>
      <w:r w:rsidR="53BF0693" w:rsidRPr="00DD477A">
        <w:t>onvert Word documents to tagged PDF files</w:t>
      </w:r>
      <w:r w:rsidR="009D1679" w:rsidRPr="00DD477A">
        <w:t>:</w:t>
      </w:r>
    </w:p>
    <w:p w14:paraId="4E8EBFCD" w14:textId="53D3BAC1" w:rsidR="00FA0945" w:rsidRPr="00DD477A" w:rsidRDefault="53BF0693" w:rsidP="0003645A">
      <w:pPr>
        <w:pStyle w:val="Bullet2"/>
      </w:pPr>
      <w:r w:rsidRPr="00DD477A">
        <w:t>Microsoft Office allows you to create tagged PDF files. If you want to verify the accessibility of the PDF or edit the tags that are created, you will still need Acrobat Professional (your web team can help).</w:t>
      </w:r>
    </w:p>
    <w:p w14:paraId="5560EAAC" w14:textId="77777777" w:rsidR="00FA0945" w:rsidRPr="00DD477A" w:rsidRDefault="003141CD" w:rsidP="00074797">
      <w:pPr>
        <w:pStyle w:val="Bullet3"/>
      </w:pPr>
      <w:r w:rsidRPr="00DD477A">
        <w:t>s</w:t>
      </w:r>
      <w:r w:rsidR="00FA0945" w:rsidRPr="00DD477A">
        <w:t xml:space="preserve">elect File </w:t>
      </w:r>
      <w:r w:rsidR="004B76F7" w:rsidRPr="00DD477A">
        <w:rPr>
          <w:rFonts w:ascii="Wingdings" w:eastAsia="Wingdings" w:hAnsi="Wingdings" w:cs="Wingdings"/>
        </w:rPr>
        <w:t></w:t>
      </w:r>
      <w:r w:rsidR="00FA0945" w:rsidRPr="00DD477A">
        <w:t xml:space="preserve"> Save As</w:t>
      </w:r>
    </w:p>
    <w:p w14:paraId="0217A21A" w14:textId="77777777" w:rsidR="00FA0945" w:rsidRPr="00DD477A" w:rsidRDefault="53BF0693" w:rsidP="00074797">
      <w:pPr>
        <w:pStyle w:val="Bullet3"/>
      </w:pPr>
      <w:r w:rsidRPr="00DD477A">
        <w:t>under ‘Save as’ type: select PDF</w:t>
      </w:r>
      <w:r w:rsidR="00BC0DB5" w:rsidRPr="00DD477A">
        <w:t>, b</w:t>
      </w:r>
      <w:r w:rsidRPr="00DD477A">
        <w:t>efore you save the file, select ‘Options’ and ensure that the ‘Document structure tags for accessibility’ option is selected.</w:t>
      </w:r>
    </w:p>
    <w:p w14:paraId="5FB27C36" w14:textId="4C0BD753" w:rsidR="00FA0945" w:rsidRPr="00DD477A" w:rsidRDefault="00AE0D55" w:rsidP="00AA1E87">
      <w:pPr>
        <w:pStyle w:val="Numbered"/>
        <w:numPr>
          <w:ilvl w:val="0"/>
          <w:numId w:val="44"/>
        </w:numPr>
      </w:pPr>
      <w:r w:rsidRPr="00DD477A">
        <w:t>m</w:t>
      </w:r>
      <w:r w:rsidR="53BF0693" w:rsidRPr="00DD477A">
        <w:t xml:space="preserve">aking Excel </w:t>
      </w:r>
      <w:r w:rsidR="006B43F6" w:rsidRPr="00DD477A">
        <w:t xml:space="preserve">Tables </w:t>
      </w:r>
      <w:r w:rsidR="53BF0693" w:rsidRPr="00DD477A">
        <w:t>accessible</w:t>
      </w:r>
      <w:r w:rsidR="009D1679" w:rsidRPr="00DD477A">
        <w:t>:</w:t>
      </w:r>
    </w:p>
    <w:p w14:paraId="5D54095F" w14:textId="746092A1" w:rsidR="00FA0945" w:rsidRPr="00DD477A" w:rsidRDefault="53BF0693" w:rsidP="00751C33">
      <w:pPr>
        <w:pStyle w:val="Bullet2"/>
        <w:keepNext/>
        <w:keepLines/>
        <w:ind w:left="782" w:hanging="357"/>
      </w:pPr>
      <w:r w:rsidRPr="00DD477A">
        <w:t xml:space="preserve">the complex nature of the Budget tables, </w:t>
      </w:r>
      <w:r w:rsidR="00F715C9" w:rsidRPr="00DD477A">
        <w:t xml:space="preserve">makes </w:t>
      </w:r>
      <w:r w:rsidRPr="00DD477A">
        <w:t xml:space="preserve">it difficult to </w:t>
      </w:r>
      <w:r w:rsidR="00E76239" w:rsidRPr="00DD477A">
        <w:t>ensure</w:t>
      </w:r>
      <w:r w:rsidRPr="00DD477A">
        <w:t xml:space="preserve"> accessib</w:t>
      </w:r>
      <w:r w:rsidR="00E76239" w:rsidRPr="00DD477A">
        <w:t>ility</w:t>
      </w:r>
      <w:r w:rsidRPr="00DD477A">
        <w:t xml:space="preserve"> using Microsoft Office features. </w:t>
      </w:r>
      <w:r w:rsidR="00E76239" w:rsidRPr="00DD477A">
        <w:t>T</w:t>
      </w:r>
      <w:r w:rsidRPr="00DD477A">
        <w:t xml:space="preserve">wo options </w:t>
      </w:r>
      <w:r w:rsidR="00E76239" w:rsidRPr="00DD477A">
        <w:t>allow</w:t>
      </w:r>
      <w:r w:rsidRPr="00DD477A">
        <w:t xml:space="preserve"> </w:t>
      </w:r>
      <w:r w:rsidR="000109F6" w:rsidRPr="00DD477A">
        <w:t>improved accessibility</w:t>
      </w:r>
      <w:r w:rsidRPr="00DD477A">
        <w:t xml:space="preserve"> </w:t>
      </w:r>
      <w:r w:rsidR="001710EA" w:rsidRPr="00DD477A">
        <w:t>–</w:t>
      </w:r>
      <w:r w:rsidRPr="00DD477A">
        <w:t xml:space="preserve"> </w:t>
      </w:r>
      <w:r w:rsidR="000109F6" w:rsidRPr="00DD477A">
        <w:t xml:space="preserve">i) </w:t>
      </w:r>
      <w:r w:rsidRPr="00DD477A">
        <w:t>entities can either make the data behind the tables available on their website</w:t>
      </w:r>
      <w:r w:rsidR="000109F6" w:rsidRPr="00DD477A">
        <w:t>,</w:t>
      </w:r>
      <w:r w:rsidRPr="00DD477A">
        <w:t xml:space="preserve"> or </w:t>
      </w:r>
      <w:r w:rsidR="000109F6" w:rsidRPr="00DD477A">
        <w:t xml:space="preserve">ii) </w:t>
      </w:r>
      <w:r w:rsidRPr="00DD477A">
        <w:t xml:space="preserve">they can convert the Excel </w:t>
      </w:r>
      <w:r w:rsidR="006B43F6" w:rsidRPr="00DD477A">
        <w:t xml:space="preserve">Tables </w:t>
      </w:r>
      <w:r w:rsidRPr="00DD477A">
        <w:t>to Word.</w:t>
      </w:r>
    </w:p>
    <w:p w14:paraId="528B93F0" w14:textId="41A31572" w:rsidR="006165CD" w:rsidRPr="007737BB" w:rsidRDefault="004F6B15" w:rsidP="007737BB">
      <w:pPr>
        <w:pStyle w:val="Bullet3"/>
      </w:pPr>
      <w:r w:rsidRPr="007737BB">
        <w:t>P</w:t>
      </w:r>
      <w:r w:rsidR="53BF0693" w:rsidRPr="007737BB">
        <w:t xml:space="preserve">ortfolios may also include a link on their website to </w:t>
      </w:r>
      <w:hyperlink r:id="rId223" w:history="1">
        <w:r w:rsidR="00AE2AEB" w:rsidRPr="007737BB">
          <w:rPr>
            <w:rStyle w:val="Hyperlink"/>
            <w:rFonts w:cs="Calibri"/>
            <w:u w:val="none"/>
          </w:rPr>
          <w:t>www.data.gov.au</w:t>
        </w:r>
      </w:hyperlink>
      <w:r w:rsidR="53BF0693" w:rsidRPr="007737BB">
        <w:t>, where most PB Statement financial tables will be available in Excel format following tabling</w:t>
      </w:r>
      <w:r w:rsidR="00FF2823" w:rsidRPr="007737BB">
        <w:t>.</w:t>
      </w:r>
      <w:bookmarkStart w:id="1528" w:name="_Ref67044155"/>
      <w:r w:rsidR="006165CD" w:rsidRPr="007737BB">
        <w:br w:type="page"/>
      </w:r>
    </w:p>
    <w:p w14:paraId="3070ACCC" w14:textId="477199C6" w:rsidR="00477C4E" w:rsidRPr="00DD477A" w:rsidRDefault="00A86B02" w:rsidP="00E548A0">
      <w:pPr>
        <w:pStyle w:val="Heading1"/>
        <w:numPr>
          <w:ilvl w:val="0"/>
          <w:numId w:val="0"/>
        </w:numPr>
        <w:ind w:left="1134" w:hanging="1134"/>
      </w:pPr>
      <w:bookmarkStart w:id="1529" w:name="_Toc160715647"/>
      <w:bookmarkStart w:id="1530" w:name="_Ref94870174"/>
      <w:r w:rsidRPr="00DD477A">
        <w:lastRenderedPageBreak/>
        <w:t xml:space="preserve">Appendix </w:t>
      </w:r>
      <w:r w:rsidR="00FC135D" w:rsidRPr="00DD477A">
        <w:t>3</w:t>
      </w:r>
      <w:r w:rsidRPr="00DD477A">
        <w:t>:</w:t>
      </w:r>
      <w:bookmarkEnd w:id="1529"/>
    </w:p>
    <w:p w14:paraId="606B98AB" w14:textId="4199481F" w:rsidR="002941A0" w:rsidRPr="00DD477A" w:rsidRDefault="002941A0" w:rsidP="00E548A0">
      <w:pPr>
        <w:pStyle w:val="Heading1"/>
      </w:pPr>
      <w:bookmarkStart w:id="1531" w:name="_Toc160715648"/>
      <w:r w:rsidRPr="00DD477A">
        <w:t>Contacts</w:t>
      </w:r>
      <w:bookmarkStart w:id="1532" w:name="_Ref33522418"/>
      <w:bookmarkStart w:id="1533" w:name="_Ref33522421"/>
      <w:bookmarkStart w:id="1534" w:name="_Ref33522426"/>
      <w:bookmarkStart w:id="1535" w:name="_Ref33523372"/>
      <w:bookmarkStart w:id="1536" w:name="_Ref33523377"/>
      <w:bookmarkStart w:id="1537" w:name="_Ref33523382"/>
      <w:bookmarkStart w:id="1538" w:name="_Ref55984418"/>
      <w:bookmarkStart w:id="1539" w:name="_Ref55984423"/>
      <w:bookmarkEnd w:id="1531"/>
      <w:bookmarkEnd w:id="1532"/>
      <w:bookmarkEnd w:id="1533"/>
      <w:bookmarkEnd w:id="1534"/>
      <w:bookmarkEnd w:id="1535"/>
      <w:bookmarkEnd w:id="1536"/>
      <w:bookmarkEnd w:id="1537"/>
      <w:bookmarkEnd w:id="1538"/>
      <w:bookmarkEnd w:id="1539"/>
    </w:p>
    <w:p w14:paraId="106D2003" w14:textId="51CD9669" w:rsidR="00FA0945" w:rsidRPr="00DD477A" w:rsidRDefault="53BF0693" w:rsidP="00E548A0">
      <w:pPr>
        <w:pStyle w:val="Heading2"/>
      </w:pPr>
      <w:bookmarkStart w:id="1540" w:name="_Toc63347756"/>
      <w:bookmarkStart w:id="1541" w:name="_Toc160715649"/>
      <w:bookmarkEnd w:id="1528"/>
      <w:bookmarkEnd w:id="1530"/>
      <w:r w:rsidRPr="00DD477A">
        <w:t>Department of Finance</w:t>
      </w:r>
      <w:bookmarkEnd w:id="1540"/>
      <w:bookmarkEnd w:id="1541"/>
    </w:p>
    <w:p w14:paraId="4571C4C4" w14:textId="77777777" w:rsidR="00FA0945" w:rsidRPr="00DD477A" w:rsidRDefault="53BF0693" w:rsidP="000A7DEC">
      <w:pPr>
        <w:rPr>
          <w:rFonts w:cs="Calibri"/>
        </w:rPr>
      </w:pPr>
      <w:r w:rsidRPr="00DD477A">
        <w:rPr>
          <w:rFonts w:cs="Calibri"/>
        </w:rPr>
        <w:t xml:space="preserve">In the first instance, entities should contact their AAU </w:t>
      </w:r>
      <w:r w:rsidR="007004B1" w:rsidRPr="00DD477A">
        <w:rPr>
          <w:rFonts w:cs="Calibri"/>
        </w:rPr>
        <w:t>for</w:t>
      </w:r>
      <w:r w:rsidRPr="00DD477A">
        <w:rPr>
          <w:rFonts w:cs="Calibri"/>
        </w:rPr>
        <w:t xml:space="preserve"> enquiries.</w:t>
      </w:r>
    </w:p>
    <w:p w14:paraId="7F1653EC" w14:textId="77777777" w:rsidR="00CA50D9" w:rsidRPr="00DD477A" w:rsidRDefault="00CA50D9" w:rsidP="00CA50D9">
      <w:pPr>
        <w:rPr>
          <w:rFonts w:cs="Calibri"/>
        </w:rPr>
      </w:pPr>
      <w:r w:rsidRPr="00DD477A">
        <w:rPr>
          <w:rFonts w:cs="Calibri"/>
        </w:rPr>
        <w:t xml:space="preserve">For queries regarding </w:t>
      </w:r>
      <w:r w:rsidRPr="00DD477A">
        <w:rPr>
          <w:rFonts w:cs="Calibri"/>
          <w:b/>
          <w:bCs/>
        </w:rPr>
        <w:t>ASL reporting</w:t>
      </w:r>
      <w:r w:rsidRPr="00DD477A">
        <w:rPr>
          <w:rFonts w:cs="Calibri"/>
        </w:rPr>
        <w:t xml:space="preserve"> entities should contact their AAU with all enquiries.</w:t>
      </w:r>
    </w:p>
    <w:p w14:paraId="38967D74" w14:textId="76F6D74F" w:rsidR="00696DD2" w:rsidRPr="00DD477A" w:rsidRDefault="007004B1" w:rsidP="000A7DEC">
      <w:pPr>
        <w:rPr>
          <w:rFonts w:cs="Calibri"/>
        </w:rPr>
      </w:pPr>
      <w:r w:rsidRPr="00DD477A">
        <w:rPr>
          <w:rFonts w:cs="Calibri"/>
        </w:rPr>
        <w:t xml:space="preserve">For guidance on the preparation of the PB Statements (including publication on </w:t>
      </w:r>
      <w:hyperlink r:id="rId224">
        <w:r w:rsidR="00FE100A" w:rsidRPr="00DD477A">
          <w:rPr>
            <w:rStyle w:val="Hyperlink"/>
          </w:rPr>
          <w:t>data.gov.au</w:t>
        </w:r>
      </w:hyperlink>
      <w:r w:rsidRPr="00DD477A">
        <w:rPr>
          <w:rFonts w:cs="Calibri"/>
        </w:rPr>
        <w:t xml:space="preserve"> but excluding performance reporting), entities can contact the </w:t>
      </w:r>
      <w:r w:rsidRPr="00DD477A">
        <w:rPr>
          <w:rFonts w:cs="Calibri"/>
          <w:b/>
        </w:rPr>
        <w:t>Accounting Framework and Capability Support Team</w:t>
      </w:r>
      <w:r w:rsidRPr="00DD477A">
        <w:rPr>
          <w:rFonts w:cs="Calibri"/>
        </w:rPr>
        <w:t xml:space="preserve"> by:</w:t>
      </w:r>
    </w:p>
    <w:p w14:paraId="0057945A" w14:textId="24662A90" w:rsidR="006A69BF" w:rsidRPr="00DD477A" w:rsidRDefault="6FA48983" w:rsidP="00A85E0D">
      <w:pPr>
        <w:pStyle w:val="Bullet1"/>
      </w:pPr>
      <w:r w:rsidRPr="00DD477A">
        <w:t>b</w:t>
      </w:r>
      <w:r w:rsidR="68795EF6" w:rsidRPr="00DD477A">
        <w:t>y email</w:t>
      </w:r>
      <w:r w:rsidR="5E13AC9D" w:rsidRPr="00DD477A">
        <w:t xml:space="preserve"> (emails rated up to Protected)</w:t>
      </w:r>
      <w:r w:rsidR="00AE0D55" w:rsidRPr="00DD477A">
        <w:tab/>
      </w:r>
      <w:r w:rsidR="00AE0D55" w:rsidRPr="00DD477A">
        <w:tab/>
      </w:r>
      <w:hyperlink r:id="rId225">
        <w:r w:rsidR="7F694761" w:rsidRPr="00DD477A">
          <w:rPr>
            <w:rStyle w:val="Hyperlink"/>
          </w:rPr>
          <w:t>budget_framework@finance.gov.au</w:t>
        </w:r>
      </w:hyperlink>
    </w:p>
    <w:p w14:paraId="35768699" w14:textId="55DAAAD1" w:rsidR="004539AD" w:rsidRPr="00DD477A" w:rsidRDefault="004539AD" w:rsidP="000D1925">
      <w:pPr>
        <w:pStyle w:val="Bullet1"/>
      </w:pPr>
      <w:r w:rsidRPr="00DD477A">
        <w:t>Accounting Framework and Capability Support Team</w:t>
      </w:r>
      <w:r w:rsidR="00BD119F" w:rsidRPr="00DD477A">
        <w:tab/>
      </w:r>
      <w:r w:rsidR="00BD119F" w:rsidRPr="00DD477A">
        <w:tab/>
      </w:r>
      <w:r w:rsidR="00E0633F" w:rsidRPr="00DD477A">
        <w:tab/>
      </w:r>
      <w:r w:rsidR="007004B1" w:rsidRPr="00DD477A">
        <w:tab/>
      </w:r>
      <w:r w:rsidR="00DE5042" w:rsidRPr="00DD477A">
        <w:tab/>
      </w:r>
      <w:r w:rsidR="007004B1" w:rsidRPr="00DD477A">
        <w:t xml:space="preserve">(02) 6215 </w:t>
      </w:r>
      <w:r w:rsidRPr="00DD477A">
        <w:t>3111</w:t>
      </w:r>
    </w:p>
    <w:p w14:paraId="5D9E6E11" w14:textId="5222E23A" w:rsidR="000D1925" w:rsidRPr="00DD477A" w:rsidRDefault="53BF0693" w:rsidP="00A85E0D">
      <w:pPr>
        <w:pStyle w:val="Bullet1"/>
        <w:numPr>
          <w:ilvl w:val="0"/>
          <w:numId w:val="0"/>
        </w:numPr>
      </w:pPr>
      <w:r w:rsidRPr="00DD477A">
        <w:t xml:space="preserve">For guidance on </w:t>
      </w:r>
      <w:r w:rsidRPr="00DD477A">
        <w:rPr>
          <w:b/>
          <w:bCs/>
        </w:rPr>
        <w:t>Performance Information</w:t>
      </w:r>
      <w:r w:rsidRPr="00DD477A">
        <w:t xml:space="preserve"> and annual performance statements (Section 2 of the </w:t>
      </w:r>
      <w:r w:rsidR="004E058E" w:rsidRPr="00DD477A">
        <w:t>PB </w:t>
      </w:r>
      <w:r w:rsidRPr="00DD477A">
        <w:t>S</w:t>
      </w:r>
      <w:r w:rsidR="001459A2" w:rsidRPr="00DD477A">
        <w:t>tatement</w:t>
      </w:r>
      <w:r w:rsidR="00B83588" w:rsidRPr="00DD477A">
        <w:t xml:space="preserve"> </w:t>
      </w:r>
      <w:r w:rsidRPr="00DD477A">
        <w:t>excluding Table 2.x.1 and 2.x.2), corporate plans and annual reports entities should contact the:</w:t>
      </w:r>
      <w:bookmarkStart w:id="1542" w:name="tempbookmark"/>
      <w:bookmarkEnd w:id="1542"/>
    </w:p>
    <w:p w14:paraId="62129966" w14:textId="51E56E42" w:rsidR="006A69BF" w:rsidRPr="00DD477A" w:rsidRDefault="001B0748" w:rsidP="00A85E0D">
      <w:pPr>
        <w:pStyle w:val="Bullet1"/>
      </w:pPr>
      <w:r w:rsidRPr="00DD477A">
        <w:t xml:space="preserve">PGPA and Digital Reporting Branch </w:t>
      </w:r>
      <w:r w:rsidR="53BF0693" w:rsidRPr="00DD477A">
        <w:t xml:space="preserve">by email </w:t>
      </w:r>
      <w:r w:rsidR="00007430" w:rsidRPr="00DD477A">
        <w:t>(emails rated up to Protected)</w:t>
      </w:r>
      <w:r w:rsidR="006E0756" w:rsidRPr="00DD477A">
        <w:tab/>
      </w:r>
      <w:hyperlink r:id="rId226">
        <w:r w:rsidR="53BF0693" w:rsidRPr="00DD477A">
          <w:rPr>
            <w:rStyle w:val="Hyperlink"/>
          </w:rPr>
          <w:t>PGPA@finance.gov.au</w:t>
        </w:r>
      </w:hyperlink>
    </w:p>
    <w:p w14:paraId="07A33C8F" w14:textId="77777777" w:rsidR="00E97A8B" w:rsidRDefault="53BF0693" w:rsidP="00E97A8B">
      <w:pPr>
        <w:rPr>
          <w:rFonts w:cs="Calibri"/>
        </w:rPr>
      </w:pPr>
      <w:r w:rsidRPr="00DD477A">
        <w:rPr>
          <w:rFonts w:cs="Calibri"/>
        </w:rPr>
        <w:t xml:space="preserve">For guidance on the production of the </w:t>
      </w:r>
      <w:r w:rsidRPr="00DD477A">
        <w:rPr>
          <w:rFonts w:cs="Calibri"/>
          <w:b/>
          <w:bCs/>
        </w:rPr>
        <w:t>Appropriation Bills</w:t>
      </w:r>
      <w:r w:rsidRPr="00DD477A">
        <w:rPr>
          <w:rFonts w:cs="Calibri"/>
        </w:rPr>
        <w:t>, the CFO sign-off process and outcome changes, entities should contact</w:t>
      </w:r>
      <w:r w:rsidR="00B41092" w:rsidRPr="00DD477A">
        <w:t xml:space="preserve"> the Annual Appropriation Team</w:t>
      </w:r>
      <w:r w:rsidRPr="00DD477A">
        <w:rPr>
          <w:rFonts w:cs="Calibri"/>
        </w:rPr>
        <w:t>:</w:t>
      </w:r>
    </w:p>
    <w:p w14:paraId="70E093E9" w14:textId="5DEA7F93" w:rsidR="00E97A8B" w:rsidRPr="00E97A8B" w:rsidRDefault="00E97A8B" w:rsidP="00E97A8B">
      <w:pPr>
        <w:pStyle w:val="Bullet1"/>
      </w:pPr>
      <w:r w:rsidRPr="00E97A8B">
        <w:t>by email (rated up to Protected)</w:t>
      </w:r>
      <w:r>
        <w:tab/>
      </w:r>
      <w:r>
        <w:tab/>
      </w:r>
      <w:r>
        <w:tab/>
      </w:r>
      <w:r>
        <w:tab/>
      </w:r>
      <w:hyperlink r:id="rId227" w:history="1">
        <w:r w:rsidRPr="00E97A8B">
          <w:rPr>
            <w:rStyle w:val="Hyperlink"/>
            <w:rFonts w:cs="Calibri"/>
          </w:rPr>
          <w:t>annual.appropriations@finance.gov.au</w:t>
        </w:r>
      </w:hyperlink>
    </w:p>
    <w:p w14:paraId="01DC8A88" w14:textId="6A57F06D" w:rsidR="00FA0945" w:rsidRPr="00DD477A" w:rsidRDefault="6B6EE5C4" w:rsidP="00E548A0">
      <w:pPr>
        <w:pStyle w:val="Heading2"/>
      </w:pPr>
      <w:bookmarkStart w:id="1543" w:name="_Toc33196095"/>
      <w:bookmarkStart w:id="1544" w:name="_Toc33196397"/>
      <w:bookmarkStart w:id="1545" w:name="_Toc33196096"/>
      <w:bookmarkStart w:id="1546" w:name="_Toc33196398"/>
      <w:bookmarkStart w:id="1547" w:name="_Toc33196097"/>
      <w:bookmarkStart w:id="1548" w:name="_Toc33196399"/>
      <w:bookmarkStart w:id="1549" w:name="_Toc33196098"/>
      <w:bookmarkStart w:id="1550" w:name="_Toc33196400"/>
      <w:bookmarkStart w:id="1551" w:name="_Toc33099470"/>
      <w:bookmarkStart w:id="1552" w:name="_Toc33196099"/>
      <w:bookmarkStart w:id="1553" w:name="_Toc33196401"/>
      <w:bookmarkStart w:id="1554" w:name="_Ref55984327"/>
      <w:bookmarkStart w:id="1555" w:name="_Ref55984331"/>
      <w:bookmarkStart w:id="1556" w:name="_Ref55984344"/>
      <w:bookmarkStart w:id="1557" w:name="_Ref55984351"/>
      <w:bookmarkStart w:id="1558" w:name="_Toc63347758"/>
      <w:bookmarkStart w:id="1559" w:name="_Toc160715650"/>
      <w:bookmarkEnd w:id="1543"/>
      <w:bookmarkEnd w:id="1544"/>
      <w:bookmarkEnd w:id="1545"/>
      <w:bookmarkEnd w:id="1546"/>
      <w:bookmarkEnd w:id="1547"/>
      <w:bookmarkEnd w:id="1548"/>
      <w:bookmarkEnd w:id="1549"/>
      <w:bookmarkEnd w:id="1550"/>
      <w:bookmarkEnd w:id="1551"/>
      <w:bookmarkEnd w:id="1552"/>
      <w:bookmarkEnd w:id="1553"/>
      <w:r w:rsidRPr="00DD477A">
        <w:t>CanPrint</w:t>
      </w:r>
      <w:bookmarkEnd w:id="1554"/>
      <w:bookmarkEnd w:id="1555"/>
      <w:bookmarkEnd w:id="1556"/>
      <w:bookmarkEnd w:id="1557"/>
      <w:bookmarkEnd w:id="1558"/>
      <w:bookmarkEnd w:id="1559"/>
    </w:p>
    <w:p w14:paraId="0FDE46CB" w14:textId="77777777" w:rsidR="00FD124B" w:rsidRPr="00DD477A" w:rsidRDefault="00FD124B" w:rsidP="00FD124B">
      <w:pPr>
        <w:rPr>
          <w:rFonts w:cs="Calibri"/>
        </w:rPr>
      </w:pPr>
      <w:r w:rsidRPr="00DD477A">
        <w:rPr>
          <w:rFonts w:cs="Calibri"/>
        </w:rPr>
        <w:t>CanPrint is the preferred printer for BPs and PB Statements. If printing is carried out ‘in-house’ or with another printer, entities must liaise with Finance to ensure that cover stock, colour and text is consistent with all other portfolios.</w:t>
      </w:r>
    </w:p>
    <w:p w14:paraId="2ED2B0F3" w14:textId="7A735E8D" w:rsidR="00A775B1" w:rsidRDefault="00FD124B" w:rsidP="00E97A8B">
      <w:pPr>
        <w:rPr>
          <w:rFonts w:cs="Calibri"/>
        </w:rPr>
      </w:pPr>
      <w:r w:rsidRPr="00DD477A">
        <w:rPr>
          <w:rFonts w:cs="Calibri"/>
        </w:rPr>
        <w:t>It is the responsibility of each portfolio department to arrange the printing and secure freighting of their PB Statements.</w:t>
      </w:r>
    </w:p>
    <w:p w14:paraId="2C7513E3" w14:textId="77777777" w:rsidR="00FD124B" w:rsidRPr="00DD477A" w:rsidRDefault="00FD124B" w:rsidP="00FD124B">
      <w:pPr>
        <w:rPr>
          <w:rFonts w:cs="Calibri"/>
        </w:rPr>
      </w:pPr>
      <w:r w:rsidRPr="00DD477A">
        <w:rPr>
          <w:rFonts w:cs="Calibri"/>
        </w:rPr>
        <w:t>Contact details for CanPrint Communications Pty Ltd are:</w:t>
      </w:r>
    </w:p>
    <w:p w14:paraId="23FE3FB2" w14:textId="452F748D" w:rsidR="00FD124B" w:rsidRPr="00DD477A" w:rsidRDefault="00FD124B" w:rsidP="00A85E0D">
      <w:pPr>
        <w:pStyle w:val="Bullet1"/>
      </w:pPr>
      <w:r w:rsidRPr="00DD477A">
        <w:t>address:</w:t>
      </w:r>
      <w:r w:rsidR="00E0633F" w:rsidRPr="00DD477A">
        <w:tab/>
      </w:r>
      <w:r w:rsidRPr="00DD477A">
        <w:t>CanPrint Communications Pty Ltd</w:t>
      </w:r>
    </w:p>
    <w:p w14:paraId="6BDE4A8E" w14:textId="77777777" w:rsidR="00FD124B" w:rsidRPr="00DD477A" w:rsidRDefault="00FD124B" w:rsidP="00FD124B">
      <w:pPr>
        <w:ind w:left="1275"/>
        <w:contextualSpacing/>
      </w:pPr>
      <w:r w:rsidRPr="00DD477A">
        <w:t>16 Nyrang Street</w:t>
      </w:r>
    </w:p>
    <w:p w14:paraId="49DF20F2" w14:textId="09F451EE" w:rsidR="00FD124B" w:rsidRPr="00DD477A" w:rsidRDefault="00FD124B" w:rsidP="00FD124B">
      <w:pPr>
        <w:ind w:left="1275"/>
        <w:contextualSpacing/>
      </w:pPr>
      <w:r w:rsidRPr="00DD477A">
        <w:t>Fyshwick, ACT 2609</w:t>
      </w:r>
    </w:p>
    <w:p w14:paraId="32876D9A" w14:textId="3AB56DEA" w:rsidR="00FD124B" w:rsidRPr="00DD477A" w:rsidRDefault="00FD124B" w:rsidP="00E548A0">
      <w:pPr>
        <w:pStyle w:val="Heading2"/>
      </w:pPr>
      <w:bookmarkStart w:id="1560" w:name="_Toc160715651"/>
      <w:r w:rsidRPr="00DD477A">
        <w:t>Treasury</w:t>
      </w:r>
      <w:bookmarkEnd w:id="1560"/>
    </w:p>
    <w:p w14:paraId="1084855D" w14:textId="48972F2C" w:rsidR="00FD124B" w:rsidRPr="00DD477A" w:rsidRDefault="00FD124B" w:rsidP="00FD124B">
      <w:pPr>
        <w:rPr>
          <w:rFonts w:cs="Calibri"/>
        </w:rPr>
      </w:pPr>
      <w:r w:rsidRPr="00DD477A">
        <w:rPr>
          <w:rFonts w:cs="Calibri"/>
        </w:rPr>
        <w:t>Treasury sets formatting standards for PB Statement templates and</w:t>
      </w:r>
      <w:r w:rsidR="007A2602" w:rsidRPr="00DD477A">
        <w:rPr>
          <w:rFonts w:cs="Calibri"/>
        </w:rPr>
        <w:t>,</w:t>
      </w:r>
      <w:r w:rsidRPr="00DD477A">
        <w:rPr>
          <w:rFonts w:cs="Calibri"/>
        </w:rPr>
        <w:t xml:space="preserve"> </w:t>
      </w:r>
      <w:r w:rsidR="000F1BAB" w:rsidRPr="00DD477A">
        <w:rPr>
          <w:rFonts w:cs="Calibri"/>
        </w:rPr>
        <w:t>after tabling</w:t>
      </w:r>
      <w:r w:rsidR="007A2602" w:rsidRPr="00DD477A">
        <w:rPr>
          <w:rFonts w:cs="Calibri"/>
        </w:rPr>
        <w:t xml:space="preserve">, </w:t>
      </w:r>
      <w:r w:rsidRPr="00DD477A">
        <w:rPr>
          <w:rFonts w:cs="Calibri"/>
        </w:rPr>
        <w:t xml:space="preserve">uploads PB Statements links to </w:t>
      </w:r>
      <w:hyperlink r:id="rId228">
        <w:r w:rsidRPr="00DD477A">
          <w:rPr>
            <w:rStyle w:val="Hyperlink"/>
          </w:rPr>
          <w:t>www.budget.gov.au</w:t>
        </w:r>
      </w:hyperlink>
      <w:r w:rsidRPr="00DD477A">
        <w:rPr>
          <w:rFonts w:cs="Calibri"/>
        </w:rPr>
        <w:t xml:space="preserve">. Treasury also coordinates the Budget lockup at the Australian Parliament House and undertakes budget coordination activities at the </w:t>
      </w:r>
      <w:r w:rsidR="007F0366" w:rsidRPr="00DD477A">
        <w:rPr>
          <w:rFonts w:cs="Calibri"/>
        </w:rPr>
        <w:t xml:space="preserve">entity </w:t>
      </w:r>
      <w:r w:rsidRPr="00DD477A">
        <w:rPr>
          <w:rFonts w:cs="Calibri"/>
        </w:rPr>
        <w:t>level.</w:t>
      </w:r>
    </w:p>
    <w:p w14:paraId="46FD0126" w14:textId="77777777" w:rsidR="00FD124B" w:rsidRPr="00DD477A" w:rsidRDefault="00FD124B" w:rsidP="00FD124B">
      <w:pPr>
        <w:rPr>
          <w:rFonts w:cs="Calibri"/>
        </w:rPr>
      </w:pPr>
      <w:r w:rsidRPr="00DD477A">
        <w:rPr>
          <w:rFonts w:cs="Calibri"/>
        </w:rPr>
        <w:t>Key Treasury contacts:</w:t>
      </w:r>
    </w:p>
    <w:p w14:paraId="7321E9C4" w14:textId="6AF97EAD" w:rsidR="00FD124B" w:rsidRPr="00DD477A" w:rsidRDefault="025B3BC9" w:rsidP="00A85E0D">
      <w:pPr>
        <w:pStyle w:val="Bullet1"/>
      </w:pPr>
      <w:r w:rsidRPr="00DD477A">
        <w:t>general budget communications queries</w:t>
      </w:r>
      <w:r w:rsidR="00FD124B" w:rsidRPr="00DD477A">
        <w:tab/>
      </w:r>
      <w:r w:rsidR="00FD124B" w:rsidRPr="00DD477A">
        <w:tab/>
      </w:r>
      <w:hyperlink r:id="rId229">
        <w:r w:rsidRPr="00DD477A">
          <w:rPr>
            <w:rStyle w:val="Hyperlink"/>
          </w:rPr>
          <w:t>budgetcommunications@treasury.gov.au</w:t>
        </w:r>
      </w:hyperlink>
    </w:p>
    <w:p w14:paraId="7711F1AC" w14:textId="7C438BB7" w:rsidR="00FD124B" w:rsidRPr="00DD477A" w:rsidRDefault="025B3BC9" w:rsidP="00A85E0D">
      <w:pPr>
        <w:pStyle w:val="Bullet1"/>
      </w:pPr>
      <w:r w:rsidRPr="00DD477A">
        <w:t>design and formatting</w:t>
      </w:r>
      <w:r w:rsidR="00FD124B" w:rsidRPr="00DD477A">
        <w:tab/>
      </w:r>
      <w:r w:rsidR="00FD124B" w:rsidRPr="00DD477A">
        <w:tab/>
      </w:r>
      <w:r w:rsidR="0033433D" w:rsidRPr="00DD477A">
        <w:tab/>
      </w:r>
      <w:r w:rsidR="0033433D" w:rsidRPr="00DD477A">
        <w:tab/>
      </w:r>
      <w:r w:rsidR="0033433D" w:rsidRPr="00DD477A">
        <w:tab/>
      </w:r>
      <w:r w:rsidR="0033433D" w:rsidRPr="00DD477A">
        <w:tab/>
      </w:r>
      <w:hyperlink r:id="rId230" w:history="1">
        <w:r w:rsidR="0033433D" w:rsidRPr="00DD477A">
          <w:rPr>
            <w:rStyle w:val="Hyperlink"/>
            <w:rFonts w:cs="Calibri"/>
          </w:rPr>
          <w:t>creativeservices@treasury.gov.au</w:t>
        </w:r>
      </w:hyperlink>
    </w:p>
    <w:p w14:paraId="06713BDD" w14:textId="70BFEBB4" w:rsidR="00FD124B" w:rsidRPr="00DD477A" w:rsidRDefault="025B3BC9" w:rsidP="00A85E0D">
      <w:pPr>
        <w:pStyle w:val="Bullet1"/>
      </w:pPr>
      <w:r w:rsidRPr="00DD477A">
        <w:t>budget website</w:t>
      </w:r>
      <w:r w:rsidR="00FD124B" w:rsidRPr="00DD477A">
        <w:tab/>
      </w:r>
      <w:r w:rsidR="00FD124B" w:rsidRPr="00DD477A">
        <w:tab/>
      </w:r>
      <w:r w:rsidR="0033433D" w:rsidRPr="00DD477A">
        <w:tab/>
      </w:r>
      <w:r w:rsidR="0033433D" w:rsidRPr="00DD477A">
        <w:tab/>
      </w:r>
      <w:r w:rsidR="0033433D" w:rsidRPr="00DD477A">
        <w:tab/>
      </w:r>
      <w:r w:rsidR="0033433D" w:rsidRPr="00DD477A">
        <w:tab/>
      </w:r>
      <w:r w:rsidR="0033433D" w:rsidRPr="00DD477A">
        <w:tab/>
      </w:r>
      <w:hyperlink r:id="rId231" w:history="1">
        <w:r w:rsidR="0033433D" w:rsidRPr="00DD477A">
          <w:rPr>
            <w:rStyle w:val="Hyperlink"/>
            <w:rFonts w:cs="Calibri"/>
          </w:rPr>
          <w:t>budget-website@treasury.gov.au</w:t>
        </w:r>
      </w:hyperlink>
    </w:p>
    <w:p w14:paraId="411241CF" w14:textId="03FDB65B" w:rsidR="00FD124B" w:rsidRPr="00DD477A" w:rsidRDefault="00FD124B" w:rsidP="00A85E0D">
      <w:pPr>
        <w:pStyle w:val="Bullet1"/>
      </w:pPr>
      <w:r w:rsidRPr="00DD477A">
        <w:lastRenderedPageBreak/>
        <w:t>The Treasury Budget Communications Team can also be reached by</w:t>
      </w:r>
      <w:r w:rsidRPr="00DD477A">
        <w:tab/>
      </w:r>
      <w:r w:rsidR="0033433D" w:rsidRPr="00DD477A">
        <w:t>(</w:t>
      </w:r>
      <w:r w:rsidRPr="00DD477A">
        <w:t>02</w:t>
      </w:r>
      <w:r w:rsidR="0033433D" w:rsidRPr="00DD477A">
        <w:t>)</w:t>
      </w:r>
      <w:r w:rsidRPr="00DD477A">
        <w:t xml:space="preserve"> 6263 3788</w:t>
      </w:r>
    </w:p>
    <w:p w14:paraId="77F6F9A4" w14:textId="21CC4C10" w:rsidR="00FA0945" w:rsidRPr="00DD477A" w:rsidRDefault="53BF0693" w:rsidP="00E548A0">
      <w:pPr>
        <w:pStyle w:val="Heading2"/>
      </w:pPr>
      <w:bookmarkStart w:id="1561" w:name="_Toc86765009"/>
      <w:bookmarkStart w:id="1562" w:name="_Toc87979930"/>
      <w:bookmarkStart w:id="1563" w:name="_Toc86765010"/>
      <w:bookmarkStart w:id="1564" w:name="_Toc87979931"/>
      <w:bookmarkStart w:id="1565" w:name="_Toc86765011"/>
      <w:bookmarkStart w:id="1566" w:name="_Toc87979932"/>
      <w:bookmarkStart w:id="1567" w:name="_Toc86765012"/>
      <w:bookmarkStart w:id="1568" w:name="_Toc87979933"/>
      <w:bookmarkStart w:id="1569" w:name="_Toc63347759"/>
      <w:bookmarkStart w:id="1570" w:name="_Toc160715652"/>
      <w:bookmarkEnd w:id="1561"/>
      <w:bookmarkEnd w:id="1562"/>
      <w:bookmarkEnd w:id="1563"/>
      <w:bookmarkEnd w:id="1564"/>
      <w:bookmarkEnd w:id="1565"/>
      <w:bookmarkEnd w:id="1566"/>
      <w:bookmarkEnd w:id="1567"/>
      <w:bookmarkEnd w:id="1568"/>
      <w:r w:rsidRPr="00DD477A">
        <w:t>Senate Table Office</w:t>
      </w:r>
      <w:bookmarkEnd w:id="1569"/>
      <w:bookmarkEnd w:id="1570"/>
    </w:p>
    <w:p w14:paraId="58D3FB38" w14:textId="77777777" w:rsidR="00FA0945" w:rsidRPr="00DD477A" w:rsidRDefault="53BF0693" w:rsidP="000A7DEC">
      <w:pPr>
        <w:rPr>
          <w:rFonts w:cs="Calibri"/>
        </w:rPr>
      </w:pPr>
      <w:r w:rsidRPr="00DD477A">
        <w:rPr>
          <w:rFonts w:cs="Calibri"/>
        </w:rPr>
        <w:t xml:space="preserve">The </w:t>
      </w:r>
      <w:r w:rsidRPr="00DD477A">
        <w:rPr>
          <w:rFonts w:cs="Calibri"/>
          <w:b/>
          <w:bCs/>
        </w:rPr>
        <w:t>Senate Table Office</w:t>
      </w:r>
      <w:r w:rsidRPr="00DD477A">
        <w:rPr>
          <w:rFonts w:cs="Calibri"/>
        </w:rPr>
        <w:t xml:space="preserve"> receives deliveries from entities of PB Statements for the Senate, House of Representatives, Budget lockup and the Parliamentary Library. Their contact details are:</w:t>
      </w:r>
    </w:p>
    <w:p w14:paraId="1C3FFB70" w14:textId="45C80B3F" w:rsidR="006A69BF" w:rsidRPr="00DD477A" w:rsidRDefault="6811A681" w:rsidP="00A85E0D">
      <w:pPr>
        <w:pStyle w:val="Bullet1"/>
      </w:pPr>
      <w:r w:rsidRPr="00DD477A">
        <w:t>d</w:t>
      </w:r>
      <w:r w:rsidR="3F4386F4" w:rsidRPr="00DD477A">
        <w:t>ocuments officer</w:t>
      </w:r>
      <w:r w:rsidR="0033433D" w:rsidRPr="00DD477A">
        <w:tab/>
      </w:r>
      <w:r w:rsidR="0033433D" w:rsidRPr="00DD477A">
        <w:tab/>
      </w:r>
      <w:r w:rsidR="0055620B" w:rsidRPr="00DD477A">
        <w:tab/>
      </w:r>
      <w:hyperlink r:id="rId232" w:history="1">
        <w:r w:rsidR="68795EF6" w:rsidRPr="00DD477A">
          <w:rPr>
            <w:rStyle w:val="Hyperlink"/>
            <w:rFonts w:cs="Calibri"/>
          </w:rPr>
          <w:t>table.docs@aph.gov.au</w:t>
        </w:r>
        <w:r w:rsidR="0055620B" w:rsidRPr="00DD477A">
          <w:rPr>
            <w:rStyle w:val="Hyperlink"/>
            <w:rFonts w:cs="Calibri"/>
          </w:rPr>
          <w:tab/>
        </w:r>
      </w:hyperlink>
      <w:r w:rsidR="0033433D" w:rsidRPr="00DD477A">
        <w:tab/>
      </w:r>
      <w:r w:rsidR="00E0633F" w:rsidRPr="00DD477A">
        <w:tab/>
      </w:r>
      <w:r w:rsidR="00E0633F" w:rsidRPr="00DD477A">
        <w:tab/>
      </w:r>
      <w:r w:rsidR="0033433D" w:rsidRPr="00DD477A">
        <w:tab/>
        <w:t>(</w:t>
      </w:r>
      <w:r w:rsidR="4A2F0A81" w:rsidRPr="00DD477A">
        <w:t>02</w:t>
      </w:r>
      <w:r w:rsidR="0033433D" w:rsidRPr="00DD477A">
        <w:t>)</w:t>
      </w:r>
      <w:r w:rsidR="4A2F0A81" w:rsidRPr="00DD477A">
        <w:t xml:space="preserve"> 6277 3010</w:t>
      </w:r>
    </w:p>
    <w:p w14:paraId="03F7CBA0" w14:textId="423961BC" w:rsidR="006E0756" w:rsidRPr="00DD477A" w:rsidRDefault="0055620B" w:rsidP="00A85E0D">
      <w:pPr>
        <w:pStyle w:val="Bullet1"/>
      </w:pPr>
      <w:r w:rsidRPr="00DD477A">
        <w:t>a</w:t>
      </w:r>
      <w:r w:rsidR="00FA0945" w:rsidRPr="00DD477A">
        <w:t>ddress:</w:t>
      </w:r>
    </w:p>
    <w:p w14:paraId="1AB30DA3" w14:textId="2E20C088" w:rsidR="00595D6E" w:rsidRPr="00DD477A" w:rsidRDefault="00FA0945" w:rsidP="00007430">
      <w:pPr>
        <w:tabs>
          <w:tab w:val="left" w:pos="1701"/>
        </w:tabs>
        <w:ind w:left="1275"/>
        <w:sectPr w:rsidR="00595D6E" w:rsidRPr="00DD477A" w:rsidSect="00E73E0E">
          <w:pgSz w:w="11900" w:h="16840" w:code="9"/>
          <w:pgMar w:top="1418" w:right="851" w:bottom="1418" w:left="1418" w:header="624" w:footer="624" w:gutter="0"/>
          <w:cols w:space="708"/>
          <w:docGrid w:linePitch="360"/>
        </w:sectPr>
      </w:pPr>
      <w:r w:rsidRPr="00DD477A">
        <w:t>Room SG 25</w:t>
      </w:r>
      <w:r w:rsidR="00616039" w:rsidRPr="00DD477A">
        <w:br/>
      </w:r>
      <w:r w:rsidRPr="00DD477A">
        <w:t>Department of the Senate</w:t>
      </w:r>
      <w:r w:rsidR="006E0756" w:rsidRPr="00DD477A">
        <w:br/>
      </w:r>
      <w:r w:rsidR="00616039" w:rsidRPr="00DD477A">
        <w:t>P</w:t>
      </w:r>
      <w:r w:rsidRPr="00DD477A">
        <w:t>arliament House</w:t>
      </w:r>
      <w:r w:rsidR="006E0756" w:rsidRPr="00DD477A">
        <w:br/>
      </w:r>
      <w:r w:rsidRPr="00DD477A">
        <w:t>Canberra, ACT 2600</w:t>
      </w:r>
      <w:bookmarkStart w:id="1571" w:name="_Toc534382590"/>
    </w:p>
    <w:p w14:paraId="621EDB30" w14:textId="46671F95" w:rsidR="00FA0945" w:rsidRPr="00DD477A" w:rsidRDefault="53BF0693" w:rsidP="00E548A0">
      <w:pPr>
        <w:pStyle w:val="Heading1"/>
      </w:pPr>
      <w:bookmarkStart w:id="1572" w:name="_Toc63347760"/>
      <w:bookmarkStart w:id="1573" w:name="_Toc160715653"/>
      <w:r w:rsidRPr="00DD477A">
        <w:lastRenderedPageBreak/>
        <w:t>Glossary of terms</w:t>
      </w:r>
      <w:bookmarkEnd w:id="1571"/>
      <w:bookmarkEnd w:id="1572"/>
      <w:bookmarkEnd w:id="1573"/>
    </w:p>
    <w:p w14:paraId="54CBAA63" w14:textId="77777777" w:rsidR="00FA0945" w:rsidRPr="00DD477A" w:rsidRDefault="53BF0693" w:rsidP="00E548A0">
      <w:pPr>
        <w:pStyle w:val="Heading2"/>
      </w:pPr>
      <w:bookmarkStart w:id="1574" w:name="_Toc160715654"/>
      <w:r w:rsidRPr="00DD477A">
        <w:t>Activities</w:t>
      </w:r>
      <w:bookmarkEnd w:id="1574"/>
    </w:p>
    <w:p w14:paraId="24546BA9" w14:textId="77777777" w:rsidR="00FA0945" w:rsidRPr="00DD477A" w:rsidRDefault="53BF0693" w:rsidP="000A7DEC">
      <w:pPr>
        <w:rPr>
          <w:rFonts w:cs="Calibri"/>
        </w:rPr>
      </w:pPr>
      <w:r w:rsidRPr="00DD477A">
        <w:rPr>
          <w:rFonts w:cs="Calibri"/>
        </w:rPr>
        <w:t>The actions/functions performed by entities to deliver government policies.</w:t>
      </w:r>
    </w:p>
    <w:p w14:paraId="55B3081D" w14:textId="77777777" w:rsidR="00FA0945" w:rsidRPr="00DD477A" w:rsidRDefault="53BF0693" w:rsidP="00E548A0">
      <w:pPr>
        <w:pStyle w:val="Heading2"/>
      </w:pPr>
      <w:bookmarkStart w:id="1575" w:name="_Toc160715655"/>
      <w:r w:rsidRPr="00DD477A">
        <w:t>Actual available appropriation</w:t>
      </w:r>
      <w:bookmarkEnd w:id="1575"/>
    </w:p>
    <w:p w14:paraId="504B1295" w14:textId="63F0580B" w:rsidR="00FA0945" w:rsidRPr="00DD477A" w:rsidRDefault="53BF0693" w:rsidP="000A7DEC">
      <w:pPr>
        <w:rPr>
          <w:rFonts w:cs="Calibri"/>
        </w:rPr>
      </w:pPr>
      <w:r w:rsidRPr="00DD477A">
        <w:rPr>
          <w:rFonts w:cs="Calibri"/>
        </w:rPr>
        <w:t xml:space="preserve">The total appropriations available to the entity for </w:t>
      </w:r>
      <w:r w:rsidR="00B11749" w:rsidRPr="00DD477A">
        <w:rPr>
          <w:rFonts w:cs="Calibri"/>
        </w:rPr>
        <w:t>202</w:t>
      </w:r>
      <w:r w:rsidR="000A0993" w:rsidRPr="00DD477A">
        <w:rPr>
          <w:rFonts w:cs="Calibri"/>
        </w:rPr>
        <w:t>3</w:t>
      </w:r>
      <w:r w:rsidR="00B11749" w:rsidRPr="00DD477A">
        <w:rPr>
          <w:rFonts w:cs="Calibri"/>
        </w:rPr>
        <w:t>-2</w:t>
      </w:r>
      <w:r w:rsidR="000A0993" w:rsidRPr="00DD477A">
        <w:rPr>
          <w:rFonts w:cs="Calibri"/>
        </w:rPr>
        <w:t>4</w:t>
      </w:r>
      <w:r w:rsidR="00BA2416" w:rsidRPr="00DD477A">
        <w:rPr>
          <w:rFonts w:cs="Calibri"/>
        </w:rPr>
        <w:t xml:space="preserve"> </w:t>
      </w:r>
      <w:r w:rsidRPr="00DD477A">
        <w:rPr>
          <w:rFonts w:cs="Calibri"/>
        </w:rPr>
        <w:t xml:space="preserve">as at the </w:t>
      </w:r>
      <w:r w:rsidR="00B11749" w:rsidRPr="00DD477A">
        <w:rPr>
          <w:rFonts w:cs="Calibri"/>
        </w:rPr>
        <w:t>202</w:t>
      </w:r>
      <w:r w:rsidR="000A0993" w:rsidRPr="00DD477A">
        <w:rPr>
          <w:rFonts w:cs="Calibri"/>
        </w:rPr>
        <w:t>4</w:t>
      </w:r>
      <w:r w:rsidR="00B11749" w:rsidRPr="00DD477A">
        <w:rPr>
          <w:rFonts w:cs="Calibri"/>
        </w:rPr>
        <w:t>-2</w:t>
      </w:r>
      <w:r w:rsidR="000A0993" w:rsidRPr="00DD477A">
        <w:rPr>
          <w:rFonts w:cs="Calibri"/>
        </w:rPr>
        <w:t>5</w:t>
      </w:r>
      <w:r w:rsidR="00BA2416" w:rsidRPr="00DD477A">
        <w:rPr>
          <w:rFonts w:cs="Calibri"/>
        </w:rPr>
        <w:t xml:space="preserve"> </w:t>
      </w:r>
      <w:r w:rsidRPr="00DD477A">
        <w:rPr>
          <w:rFonts w:cs="Calibri"/>
        </w:rPr>
        <w:t>Budget</w:t>
      </w:r>
      <w:r w:rsidR="000A0993" w:rsidRPr="00DD477A">
        <w:rPr>
          <w:rFonts w:cs="Calibri"/>
        </w:rPr>
        <w:t>,</w:t>
      </w:r>
      <w:r w:rsidR="00180098" w:rsidRPr="00DD477A">
        <w:rPr>
          <w:rFonts w:cs="Calibri"/>
        </w:rPr>
        <w:t xml:space="preserve"> </w:t>
      </w:r>
      <w:r w:rsidRPr="00DD477A">
        <w:rPr>
          <w:rFonts w:cs="Calibri"/>
        </w:rPr>
        <w:t>includ</w:t>
      </w:r>
      <w:r w:rsidR="000A0993" w:rsidRPr="00DD477A">
        <w:rPr>
          <w:rFonts w:cs="Calibri"/>
        </w:rPr>
        <w:t>ing</w:t>
      </w:r>
      <w:r w:rsidRPr="00DD477A">
        <w:rPr>
          <w:rFonts w:cs="Calibri"/>
        </w:rPr>
        <w:t xml:space="preserve"> all appropriations made available to the entity in the year (+/- </w:t>
      </w:r>
      <w:r w:rsidR="00C74EA1" w:rsidRPr="00DD477A">
        <w:rPr>
          <w:rFonts w:cs="Calibri"/>
        </w:rPr>
        <w:t xml:space="preserve">section 75 </w:t>
      </w:r>
      <w:r w:rsidR="00ED3CB2" w:rsidRPr="00DD477A">
        <w:rPr>
          <w:rFonts w:cs="Calibri"/>
        </w:rPr>
        <w:t xml:space="preserve">transfers </w:t>
      </w:r>
      <w:r w:rsidR="00C74EA1" w:rsidRPr="00DD477A">
        <w:rPr>
          <w:rFonts w:cs="Calibri"/>
        </w:rPr>
        <w:t xml:space="preserve">or section 51 withholdings and other administrative quarantines made by Finance </w:t>
      </w:r>
      <w:r w:rsidR="00ED3CB2" w:rsidRPr="00DD477A">
        <w:rPr>
          <w:rFonts w:cs="Calibri"/>
        </w:rPr>
        <w:t xml:space="preserve">under of the </w:t>
      </w:r>
      <w:r w:rsidR="00ED3CB2" w:rsidRPr="00DD477A">
        <w:rPr>
          <w:rFonts w:cs="Calibri"/>
          <w:i/>
          <w:iCs/>
        </w:rPr>
        <w:t xml:space="preserve">Public Governance, Performance and Accountability Act 2013 </w:t>
      </w:r>
      <w:r w:rsidR="00ED3CB2" w:rsidRPr="00DD477A">
        <w:rPr>
          <w:rFonts w:cs="Calibri"/>
        </w:rPr>
        <w:t>(PGPA Act)</w:t>
      </w:r>
      <w:r w:rsidRPr="00DD477A">
        <w:rPr>
          <w:rFonts w:cs="Calibri"/>
        </w:rPr>
        <w:t xml:space="preserve">, </w:t>
      </w:r>
      <w:r w:rsidR="009A1184" w:rsidRPr="00DD477A">
        <w:rPr>
          <w:rFonts w:cs="Calibri"/>
        </w:rPr>
        <w:t>AFM</w:t>
      </w:r>
      <w:r w:rsidRPr="00DD477A">
        <w:rPr>
          <w:rFonts w:cs="Calibri"/>
        </w:rPr>
        <w:t xml:space="preserve">). It is to </w:t>
      </w:r>
      <w:r w:rsidR="00C74EA1" w:rsidRPr="00DD477A">
        <w:rPr>
          <w:rFonts w:cs="Calibri"/>
        </w:rPr>
        <w:t>mirror</w:t>
      </w:r>
      <w:r w:rsidRPr="00DD477A">
        <w:rPr>
          <w:rFonts w:cs="Calibri"/>
        </w:rPr>
        <w:t xml:space="preserve"> the comparator figure included in the Appropriation Bills, provid</w:t>
      </w:r>
      <w:r w:rsidR="00C74EA1" w:rsidRPr="00DD477A">
        <w:rPr>
          <w:rFonts w:cs="Calibri"/>
        </w:rPr>
        <w:t>ing</w:t>
      </w:r>
      <w:r w:rsidRPr="00DD477A">
        <w:rPr>
          <w:rFonts w:cs="Calibri"/>
        </w:rPr>
        <w:t xml:space="preserve"> a comparison with the appropriation proposed for the budget year.</w:t>
      </w:r>
    </w:p>
    <w:p w14:paraId="6B14B3FF" w14:textId="77777777" w:rsidR="00FA0945" w:rsidRPr="00DD477A" w:rsidRDefault="53BF0693" w:rsidP="00E548A0">
      <w:pPr>
        <w:pStyle w:val="Heading2"/>
      </w:pPr>
      <w:bookmarkStart w:id="1576" w:name="_Toc160715656"/>
      <w:r w:rsidRPr="00DD477A">
        <w:t>Administered item</w:t>
      </w:r>
      <w:bookmarkEnd w:id="1576"/>
    </w:p>
    <w:p w14:paraId="144A1D9F" w14:textId="562D5197" w:rsidR="002F060E" w:rsidRPr="00DD477A" w:rsidRDefault="00B11B6E" w:rsidP="000A7DEC">
      <w:pPr>
        <w:rPr>
          <w:rFonts w:cs="Calibri"/>
        </w:rPr>
      </w:pPr>
      <w:r w:rsidRPr="00DD477A">
        <w:rPr>
          <w:rFonts w:cs="Calibri"/>
        </w:rPr>
        <w:t>I</w:t>
      </w:r>
      <w:r w:rsidR="53BF0693" w:rsidRPr="00DD477A">
        <w:rPr>
          <w:rFonts w:cs="Calibri"/>
        </w:rPr>
        <w:t xml:space="preserve">tems </w:t>
      </w:r>
      <w:r w:rsidRPr="00DD477A">
        <w:rPr>
          <w:rFonts w:cs="Calibri"/>
        </w:rPr>
        <w:t>ordinarily</w:t>
      </w:r>
      <w:r w:rsidR="53BF0693" w:rsidRPr="00DD477A">
        <w:rPr>
          <w:rFonts w:cs="Calibri"/>
        </w:rPr>
        <w:t xml:space="preserve"> managed by</w:t>
      </w:r>
      <w:r w:rsidR="00482662" w:rsidRPr="00DD477A">
        <w:rPr>
          <w:rFonts w:cs="Calibri"/>
        </w:rPr>
        <w:t>,</w:t>
      </w:r>
      <w:r w:rsidR="53BF0693" w:rsidRPr="00DD477A">
        <w:rPr>
          <w:rFonts w:cs="Calibri"/>
        </w:rPr>
        <w:t xml:space="preserve"> </w:t>
      </w:r>
      <w:r w:rsidR="00482662" w:rsidRPr="00DD477A">
        <w:rPr>
          <w:rFonts w:cs="Calibri"/>
        </w:rPr>
        <w:t xml:space="preserve">in contrast to </w:t>
      </w:r>
      <w:r w:rsidR="00C663FB" w:rsidRPr="00DD477A">
        <w:rPr>
          <w:rFonts w:cs="Calibri"/>
        </w:rPr>
        <w:t>being controlled by,</w:t>
      </w:r>
      <w:r w:rsidR="00482662" w:rsidRPr="00DD477A">
        <w:rPr>
          <w:rFonts w:cs="Calibri"/>
        </w:rPr>
        <w:t xml:space="preserve"> </w:t>
      </w:r>
      <w:r w:rsidR="53BF0693" w:rsidRPr="00DD477A">
        <w:rPr>
          <w:rFonts w:cs="Calibri"/>
        </w:rPr>
        <w:t xml:space="preserve">an entity on behalf of the </w:t>
      </w:r>
      <w:r w:rsidR="00463BDF" w:rsidRPr="00DD477A">
        <w:rPr>
          <w:rFonts w:cs="Calibri"/>
        </w:rPr>
        <w:t xml:space="preserve">Government </w:t>
      </w:r>
      <w:r w:rsidR="00C663FB" w:rsidRPr="00DD477A">
        <w:rPr>
          <w:rFonts w:cs="Calibri"/>
        </w:rPr>
        <w:t xml:space="preserve">which are </w:t>
      </w:r>
      <w:r w:rsidR="53BF0693" w:rsidRPr="00DD477A">
        <w:rPr>
          <w:rFonts w:cs="Calibri"/>
        </w:rPr>
        <w:t>normally related to activities governed by eligibility rules and conditions established by the legislation (for example, grants, subsidies and benefit payments).</w:t>
      </w:r>
    </w:p>
    <w:p w14:paraId="7A5F2A76" w14:textId="239FFEA0" w:rsidR="00FA0945" w:rsidRPr="00DD477A" w:rsidRDefault="53BF0693" w:rsidP="000A7DEC">
      <w:pPr>
        <w:rPr>
          <w:rFonts w:cs="Calibri"/>
        </w:rPr>
      </w:pPr>
      <w:r w:rsidRPr="00DD477A">
        <w:rPr>
          <w:rFonts w:cs="Calibri"/>
        </w:rPr>
        <w:t xml:space="preserve">This funding is not at the discretion of the entity and any unspent appropriation </w:t>
      </w:r>
      <w:r w:rsidR="007C157E" w:rsidRPr="00DD477A">
        <w:rPr>
          <w:rFonts w:cs="Calibri"/>
        </w:rPr>
        <w:t xml:space="preserve">at the end of the financial year </w:t>
      </w:r>
      <w:r w:rsidRPr="00DD477A">
        <w:rPr>
          <w:rFonts w:cs="Calibri"/>
        </w:rPr>
        <w:t>is returned to the Consolidated Revenue Fund (CRF). An administered item is a component of an administered program. It may be a measure but will not constitute a program in its own right.</w:t>
      </w:r>
    </w:p>
    <w:p w14:paraId="2FECD892" w14:textId="736897CB" w:rsidR="002F0879" w:rsidRPr="00DD477A" w:rsidRDefault="53BF0693" w:rsidP="00E548A0">
      <w:pPr>
        <w:pStyle w:val="Heading2"/>
      </w:pPr>
      <w:bookmarkStart w:id="1577" w:name="_Toc160715657"/>
      <w:r w:rsidRPr="00DD477A">
        <w:t>Administrative Arrangement</w:t>
      </w:r>
      <w:r w:rsidR="00767433" w:rsidRPr="00DD477A">
        <w:t>s</w:t>
      </w:r>
      <w:r w:rsidRPr="00DD477A">
        <w:t xml:space="preserve"> Order</w:t>
      </w:r>
      <w:bookmarkEnd w:id="1577"/>
    </w:p>
    <w:p w14:paraId="2C3D1B81" w14:textId="7216BD22" w:rsidR="002F0879" w:rsidRPr="00DD477A" w:rsidRDefault="53BF0693" w:rsidP="002F0879">
      <w:pPr>
        <w:rPr>
          <w:rFonts w:cs="Calibri"/>
        </w:rPr>
      </w:pPr>
      <w:r w:rsidRPr="00DD477A">
        <w:rPr>
          <w:rFonts w:cs="Calibri"/>
        </w:rPr>
        <w:t>Administrative Arrangements Orders (AAOs) specify firstly, the subject matters, and secondly, the legislation dealt with by government departments</w:t>
      </w:r>
      <w:r w:rsidR="00482ACA" w:rsidRPr="00DD477A">
        <w:rPr>
          <w:rFonts w:cs="Calibri"/>
        </w:rPr>
        <w:t xml:space="preserve"> and Ministers</w:t>
      </w:r>
      <w:r w:rsidRPr="00DD477A">
        <w:rPr>
          <w:rFonts w:cs="Calibri"/>
        </w:rPr>
        <w:t>.</w:t>
      </w:r>
    </w:p>
    <w:p w14:paraId="3F54DBC3" w14:textId="79126E42" w:rsidR="00FA0945" w:rsidRPr="00DD477A" w:rsidRDefault="53BF0693" w:rsidP="00E548A0">
      <w:pPr>
        <w:pStyle w:val="Heading2"/>
      </w:pPr>
      <w:bookmarkStart w:id="1578" w:name="_Toc160715658"/>
      <w:r w:rsidRPr="00DD477A">
        <w:t xml:space="preserve">Agency </w:t>
      </w:r>
      <w:r w:rsidR="006B4C1D" w:rsidRPr="00DD477A">
        <w:t>A</w:t>
      </w:r>
      <w:r w:rsidRPr="00DD477A">
        <w:t xml:space="preserve">dvice </w:t>
      </w:r>
      <w:r w:rsidR="006B4C1D" w:rsidRPr="00DD477A">
        <w:t>U</w:t>
      </w:r>
      <w:r w:rsidRPr="00DD477A">
        <w:t>nit</w:t>
      </w:r>
      <w:bookmarkEnd w:id="1578"/>
    </w:p>
    <w:p w14:paraId="357F8EA6" w14:textId="0468742E" w:rsidR="00FA0945" w:rsidRPr="00DD477A" w:rsidRDefault="53BF0693" w:rsidP="000A7DEC">
      <w:pPr>
        <w:rPr>
          <w:rFonts w:cs="Calibri"/>
        </w:rPr>
      </w:pPr>
      <w:r w:rsidRPr="00DD477A">
        <w:rPr>
          <w:rFonts w:cs="Calibri"/>
        </w:rPr>
        <w:t xml:space="preserve">Advisers within the Budget Group, Finance that analyse expenditure trends of entities, agree costings of </w:t>
      </w:r>
      <w:r w:rsidR="00FE073D" w:rsidRPr="00DD477A">
        <w:rPr>
          <w:rFonts w:cs="Calibri"/>
        </w:rPr>
        <w:t xml:space="preserve">New </w:t>
      </w:r>
      <w:r w:rsidRPr="00DD477A">
        <w:rPr>
          <w:rFonts w:cs="Calibri"/>
        </w:rPr>
        <w:t xml:space="preserve">Policy Proposals, validate entities’ program estimates and </w:t>
      </w:r>
      <w:r w:rsidR="00D127E0" w:rsidRPr="00DD477A">
        <w:rPr>
          <w:rFonts w:cs="Calibri"/>
        </w:rPr>
        <w:t>provide</w:t>
      </w:r>
      <w:r w:rsidRPr="00DD477A">
        <w:rPr>
          <w:rFonts w:cs="Calibri"/>
        </w:rPr>
        <w:t xml:space="preserve"> financial and budget </w:t>
      </w:r>
      <w:r w:rsidR="00221E4C" w:rsidRPr="00DD477A">
        <w:rPr>
          <w:rFonts w:cs="Calibri"/>
        </w:rPr>
        <w:t>advice</w:t>
      </w:r>
      <w:r w:rsidRPr="00DD477A">
        <w:rPr>
          <w:rFonts w:cs="Calibri"/>
        </w:rPr>
        <w:t xml:space="preserve">. </w:t>
      </w:r>
    </w:p>
    <w:p w14:paraId="799042BA" w14:textId="77777777" w:rsidR="00FA0945" w:rsidRPr="00DD477A" w:rsidRDefault="53BF0693" w:rsidP="00E548A0">
      <w:pPr>
        <w:pStyle w:val="Heading2"/>
      </w:pPr>
      <w:bookmarkStart w:id="1579" w:name="_Toc160715659"/>
      <w:r w:rsidRPr="00DD477A">
        <w:t>Appropriation</w:t>
      </w:r>
      <w:bookmarkEnd w:id="1579"/>
    </w:p>
    <w:p w14:paraId="2E5CE444" w14:textId="7EAAFD66" w:rsidR="00FA0945" w:rsidRPr="00DD477A" w:rsidRDefault="53BF0693" w:rsidP="000A7DEC">
      <w:pPr>
        <w:rPr>
          <w:rFonts w:cs="Calibri"/>
        </w:rPr>
      </w:pPr>
      <w:r w:rsidRPr="00DD477A">
        <w:rPr>
          <w:rFonts w:cs="Calibri"/>
        </w:rPr>
        <w:t>An amount of public money the Parliament authorises for draw</w:t>
      </w:r>
      <w:r w:rsidR="007A248F" w:rsidRPr="00DD477A">
        <w:rPr>
          <w:rFonts w:cs="Calibri"/>
        </w:rPr>
        <w:t>ing</w:t>
      </w:r>
      <w:r w:rsidRPr="00DD477A">
        <w:rPr>
          <w:rFonts w:cs="Calibri"/>
        </w:rPr>
        <w:t xml:space="preserve"> from the CRF. The Parliament makes laws for appropriating money under the </w:t>
      </w:r>
      <w:r w:rsidR="007A248F" w:rsidRPr="00DD477A">
        <w:rPr>
          <w:rFonts w:cs="Calibri"/>
        </w:rPr>
        <w:t>a</w:t>
      </w:r>
      <w:r w:rsidRPr="00DD477A">
        <w:rPr>
          <w:rFonts w:cs="Calibri"/>
        </w:rPr>
        <w:t xml:space="preserve">nnual Appropriation Acts and under </w:t>
      </w:r>
      <w:r w:rsidR="006B4C1D" w:rsidRPr="00DD477A">
        <w:rPr>
          <w:rFonts w:cs="Calibri"/>
        </w:rPr>
        <w:t xml:space="preserve">Acts other than annual Appropriation Acts which contain </w:t>
      </w:r>
      <w:r w:rsidRPr="00DD477A">
        <w:rPr>
          <w:rFonts w:cs="Calibri"/>
        </w:rPr>
        <w:t>Special Appropriation</w:t>
      </w:r>
      <w:r w:rsidR="006B4C1D" w:rsidRPr="00DD477A">
        <w:rPr>
          <w:rFonts w:cs="Calibri"/>
        </w:rPr>
        <w:t xml:space="preserve"> provisions</w:t>
      </w:r>
      <w:r w:rsidRPr="00DD477A">
        <w:rPr>
          <w:rFonts w:cs="Calibri"/>
        </w:rPr>
        <w:t>, with spending restricted to the purposes specified in the Acts.</w:t>
      </w:r>
    </w:p>
    <w:p w14:paraId="3CADC092" w14:textId="363DB020" w:rsidR="00FA0945" w:rsidRPr="00DD477A" w:rsidRDefault="006B4C1D" w:rsidP="00E548A0">
      <w:pPr>
        <w:pStyle w:val="Heading2"/>
      </w:pPr>
      <w:bookmarkStart w:id="1580" w:name="_Toc160715660"/>
      <w:r w:rsidRPr="00DD477A">
        <w:t>C</w:t>
      </w:r>
      <w:r w:rsidR="53BF0693" w:rsidRPr="00DD477A">
        <w:t xml:space="preserve">ash </w:t>
      </w:r>
      <w:r w:rsidR="00463BDF" w:rsidRPr="00DD477A">
        <w:t xml:space="preserve">Management </w:t>
      </w:r>
      <w:r w:rsidR="53BF0693" w:rsidRPr="00DD477A">
        <w:t>module</w:t>
      </w:r>
      <w:bookmarkEnd w:id="1580"/>
    </w:p>
    <w:p w14:paraId="70C17FE5" w14:textId="4F7047EF" w:rsidR="00FA0945" w:rsidRPr="00DD477A" w:rsidRDefault="53BF0693" w:rsidP="000A7DEC">
      <w:pPr>
        <w:rPr>
          <w:rFonts w:cs="Calibri"/>
        </w:rPr>
      </w:pPr>
      <w:r w:rsidRPr="00DD477A">
        <w:rPr>
          <w:rFonts w:cs="Calibri"/>
        </w:rPr>
        <w:t>A module of the CBMS from which</w:t>
      </w:r>
      <w:r w:rsidR="00463BDF" w:rsidRPr="00DD477A">
        <w:rPr>
          <w:rFonts w:cs="Calibri"/>
        </w:rPr>
        <w:t xml:space="preserve"> non-corporate Commonwealth</w:t>
      </w:r>
      <w:r w:rsidRPr="00DD477A">
        <w:rPr>
          <w:rFonts w:cs="Calibri"/>
        </w:rPr>
        <w:t xml:space="preserve"> entities draw down funds from the CRF</w:t>
      </w:r>
      <w:r w:rsidR="00463BDF" w:rsidRPr="00DD477A">
        <w:rPr>
          <w:rFonts w:cs="Calibri"/>
        </w:rPr>
        <w:t xml:space="preserve"> (via the Official Public Account managed by Finance on behalf of the Commonwealth)</w:t>
      </w:r>
      <w:r w:rsidRPr="00DD477A">
        <w:rPr>
          <w:rFonts w:cs="Calibri"/>
        </w:rPr>
        <w:t>.</w:t>
      </w:r>
    </w:p>
    <w:p w14:paraId="4A5472BF" w14:textId="68F8F7E4" w:rsidR="00554601" w:rsidRPr="00DD477A" w:rsidRDefault="53BF0693" w:rsidP="00E548A0">
      <w:pPr>
        <w:pStyle w:val="Heading2"/>
      </w:pPr>
      <w:bookmarkStart w:id="1581" w:name="_Toc160715661"/>
      <w:r w:rsidRPr="00DD477A">
        <w:lastRenderedPageBreak/>
        <w:t xml:space="preserve">Australian </w:t>
      </w:r>
      <w:r w:rsidR="00463BDF" w:rsidRPr="00DD477A">
        <w:t>Government Organisation Register</w:t>
      </w:r>
      <w:bookmarkEnd w:id="1581"/>
    </w:p>
    <w:p w14:paraId="24C2DB49" w14:textId="7B09395F" w:rsidR="00554601" w:rsidRPr="00DD477A" w:rsidRDefault="53BF0693" w:rsidP="000A7DEC">
      <w:pPr>
        <w:rPr>
          <w:rFonts w:cs="Calibri"/>
        </w:rPr>
      </w:pPr>
      <w:r w:rsidRPr="00DD477A">
        <w:rPr>
          <w:rFonts w:cs="Calibri"/>
        </w:rPr>
        <w:t xml:space="preserve">The AGOR provides information on the function, composition, origins and other details of Australian Government bodies based on the </w:t>
      </w:r>
      <w:r w:rsidR="002E42A9" w:rsidRPr="00DD477A">
        <w:rPr>
          <w:rFonts w:cs="Calibri"/>
        </w:rPr>
        <w:t xml:space="preserve">identified </w:t>
      </w:r>
      <w:r w:rsidRPr="00DD477A">
        <w:rPr>
          <w:rFonts w:cs="Calibri"/>
        </w:rPr>
        <w:t>characteristics used to describe the 12 main types of bodies</w:t>
      </w:r>
      <w:r w:rsidR="002E42A9" w:rsidRPr="00DD477A">
        <w:rPr>
          <w:rFonts w:cs="Calibri"/>
        </w:rPr>
        <w:t>.</w:t>
      </w:r>
    </w:p>
    <w:p w14:paraId="62634773" w14:textId="09A86541" w:rsidR="00554601" w:rsidRPr="00DD477A" w:rsidRDefault="53BF0693" w:rsidP="000A7DEC">
      <w:pPr>
        <w:rPr>
          <w:rFonts w:cs="Calibri"/>
        </w:rPr>
      </w:pPr>
      <w:r w:rsidRPr="00DD477A">
        <w:rPr>
          <w:rFonts w:cs="Calibri"/>
        </w:rPr>
        <w:t xml:space="preserve">The AGOR dataset forms part of </w:t>
      </w:r>
      <w:r w:rsidRPr="00DD477A">
        <w:t xml:space="preserve">the </w:t>
      </w:r>
      <w:r w:rsidR="00496C86" w:rsidRPr="00DD477A">
        <w:t>Organisation and Appointments Register</w:t>
      </w:r>
      <w:r w:rsidRPr="00DD477A">
        <w:t xml:space="preserve"> which su</w:t>
      </w:r>
      <w:r w:rsidRPr="00DD477A">
        <w:rPr>
          <w:rFonts w:cs="Calibri"/>
        </w:rPr>
        <w:t xml:space="preserve">pports the front-facing website known as </w:t>
      </w:r>
      <w:hyperlink r:id="rId233" w:history="1">
        <w:r w:rsidR="000733FF" w:rsidRPr="00DD477A">
          <w:rPr>
            <w:rStyle w:val="Hyperlink"/>
          </w:rPr>
          <w:t>directory.gov.au</w:t>
        </w:r>
      </w:hyperlink>
      <w:r w:rsidR="00754813" w:rsidRPr="00DD477A">
        <w:rPr>
          <w:rFonts w:cs="Calibri"/>
        </w:rPr>
        <w:t>.</w:t>
      </w:r>
    </w:p>
    <w:p w14:paraId="15B8EF01" w14:textId="4A63C4FD" w:rsidR="00554601" w:rsidRPr="00DD477A" w:rsidRDefault="53BF0693" w:rsidP="004E7B5C">
      <w:pPr>
        <w:rPr>
          <w:rStyle w:val="Hyperlink"/>
          <w:rFonts w:cs="Calibri"/>
        </w:rPr>
      </w:pPr>
      <w:r w:rsidRPr="00DD477A">
        <w:rPr>
          <w:rFonts w:cs="Calibri"/>
        </w:rPr>
        <w:t xml:space="preserve">The </w:t>
      </w:r>
      <w:r w:rsidR="00396887" w:rsidRPr="00DD477A">
        <w:rPr>
          <w:rFonts w:cs="Calibri"/>
        </w:rPr>
        <w:t>portfolio department</w:t>
      </w:r>
      <w:r w:rsidRPr="00DD477A">
        <w:rPr>
          <w:rFonts w:cs="Calibri"/>
        </w:rPr>
        <w:t>s are responsible for collecting information about the entities and bodies listed. Further information</w:t>
      </w:r>
      <w:r w:rsidR="00DB5F5A" w:rsidRPr="00DD477A">
        <w:rPr>
          <w:rFonts w:cs="Calibri"/>
        </w:rPr>
        <w:t xml:space="preserve"> on the </w:t>
      </w:r>
      <w:hyperlink r:id="rId234" w:history="1">
        <w:r w:rsidR="00DB5F5A" w:rsidRPr="00DD477A">
          <w:rPr>
            <w:rStyle w:val="Hyperlink"/>
          </w:rPr>
          <w:t>AGOR</w:t>
        </w:r>
        <w:r w:rsidRPr="00DD477A">
          <w:rPr>
            <w:rStyle w:val="Hyperlink"/>
          </w:rPr>
          <w:t xml:space="preserve"> </w:t>
        </w:r>
        <w:r w:rsidR="00DB5F5A" w:rsidRPr="00DD477A">
          <w:rPr>
            <w:rStyle w:val="Hyperlink"/>
          </w:rPr>
          <w:t>dataset</w:t>
        </w:r>
      </w:hyperlink>
      <w:r w:rsidR="00DB5F5A" w:rsidRPr="00DD477A">
        <w:rPr>
          <w:rFonts w:cs="Calibri"/>
        </w:rPr>
        <w:t xml:space="preserve"> </w:t>
      </w:r>
      <w:r w:rsidRPr="00DD477A">
        <w:rPr>
          <w:rFonts w:cs="Calibri"/>
        </w:rPr>
        <w:t xml:space="preserve">can also be found on Finance's </w:t>
      </w:r>
      <w:r w:rsidR="00844D82" w:rsidRPr="00DD477A">
        <w:rPr>
          <w:rFonts w:cs="Calibri"/>
        </w:rPr>
        <w:t xml:space="preserve">own </w:t>
      </w:r>
      <w:hyperlink r:id="rId235" w:history="1">
        <w:r w:rsidR="00844D82" w:rsidRPr="00DD477A">
          <w:rPr>
            <w:rStyle w:val="Hyperlink"/>
            <w:rFonts w:cs="Calibri"/>
          </w:rPr>
          <w:t>AGOR</w:t>
        </w:r>
        <w:r w:rsidRPr="00DD477A">
          <w:rPr>
            <w:rStyle w:val="Hyperlink"/>
            <w:rFonts w:cs="Calibri"/>
          </w:rPr>
          <w:t xml:space="preserve"> web</w:t>
        </w:r>
        <w:r w:rsidR="00844D82" w:rsidRPr="00DD477A">
          <w:rPr>
            <w:rStyle w:val="Hyperlink"/>
            <w:rFonts w:cs="Calibri"/>
          </w:rPr>
          <w:t>page</w:t>
        </w:r>
      </w:hyperlink>
      <w:r w:rsidRPr="00DD477A">
        <w:rPr>
          <w:rFonts w:cs="Calibri"/>
        </w:rPr>
        <w:t xml:space="preserve"> </w:t>
      </w:r>
      <w:r w:rsidR="00844D82" w:rsidRPr="00DD477A">
        <w:rPr>
          <w:rFonts w:cs="Calibri"/>
        </w:rPr>
        <w:t>as well</w:t>
      </w:r>
      <w:r w:rsidR="00DB5F5A" w:rsidRPr="00DD477A">
        <w:rPr>
          <w:rFonts w:cs="Calibri"/>
        </w:rPr>
        <w:t>.</w:t>
      </w:r>
    </w:p>
    <w:p w14:paraId="72B5C63D" w14:textId="77777777" w:rsidR="00FA0945" w:rsidRPr="00DD477A" w:rsidRDefault="53BF0693" w:rsidP="00E548A0">
      <w:pPr>
        <w:pStyle w:val="Heading2"/>
      </w:pPr>
      <w:bookmarkStart w:id="1582" w:name="_Toc160715662"/>
      <w:r w:rsidRPr="00DD477A">
        <w:t>Budget Paper 1 (BP No. 1)</w:t>
      </w:r>
      <w:bookmarkEnd w:id="1582"/>
    </w:p>
    <w:p w14:paraId="4282F9F0" w14:textId="7083FD00" w:rsidR="00FA0945" w:rsidRPr="00DD477A" w:rsidRDefault="53BF0693" w:rsidP="000A7DEC">
      <w:pPr>
        <w:rPr>
          <w:rFonts w:cs="Calibri"/>
        </w:rPr>
      </w:pPr>
      <w:r w:rsidRPr="00DD477A">
        <w:rPr>
          <w:rFonts w:cs="Calibri"/>
        </w:rPr>
        <w:t>Budget Strategy and Outlook</w:t>
      </w:r>
      <w:r w:rsidR="00832EF9" w:rsidRPr="00DD477A">
        <w:rPr>
          <w:rFonts w:cs="Calibri"/>
        </w:rPr>
        <w:t xml:space="preserve"> -</w:t>
      </w:r>
      <w:r w:rsidRPr="00DD477A">
        <w:rPr>
          <w:rFonts w:cs="Calibri"/>
        </w:rPr>
        <w:t xml:space="preserve"> </w:t>
      </w:r>
      <w:r w:rsidR="00832EF9" w:rsidRPr="00DD477A">
        <w:rPr>
          <w:rFonts w:cs="Calibri"/>
        </w:rPr>
        <w:t>p</w:t>
      </w:r>
      <w:r w:rsidRPr="00DD477A">
        <w:rPr>
          <w:rFonts w:cs="Calibri"/>
        </w:rPr>
        <w:t xml:space="preserve">rovides information on the economic and fiscal outlook for the Australian Government, including information on the </w:t>
      </w:r>
      <w:r w:rsidR="006418EA" w:rsidRPr="00DD477A">
        <w:rPr>
          <w:rFonts w:cs="Calibri"/>
        </w:rPr>
        <w:t>government</w:t>
      </w:r>
      <w:r w:rsidRPr="00DD477A">
        <w:rPr>
          <w:rFonts w:cs="Calibri"/>
        </w:rPr>
        <w:t>’s fiscal strategy.</w:t>
      </w:r>
    </w:p>
    <w:p w14:paraId="35BB35B1" w14:textId="77777777" w:rsidR="00FA0945" w:rsidRPr="00DD477A" w:rsidRDefault="53BF0693" w:rsidP="00E548A0">
      <w:pPr>
        <w:pStyle w:val="Heading2"/>
      </w:pPr>
      <w:bookmarkStart w:id="1583" w:name="_Toc160715663"/>
      <w:r w:rsidRPr="00DD477A">
        <w:t>Budget Paper 2 (BP No. 2)</w:t>
      </w:r>
      <w:bookmarkEnd w:id="1583"/>
    </w:p>
    <w:p w14:paraId="6A07A868" w14:textId="6580CC5E" w:rsidR="00FA0945" w:rsidRPr="00DD477A" w:rsidRDefault="53BF0693" w:rsidP="000A7DEC">
      <w:pPr>
        <w:rPr>
          <w:rFonts w:cs="Calibri"/>
        </w:rPr>
      </w:pPr>
      <w:r w:rsidRPr="00DD477A">
        <w:rPr>
          <w:rFonts w:cs="Calibri"/>
        </w:rPr>
        <w:t>Budget Measures</w:t>
      </w:r>
      <w:r w:rsidR="00832EF9" w:rsidRPr="00DD477A">
        <w:rPr>
          <w:rFonts w:cs="Calibri"/>
        </w:rPr>
        <w:t xml:space="preserve"> -</w:t>
      </w:r>
      <w:r w:rsidRPr="00DD477A">
        <w:rPr>
          <w:rFonts w:cs="Calibri"/>
        </w:rPr>
        <w:t xml:space="preserve"> </w:t>
      </w:r>
      <w:r w:rsidR="00832EF9" w:rsidRPr="00DD477A">
        <w:rPr>
          <w:rFonts w:cs="Calibri"/>
        </w:rPr>
        <w:t>p</w:t>
      </w:r>
      <w:r w:rsidRPr="00DD477A">
        <w:rPr>
          <w:rFonts w:cs="Calibri"/>
        </w:rPr>
        <w:t xml:space="preserve">rovides a description of each budget measure (receipts and payments) by </w:t>
      </w:r>
      <w:r w:rsidR="00396887" w:rsidRPr="00DD477A">
        <w:rPr>
          <w:rFonts w:cs="Calibri"/>
        </w:rPr>
        <w:t>portfolio</w:t>
      </w:r>
      <w:r w:rsidRPr="00DD477A">
        <w:rPr>
          <w:rFonts w:cs="Calibri"/>
        </w:rPr>
        <w:t>.</w:t>
      </w:r>
    </w:p>
    <w:p w14:paraId="42D48735" w14:textId="77777777" w:rsidR="00FA0945" w:rsidRPr="00DD477A" w:rsidRDefault="53BF0693" w:rsidP="00E548A0">
      <w:pPr>
        <w:pStyle w:val="Heading2"/>
      </w:pPr>
      <w:bookmarkStart w:id="1584" w:name="_Toc160715664"/>
      <w:r w:rsidRPr="00DD477A">
        <w:t>Budget Paper 3 (BP No. 3)</w:t>
      </w:r>
      <w:bookmarkEnd w:id="1584"/>
    </w:p>
    <w:p w14:paraId="6E53C588" w14:textId="7353B67F" w:rsidR="00FA0945" w:rsidRPr="00DD477A" w:rsidRDefault="53BF0693" w:rsidP="000A7DEC">
      <w:pPr>
        <w:rPr>
          <w:rFonts w:cs="Calibri"/>
        </w:rPr>
      </w:pPr>
      <w:r w:rsidRPr="00DD477A">
        <w:rPr>
          <w:rFonts w:cs="Calibri"/>
        </w:rPr>
        <w:t>Australia’s Federal Relations</w:t>
      </w:r>
      <w:r w:rsidR="00832EF9" w:rsidRPr="00DD477A">
        <w:rPr>
          <w:rFonts w:cs="Calibri"/>
        </w:rPr>
        <w:t xml:space="preserve"> -</w:t>
      </w:r>
      <w:r w:rsidRPr="00DD477A">
        <w:rPr>
          <w:rFonts w:cs="Calibri"/>
        </w:rPr>
        <w:t xml:space="preserve"> </w:t>
      </w:r>
      <w:r w:rsidR="00BF653C" w:rsidRPr="00DD477A">
        <w:rPr>
          <w:rFonts w:cs="Calibri"/>
        </w:rPr>
        <w:t>p</w:t>
      </w:r>
      <w:r w:rsidRPr="00DD477A">
        <w:rPr>
          <w:rFonts w:cs="Calibri"/>
        </w:rPr>
        <w:t>rovides information and analysis on Federal funding provided to the States, Territories and local government.</w:t>
      </w:r>
    </w:p>
    <w:p w14:paraId="1ECDE4F9" w14:textId="77777777" w:rsidR="00FA0945" w:rsidRPr="00DD477A" w:rsidRDefault="53BF0693" w:rsidP="00E548A0">
      <w:pPr>
        <w:pStyle w:val="Heading2"/>
      </w:pPr>
      <w:bookmarkStart w:id="1585" w:name="_Toc160715665"/>
      <w:r w:rsidRPr="00DD477A">
        <w:t>Budget Paper 4 (BP No. 4)</w:t>
      </w:r>
      <w:bookmarkEnd w:id="1585"/>
    </w:p>
    <w:p w14:paraId="5BD5F3F4" w14:textId="5B1E881D" w:rsidR="00FA0945" w:rsidRPr="00DD477A" w:rsidRDefault="53BF0693" w:rsidP="000A7DEC">
      <w:pPr>
        <w:rPr>
          <w:rFonts w:cs="Calibri"/>
        </w:rPr>
      </w:pPr>
      <w:r w:rsidRPr="00DD477A">
        <w:rPr>
          <w:rFonts w:cs="Calibri"/>
        </w:rPr>
        <w:t>Agency Resourcing</w:t>
      </w:r>
      <w:r w:rsidR="00BF653C" w:rsidRPr="00DD477A">
        <w:rPr>
          <w:rFonts w:cs="Calibri"/>
        </w:rPr>
        <w:t xml:space="preserve"> -</w:t>
      </w:r>
      <w:r w:rsidRPr="00DD477A">
        <w:rPr>
          <w:rFonts w:cs="Calibri"/>
        </w:rPr>
        <w:t xml:space="preserve"> </w:t>
      </w:r>
      <w:r w:rsidR="00BF653C" w:rsidRPr="00DD477A">
        <w:rPr>
          <w:rFonts w:cs="Calibri"/>
        </w:rPr>
        <w:t>c</w:t>
      </w:r>
      <w:r w:rsidRPr="00DD477A">
        <w:rPr>
          <w:rFonts w:cs="Calibri"/>
        </w:rPr>
        <w:t xml:space="preserve">ontains information on resourcing for Australian Government entities (including special appropriations, special accounts and a summary of agency resourcing). </w:t>
      </w:r>
    </w:p>
    <w:p w14:paraId="39FCCD21" w14:textId="63DCF096" w:rsidR="00FA0945" w:rsidRPr="00DD477A" w:rsidRDefault="53BF0693" w:rsidP="00E548A0">
      <w:pPr>
        <w:pStyle w:val="Heading2"/>
      </w:pPr>
      <w:bookmarkStart w:id="1586" w:name="_Toc160715666"/>
      <w:r w:rsidRPr="00DD477A">
        <w:t xml:space="preserve">Central </w:t>
      </w:r>
      <w:r w:rsidR="00D54203" w:rsidRPr="00DD477A">
        <w:t>B</w:t>
      </w:r>
      <w:r w:rsidRPr="00DD477A">
        <w:t xml:space="preserve">udget </w:t>
      </w:r>
      <w:r w:rsidR="00D54203" w:rsidRPr="00DD477A">
        <w:t>M</w:t>
      </w:r>
      <w:r w:rsidRPr="00DD477A">
        <w:t xml:space="preserve">anagement </w:t>
      </w:r>
      <w:r w:rsidR="00D54203" w:rsidRPr="00DD477A">
        <w:t>S</w:t>
      </w:r>
      <w:r w:rsidRPr="00DD477A">
        <w:t>ystem</w:t>
      </w:r>
      <w:r w:rsidR="00895F72" w:rsidRPr="00DD477A">
        <w:t xml:space="preserve"> (CBMS)</w:t>
      </w:r>
      <w:bookmarkEnd w:id="1586"/>
    </w:p>
    <w:p w14:paraId="32563DA3" w14:textId="0B49A500" w:rsidR="00CD0900" w:rsidRPr="00DD477A" w:rsidRDefault="53BF0693" w:rsidP="000A7DEC">
      <w:pPr>
        <w:rPr>
          <w:rFonts w:cs="Calibri"/>
        </w:rPr>
      </w:pPr>
      <w:r w:rsidRPr="00DD477A">
        <w:rPr>
          <w:rFonts w:cs="Calibri"/>
        </w:rPr>
        <w:t>The Australian Government’s central budget and financial management information system administered by Finance. It contains the Commonwealth’s program list and produces the annual Appropriation Bills.</w:t>
      </w:r>
    </w:p>
    <w:p w14:paraId="3187571B" w14:textId="77777777" w:rsidR="00FA0945" w:rsidRPr="00DD477A" w:rsidRDefault="53BF0693" w:rsidP="00E548A0">
      <w:pPr>
        <w:pStyle w:val="Heading2"/>
      </w:pPr>
      <w:bookmarkStart w:id="1587" w:name="_Toc160715667"/>
      <w:r w:rsidRPr="00DD477A">
        <w:t>Clear read principle</w:t>
      </w:r>
      <w:bookmarkEnd w:id="1587"/>
    </w:p>
    <w:p w14:paraId="25C02047" w14:textId="24BEB526" w:rsidR="00B06B0D" w:rsidRPr="00DD477A" w:rsidRDefault="53BF0693" w:rsidP="7185AFE5">
      <w:pPr>
        <w:rPr>
          <w:rFonts w:cs="Calibri"/>
          <w:bCs/>
          <w:iCs/>
        </w:rPr>
      </w:pPr>
      <w:r w:rsidRPr="00DD477A">
        <w:rPr>
          <w:rFonts w:cs="Calibri"/>
        </w:rPr>
        <w:t>The Commonwealth Resource Management Framework is designed to support an accountable and transparent public sector</w:t>
      </w:r>
      <w:r w:rsidR="00FB720E" w:rsidRPr="00DD477A">
        <w:rPr>
          <w:rFonts w:cs="Calibri"/>
        </w:rPr>
        <w:t>.</w:t>
      </w:r>
      <w:r w:rsidRPr="00DD477A">
        <w:rPr>
          <w:rFonts w:cs="Calibri"/>
        </w:rPr>
        <w:t xml:space="preserve"> To assist readers to form a judg</w:t>
      </w:r>
      <w:r w:rsidR="00571279" w:rsidRPr="00DD477A">
        <w:rPr>
          <w:rFonts w:cs="Calibri"/>
        </w:rPr>
        <w:t>e</w:t>
      </w:r>
      <w:r w:rsidRPr="00DD477A">
        <w:rPr>
          <w:rFonts w:cs="Calibri"/>
        </w:rPr>
        <w:t xml:space="preserve">ment, </w:t>
      </w:r>
      <w:r w:rsidR="00571279" w:rsidRPr="00DD477A">
        <w:rPr>
          <w:rFonts w:cs="Calibri"/>
        </w:rPr>
        <w:t xml:space="preserve">entity </w:t>
      </w:r>
      <w:r w:rsidRPr="00DD477A">
        <w:rPr>
          <w:rFonts w:cs="Calibri"/>
        </w:rPr>
        <w:t xml:space="preserve">reporting should provide a clear linkage (a </w:t>
      </w:r>
      <w:r w:rsidR="006714EB" w:rsidRPr="00DD477A">
        <w:rPr>
          <w:rFonts w:cs="Calibri"/>
        </w:rPr>
        <w:t>‘</w:t>
      </w:r>
      <w:r w:rsidRPr="00DD477A">
        <w:rPr>
          <w:rFonts w:cs="Calibri"/>
        </w:rPr>
        <w:t>clear read</w:t>
      </w:r>
      <w:r w:rsidR="006714EB" w:rsidRPr="00DD477A">
        <w:rPr>
          <w:rFonts w:cs="Calibri"/>
        </w:rPr>
        <w:t>’</w:t>
      </w:r>
      <w:r w:rsidRPr="00DD477A">
        <w:rPr>
          <w:rFonts w:cs="Calibri"/>
        </w:rPr>
        <w:t>) between the allocation and use of public resources, and the results being achieved. Entities should present information clearly and consistently (ensur</w:t>
      </w:r>
      <w:r w:rsidR="00714FA3" w:rsidRPr="00DD477A">
        <w:rPr>
          <w:rFonts w:cs="Calibri"/>
        </w:rPr>
        <w:t xml:space="preserve">ing </w:t>
      </w:r>
      <w:r w:rsidRPr="00DD477A">
        <w:rPr>
          <w:rFonts w:cs="Calibri"/>
        </w:rPr>
        <w:t>reconcil</w:t>
      </w:r>
      <w:r w:rsidR="009B1D25" w:rsidRPr="00DD477A">
        <w:rPr>
          <w:rFonts w:cs="Calibri"/>
        </w:rPr>
        <w:t>i</w:t>
      </w:r>
      <w:r w:rsidRPr="00DD477A">
        <w:rPr>
          <w:rFonts w:cs="Calibri"/>
        </w:rPr>
        <w:t>a</w:t>
      </w:r>
      <w:r w:rsidR="009B1D25" w:rsidRPr="00DD477A">
        <w:rPr>
          <w:rFonts w:cs="Calibri"/>
        </w:rPr>
        <w:t>tion</w:t>
      </w:r>
      <w:r w:rsidRPr="00DD477A">
        <w:rPr>
          <w:rFonts w:cs="Calibri"/>
        </w:rPr>
        <w:t>) between/across reporting documents.</w:t>
      </w:r>
    </w:p>
    <w:p w14:paraId="56A3085A" w14:textId="77777777" w:rsidR="00FA0945" w:rsidRPr="00DD477A" w:rsidRDefault="53BF0693" w:rsidP="00E548A0">
      <w:pPr>
        <w:pStyle w:val="Heading2"/>
      </w:pPr>
      <w:bookmarkStart w:id="1588" w:name="_Toc160715668"/>
      <w:r w:rsidRPr="00DD477A">
        <w:t>Consolidated Revenue Fund</w:t>
      </w:r>
      <w:bookmarkEnd w:id="1588"/>
    </w:p>
    <w:p w14:paraId="47844640" w14:textId="4338387D" w:rsidR="00FA0945" w:rsidRPr="00DD477A" w:rsidRDefault="53BF0693" w:rsidP="000A7DEC">
      <w:pPr>
        <w:rPr>
          <w:rFonts w:cs="Calibri"/>
        </w:rPr>
      </w:pPr>
      <w:r w:rsidRPr="00DD477A">
        <w:rPr>
          <w:rFonts w:cs="Calibri"/>
        </w:rPr>
        <w:t xml:space="preserve">The principal operating fund from which money is drawn to pay for activities of the </w:t>
      </w:r>
      <w:r w:rsidR="006418EA" w:rsidRPr="00DD477A">
        <w:rPr>
          <w:rFonts w:cs="Calibri"/>
        </w:rPr>
        <w:t>government</w:t>
      </w:r>
      <w:r w:rsidRPr="00DD477A">
        <w:rPr>
          <w:rFonts w:cs="Calibri"/>
        </w:rPr>
        <w:t xml:space="preserve">. Section 81 of the Australian Constitution provides all revenue raised or monies received by the </w:t>
      </w:r>
      <w:r w:rsidR="006418EA" w:rsidRPr="00DD477A">
        <w:rPr>
          <w:rFonts w:cs="Calibri"/>
        </w:rPr>
        <w:t>e</w:t>
      </w:r>
      <w:r w:rsidRPr="00DD477A">
        <w:rPr>
          <w:rFonts w:cs="Calibri"/>
        </w:rPr>
        <w:t xml:space="preserve">xecutive </w:t>
      </w:r>
      <w:r w:rsidR="006418EA" w:rsidRPr="00DD477A">
        <w:rPr>
          <w:rFonts w:cs="Calibri"/>
        </w:rPr>
        <w:t>g</w:t>
      </w:r>
      <w:r w:rsidRPr="00DD477A">
        <w:rPr>
          <w:rFonts w:cs="Calibri"/>
        </w:rPr>
        <w:t>overnment forms one consolidated revenue fund</w:t>
      </w:r>
      <w:r w:rsidR="007E0CA6" w:rsidRPr="00DD477A">
        <w:rPr>
          <w:rFonts w:cs="Calibri"/>
        </w:rPr>
        <w:t xml:space="preserve"> (CRF)</w:t>
      </w:r>
      <w:r w:rsidR="00874E87" w:rsidRPr="00DD477A">
        <w:rPr>
          <w:rFonts w:cs="Calibri"/>
        </w:rPr>
        <w:t>,</w:t>
      </w:r>
      <w:r w:rsidRPr="00DD477A">
        <w:rPr>
          <w:rFonts w:cs="Calibri"/>
        </w:rPr>
        <w:t xml:space="preserve"> from which appropriations are made for the purposes of the Australian Government.</w:t>
      </w:r>
    </w:p>
    <w:p w14:paraId="3887F21F" w14:textId="77777777" w:rsidR="00FA0945" w:rsidRPr="00DD477A" w:rsidRDefault="53BF0693" w:rsidP="00E548A0">
      <w:pPr>
        <w:pStyle w:val="Heading2"/>
      </w:pPr>
      <w:bookmarkStart w:id="1589" w:name="_Toc160715669"/>
      <w:r w:rsidRPr="00DD477A">
        <w:lastRenderedPageBreak/>
        <w:t>Contractor</w:t>
      </w:r>
      <w:bookmarkEnd w:id="1589"/>
    </w:p>
    <w:p w14:paraId="5260662E" w14:textId="5EDBEA66" w:rsidR="00FA0945" w:rsidRPr="00DD477A" w:rsidRDefault="53BF0693" w:rsidP="000A7DEC">
      <w:pPr>
        <w:rPr>
          <w:rFonts w:cs="Calibri"/>
        </w:rPr>
      </w:pPr>
      <w:r w:rsidRPr="00DD477A">
        <w:rPr>
          <w:rFonts w:cs="Calibri"/>
        </w:rPr>
        <w:t>A person engaged by an entity, usually on a temporary basis</w:t>
      </w:r>
      <w:r w:rsidR="00655C52" w:rsidRPr="00DD477A">
        <w:rPr>
          <w:rFonts w:cs="Calibri"/>
        </w:rPr>
        <w:t>,</w:t>
      </w:r>
      <w:r w:rsidR="00783A16" w:rsidRPr="00DD477A">
        <w:rPr>
          <w:rFonts w:cs="Calibri"/>
        </w:rPr>
        <w:t xml:space="preserve"> </w:t>
      </w:r>
      <w:r w:rsidR="00655C52" w:rsidRPr="00DD477A">
        <w:rPr>
          <w:rFonts w:cs="Calibri"/>
        </w:rPr>
        <w:t>t</w:t>
      </w:r>
      <w:r w:rsidRPr="00DD477A">
        <w:rPr>
          <w:rFonts w:cs="Calibri"/>
        </w:rPr>
        <w:t>reated as an employee of the entity for the purposes of program performance reporting.</w:t>
      </w:r>
    </w:p>
    <w:p w14:paraId="573CC129" w14:textId="77777777" w:rsidR="00FA0945" w:rsidRPr="00DD477A" w:rsidRDefault="53BF0693" w:rsidP="00E548A0">
      <w:pPr>
        <w:pStyle w:val="Heading2"/>
      </w:pPr>
      <w:bookmarkStart w:id="1590" w:name="_Toc160715670"/>
      <w:r w:rsidRPr="00DD477A">
        <w:t>Departmental item</w:t>
      </w:r>
      <w:bookmarkEnd w:id="1590"/>
    </w:p>
    <w:p w14:paraId="50CB228D" w14:textId="7D4922E9" w:rsidR="00FA0945" w:rsidRPr="00DD477A" w:rsidRDefault="53BF0693" w:rsidP="000A7DEC">
      <w:pPr>
        <w:rPr>
          <w:rFonts w:cs="Calibri"/>
        </w:rPr>
      </w:pPr>
      <w:r w:rsidRPr="00DD477A">
        <w:rPr>
          <w:rFonts w:cs="Calibri"/>
        </w:rPr>
        <w:t xml:space="preserve">Resources (assets, liabilities, revenues and expenses) </w:t>
      </w:r>
      <w:r w:rsidR="002B721D" w:rsidRPr="00DD477A">
        <w:rPr>
          <w:rFonts w:cs="Calibri"/>
        </w:rPr>
        <w:t>directly controlled by</w:t>
      </w:r>
      <w:r w:rsidRPr="00DD477A">
        <w:rPr>
          <w:rFonts w:cs="Calibri"/>
        </w:rPr>
        <w:t xml:space="preserve"> the entity’s Accountable Authority</w:t>
      </w:r>
      <w:r w:rsidR="004B3000" w:rsidRPr="00DD477A">
        <w:rPr>
          <w:rFonts w:cs="Calibri"/>
        </w:rPr>
        <w:t xml:space="preserve"> tha</w:t>
      </w:r>
      <w:r w:rsidR="00443397" w:rsidRPr="00DD477A">
        <w:rPr>
          <w:rFonts w:cs="Calibri"/>
        </w:rPr>
        <w:t>t are components of a departmental program.</w:t>
      </w:r>
      <w:r w:rsidRPr="00DD477A">
        <w:rPr>
          <w:rFonts w:cs="Calibri"/>
        </w:rPr>
        <w:t xml:space="preserve"> Examples include entity running costs, accrued employee entitlements</w:t>
      </w:r>
      <w:r w:rsidR="00783A16" w:rsidRPr="00DD477A">
        <w:rPr>
          <w:rFonts w:cs="Calibri"/>
        </w:rPr>
        <w:t xml:space="preserve">, </w:t>
      </w:r>
      <w:r w:rsidRPr="00DD477A">
        <w:rPr>
          <w:rFonts w:cs="Calibri"/>
        </w:rPr>
        <w:t>net appropriations</w:t>
      </w:r>
      <w:r w:rsidR="00783A16" w:rsidRPr="00DD477A">
        <w:rPr>
          <w:rFonts w:cs="Calibri"/>
        </w:rPr>
        <w:t xml:space="preserve"> and outsourced activities funded and controlled by the entity</w:t>
      </w:r>
      <w:r w:rsidRPr="00DD477A">
        <w:rPr>
          <w:rFonts w:cs="Calibri"/>
        </w:rPr>
        <w:t xml:space="preserve">. </w:t>
      </w:r>
    </w:p>
    <w:p w14:paraId="1BF96134" w14:textId="77777777" w:rsidR="00FA0945" w:rsidRPr="00DD477A" w:rsidRDefault="53BF0693" w:rsidP="00E548A0">
      <w:pPr>
        <w:pStyle w:val="Heading2"/>
      </w:pPr>
      <w:bookmarkStart w:id="1591" w:name="_Toc160715671"/>
      <w:r w:rsidRPr="00DD477A">
        <w:t>Entities</w:t>
      </w:r>
      <w:bookmarkEnd w:id="1591"/>
    </w:p>
    <w:p w14:paraId="4912C389" w14:textId="7392B67C" w:rsidR="00FA0945" w:rsidRPr="00DD477A" w:rsidRDefault="53BF0693" w:rsidP="53BF0693">
      <w:pPr>
        <w:rPr>
          <w:rFonts w:cs="Calibri"/>
          <w:i/>
          <w:iCs/>
        </w:rPr>
      </w:pPr>
      <w:r w:rsidRPr="00DD477A">
        <w:rPr>
          <w:rFonts w:cs="Calibri"/>
        </w:rPr>
        <w:t>Commonwealth entities and</w:t>
      </w:r>
      <w:r w:rsidR="0001549B" w:rsidRPr="00DD477A">
        <w:rPr>
          <w:rFonts w:cs="Calibri"/>
        </w:rPr>
        <w:t xml:space="preserve"> </w:t>
      </w:r>
      <w:r w:rsidRPr="00DD477A">
        <w:rPr>
          <w:rFonts w:cs="Calibri"/>
        </w:rPr>
        <w:t>companies</w:t>
      </w:r>
      <w:r w:rsidR="0001549B" w:rsidRPr="00DD477A">
        <w:rPr>
          <w:rFonts w:cs="Calibri"/>
        </w:rPr>
        <w:t>,</w:t>
      </w:r>
      <w:r w:rsidRPr="00DD477A">
        <w:rPr>
          <w:rFonts w:cs="Calibri"/>
        </w:rPr>
        <w:t xml:space="preserve"> as defined under the </w:t>
      </w:r>
      <w:r w:rsidR="0045115B" w:rsidRPr="00DD477A">
        <w:rPr>
          <w:rFonts w:cs="Calibri"/>
          <w:i/>
          <w:iCs/>
        </w:rPr>
        <w:t>Public Governance, Performance and Accountability Act 2013</w:t>
      </w:r>
      <w:r w:rsidR="0045115B" w:rsidRPr="00DD477A">
        <w:rPr>
          <w:rFonts w:cs="Calibri"/>
        </w:rPr>
        <w:t xml:space="preserve"> (PGPA Act)</w:t>
      </w:r>
      <w:r w:rsidR="0001549B" w:rsidRPr="00DD477A">
        <w:rPr>
          <w:rFonts w:cs="Calibri"/>
        </w:rPr>
        <w:t>,</w:t>
      </w:r>
      <w:r w:rsidR="0045115B" w:rsidRPr="00DD477A">
        <w:rPr>
          <w:rFonts w:cs="Calibri"/>
        </w:rPr>
        <w:t xml:space="preserve"> </w:t>
      </w:r>
      <w:r w:rsidRPr="00DD477A">
        <w:rPr>
          <w:rFonts w:cs="Calibri"/>
        </w:rPr>
        <w:t xml:space="preserve">within the </w:t>
      </w:r>
      <w:r w:rsidR="00681C3A" w:rsidRPr="00DD477A">
        <w:rPr>
          <w:rFonts w:cs="Calibri"/>
        </w:rPr>
        <w:t>GGS</w:t>
      </w:r>
      <w:r w:rsidR="00B83588" w:rsidRPr="00DD477A">
        <w:rPr>
          <w:rFonts w:cs="Calibri"/>
        </w:rPr>
        <w:t>,</w:t>
      </w:r>
      <w:r w:rsidRPr="00DD477A">
        <w:rPr>
          <w:rFonts w:cs="Calibri"/>
        </w:rPr>
        <w:t xml:space="preserve"> the High Court of Australia and the Future Fund Board of Guardians.</w:t>
      </w:r>
    </w:p>
    <w:p w14:paraId="6FE428B9" w14:textId="77777777" w:rsidR="00FA0945" w:rsidRPr="00DD477A" w:rsidRDefault="53BF0693" w:rsidP="00E548A0">
      <w:pPr>
        <w:pStyle w:val="Heading2"/>
      </w:pPr>
      <w:bookmarkStart w:id="1592" w:name="_Toc160715672"/>
      <w:r w:rsidRPr="00DD477A">
        <w:t>Estimated actual expenses</w:t>
      </w:r>
      <w:bookmarkEnd w:id="1592"/>
    </w:p>
    <w:p w14:paraId="1EFB25C3" w14:textId="0EFCEA7E" w:rsidR="00FA0945" w:rsidRPr="00DD477A" w:rsidRDefault="53BF0693" w:rsidP="000A7DEC">
      <w:pPr>
        <w:rPr>
          <w:rFonts w:cs="Calibri"/>
        </w:rPr>
      </w:pPr>
      <w:r w:rsidRPr="00DD477A">
        <w:rPr>
          <w:rFonts w:cs="Calibri"/>
        </w:rPr>
        <w:t xml:space="preserve">Details of the current year’s estimated final figures included in the Budget documentation. As the Budget is </w:t>
      </w:r>
      <w:r w:rsidR="00467790" w:rsidRPr="00DD477A">
        <w:rPr>
          <w:rFonts w:cs="Calibri"/>
        </w:rPr>
        <w:t xml:space="preserve">generally </w:t>
      </w:r>
      <w:r w:rsidRPr="00DD477A">
        <w:rPr>
          <w:rFonts w:cs="Calibri"/>
        </w:rPr>
        <w:t xml:space="preserve">released in May each year, </w:t>
      </w:r>
      <w:r w:rsidR="001A308B" w:rsidRPr="00DD477A">
        <w:rPr>
          <w:rFonts w:cs="Calibri"/>
        </w:rPr>
        <w:t xml:space="preserve">prior to the end of </w:t>
      </w:r>
      <w:r w:rsidRPr="00DD477A">
        <w:rPr>
          <w:rFonts w:cs="Calibri"/>
        </w:rPr>
        <w:t>the financial year</w:t>
      </w:r>
      <w:r w:rsidR="006D3512" w:rsidRPr="00DD477A">
        <w:rPr>
          <w:rFonts w:cs="Calibri"/>
        </w:rPr>
        <w:t xml:space="preserve"> on</w:t>
      </w:r>
      <w:r w:rsidRPr="00DD477A">
        <w:rPr>
          <w:rFonts w:cs="Calibri"/>
        </w:rPr>
        <w:t xml:space="preserve"> 30 June, the current year </w:t>
      </w:r>
      <w:r w:rsidR="006D3512" w:rsidRPr="00DD477A">
        <w:rPr>
          <w:rFonts w:cs="Calibri"/>
        </w:rPr>
        <w:t>figures</w:t>
      </w:r>
      <w:r w:rsidRPr="00DD477A">
        <w:rPr>
          <w:rFonts w:cs="Calibri"/>
        </w:rPr>
        <w:t xml:space="preserve"> </w:t>
      </w:r>
      <w:r w:rsidR="00E35BF0" w:rsidRPr="00DD477A">
        <w:rPr>
          <w:rFonts w:cs="Calibri"/>
        </w:rPr>
        <w:t>included</w:t>
      </w:r>
      <w:r w:rsidRPr="00DD477A">
        <w:rPr>
          <w:rFonts w:cs="Calibri"/>
        </w:rPr>
        <w:t xml:space="preserve"> for comparison with Budget amounts can only be estimates.</w:t>
      </w:r>
    </w:p>
    <w:p w14:paraId="23E47AB1" w14:textId="77777777" w:rsidR="00FA0945" w:rsidRPr="00DD477A" w:rsidRDefault="53BF0693" w:rsidP="00E548A0">
      <w:pPr>
        <w:pStyle w:val="Heading2"/>
      </w:pPr>
      <w:bookmarkStart w:id="1593" w:name="_Toc160715673"/>
      <w:r w:rsidRPr="00DD477A">
        <w:t>Expenses not requiring appropriation in the Budget year</w:t>
      </w:r>
      <w:bookmarkEnd w:id="1593"/>
    </w:p>
    <w:p w14:paraId="0F438B68" w14:textId="17BCA723" w:rsidR="00FA0945" w:rsidRPr="00DD477A" w:rsidRDefault="53BF0693" w:rsidP="000A7DEC">
      <w:pPr>
        <w:rPr>
          <w:rFonts w:cs="Calibri"/>
        </w:rPr>
      </w:pPr>
      <w:r w:rsidRPr="00DD477A">
        <w:rPr>
          <w:rFonts w:cs="Calibri"/>
        </w:rPr>
        <w:t>Expenses which do not involve a cash flow impact in the Budget year are generally excluded from the calculation of an appropriation. An example of such an event is goods or services received free of charge that are then expensed (i.e.</w:t>
      </w:r>
      <w:r w:rsidR="79EC989C" w:rsidRPr="00DD477A">
        <w:rPr>
          <w:rFonts w:cs="Calibri"/>
        </w:rPr>
        <w:t>,</w:t>
      </w:r>
      <w:r w:rsidRPr="00DD477A">
        <w:rPr>
          <w:rFonts w:cs="Calibri"/>
        </w:rPr>
        <w:t xml:space="preserve"> the ANAO audit services — the ANAO does not charge </w:t>
      </w:r>
      <w:r w:rsidR="007E0CA6" w:rsidRPr="00DD477A">
        <w:rPr>
          <w:rFonts w:cs="Calibri"/>
        </w:rPr>
        <w:t xml:space="preserve">most entities </w:t>
      </w:r>
      <w:r w:rsidRPr="00DD477A">
        <w:rPr>
          <w:rFonts w:cs="Calibri"/>
        </w:rPr>
        <w:t>for audit services however the expense must be recognised). Similarly, bad debts are recognised as an expense but are not recognised for the purpose of calculating appropriation amounts sought from Parliament.</w:t>
      </w:r>
    </w:p>
    <w:p w14:paraId="2D47C39D" w14:textId="77777777" w:rsidR="00FA0945" w:rsidRPr="00DD477A" w:rsidRDefault="53BF0693" w:rsidP="00E548A0">
      <w:pPr>
        <w:pStyle w:val="Heading2"/>
      </w:pPr>
      <w:bookmarkStart w:id="1594" w:name="_Toc160715674"/>
      <w:r w:rsidRPr="00DD477A">
        <w:t>Financial management information system</w:t>
      </w:r>
      <w:bookmarkEnd w:id="1594"/>
    </w:p>
    <w:p w14:paraId="352825AB" w14:textId="77777777" w:rsidR="00FA0945" w:rsidRPr="00DD477A" w:rsidRDefault="53BF0693" w:rsidP="000A7DEC">
      <w:pPr>
        <w:rPr>
          <w:rFonts w:cs="Calibri"/>
        </w:rPr>
      </w:pPr>
      <w:r w:rsidRPr="00DD477A">
        <w:rPr>
          <w:rFonts w:cs="Calibri"/>
        </w:rPr>
        <w:t>A system that holds the financial information of an entity.</w:t>
      </w:r>
    </w:p>
    <w:p w14:paraId="6039DD79" w14:textId="77777777" w:rsidR="00FA0945" w:rsidRPr="00DD477A" w:rsidRDefault="53BF0693" w:rsidP="00E548A0">
      <w:pPr>
        <w:pStyle w:val="Heading2"/>
      </w:pPr>
      <w:bookmarkStart w:id="1595" w:name="_Toc160715675"/>
      <w:r w:rsidRPr="00DD477A">
        <w:t>Forward estimates period</w:t>
      </w:r>
      <w:bookmarkEnd w:id="1595"/>
    </w:p>
    <w:p w14:paraId="26F24852" w14:textId="00123836" w:rsidR="00FA0945" w:rsidRPr="00DD477A" w:rsidRDefault="53BF0693" w:rsidP="000A7DEC">
      <w:pPr>
        <w:rPr>
          <w:rFonts w:cs="Calibri"/>
        </w:rPr>
      </w:pPr>
      <w:r w:rsidRPr="00DD477A">
        <w:rPr>
          <w:rFonts w:cs="Calibri"/>
        </w:rPr>
        <w:t xml:space="preserve">The three </w:t>
      </w:r>
      <w:r w:rsidR="000261AD" w:rsidRPr="00DD477A">
        <w:rPr>
          <w:rFonts w:cs="Calibri"/>
        </w:rPr>
        <w:t xml:space="preserve">financial years </w:t>
      </w:r>
      <w:r w:rsidRPr="00DD477A">
        <w:rPr>
          <w:rFonts w:cs="Calibri"/>
        </w:rPr>
        <w:t xml:space="preserve">following the budget year. For example, </w:t>
      </w:r>
      <w:r w:rsidR="000261AD" w:rsidRPr="00DD477A">
        <w:rPr>
          <w:rFonts w:cs="Calibri"/>
        </w:rPr>
        <w:t>where</w:t>
      </w:r>
      <w:r w:rsidRPr="00DD477A">
        <w:rPr>
          <w:rFonts w:cs="Calibri"/>
        </w:rPr>
        <w:t xml:space="preserve"> </w:t>
      </w:r>
      <w:r w:rsidR="00B11749" w:rsidRPr="00DD477A">
        <w:rPr>
          <w:rFonts w:cs="Calibri"/>
        </w:rPr>
        <w:t>202</w:t>
      </w:r>
      <w:r w:rsidR="000261AD" w:rsidRPr="00DD477A">
        <w:rPr>
          <w:rFonts w:cs="Calibri"/>
        </w:rPr>
        <w:t>4</w:t>
      </w:r>
      <w:r w:rsidR="00B11749" w:rsidRPr="00DD477A">
        <w:rPr>
          <w:rFonts w:cs="Calibri"/>
        </w:rPr>
        <w:t>-2</w:t>
      </w:r>
      <w:r w:rsidR="000261AD" w:rsidRPr="00DD477A">
        <w:rPr>
          <w:rFonts w:cs="Calibri"/>
        </w:rPr>
        <w:t>5</w:t>
      </w:r>
      <w:r w:rsidR="00BA2416" w:rsidRPr="00DD477A">
        <w:rPr>
          <w:rFonts w:cs="Calibri"/>
        </w:rPr>
        <w:t xml:space="preserve"> </w:t>
      </w:r>
      <w:r w:rsidRPr="00DD477A">
        <w:rPr>
          <w:rFonts w:cs="Calibri"/>
        </w:rPr>
        <w:t xml:space="preserve">is the Budget year, </w:t>
      </w:r>
      <w:r w:rsidR="00B11749" w:rsidRPr="00DD477A">
        <w:rPr>
          <w:rFonts w:cs="Calibri"/>
        </w:rPr>
        <w:t>202</w:t>
      </w:r>
      <w:r w:rsidR="00FF7D39" w:rsidRPr="00DD477A">
        <w:rPr>
          <w:rFonts w:cs="Calibri"/>
        </w:rPr>
        <w:t>5</w:t>
      </w:r>
      <w:r w:rsidR="007E0CA6" w:rsidRPr="00DD477A">
        <w:rPr>
          <w:rFonts w:cs="Calibri"/>
        </w:rPr>
        <w:noBreakHyphen/>
      </w:r>
      <w:r w:rsidR="00B11749" w:rsidRPr="00DD477A">
        <w:rPr>
          <w:rFonts w:cs="Calibri"/>
        </w:rPr>
        <w:t>2</w:t>
      </w:r>
      <w:r w:rsidR="00FF7D39" w:rsidRPr="00DD477A">
        <w:rPr>
          <w:rFonts w:cs="Calibri"/>
        </w:rPr>
        <w:t>6</w:t>
      </w:r>
      <w:r w:rsidR="00BA2416" w:rsidRPr="00DD477A">
        <w:rPr>
          <w:rFonts w:cs="Calibri"/>
        </w:rPr>
        <w:t xml:space="preserve"> </w:t>
      </w:r>
      <w:r w:rsidRPr="00DD477A">
        <w:rPr>
          <w:rFonts w:cs="Calibri"/>
        </w:rPr>
        <w:t xml:space="preserve">is forward year 1, </w:t>
      </w:r>
      <w:r w:rsidR="00B11749" w:rsidRPr="00DD477A">
        <w:rPr>
          <w:rFonts w:cs="Calibri"/>
        </w:rPr>
        <w:t>202</w:t>
      </w:r>
      <w:r w:rsidR="00FF7D39" w:rsidRPr="00DD477A">
        <w:rPr>
          <w:rFonts w:cs="Calibri"/>
        </w:rPr>
        <w:t>6</w:t>
      </w:r>
      <w:r w:rsidR="00B11749" w:rsidRPr="00DD477A">
        <w:rPr>
          <w:rFonts w:cs="Calibri"/>
        </w:rPr>
        <w:t>-2</w:t>
      </w:r>
      <w:r w:rsidR="00FF7D39" w:rsidRPr="00DD477A">
        <w:rPr>
          <w:rFonts w:cs="Calibri"/>
        </w:rPr>
        <w:t>7</w:t>
      </w:r>
      <w:r w:rsidR="00BA2416" w:rsidRPr="00DD477A">
        <w:rPr>
          <w:rFonts w:cs="Calibri"/>
        </w:rPr>
        <w:t xml:space="preserve"> </w:t>
      </w:r>
      <w:r w:rsidRPr="00DD477A">
        <w:rPr>
          <w:rFonts w:cs="Calibri"/>
        </w:rPr>
        <w:t xml:space="preserve">is forward year 2 and </w:t>
      </w:r>
      <w:r w:rsidR="00B11749" w:rsidRPr="00DD477A">
        <w:rPr>
          <w:rFonts w:cs="Calibri"/>
        </w:rPr>
        <w:t>202</w:t>
      </w:r>
      <w:r w:rsidR="00FF7D39" w:rsidRPr="00DD477A">
        <w:rPr>
          <w:rFonts w:cs="Calibri"/>
        </w:rPr>
        <w:t>7</w:t>
      </w:r>
      <w:r w:rsidR="00B11749" w:rsidRPr="00DD477A">
        <w:rPr>
          <w:rFonts w:cs="Calibri"/>
        </w:rPr>
        <w:t>-2</w:t>
      </w:r>
      <w:r w:rsidR="00FF7D39" w:rsidRPr="00DD477A">
        <w:rPr>
          <w:rFonts w:cs="Calibri"/>
        </w:rPr>
        <w:t>8</w:t>
      </w:r>
      <w:r w:rsidR="00BA2416" w:rsidRPr="00DD477A">
        <w:rPr>
          <w:rFonts w:cs="Calibri"/>
        </w:rPr>
        <w:t xml:space="preserve"> </w:t>
      </w:r>
      <w:r w:rsidRPr="00DD477A">
        <w:rPr>
          <w:rFonts w:cs="Calibri"/>
        </w:rPr>
        <w:t>is forward year 3.</w:t>
      </w:r>
    </w:p>
    <w:p w14:paraId="37CD31B4" w14:textId="69D78443" w:rsidR="00FA0945" w:rsidRPr="00DD477A" w:rsidRDefault="53BF0693" w:rsidP="00E548A0">
      <w:pPr>
        <w:pStyle w:val="Heading2"/>
      </w:pPr>
      <w:bookmarkStart w:id="1596" w:name="_Toc160715676"/>
      <w:r w:rsidRPr="00DD477A">
        <w:t xml:space="preserve">General </w:t>
      </w:r>
      <w:r w:rsidR="00C66A7D">
        <w:t>G</w:t>
      </w:r>
      <w:r w:rsidRPr="00DD477A">
        <w:t xml:space="preserve">overnment </w:t>
      </w:r>
      <w:r w:rsidR="00C66A7D">
        <w:t>S</w:t>
      </w:r>
      <w:r w:rsidRPr="00DD477A">
        <w:t>ector</w:t>
      </w:r>
      <w:r w:rsidR="00C66A7D">
        <w:t xml:space="preserve"> (GGS)</w:t>
      </w:r>
      <w:bookmarkEnd w:id="1596"/>
    </w:p>
    <w:p w14:paraId="55F89DE8" w14:textId="77777777" w:rsidR="00FA0945" w:rsidRPr="00DD477A" w:rsidRDefault="53BF0693" w:rsidP="000A7DEC">
      <w:pPr>
        <w:rPr>
          <w:rFonts w:cs="Calibri"/>
        </w:rPr>
      </w:pPr>
      <w:r w:rsidRPr="00DD477A">
        <w:rPr>
          <w:rFonts w:cs="Calibri"/>
        </w:rPr>
        <w:t xml:space="preserve">A Government Finance Statistics’ classification of all entities that are controlled and largely funded by the Australian Government. The GGS provides public services that are mainly non-market in nature and for the collective consumption of the community or involve the transfer or redistribution of income. These services are largely financed through taxes and other compulsory levies, user charging and external funding. This sector comprises all government departments, offices and some other bodies. </w:t>
      </w:r>
    </w:p>
    <w:p w14:paraId="3DCEAD1D" w14:textId="77777777" w:rsidR="00FA0945" w:rsidRPr="00DD477A" w:rsidRDefault="53BF0693" w:rsidP="00E548A0">
      <w:pPr>
        <w:pStyle w:val="Heading2"/>
      </w:pPr>
      <w:bookmarkStart w:id="1597" w:name="_Toc160715677"/>
      <w:r w:rsidRPr="00DD477A">
        <w:lastRenderedPageBreak/>
        <w:t>Government finance statistics</w:t>
      </w:r>
      <w:bookmarkEnd w:id="1597"/>
    </w:p>
    <w:p w14:paraId="3CD41797" w14:textId="37F3F28C" w:rsidR="00FA0945" w:rsidRPr="00DD477A" w:rsidRDefault="53BF0693" w:rsidP="000A7DEC">
      <w:pPr>
        <w:rPr>
          <w:rFonts w:cs="Calibri"/>
        </w:rPr>
      </w:pPr>
      <w:r w:rsidRPr="00DD477A">
        <w:rPr>
          <w:rFonts w:cs="Calibri"/>
        </w:rPr>
        <w:t xml:space="preserve">A reporting framework that is a specialised statistical system designed to support economic analysis of the public sector. It allows for comprehensive assessments of the economic impact of government and is consistent with international statistical standards of the International Monetary Fund and the </w:t>
      </w:r>
      <w:r w:rsidR="007E0CA6" w:rsidRPr="00DD477A">
        <w:rPr>
          <w:rFonts w:cs="Calibri"/>
        </w:rPr>
        <w:t xml:space="preserve">Australian Bureau of Statistics‘ </w:t>
      </w:r>
      <w:r w:rsidRPr="00DD477A">
        <w:rPr>
          <w:rFonts w:cs="Calibri"/>
        </w:rPr>
        <w:t>System of National Accounts.</w:t>
      </w:r>
      <w:r w:rsidR="007E0CA6" w:rsidRPr="00DD477A">
        <w:rPr>
          <w:rFonts w:cs="Calibri"/>
        </w:rPr>
        <w:t xml:space="preserve"> The Budget Papers are prepared in accordance with this reporting framework, as required by the </w:t>
      </w:r>
      <w:hyperlink r:id="rId236" w:history="1">
        <w:r w:rsidR="007E0CA6" w:rsidRPr="00DD477A">
          <w:rPr>
            <w:rStyle w:val="Hyperlink"/>
            <w:rFonts w:cs="Calibri"/>
            <w:i/>
            <w:iCs/>
          </w:rPr>
          <w:t>Charter of Budget Honesty Act 1998</w:t>
        </w:r>
      </w:hyperlink>
      <w:r w:rsidR="007E0CA6" w:rsidRPr="00DD477A">
        <w:rPr>
          <w:rFonts w:cs="Calibri"/>
        </w:rPr>
        <w:t>.</w:t>
      </w:r>
    </w:p>
    <w:p w14:paraId="2F99BE78" w14:textId="77777777" w:rsidR="00FA0945" w:rsidRPr="00DD477A" w:rsidRDefault="53BF0693" w:rsidP="00E548A0">
      <w:pPr>
        <w:pStyle w:val="Heading2"/>
      </w:pPr>
      <w:bookmarkStart w:id="1598" w:name="_Toc160715678"/>
      <w:r w:rsidRPr="00DD477A">
        <w:t>Intended result</w:t>
      </w:r>
      <w:bookmarkEnd w:id="1598"/>
    </w:p>
    <w:p w14:paraId="382CC76D" w14:textId="509CEA72" w:rsidR="00FA0945" w:rsidRPr="00DD477A" w:rsidRDefault="00007A7A" w:rsidP="000A7DEC">
      <w:pPr>
        <w:rPr>
          <w:rFonts w:cs="Calibri"/>
        </w:rPr>
      </w:pPr>
      <w:r w:rsidRPr="00DD477A">
        <w:rPr>
          <w:rFonts w:cs="Calibri"/>
        </w:rPr>
        <w:t>A</w:t>
      </w:r>
      <w:r w:rsidR="53BF0693" w:rsidRPr="00DD477A">
        <w:rPr>
          <w:rFonts w:cs="Calibri"/>
        </w:rPr>
        <w:t xml:space="preserve"> key part of an outcome statement </w:t>
      </w:r>
      <w:r w:rsidRPr="00DD477A">
        <w:rPr>
          <w:rFonts w:cs="Calibri"/>
        </w:rPr>
        <w:t>that</w:t>
      </w:r>
      <w:r w:rsidR="53BF0693" w:rsidRPr="00DD477A">
        <w:rPr>
          <w:rFonts w:cs="Calibri"/>
        </w:rPr>
        <w:t xml:space="preserve"> describes the goal or objective of an entity. The intended result is typically distilled from the </w:t>
      </w:r>
      <w:r w:rsidR="006418EA" w:rsidRPr="00DD477A">
        <w:rPr>
          <w:rFonts w:cs="Calibri"/>
        </w:rPr>
        <w:t>government</w:t>
      </w:r>
      <w:r w:rsidR="53BF0693" w:rsidRPr="00DD477A">
        <w:rPr>
          <w:rFonts w:cs="Calibri"/>
        </w:rPr>
        <w:t>’s economic, social, health or environmental policy goals.</w:t>
      </w:r>
    </w:p>
    <w:p w14:paraId="28EB8587" w14:textId="391227C2" w:rsidR="00BD560A" w:rsidRPr="00DD477A" w:rsidRDefault="53BF0693" w:rsidP="00E548A0">
      <w:pPr>
        <w:pStyle w:val="Heading2"/>
      </w:pPr>
      <w:bookmarkStart w:id="1599" w:name="_Toc160715679"/>
      <w:r w:rsidRPr="00DD477A">
        <w:t xml:space="preserve">Machinery of </w:t>
      </w:r>
      <w:r w:rsidR="00813123" w:rsidRPr="00DD477A">
        <w:t>g</w:t>
      </w:r>
      <w:r w:rsidRPr="00DD477A">
        <w:t>overnment changes</w:t>
      </w:r>
      <w:bookmarkEnd w:id="1599"/>
    </w:p>
    <w:p w14:paraId="6E6E5937" w14:textId="1E51DCC9" w:rsidR="00BD560A" w:rsidRPr="00DD477A" w:rsidRDefault="000438AB" w:rsidP="001D30A2">
      <w:pPr>
        <w:rPr>
          <w:rFonts w:cs="Calibri"/>
        </w:rPr>
      </w:pPr>
      <w:r w:rsidRPr="00DD477A">
        <w:rPr>
          <w:rFonts w:cs="Calibri"/>
        </w:rPr>
        <w:t xml:space="preserve">A </w:t>
      </w:r>
      <w:r w:rsidR="6B6EE5C4" w:rsidRPr="00DD477A">
        <w:rPr>
          <w:rFonts w:cs="Calibri"/>
        </w:rPr>
        <w:t xml:space="preserve">change </w:t>
      </w:r>
      <w:r w:rsidRPr="00DD477A">
        <w:rPr>
          <w:rFonts w:cs="Calibri"/>
        </w:rPr>
        <w:t xml:space="preserve">that </w:t>
      </w:r>
      <w:r w:rsidR="6B6EE5C4" w:rsidRPr="00DD477A">
        <w:rPr>
          <w:rFonts w:cs="Calibri"/>
        </w:rPr>
        <w:t>occurs when the Government decides to change the way Commonwealth responsibilities are managed</w:t>
      </w:r>
      <w:r w:rsidR="00FA5DC8" w:rsidRPr="00DD477A">
        <w:rPr>
          <w:rFonts w:cs="Calibri"/>
        </w:rPr>
        <w:t>, which</w:t>
      </w:r>
      <w:r w:rsidR="00A542EC" w:rsidRPr="00DD477A">
        <w:rPr>
          <w:rFonts w:cs="Calibri"/>
        </w:rPr>
        <w:t xml:space="preserve"> ordinarily</w:t>
      </w:r>
      <w:r w:rsidR="00BA0E58" w:rsidRPr="00DD477A">
        <w:rPr>
          <w:rFonts w:cs="Calibri"/>
        </w:rPr>
        <w:t xml:space="preserve"> </w:t>
      </w:r>
      <w:r w:rsidR="6B6EE5C4" w:rsidRPr="00DD477A">
        <w:rPr>
          <w:rFonts w:cs="Calibri"/>
        </w:rPr>
        <w:t>involve</w:t>
      </w:r>
      <w:r w:rsidR="00A542EC" w:rsidRPr="00DD477A">
        <w:rPr>
          <w:rFonts w:cs="Calibri"/>
        </w:rPr>
        <w:t>s</w:t>
      </w:r>
      <w:r w:rsidR="6B6EE5C4" w:rsidRPr="00DD477A">
        <w:rPr>
          <w:rFonts w:cs="Calibri"/>
        </w:rPr>
        <w:t xml:space="preserve"> the movement of functions, resources and people from one </w:t>
      </w:r>
      <w:r w:rsidR="007F0366" w:rsidRPr="00DD477A">
        <w:rPr>
          <w:rFonts w:cs="Calibri"/>
        </w:rPr>
        <w:t xml:space="preserve">entity </w:t>
      </w:r>
      <w:r w:rsidR="6B6EE5C4" w:rsidRPr="00DD477A">
        <w:rPr>
          <w:rFonts w:cs="Calibri"/>
        </w:rPr>
        <w:t>to another.</w:t>
      </w:r>
    </w:p>
    <w:p w14:paraId="1A6196A2" w14:textId="77777777" w:rsidR="00FA0945" w:rsidRPr="00DD477A" w:rsidRDefault="53BF0693" w:rsidP="00157BAB">
      <w:pPr>
        <w:pStyle w:val="Heading2"/>
      </w:pPr>
      <w:bookmarkStart w:id="1600" w:name="_Toc160715680"/>
      <w:r w:rsidRPr="00DD477A">
        <w:t>Measure</w:t>
      </w:r>
      <w:bookmarkEnd w:id="1600"/>
    </w:p>
    <w:p w14:paraId="2CDC7DE0" w14:textId="22A7460C" w:rsidR="00FA0945" w:rsidRPr="00DD477A" w:rsidRDefault="53BF0693" w:rsidP="000A7DEC">
      <w:pPr>
        <w:rPr>
          <w:rFonts w:cs="Calibri"/>
        </w:rPr>
      </w:pPr>
      <w:r w:rsidRPr="00DD477A">
        <w:rPr>
          <w:rFonts w:cs="Calibri"/>
        </w:rPr>
        <w:t>A new policy or savings decision of the government with financial impacts on the government's underlying cash balance</w:t>
      </w:r>
      <w:r w:rsidR="00B83588" w:rsidRPr="00DD477A">
        <w:rPr>
          <w:rFonts w:cs="Calibri"/>
        </w:rPr>
        <w:t>,</w:t>
      </w:r>
      <w:r w:rsidRPr="00DD477A">
        <w:rPr>
          <w:rFonts w:cs="Calibri"/>
        </w:rPr>
        <w:t xml:space="preserve"> fiscal balance</w:t>
      </w:r>
      <w:r w:rsidR="00B83588" w:rsidRPr="00DD477A">
        <w:rPr>
          <w:rFonts w:cs="Calibri"/>
        </w:rPr>
        <w:t>,</w:t>
      </w:r>
      <w:r w:rsidRPr="00DD477A">
        <w:rPr>
          <w:rFonts w:cs="Calibri"/>
        </w:rPr>
        <w:t xml:space="preserve"> operating balance</w:t>
      </w:r>
      <w:r w:rsidR="00B83588" w:rsidRPr="00DD477A">
        <w:rPr>
          <w:rFonts w:cs="Calibri"/>
        </w:rPr>
        <w:t>,</w:t>
      </w:r>
      <w:r w:rsidRPr="00DD477A">
        <w:rPr>
          <w:rFonts w:cs="Calibri"/>
        </w:rPr>
        <w:t xml:space="preserve"> headline cash balance</w:t>
      </w:r>
      <w:r w:rsidR="00B83588" w:rsidRPr="00DD477A">
        <w:rPr>
          <w:rFonts w:cs="Calibri"/>
        </w:rPr>
        <w:t>,</w:t>
      </w:r>
      <w:r w:rsidRPr="00DD477A">
        <w:rPr>
          <w:rFonts w:cs="Calibri"/>
        </w:rPr>
        <w:t xml:space="preserve"> net debt or net worth. Such proposals are normally made in the context of the annual Budget, and are typically published in BP No. 2, in the </w:t>
      </w:r>
      <w:r w:rsidR="00B736D5" w:rsidRPr="00DD477A">
        <w:rPr>
          <w:rFonts w:cs="Calibri"/>
        </w:rPr>
        <w:t>Mid-</w:t>
      </w:r>
      <w:r w:rsidR="006B68BC" w:rsidRPr="00DD477A">
        <w:rPr>
          <w:rFonts w:cs="Calibri"/>
        </w:rPr>
        <w:t>Y</w:t>
      </w:r>
      <w:r w:rsidR="00B736D5" w:rsidRPr="00DD477A">
        <w:rPr>
          <w:rFonts w:cs="Calibri"/>
        </w:rPr>
        <w:t xml:space="preserve">ear </w:t>
      </w:r>
      <w:r w:rsidR="006B68BC" w:rsidRPr="00DD477A">
        <w:rPr>
          <w:rFonts w:cs="Calibri"/>
        </w:rPr>
        <w:t>E</w:t>
      </w:r>
      <w:r w:rsidR="00B736D5" w:rsidRPr="00DD477A">
        <w:rPr>
          <w:rFonts w:cs="Calibri"/>
        </w:rPr>
        <w:t xml:space="preserve">conomic and </w:t>
      </w:r>
      <w:r w:rsidR="006B68BC" w:rsidRPr="00DD477A">
        <w:rPr>
          <w:rFonts w:cs="Calibri"/>
        </w:rPr>
        <w:t>F</w:t>
      </w:r>
      <w:r w:rsidR="00B736D5" w:rsidRPr="00DD477A">
        <w:rPr>
          <w:rFonts w:cs="Calibri"/>
        </w:rPr>
        <w:t xml:space="preserve">iscal </w:t>
      </w:r>
      <w:r w:rsidR="006B68BC" w:rsidRPr="00DD477A">
        <w:rPr>
          <w:rFonts w:cs="Calibri"/>
        </w:rPr>
        <w:t>O</w:t>
      </w:r>
      <w:r w:rsidR="00B736D5" w:rsidRPr="00DD477A">
        <w:rPr>
          <w:rFonts w:cs="Calibri"/>
        </w:rPr>
        <w:t>utlook</w:t>
      </w:r>
      <w:r w:rsidRPr="00DD477A">
        <w:rPr>
          <w:rFonts w:cs="Calibri"/>
        </w:rPr>
        <w:t xml:space="preserve"> and the</w:t>
      </w:r>
      <w:r w:rsidR="28681CA0" w:rsidRPr="00DD477A">
        <w:rPr>
          <w:rFonts w:cs="Calibri"/>
        </w:rPr>
        <w:t xml:space="preserve"> </w:t>
      </w:r>
      <w:r w:rsidRPr="00DD477A">
        <w:rPr>
          <w:rFonts w:cs="Calibri"/>
        </w:rPr>
        <w:t>Pre-election Economic and Fiscal Outlook.</w:t>
      </w:r>
    </w:p>
    <w:p w14:paraId="21D5B69F" w14:textId="17833D4F" w:rsidR="00FA0945" w:rsidRPr="00DD477A" w:rsidRDefault="53BF0693" w:rsidP="00E548A0">
      <w:pPr>
        <w:pStyle w:val="Heading2"/>
      </w:pPr>
      <w:bookmarkStart w:id="1601" w:name="_Toc160715681"/>
      <w:r w:rsidRPr="00DD477A">
        <w:t xml:space="preserve">Mid-year </w:t>
      </w:r>
      <w:r w:rsidR="002561E6" w:rsidRPr="00DD477A">
        <w:t xml:space="preserve">Economic </w:t>
      </w:r>
      <w:r w:rsidRPr="00DD477A">
        <w:t xml:space="preserve">and </w:t>
      </w:r>
      <w:r w:rsidR="002561E6" w:rsidRPr="00DD477A">
        <w:t>Fiscal Outlook</w:t>
      </w:r>
      <w:bookmarkEnd w:id="1601"/>
    </w:p>
    <w:p w14:paraId="1ECBA6BD" w14:textId="77777777" w:rsidR="00FA0945" w:rsidRPr="00DD477A" w:rsidRDefault="53BF0693" w:rsidP="000A7DEC">
      <w:pPr>
        <w:rPr>
          <w:rFonts w:cs="Calibri"/>
        </w:rPr>
      </w:pPr>
      <w:r w:rsidRPr="00DD477A">
        <w:rPr>
          <w:rFonts w:cs="Calibri"/>
        </w:rPr>
        <w:t xml:space="preserve">The MYEFO provides an update of the government's budget estimates by examining expenses and revenues in the year to date, as well as provisions for new decisions that have been taken since the Budget. The report provides updated information to allow the assessment of the government’s fiscal performance against the fiscal strategy set out in its current fiscal strategy statement. </w:t>
      </w:r>
    </w:p>
    <w:p w14:paraId="05C86440" w14:textId="0FF0A1A5" w:rsidR="00FA0945" w:rsidRPr="00DD477A" w:rsidRDefault="53BF0693" w:rsidP="00E548A0">
      <w:pPr>
        <w:pStyle w:val="Heading2"/>
      </w:pPr>
      <w:bookmarkStart w:id="1602" w:name="_Toc160715682"/>
      <w:r w:rsidRPr="00DD477A">
        <w:t xml:space="preserve">Official </w:t>
      </w:r>
      <w:r w:rsidR="004713D3" w:rsidRPr="00DD477A">
        <w:t>P</w:t>
      </w:r>
      <w:r w:rsidRPr="00DD477A">
        <w:t xml:space="preserve">ublic </w:t>
      </w:r>
      <w:r w:rsidR="004713D3" w:rsidRPr="00DD477A">
        <w:t>A</w:t>
      </w:r>
      <w:r w:rsidRPr="00DD477A">
        <w:t>ccount</w:t>
      </w:r>
      <w:bookmarkEnd w:id="1602"/>
    </w:p>
    <w:p w14:paraId="73BA9894" w14:textId="76D23CE5" w:rsidR="00FA0945" w:rsidRPr="00DD477A" w:rsidRDefault="00894B75" w:rsidP="000A7DEC">
      <w:pPr>
        <w:rPr>
          <w:rFonts w:cs="Calibri"/>
        </w:rPr>
      </w:pPr>
      <w:r w:rsidRPr="00DD477A">
        <w:rPr>
          <w:rFonts w:cs="Calibri"/>
        </w:rPr>
        <w:t>T</w:t>
      </w:r>
      <w:r w:rsidR="53BF0693" w:rsidRPr="00DD477A">
        <w:rPr>
          <w:rFonts w:cs="Calibri"/>
        </w:rPr>
        <w:t>he Australian Government’s central bank account held within the Reserve Bank of Australia</w:t>
      </w:r>
      <w:r w:rsidRPr="00DD477A">
        <w:rPr>
          <w:rFonts w:cs="Calibri"/>
        </w:rPr>
        <w:t xml:space="preserve"> </w:t>
      </w:r>
      <w:r w:rsidR="005B43C6" w:rsidRPr="00DD477A">
        <w:rPr>
          <w:rFonts w:cs="Calibri"/>
        </w:rPr>
        <w:t xml:space="preserve">and managed by Finance </w:t>
      </w:r>
      <w:r w:rsidRPr="00DD477A">
        <w:rPr>
          <w:rFonts w:cs="Calibri"/>
        </w:rPr>
        <w:t>that</w:t>
      </w:r>
      <w:r w:rsidR="53BF0693" w:rsidRPr="00DD477A">
        <w:rPr>
          <w:rFonts w:cs="Calibri"/>
        </w:rPr>
        <w:t xml:space="preserve"> reflects the operations of the Consolidated Revenue Fund.</w:t>
      </w:r>
    </w:p>
    <w:p w14:paraId="587C61D9" w14:textId="77777777" w:rsidR="00FA0945" w:rsidRPr="00DD477A" w:rsidRDefault="53BF0693" w:rsidP="00E548A0">
      <w:pPr>
        <w:pStyle w:val="Heading2"/>
      </w:pPr>
      <w:bookmarkStart w:id="1603" w:name="_Toc160715683"/>
      <w:r w:rsidRPr="00DD477A">
        <w:t>Operating expenditure (of heritage and cultural assets)</w:t>
      </w:r>
      <w:bookmarkEnd w:id="1603"/>
    </w:p>
    <w:p w14:paraId="36C293E1" w14:textId="7A77021E" w:rsidR="0014140F" w:rsidRPr="00DD477A" w:rsidRDefault="00F6204A" w:rsidP="000A7DEC">
      <w:pPr>
        <w:rPr>
          <w:rFonts w:cs="Calibri"/>
        </w:rPr>
      </w:pPr>
      <w:r w:rsidRPr="00DD477A">
        <w:rPr>
          <w:rFonts w:cs="Calibri"/>
        </w:rPr>
        <w:t>E</w:t>
      </w:r>
      <w:r w:rsidR="53BF0693" w:rsidRPr="00DD477A">
        <w:rPr>
          <w:rFonts w:cs="Calibri"/>
        </w:rPr>
        <w:t>xpenditure items</w:t>
      </w:r>
      <w:r w:rsidR="00180098" w:rsidRPr="00DD477A">
        <w:rPr>
          <w:rFonts w:cs="Calibri"/>
        </w:rPr>
        <w:t>, excluding</w:t>
      </w:r>
      <w:r w:rsidR="53BF0693" w:rsidRPr="00DD477A">
        <w:rPr>
          <w:rFonts w:cs="Calibri"/>
        </w:rPr>
        <w:t xml:space="preserve"> </w:t>
      </w:r>
      <w:r w:rsidR="00180098" w:rsidRPr="00DD477A">
        <w:rPr>
          <w:rFonts w:cs="Calibri"/>
        </w:rPr>
        <w:t xml:space="preserve">Depreciation, </w:t>
      </w:r>
      <w:r w:rsidR="53BF0693" w:rsidRPr="00DD477A">
        <w:rPr>
          <w:rFonts w:cs="Calibri"/>
        </w:rPr>
        <w:t xml:space="preserve">that Collection Institutions might include in the </w:t>
      </w:r>
      <w:r w:rsidR="006714EB" w:rsidRPr="00DD477A">
        <w:rPr>
          <w:rFonts w:cs="Calibri"/>
        </w:rPr>
        <w:t>‘</w:t>
      </w:r>
      <w:r w:rsidR="53BF0693" w:rsidRPr="00DD477A">
        <w:rPr>
          <w:rFonts w:cs="Calibri"/>
        </w:rPr>
        <w:t>Operating expenditure for heritage and cultural assets</w:t>
      </w:r>
      <w:r w:rsidR="006714EB" w:rsidRPr="00DD477A">
        <w:rPr>
          <w:rFonts w:cs="Calibri"/>
        </w:rPr>
        <w:t>’</w:t>
      </w:r>
      <w:r w:rsidR="53BF0693" w:rsidRPr="00DD477A">
        <w:rPr>
          <w:rFonts w:cs="Calibri"/>
        </w:rPr>
        <w:t xml:space="preserve"> section of Table 3.6 and Table 3.11</w:t>
      </w:r>
      <w:r w:rsidRPr="00DD477A">
        <w:rPr>
          <w:rFonts w:cs="Calibri"/>
        </w:rPr>
        <w:t xml:space="preserve"> include</w:t>
      </w:r>
      <w:r w:rsidR="53BF0693" w:rsidRPr="00DD477A">
        <w:rPr>
          <w:rFonts w:cs="Calibri"/>
        </w:rPr>
        <w:t>:</w:t>
      </w:r>
    </w:p>
    <w:p w14:paraId="5687AEE7" w14:textId="63854067" w:rsidR="0021546B" w:rsidRPr="00DD477A" w:rsidRDefault="53BF0693" w:rsidP="00A7381C">
      <w:pPr>
        <w:pStyle w:val="Bullet1"/>
      </w:pPr>
      <w:r w:rsidRPr="00DD477A">
        <w:t>supply of goods and services, for example, outsourced repairs to artwork or insurance costs</w:t>
      </w:r>
    </w:p>
    <w:p w14:paraId="70D60E58" w14:textId="02AD89AF" w:rsidR="0021546B" w:rsidRPr="00DD477A" w:rsidRDefault="53BF0693" w:rsidP="00A7381C">
      <w:pPr>
        <w:pStyle w:val="Bullet1"/>
      </w:pPr>
      <w:r w:rsidRPr="00DD477A">
        <w:t>direct labour on-costs, for example, the salaries and associated costs of staff researching and</w:t>
      </w:r>
    </w:p>
    <w:p w14:paraId="42AB2E2C" w14:textId="797AFBA8" w:rsidR="0021546B" w:rsidRPr="00DD477A" w:rsidRDefault="53BF0693" w:rsidP="00A7381C">
      <w:pPr>
        <w:pStyle w:val="Bullet1"/>
      </w:pPr>
      <w:r w:rsidRPr="00DD477A">
        <w:t xml:space="preserve">restoring items, lease of storage facilities </w:t>
      </w:r>
    </w:p>
    <w:p w14:paraId="042F3783" w14:textId="06A39204" w:rsidR="0021546B" w:rsidRPr="00DD477A" w:rsidRDefault="53BF0693" w:rsidP="00A7381C">
      <w:pPr>
        <w:pStyle w:val="Bullet1"/>
      </w:pPr>
      <w:r w:rsidRPr="00DD477A">
        <w:t>associated utility costs (electricity, water, gas)</w:t>
      </w:r>
    </w:p>
    <w:p w14:paraId="56D4A628" w14:textId="2DBA644B" w:rsidR="0021546B" w:rsidRPr="00DD477A" w:rsidRDefault="53BF0693" w:rsidP="00A7381C">
      <w:pPr>
        <w:pStyle w:val="Bullet1"/>
      </w:pPr>
      <w:r w:rsidRPr="00DD477A">
        <w:lastRenderedPageBreak/>
        <w:t>cataloguing costs</w:t>
      </w:r>
    </w:p>
    <w:p w14:paraId="73B0F9B1" w14:textId="14AA5CD6" w:rsidR="0021546B" w:rsidRPr="00DD477A" w:rsidRDefault="53BF0693" w:rsidP="00A7381C">
      <w:pPr>
        <w:pStyle w:val="Bullet1"/>
      </w:pPr>
      <w:r w:rsidRPr="00DD477A">
        <w:t>containers and packaging and transportation</w:t>
      </w:r>
    </w:p>
    <w:p w14:paraId="3CFD50ED" w14:textId="123FA93D" w:rsidR="0021546B" w:rsidRPr="00DD477A" w:rsidRDefault="53BF0693" w:rsidP="00A7381C">
      <w:pPr>
        <w:pStyle w:val="Bullet1"/>
      </w:pPr>
      <w:r w:rsidRPr="00DD477A">
        <w:t>cleaning of collections and storage facilities</w:t>
      </w:r>
    </w:p>
    <w:p w14:paraId="750BB484" w14:textId="30C225B3" w:rsidR="005B41EB" w:rsidRPr="00DD477A" w:rsidRDefault="53BF0693" w:rsidP="00A7381C">
      <w:pPr>
        <w:pStyle w:val="Bullet1"/>
      </w:pPr>
      <w:r w:rsidRPr="00DD477A">
        <w:t xml:space="preserve">substitution costs (preparation of copies/surrogates of </w:t>
      </w:r>
      <w:r w:rsidR="00CD0F3A" w:rsidRPr="00DD477A">
        <w:t>artwork</w:t>
      </w:r>
      <w:r w:rsidRPr="00DD477A">
        <w:t xml:space="preserve"> for public display).</w:t>
      </w:r>
    </w:p>
    <w:p w14:paraId="2222C0D4" w14:textId="396ADA38" w:rsidR="00FA0945" w:rsidRPr="00DD477A" w:rsidRDefault="007737BB" w:rsidP="005B41EB">
      <w:r>
        <w:t>7</w:t>
      </w:r>
      <w:r w:rsidR="53BF0693" w:rsidRPr="00DD477A">
        <w:t>The costs above do not include full absorption costing such as an allocation for corporate administration costs or costs that are eligible to be capitalised.</w:t>
      </w:r>
    </w:p>
    <w:p w14:paraId="49E382A7" w14:textId="77777777" w:rsidR="00FA0945" w:rsidRPr="00DD477A" w:rsidRDefault="53BF0693" w:rsidP="00E548A0">
      <w:pPr>
        <w:pStyle w:val="Heading2"/>
      </w:pPr>
      <w:bookmarkStart w:id="1604" w:name="_Toc160715684"/>
      <w:r w:rsidRPr="00DD477A">
        <w:t>Outcome</w:t>
      </w:r>
      <w:bookmarkEnd w:id="1604"/>
    </w:p>
    <w:p w14:paraId="38180E5F" w14:textId="77777777" w:rsidR="00FA0945" w:rsidRPr="00DD477A" w:rsidRDefault="53BF0693" w:rsidP="000A7DEC">
      <w:pPr>
        <w:rPr>
          <w:rFonts w:cs="Calibri"/>
        </w:rPr>
      </w:pPr>
      <w:r w:rsidRPr="00DD477A">
        <w:rPr>
          <w:rFonts w:cs="Calibri"/>
        </w:rPr>
        <w:t xml:space="preserve">An outcome is the intended result, consequence or impact of </w:t>
      </w:r>
      <w:r w:rsidR="006418EA" w:rsidRPr="00DD477A">
        <w:rPr>
          <w:rFonts w:cs="Calibri"/>
        </w:rPr>
        <w:t>government</w:t>
      </w:r>
      <w:r w:rsidRPr="00DD477A">
        <w:rPr>
          <w:rFonts w:cs="Calibri"/>
        </w:rPr>
        <w:t xml:space="preserve"> actions on the Australian community.</w:t>
      </w:r>
    </w:p>
    <w:p w14:paraId="0DEC13DA" w14:textId="77777777" w:rsidR="00FA0945" w:rsidRPr="00DD477A" w:rsidRDefault="53BF0693" w:rsidP="00E548A0">
      <w:pPr>
        <w:pStyle w:val="Heading2"/>
      </w:pPr>
      <w:bookmarkStart w:id="1605" w:name="_Toc160715685"/>
      <w:r w:rsidRPr="00DD477A">
        <w:t>Outcome statement</w:t>
      </w:r>
      <w:bookmarkEnd w:id="1605"/>
    </w:p>
    <w:p w14:paraId="34C254A8" w14:textId="77777777" w:rsidR="00FA0945" w:rsidRPr="00DD477A" w:rsidRDefault="53BF0693" w:rsidP="000A7DEC">
      <w:pPr>
        <w:rPr>
          <w:rFonts w:cs="Calibri"/>
        </w:rPr>
      </w:pPr>
      <w:r w:rsidRPr="00DD477A">
        <w:rPr>
          <w:rFonts w:cs="Calibri"/>
        </w:rPr>
        <w:t>An outcome statement articulates the intended results, activities and target group of an Australian Government entity. An outcome statement serves three main purposes within the financial framework:</w:t>
      </w:r>
    </w:p>
    <w:p w14:paraId="1E368F4B" w14:textId="48F81722" w:rsidR="00FA0945" w:rsidRPr="00DD477A" w:rsidRDefault="53BF0693" w:rsidP="00AA1E87">
      <w:pPr>
        <w:pStyle w:val="Bullet1"/>
        <w:numPr>
          <w:ilvl w:val="0"/>
          <w:numId w:val="38"/>
        </w:numPr>
      </w:pPr>
      <w:r w:rsidRPr="00DD477A">
        <w:t xml:space="preserve">to explain and control the purposes for which </w:t>
      </w:r>
      <w:r w:rsidR="00560051" w:rsidRPr="00DD477A">
        <w:t>a</w:t>
      </w:r>
      <w:r w:rsidRPr="00DD477A">
        <w:t xml:space="preserve">nnual </w:t>
      </w:r>
      <w:r w:rsidR="00560051" w:rsidRPr="00DD477A">
        <w:t>a</w:t>
      </w:r>
      <w:r w:rsidRPr="00DD477A">
        <w:t>ppropriations are approved by the Parliament for use by entities</w:t>
      </w:r>
    </w:p>
    <w:p w14:paraId="2E23F70E" w14:textId="77777777" w:rsidR="0074521F" w:rsidRPr="00DD477A" w:rsidRDefault="53BF0693" w:rsidP="00AA1E87">
      <w:pPr>
        <w:pStyle w:val="Bullet1"/>
        <w:numPr>
          <w:ilvl w:val="0"/>
          <w:numId w:val="38"/>
        </w:numPr>
      </w:pPr>
      <w:r w:rsidRPr="00DD477A">
        <w:t>to provide a basis for annual budgeting, including (financial) reporting against the use of appropriated funds</w:t>
      </w:r>
    </w:p>
    <w:p w14:paraId="34C9A084" w14:textId="77777777" w:rsidR="00FA0945" w:rsidRPr="00DD477A" w:rsidRDefault="53BF0693" w:rsidP="00AA1E87">
      <w:pPr>
        <w:pStyle w:val="Bullet1"/>
        <w:numPr>
          <w:ilvl w:val="0"/>
          <w:numId w:val="38"/>
        </w:numPr>
      </w:pPr>
      <w:r w:rsidRPr="00DD477A">
        <w:t xml:space="preserve">to measure and assess entity and program non‐financial performance in contributing to </w:t>
      </w:r>
      <w:r w:rsidR="006418EA" w:rsidRPr="00DD477A">
        <w:t>government</w:t>
      </w:r>
      <w:r w:rsidRPr="00DD477A">
        <w:t xml:space="preserve"> policy objectives.</w:t>
      </w:r>
    </w:p>
    <w:p w14:paraId="361FA5EB" w14:textId="77777777" w:rsidR="003C2C71" w:rsidRPr="00DD477A" w:rsidRDefault="53BF0693" w:rsidP="00E548A0">
      <w:pPr>
        <w:pStyle w:val="Heading2"/>
      </w:pPr>
      <w:bookmarkStart w:id="1606" w:name="_Toc160715686"/>
      <w:r w:rsidRPr="00DD477A">
        <w:t>PB Statements</w:t>
      </w:r>
      <w:bookmarkEnd w:id="1606"/>
    </w:p>
    <w:p w14:paraId="772D0A86" w14:textId="7858B908" w:rsidR="003C2C71" w:rsidRPr="00DD477A" w:rsidRDefault="53BF0693" w:rsidP="000A7DEC">
      <w:pPr>
        <w:rPr>
          <w:rFonts w:cs="Calibri"/>
        </w:rPr>
      </w:pPr>
      <w:r w:rsidRPr="00DD477A">
        <w:rPr>
          <w:rFonts w:cs="Calibri"/>
        </w:rPr>
        <w:t>Portfolio Budget Statements</w:t>
      </w:r>
      <w:r w:rsidR="00317277" w:rsidRPr="00DD477A">
        <w:rPr>
          <w:rFonts w:cs="Calibri"/>
        </w:rPr>
        <w:t>,</w:t>
      </w:r>
      <w:r w:rsidRPr="00DD477A">
        <w:rPr>
          <w:rFonts w:cs="Calibri"/>
        </w:rPr>
        <w:t xml:space="preserve"> also commonly referred to as the PB Statements.</w:t>
      </w:r>
    </w:p>
    <w:p w14:paraId="279F1136" w14:textId="77777777" w:rsidR="004E2865" w:rsidRPr="00DD477A" w:rsidRDefault="53BF0693" w:rsidP="00E548A0">
      <w:pPr>
        <w:pStyle w:val="Heading2"/>
      </w:pPr>
      <w:bookmarkStart w:id="1607" w:name="_Toc160715687"/>
      <w:r w:rsidRPr="00DD477A">
        <w:t>PGPA Act flipchart and list</w:t>
      </w:r>
      <w:bookmarkEnd w:id="1607"/>
    </w:p>
    <w:p w14:paraId="1C641D09" w14:textId="16E844BE" w:rsidR="004E2865" w:rsidRPr="00DD477A" w:rsidRDefault="53BF0693" w:rsidP="000A7DEC">
      <w:pPr>
        <w:rPr>
          <w:rFonts w:cs="Calibri"/>
        </w:rPr>
      </w:pPr>
      <w:r w:rsidRPr="00DD477A">
        <w:rPr>
          <w:rFonts w:cs="Calibri"/>
        </w:rPr>
        <w:t xml:space="preserve">The </w:t>
      </w:r>
      <w:r w:rsidR="002928FD" w:rsidRPr="00DD477A">
        <w:rPr>
          <w:rFonts w:cs="Calibri"/>
        </w:rPr>
        <w:t xml:space="preserve">PGPA Act </w:t>
      </w:r>
      <w:r w:rsidRPr="00DD477A">
        <w:rPr>
          <w:rFonts w:cs="Calibri"/>
        </w:rPr>
        <w:t>Flipchart</w:t>
      </w:r>
      <w:r w:rsidR="002928FD" w:rsidRPr="00DD477A">
        <w:rPr>
          <w:rFonts w:cs="Calibri"/>
        </w:rPr>
        <w:t>,</w:t>
      </w:r>
      <w:r w:rsidRPr="00DD477A">
        <w:rPr>
          <w:rFonts w:cs="Calibri"/>
        </w:rPr>
        <w:t xml:space="preserve"> </w:t>
      </w:r>
      <w:r w:rsidR="002928FD" w:rsidRPr="00DD477A">
        <w:rPr>
          <w:rFonts w:cs="Calibri"/>
        </w:rPr>
        <w:t xml:space="preserve">located on Finance’s website, </w:t>
      </w:r>
      <w:r w:rsidRPr="00DD477A">
        <w:rPr>
          <w:rFonts w:cs="Calibri"/>
        </w:rPr>
        <w:t xml:space="preserve">is a reference of all </w:t>
      </w:r>
      <w:r w:rsidR="002928FD" w:rsidRPr="00DD477A">
        <w:rPr>
          <w:rFonts w:cs="Calibri"/>
        </w:rPr>
        <w:t xml:space="preserve">the </w:t>
      </w:r>
      <w:r w:rsidRPr="00DD477A">
        <w:rPr>
          <w:rFonts w:cs="Calibri"/>
        </w:rPr>
        <w:t xml:space="preserve">non-corporate and corporate Commonwealth entities and companies </w:t>
      </w:r>
      <w:r w:rsidR="002928FD" w:rsidRPr="00DD477A">
        <w:rPr>
          <w:rFonts w:cs="Calibri"/>
        </w:rPr>
        <w:t>(</w:t>
      </w:r>
      <w:r w:rsidRPr="00DD477A">
        <w:rPr>
          <w:rFonts w:cs="Calibri"/>
        </w:rPr>
        <w:t>government bodies</w:t>
      </w:r>
      <w:r w:rsidR="002928FD" w:rsidRPr="00DD477A">
        <w:rPr>
          <w:rFonts w:cs="Calibri"/>
        </w:rPr>
        <w:t>)</w:t>
      </w:r>
      <w:r w:rsidRPr="00DD477A">
        <w:rPr>
          <w:rFonts w:cs="Calibri"/>
        </w:rPr>
        <w:t xml:space="preserve"> that are subject to the PGPA Act.</w:t>
      </w:r>
    </w:p>
    <w:p w14:paraId="5DFDFBD0" w14:textId="7822A88A" w:rsidR="004E2865" w:rsidRPr="00DD477A" w:rsidRDefault="53BF0693" w:rsidP="002B4935">
      <w:pPr>
        <w:spacing w:after="120"/>
        <w:rPr>
          <w:rStyle w:val="Hyperlink"/>
          <w:rFonts w:cs="Calibri"/>
        </w:rPr>
      </w:pPr>
      <w:r w:rsidRPr="00DD477A">
        <w:rPr>
          <w:rFonts w:cs="Calibri"/>
        </w:rPr>
        <w:t>Commonwealth entities and companies on the Flipchart are organised by their portfolio.</w:t>
      </w:r>
    </w:p>
    <w:p w14:paraId="73B24808" w14:textId="796F3C7F" w:rsidR="0017331E" w:rsidRPr="00DD477A" w:rsidRDefault="53BF0693" w:rsidP="00E548A0">
      <w:pPr>
        <w:pStyle w:val="Heading2"/>
      </w:pPr>
      <w:bookmarkStart w:id="1608" w:name="_Toc160715688"/>
      <w:r w:rsidRPr="00DD477A">
        <w:t>Portfolio Additional Estimates Statements</w:t>
      </w:r>
      <w:bookmarkEnd w:id="1608"/>
    </w:p>
    <w:p w14:paraId="19824336" w14:textId="36B08D45" w:rsidR="003D66F9" w:rsidRPr="00DD477A" w:rsidRDefault="53BF0693" w:rsidP="000A7DEC">
      <w:pPr>
        <w:rPr>
          <w:rFonts w:cs="Calibri"/>
        </w:rPr>
      </w:pPr>
      <w:r w:rsidRPr="00DD477A">
        <w:rPr>
          <w:rFonts w:cs="Calibri"/>
        </w:rPr>
        <w:t xml:space="preserve">The </w:t>
      </w:r>
      <w:r w:rsidR="00671FA8" w:rsidRPr="00DD477A">
        <w:rPr>
          <w:rFonts w:cs="Calibri"/>
        </w:rPr>
        <w:t>Portfolio Additional Estimates Statements (</w:t>
      </w:r>
      <w:r w:rsidRPr="00DD477A">
        <w:rPr>
          <w:rFonts w:cs="Calibri"/>
        </w:rPr>
        <w:t>PAES</w:t>
      </w:r>
      <w:r w:rsidR="00671FA8" w:rsidRPr="00DD477A">
        <w:rPr>
          <w:rFonts w:cs="Calibri"/>
        </w:rPr>
        <w:t>)</w:t>
      </w:r>
      <w:r w:rsidRPr="00DD477A">
        <w:rPr>
          <w:rFonts w:cs="Calibri"/>
        </w:rPr>
        <w:t xml:space="preserve"> </w:t>
      </w:r>
      <w:r w:rsidR="002928FD" w:rsidRPr="00DD477A">
        <w:rPr>
          <w:rFonts w:cs="Calibri"/>
        </w:rPr>
        <w:t>informs</w:t>
      </w:r>
      <w:r w:rsidRPr="00DD477A">
        <w:rPr>
          <w:rFonts w:cs="Calibri"/>
        </w:rPr>
        <w:t xml:space="preserve"> Parliament on updated entity expenditure estimates for the current budget year and reflect changes since the Budget. The PAES</w:t>
      </w:r>
      <w:r w:rsidR="002928FD" w:rsidRPr="00DD477A">
        <w:rPr>
          <w:rFonts w:cs="Calibri"/>
        </w:rPr>
        <w:t>,</w:t>
      </w:r>
      <w:r w:rsidRPr="00DD477A">
        <w:rPr>
          <w:rFonts w:cs="Calibri"/>
        </w:rPr>
        <w:t xml:space="preserve"> a supplement to the PB Statements</w:t>
      </w:r>
      <w:r w:rsidR="002928FD" w:rsidRPr="00DD477A">
        <w:rPr>
          <w:rFonts w:cs="Calibri"/>
        </w:rPr>
        <w:t>,</w:t>
      </w:r>
      <w:r w:rsidRPr="00DD477A">
        <w:rPr>
          <w:rFonts w:cs="Calibri"/>
        </w:rPr>
        <w:t xml:space="preserve"> explain</w:t>
      </w:r>
      <w:r w:rsidR="002928FD" w:rsidRPr="00DD477A">
        <w:rPr>
          <w:rFonts w:cs="Calibri"/>
        </w:rPr>
        <w:t>s</w:t>
      </w:r>
      <w:r w:rsidRPr="00DD477A">
        <w:rPr>
          <w:rFonts w:cs="Calibri"/>
        </w:rPr>
        <w:t xml:space="preserve"> subsequent changes to Budget estimates as they appear in the Additional Estimates Appropriation Bills </w:t>
      </w:r>
      <w:r w:rsidR="00A74B18" w:rsidRPr="00DD477A">
        <w:rPr>
          <w:rFonts w:cs="Calibri"/>
        </w:rPr>
        <w:t>(</w:t>
      </w:r>
      <w:r w:rsidR="001675A8" w:rsidRPr="00DD477A">
        <w:rPr>
          <w:rFonts w:cs="Calibri"/>
        </w:rPr>
        <w:t>No.</w:t>
      </w:r>
      <w:r w:rsidRPr="00DD477A">
        <w:rPr>
          <w:rFonts w:cs="Calibri"/>
        </w:rPr>
        <w:t xml:space="preserve"> 3 and 4</w:t>
      </w:r>
      <w:r w:rsidR="00A74B18" w:rsidRPr="00DD477A">
        <w:rPr>
          <w:rFonts w:cs="Calibri"/>
        </w:rPr>
        <w:t>)</w:t>
      </w:r>
      <w:r w:rsidRPr="00DD477A">
        <w:rPr>
          <w:rFonts w:cs="Calibri"/>
        </w:rPr>
        <w:t>.</w:t>
      </w:r>
    </w:p>
    <w:p w14:paraId="35591C1A" w14:textId="0B509C8A" w:rsidR="00FA0945" w:rsidRPr="00DD477A" w:rsidRDefault="53BF0693" w:rsidP="00E548A0">
      <w:pPr>
        <w:pStyle w:val="Heading2"/>
      </w:pPr>
      <w:bookmarkStart w:id="1609" w:name="_Toc160715689"/>
      <w:r w:rsidRPr="00DD477A">
        <w:t xml:space="preserve">Portfolio </w:t>
      </w:r>
      <w:r w:rsidR="00CA1347">
        <w:t>B</w:t>
      </w:r>
      <w:r w:rsidRPr="00DD477A">
        <w:t xml:space="preserve">udget </w:t>
      </w:r>
      <w:r w:rsidR="00CA1347">
        <w:t>S</w:t>
      </w:r>
      <w:r w:rsidRPr="00DD477A">
        <w:t>tatements</w:t>
      </w:r>
      <w:bookmarkEnd w:id="1609"/>
    </w:p>
    <w:p w14:paraId="3697CEBD" w14:textId="77777777" w:rsidR="00FA0945" w:rsidRPr="00DD477A" w:rsidRDefault="53BF0693" w:rsidP="000A7DEC">
      <w:pPr>
        <w:rPr>
          <w:rFonts w:cs="Calibri"/>
        </w:rPr>
      </w:pPr>
      <w:r w:rsidRPr="00DD477A">
        <w:rPr>
          <w:rFonts w:cs="Calibri"/>
        </w:rPr>
        <w:t xml:space="preserve">Budget related paper detailing budget initiatives and explanations of appropriations specified by outcome and program by each entity within a </w:t>
      </w:r>
      <w:r w:rsidR="00396887" w:rsidRPr="00DD477A">
        <w:rPr>
          <w:rFonts w:cs="Calibri"/>
        </w:rPr>
        <w:t>portfolio</w:t>
      </w:r>
      <w:r w:rsidRPr="00DD477A">
        <w:rPr>
          <w:rFonts w:cs="Calibri"/>
        </w:rPr>
        <w:t>.</w:t>
      </w:r>
    </w:p>
    <w:p w14:paraId="357C95D9" w14:textId="66938EBC" w:rsidR="00204269" w:rsidRPr="00DD477A" w:rsidRDefault="53BF0693" w:rsidP="00E548A0">
      <w:pPr>
        <w:pStyle w:val="Heading2"/>
      </w:pPr>
      <w:bookmarkStart w:id="1610" w:name="_Toc160715690"/>
      <w:r w:rsidRPr="00DD477A">
        <w:lastRenderedPageBreak/>
        <w:t>Pre-Election Fiscal Outlook</w:t>
      </w:r>
      <w:bookmarkEnd w:id="1610"/>
    </w:p>
    <w:p w14:paraId="078D7EC7" w14:textId="78ABC2FA" w:rsidR="00204269" w:rsidRPr="00DD477A" w:rsidRDefault="53BF0693" w:rsidP="000A7DEC">
      <w:pPr>
        <w:rPr>
          <w:rFonts w:cs="Calibri"/>
        </w:rPr>
      </w:pPr>
      <w:r w:rsidRPr="00DD477A">
        <w:rPr>
          <w:rFonts w:cs="Calibri"/>
        </w:rPr>
        <w:t xml:space="preserve">The PEFO provides an update, to the fullest extent possible, on all </w:t>
      </w:r>
      <w:r w:rsidR="006418EA" w:rsidRPr="00DD477A">
        <w:rPr>
          <w:rFonts w:cs="Calibri"/>
        </w:rPr>
        <w:t>government</w:t>
      </w:r>
      <w:r w:rsidRPr="00DD477A">
        <w:rPr>
          <w:rFonts w:cs="Calibri"/>
        </w:rPr>
        <w:t xml:space="preserve"> decisions and all other circumstances that may have a material effect on the economic, fiscal outlook </w:t>
      </w:r>
      <w:r w:rsidR="000A2C3C" w:rsidRPr="00DD477A">
        <w:rPr>
          <w:rFonts w:cs="Calibri"/>
        </w:rPr>
        <w:t>prior to issuance</w:t>
      </w:r>
      <w:r w:rsidRPr="00DD477A">
        <w:rPr>
          <w:rFonts w:cs="Calibri"/>
        </w:rPr>
        <w:t xml:space="preserve"> of the writs for the election.</w:t>
      </w:r>
    </w:p>
    <w:p w14:paraId="5A453CB5" w14:textId="77777777" w:rsidR="00204269" w:rsidRPr="00DD477A" w:rsidRDefault="53BF0693" w:rsidP="00E548A0">
      <w:pPr>
        <w:pStyle w:val="Heading2"/>
      </w:pPr>
      <w:bookmarkStart w:id="1611" w:name="_Toc160715691"/>
      <w:r w:rsidRPr="00DD477A">
        <w:t>Primary Reporting and Information Management Aid</w:t>
      </w:r>
      <w:bookmarkEnd w:id="1611"/>
    </w:p>
    <w:p w14:paraId="2D36D03C" w14:textId="5A187089" w:rsidR="00204269" w:rsidRPr="00DD477A" w:rsidRDefault="53BF0693" w:rsidP="000A7DEC">
      <w:pPr>
        <w:rPr>
          <w:rFonts w:cs="Calibri"/>
        </w:rPr>
      </w:pPr>
      <w:r w:rsidRPr="00DD477A">
        <w:rPr>
          <w:rFonts w:cs="Calibri"/>
        </w:rPr>
        <w:t xml:space="preserve">The </w:t>
      </w:r>
      <w:r w:rsidR="00D616B1" w:rsidRPr="00DD477A">
        <w:rPr>
          <w:rFonts w:cs="Calibri"/>
        </w:rPr>
        <w:t>Primary Reporting and Information Management Aid (</w:t>
      </w:r>
      <w:r w:rsidRPr="00DD477A">
        <w:rPr>
          <w:rFonts w:cs="Calibri"/>
        </w:rPr>
        <w:t>PRIMA</w:t>
      </w:r>
      <w:r w:rsidR="00D616B1" w:rsidRPr="00DD477A">
        <w:rPr>
          <w:rFonts w:cs="Calibri"/>
        </w:rPr>
        <w:t>)</w:t>
      </w:r>
      <w:r w:rsidRPr="00DD477A">
        <w:rPr>
          <w:rFonts w:cs="Calibri"/>
        </w:rPr>
        <w:t xml:space="preserve"> </w:t>
      </w:r>
      <w:r w:rsidR="009C4E5B" w:rsidRPr="00DD477A">
        <w:rPr>
          <w:rFonts w:cs="Calibri"/>
        </w:rPr>
        <w:t xml:space="preserve">Forms provide model financial statements which include </w:t>
      </w:r>
      <w:r w:rsidRPr="00DD477A">
        <w:rPr>
          <w:rFonts w:cs="Calibri"/>
        </w:rPr>
        <w:t xml:space="preserve">the most common </w:t>
      </w:r>
      <w:r w:rsidR="001B49E5" w:rsidRPr="00DD477A">
        <w:rPr>
          <w:rFonts w:cs="Calibri"/>
        </w:rPr>
        <w:t xml:space="preserve">financial and related </w:t>
      </w:r>
      <w:r w:rsidRPr="00DD477A">
        <w:rPr>
          <w:rFonts w:cs="Calibri"/>
        </w:rPr>
        <w:t xml:space="preserve">disclosures and presentation affecting entities. There are two separate sets of PRIMA </w:t>
      </w:r>
      <w:r w:rsidR="009C4E5B" w:rsidRPr="00DD477A">
        <w:rPr>
          <w:rFonts w:cs="Calibri"/>
        </w:rPr>
        <w:t>Forms which illustrate the</w:t>
      </w:r>
      <w:r w:rsidRPr="00DD477A">
        <w:rPr>
          <w:rFonts w:cs="Calibri"/>
        </w:rPr>
        <w:t xml:space="preserve"> tiered reporting requirements </w:t>
      </w:r>
      <w:r w:rsidR="009C4E5B" w:rsidRPr="00DD477A">
        <w:rPr>
          <w:rFonts w:cs="Calibri"/>
        </w:rPr>
        <w:t xml:space="preserve">of the </w:t>
      </w:r>
      <w:hyperlink r:id="rId237" w:history="1">
        <w:r w:rsidR="009C4E5B" w:rsidRPr="00DD477A">
          <w:rPr>
            <w:rStyle w:val="Hyperlink"/>
            <w:rFonts w:cs="Calibri"/>
          </w:rPr>
          <w:t>Financial Reporting Rule</w:t>
        </w:r>
      </w:hyperlink>
      <w:r w:rsidR="009C4E5B" w:rsidRPr="00DD477A">
        <w:rPr>
          <w:rFonts w:cs="Calibri"/>
        </w:rPr>
        <w:t xml:space="preserve"> </w:t>
      </w:r>
      <w:r w:rsidRPr="00DD477A">
        <w:rPr>
          <w:rFonts w:cs="Calibri"/>
        </w:rPr>
        <w:t>(Tier 1, full disclosure; or Tier 2, Reduced Disclosure Requirements).</w:t>
      </w:r>
    </w:p>
    <w:p w14:paraId="2ADF5787" w14:textId="214754BC" w:rsidR="00204269" w:rsidRPr="00DD477A" w:rsidRDefault="53BF0693" w:rsidP="000A7DEC">
      <w:pPr>
        <w:rPr>
          <w:rFonts w:cs="Calibri"/>
        </w:rPr>
      </w:pPr>
      <w:r w:rsidRPr="00DD477A">
        <w:rPr>
          <w:rFonts w:cs="Calibri"/>
        </w:rPr>
        <w:t xml:space="preserve">The key principle of PRIMA </w:t>
      </w:r>
      <w:r w:rsidR="009C4E5B" w:rsidRPr="00DD477A">
        <w:rPr>
          <w:rFonts w:cs="Calibri"/>
        </w:rPr>
        <w:t xml:space="preserve">Forms </w:t>
      </w:r>
      <w:r w:rsidRPr="00DD477A">
        <w:rPr>
          <w:rFonts w:cs="Calibri"/>
        </w:rPr>
        <w:t>is to include disclosures that are required by most Australian Accounting Standards or the Financial Reporting Rule.</w:t>
      </w:r>
    </w:p>
    <w:p w14:paraId="552DA5B1" w14:textId="77777777" w:rsidR="00FA0945" w:rsidRPr="00DD477A" w:rsidRDefault="53BF0693" w:rsidP="00E548A0">
      <w:pPr>
        <w:pStyle w:val="Heading2"/>
      </w:pPr>
      <w:bookmarkStart w:id="1612" w:name="_Toc160715692"/>
      <w:r w:rsidRPr="00DD477A">
        <w:t>Program</w:t>
      </w:r>
      <w:bookmarkEnd w:id="1612"/>
    </w:p>
    <w:p w14:paraId="533A545C" w14:textId="77777777" w:rsidR="00FA0945" w:rsidRPr="00DD477A" w:rsidRDefault="53BF0693" w:rsidP="000A7DEC">
      <w:pPr>
        <w:rPr>
          <w:rFonts w:cs="Calibri"/>
        </w:rPr>
      </w:pPr>
      <w:r w:rsidRPr="00DD477A">
        <w:rPr>
          <w:rFonts w:cs="Calibri"/>
        </w:rPr>
        <w:t>Activity that delivers benefits, services or transfer payments to individuals, industry and/or the community as a whole, with the aim of achieving the intended result specified in an outcome statement.</w:t>
      </w:r>
    </w:p>
    <w:p w14:paraId="7FC33E2F" w14:textId="77777777" w:rsidR="00FA0945" w:rsidRPr="00DD477A" w:rsidRDefault="53BF0693" w:rsidP="00E548A0">
      <w:pPr>
        <w:pStyle w:val="Heading2"/>
      </w:pPr>
      <w:bookmarkStart w:id="1613" w:name="_Toc160715693"/>
      <w:r w:rsidRPr="00DD477A">
        <w:t>Program support</w:t>
      </w:r>
      <w:bookmarkEnd w:id="1613"/>
    </w:p>
    <w:p w14:paraId="00359F71" w14:textId="76A22204" w:rsidR="00FA0945" w:rsidRPr="00DD477A" w:rsidRDefault="53BF0693" w:rsidP="000A7DEC">
      <w:pPr>
        <w:rPr>
          <w:rFonts w:cs="Calibri"/>
        </w:rPr>
      </w:pPr>
      <w:r w:rsidRPr="00DD477A">
        <w:rPr>
          <w:rFonts w:cs="Calibri"/>
        </w:rPr>
        <w:t>The entity’s running costs allocated to a program funded through an entity’s departmental appropriations.</w:t>
      </w:r>
    </w:p>
    <w:p w14:paraId="3194CEB2" w14:textId="77777777" w:rsidR="00FA0945" w:rsidRPr="00032A18" w:rsidRDefault="53BF0693" w:rsidP="00E548A0">
      <w:pPr>
        <w:pStyle w:val="Heading2"/>
      </w:pPr>
      <w:bookmarkStart w:id="1614" w:name="_Toc160715694"/>
      <w:r w:rsidRPr="0097206B">
        <w:rPr>
          <w:i/>
          <w:iCs/>
        </w:rPr>
        <w:t>Public Governance, Performance and Accountability Act 2013</w:t>
      </w:r>
      <w:bookmarkEnd w:id="1614"/>
    </w:p>
    <w:p w14:paraId="5334680F" w14:textId="3D4E635D" w:rsidR="0063372C" w:rsidRPr="00DD477A" w:rsidRDefault="53BF0693" w:rsidP="000A7DEC">
      <w:pPr>
        <w:rPr>
          <w:rFonts w:cs="Calibri"/>
        </w:rPr>
      </w:pPr>
      <w:r w:rsidRPr="00DD477A">
        <w:rPr>
          <w:rFonts w:cs="Calibri"/>
        </w:rPr>
        <w:t>The PGPA Act establishes a coherent system of governance and accountability for public resources, with an emphasis on planning, performance and reporting</w:t>
      </w:r>
      <w:r w:rsidR="00B3253E" w:rsidRPr="00DD477A">
        <w:rPr>
          <w:rFonts w:cs="Calibri"/>
        </w:rPr>
        <w:t xml:space="preserve"> that </w:t>
      </w:r>
      <w:r w:rsidRPr="00DD477A">
        <w:rPr>
          <w:rFonts w:cs="Calibri"/>
        </w:rPr>
        <w:t>applies to all Commonwealth entities and Commonwealth companies.</w:t>
      </w:r>
    </w:p>
    <w:p w14:paraId="1C88EC4E" w14:textId="25027A65" w:rsidR="0063372C" w:rsidRPr="00DD477A" w:rsidRDefault="53BF0693">
      <w:pPr>
        <w:rPr>
          <w:rFonts w:cs="Calibri"/>
        </w:rPr>
      </w:pPr>
      <w:r w:rsidRPr="00DD477A">
        <w:rPr>
          <w:rFonts w:cs="Calibri"/>
        </w:rPr>
        <w:t xml:space="preserve">The </w:t>
      </w:r>
      <w:r w:rsidR="00EF4031">
        <w:rPr>
          <w:rFonts w:cs="Calibri"/>
        </w:rPr>
        <w:t>most current</w:t>
      </w:r>
      <w:r w:rsidRPr="00DD477A">
        <w:rPr>
          <w:rFonts w:cs="Calibri"/>
        </w:rPr>
        <w:t xml:space="preserve"> version of the PGPA Act is available from </w:t>
      </w:r>
      <w:hyperlink r:id="rId238">
        <w:r w:rsidRPr="00DD477A">
          <w:rPr>
            <w:rStyle w:val="Hyperlink"/>
          </w:rPr>
          <w:t>www.legislation.gov.au</w:t>
        </w:r>
      </w:hyperlink>
      <w:r w:rsidRPr="00DD477A">
        <w:rPr>
          <w:rFonts w:cs="Calibri"/>
          <w:color w:val="0070C0"/>
        </w:rPr>
        <w:t xml:space="preserve"> </w:t>
      </w:r>
    </w:p>
    <w:p w14:paraId="4BDE328B" w14:textId="77777777" w:rsidR="00334C6F" w:rsidRPr="00DD477A" w:rsidRDefault="53BF0693" w:rsidP="00E548A0">
      <w:pPr>
        <w:pStyle w:val="Heading2"/>
      </w:pPr>
      <w:bookmarkStart w:id="1615" w:name="_Toc160715695"/>
      <w:r w:rsidRPr="00DD477A">
        <w:t>Purpose</w:t>
      </w:r>
      <w:bookmarkEnd w:id="1615"/>
    </w:p>
    <w:p w14:paraId="2645DFE8" w14:textId="0724B7D2" w:rsidR="00334C6F" w:rsidRPr="00DD477A" w:rsidRDefault="53BF0693" w:rsidP="000A7DEC">
      <w:pPr>
        <w:rPr>
          <w:rFonts w:cs="Calibri"/>
        </w:rPr>
      </w:pPr>
      <w:r w:rsidRPr="00DD477A">
        <w:rPr>
          <w:rFonts w:cs="Calibri"/>
        </w:rPr>
        <w:t xml:space="preserve">The purposes of a Commonwealth entity include the objectives, functions or role of the entity. For further information see </w:t>
      </w:r>
      <w:hyperlink r:id="rId239">
        <w:r w:rsidR="00D95B36" w:rsidRPr="00DD477A">
          <w:rPr>
            <w:rStyle w:val="Hyperlink"/>
          </w:rPr>
          <w:t>Corporate plans for Commonwealth entities (RMG 132)</w:t>
        </w:r>
      </w:hyperlink>
      <w:r w:rsidRPr="00DD477A">
        <w:rPr>
          <w:rFonts w:cs="Calibri"/>
        </w:rPr>
        <w:t>.</w:t>
      </w:r>
    </w:p>
    <w:p w14:paraId="61AB7FDA" w14:textId="26AC9828" w:rsidR="00497E40" w:rsidRPr="00DD477A" w:rsidRDefault="53BF0693" w:rsidP="00E548A0">
      <w:pPr>
        <w:pStyle w:val="Heading2"/>
      </w:pPr>
      <w:bookmarkStart w:id="1616" w:name="_Toc160715696"/>
      <w:r w:rsidRPr="00DD477A">
        <w:t>Right-of-Use Asset</w:t>
      </w:r>
      <w:bookmarkEnd w:id="1616"/>
    </w:p>
    <w:p w14:paraId="0B54AD5C" w14:textId="16240DB3" w:rsidR="00497E40" w:rsidRPr="00DD477A" w:rsidRDefault="00000000" w:rsidP="000A7DEC">
      <w:pPr>
        <w:rPr>
          <w:rFonts w:cs="Calibri"/>
        </w:rPr>
      </w:pPr>
      <w:hyperlink r:id="rId240" w:history="1">
        <w:r w:rsidR="00497E40" w:rsidRPr="00DD477A">
          <w:rPr>
            <w:rStyle w:val="Hyperlink"/>
            <w:rFonts w:cs="Calibri"/>
          </w:rPr>
          <w:t xml:space="preserve">AASB 16 </w:t>
        </w:r>
        <w:r w:rsidR="00497E40" w:rsidRPr="00DD477A">
          <w:rPr>
            <w:rStyle w:val="Hyperlink"/>
            <w:rFonts w:cs="Calibri"/>
            <w:i/>
            <w:iCs/>
          </w:rPr>
          <w:t>Leases</w:t>
        </w:r>
      </w:hyperlink>
      <w:r w:rsidR="00A0360B" w:rsidRPr="00DD477A">
        <w:rPr>
          <w:rFonts w:cs="Calibri"/>
          <w:i/>
          <w:iCs/>
        </w:rPr>
        <w:t xml:space="preserve"> </w:t>
      </w:r>
      <w:r w:rsidR="00A0360B" w:rsidRPr="00DD477A">
        <w:rPr>
          <w:rFonts w:cs="Calibri"/>
        </w:rPr>
        <w:t>(the Standard)</w:t>
      </w:r>
      <w:r w:rsidR="00497E40" w:rsidRPr="00DD477A">
        <w:rPr>
          <w:rFonts w:cs="Calibri"/>
        </w:rPr>
        <w:t xml:space="preserve"> remov</w:t>
      </w:r>
      <w:r w:rsidR="00EA2C25" w:rsidRPr="00DD477A">
        <w:rPr>
          <w:rFonts w:cs="Calibri"/>
        </w:rPr>
        <w:t>es</w:t>
      </w:r>
      <w:r w:rsidR="00497E40" w:rsidRPr="00DD477A">
        <w:rPr>
          <w:rFonts w:cs="Calibri"/>
        </w:rPr>
        <w:t xml:space="preserve"> the distinction between operating and finance leases for </w:t>
      </w:r>
      <w:r w:rsidR="00EA2C25" w:rsidRPr="00DD477A">
        <w:rPr>
          <w:rFonts w:cs="Calibri"/>
        </w:rPr>
        <w:t>lessees</w:t>
      </w:r>
      <w:r w:rsidR="00497E40" w:rsidRPr="00DD477A">
        <w:rPr>
          <w:rFonts w:cs="Calibri"/>
        </w:rPr>
        <w:t xml:space="preserve"> and </w:t>
      </w:r>
      <w:r w:rsidR="00EA2C25" w:rsidRPr="00DD477A">
        <w:rPr>
          <w:rFonts w:cs="Calibri"/>
        </w:rPr>
        <w:t>requires</w:t>
      </w:r>
      <w:r w:rsidR="00497E40" w:rsidRPr="00DD477A">
        <w:rPr>
          <w:rFonts w:cs="Calibri"/>
        </w:rPr>
        <w:t xml:space="preserve"> the recognition of a</w:t>
      </w:r>
      <w:r w:rsidR="004543B9" w:rsidRPr="00DD477A">
        <w:rPr>
          <w:rFonts w:cs="Calibri"/>
        </w:rPr>
        <w:t xml:space="preserve"> Right-of-</w:t>
      </w:r>
      <w:r w:rsidR="009B6020" w:rsidRPr="00DD477A">
        <w:rPr>
          <w:rFonts w:cs="Calibri"/>
        </w:rPr>
        <w:t>Use</w:t>
      </w:r>
      <w:r w:rsidR="00497E40" w:rsidRPr="00DD477A">
        <w:rPr>
          <w:rFonts w:cs="Calibri"/>
        </w:rPr>
        <w:t xml:space="preserve"> </w:t>
      </w:r>
      <w:r w:rsidR="009B6020" w:rsidRPr="00DD477A">
        <w:rPr>
          <w:rFonts w:cs="Calibri"/>
        </w:rPr>
        <w:t>(</w:t>
      </w:r>
      <w:r w:rsidR="009F3C94" w:rsidRPr="00DD477A">
        <w:rPr>
          <w:rFonts w:cs="Calibri"/>
        </w:rPr>
        <w:t>RoU</w:t>
      </w:r>
      <w:r w:rsidR="009B6020" w:rsidRPr="00DD477A">
        <w:rPr>
          <w:rFonts w:cs="Calibri"/>
        </w:rPr>
        <w:t>)</w:t>
      </w:r>
      <w:r w:rsidR="00A0360B" w:rsidRPr="00DD477A">
        <w:rPr>
          <w:rFonts w:cs="Calibri"/>
        </w:rPr>
        <w:t xml:space="preserve"> </w:t>
      </w:r>
      <w:r w:rsidR="00497E40" w:rsidRPr="00DD477A">
        <w:rPr>
          <w:rFonts w:cs="Calibri"/>
        </w:rPr>
        <w:t xml:space="preserve">asset and lease liability on the balance sheet for most leasing arrangements. </w:t>
      </w:r>
      <w:r w:rsidR="00A0360B" w:rsidRPr="00DD477A">
        <w:rPr>
          <w:rFonts w:cs="Calibri"/>
        </w:rPr>
        <w:t xml:space="preserve">From 1 July 2019, all Commonwealth entities and companies </w:t>
      </w:r>
      <w:r w:rsidR="00EA2C25" w:rsidRPr="00DD477A">
        <w:rPr>
          <w:rFonts w:cs="Calibri"/>
        </w:rPr>
        <w:t>are</w:t>
      </w:r>
      <w:r w:rsidR="00A0360B" w:rsidRPr="00DD477A">
        <w:rPr>
          <w:rFonts w:cs="Calibri"/>
        </w:rPr>
        <w:t xml:space="preserve"> required to report on their </w:t>
      </w:r>
      <w:r w:rsidR="009F3C94" w:rsidRPr="00DD477A">
        <w:rPr>
          <w:rFonts w:cs="Calibri"/>
        </w:rPr>
        <w:t>RoU</w:t>
      </w:r>
      <w:r w:rsidR="00A0360B" w:rsidRPr="00DD477A">
        <w:rPr>
          <w:rFonts w:cs="Calibri"/>
        </w:rPr>
        <w:t xml:space="preserve"> assets and associated lease liabilities in their financial statements.</w:t>
      </w:r>
      <w:r w:rsidR="009C4E5B" w:rsidRPr="00DD477A">
        <w:rPr>
          <w:rFonts w:cs="Calibri"/>
        </w:rPr>
        <w:t xml:space="preserve"> Please see </w:t>
      </w:r>
      <w:hyperlink r:id="rId241" w:history="1">
        <w:r w:rsidR="009C4E5B" w:rsidRPr="00DD477A">
          <w:rPr>
            <w:rStyle w:val="Hyperlink"/>
            <w:rFonts w:cs="Calibri"/>
          </w:rPr>
          <w:t>Accounting for leases (RMG 110)</w:t>
        </w:r>
      </w:hyperlink>
      <w:r w:rsidR="009C4E5B" w:rsidRPr="00DD477A">
        <w:rPr>
          <w:rFonts w:cs="Calibri"/>
        </w:rPr>
        <w:t xml:space="preserve"> for more information. </w:t>
      </w:r>
    </w:p>
    <w:p w14:paraId="4A8B49C2" w14:textId="77777777" w:rsidR="00FA0945" w:rsidRPr="00DD477A" w:rsidRDefault="53BF0693" w:rsidP="00E548A0">
      <w:pPr>
        <w:pStyle w:val="Heading2"/>
      </w:pPr>
      <w:bookmarkStart w:id="1617" w:name="_Toc160715697"/>
      <w:r w:rsidRPr="00DD477A">
        <w:lastRenderedPageBreak/>
        <w:t>Senate estimates hearings</w:t>
      </w:r>
      <w:bookmarkEnd w:id="1617"/>
    </w:p>
    <w:p w14:paraId="5C997F2D" w14:textId="0A20736C" w:rsidR="00FA0945" w:rsidRPr="00DD477A" w:rsidRDefault="00000000" w:rsidP="000A7DEC">
      <w:pPr>
        <w:rPr>
          <w:rFonts w:cs="Calibri"/>
        </w:rPr>
      </w:pPr>
      <w:hyperlink r:id="rId242" w:history="1">
        <w:r w:rsidR="53BF0693" w:rsidRPr="00DD477A">
          <w:rPr>
            <w:rStyle w:val="Hyperlink"/>
            <w:rFonts w:cs="Calibri"/>
          </w:rPr>
          <w:t>Senate Standing Committees</w:t>
        </w:r>
      </w:hyperlink>
      <w:r w:rsidR="53BF0693" w:rsidRPr="00DD477A">
        <w:rPr>
          <w:rFonts w:cs="Calibri"/>
        </w:rPr>
        <w:t xml:space="preserve"> hold hearings to scrutinise the Appropriation Bills and any explanatory documentation tabled to accompany them</w:t>
      </w:r>
      <w:r w:rsidR="009C4E5B" w:rsidRPr="00DD477A">
        <w:rPr>
          <w:rFonts w:cs="Calibri"/>
        </w:rPr>
        <w:t>, as well as examine estimates of government expenditure</w:t>
      </w:r>
      <w:r w:rsidR="53BF0693" w:rsidRPr="00DD477A">
        <w:rPr>
          <w:rFonts w:cs="Calibri"/>
        </w:rPr>
        <w:t>. Public servants may be called to attend hearings as witnesses.</w:t>
      </w:r>
    </w:p>
    <w:p w14:paraId="07B0CA2D" w14:textId="5D29E08E" w:rsidR="00FA0945" w:rsidRPr="00DD477A" w:rsidRDefault="00396E7B" w:rsidP="00E548A0">
      <w:pPr>
        <w:pStyle w:val="Heading2"/>
      </w:pPr>
      <w:bookmarkStart w:id="1618" w:name="_Toc160715698"/>
      <w:r>
        <w:t xml:space="preserve">National </w:t>
      </w:r>
      <w:r w:rsidR="53BF0693" w:rsidRPr="00DD477A">
        <w:t>Specific purpose payments</w:t>
      </w:r>
      <w:bookmarkEnd w:id="1618"/>
    </w:p>
    <w:p w14:paraId="6C2CF702" w14:textId="2AF402A2" w:rsidR="00396E7B" w:rsidRDefault="00396E7B" w:rsidP="000A7DEC">
      <w:pPr>
        <w:rPr>
          <w:rFonts w:cs="Calibri"/>
        </w:rPr>
      </w:pPr>
      <w:r>
        <w:rPr>
          <w:rFonts w:cs="Calibri"/>
        </w:rPr>
        <w:t>Are a funding mechanism through which the Australian Government supports state efforts in delivering services in key sectors (e.g. health, schools, skills and training disability services and affordable housing).</w:t>
      </w:r>
    </w:p>
    <w:p w14:paraId="2448D83F" w14:textId="1F2F7393" w:rsidR="00FA0945" w:rsidRPr="00DD477A" w:rsidRDefault="00396E7B" w:rsidP="000A7DEC">
      <w:pPr>
        <w:rPr>
          <w:rFonts w:cs="Calibri"/>
        </w:rPr>
      </w:pPr>
      <w:r>
        <w:rPr>
          <w:rFonts w:cs="Calibri"/>
        </w:rPr>
        <w:t>The C</w:t>
      </w:r>
      <w:r w:rsidR="53BF0693" w:rsidRPr="00DD477A">
        <w:rPr>
          <w:rFonts w:cs="Calibri"/>
        </w:rPr>
        <w:t xml:space="preserve">ommonwealth </w:t>
      </w:r>
      <w:r>
        <w:rPr>
          <w:rFonts w:cs="Calibri"/>
        </w:rPr>
        <w:t xml:space="preserve">makes the </w:t>
      </w:r>
      <w:r w:rsidR="53BF0693" w:rsidRPr="00DD477A">
        <w:rPr>
          <w:rFonts w:cs="Calibri"/>
        </w:rPr>
        <w:t xml:space="preserve">payment to the States for specific purposes in order to pursue important national policy objectives in areas that </w:t>
      </w:r>
      <w:r>
        <w:rPr>
          <w:rFonts w:cs="Calibri"/>
        </w:rPr>
        <w:t>are</w:t>
      </w:r>
      <w:r w:rsidR="53BF0693" w:rsidRPr="00DD477A">
        <w:rPr>
          <w:rFonts w:cs="Calibri"/>
        </w:rPr>
        <w:t xml:space="preserve"> administered by the States.</w:t>
      </w:r>
    </w:p>
    <w:p w14:paraId="199CAFB2" w14:textId="77777777" w:rsidR="00FA0945" w:rsidRPr="00DD477A" w:rsidRDefault="53BF0693" w:rsidP="00E548A0">
      <w:pPr>
        <w:pStyle w:val="Heading2"/>
      </w:pPr>
      <w:bookmarkStart w:id="1619" w:name="_Toc160715699"/>
      <w:r w:rsidRPr="00DD477A">
        <w:t>Sub-function</w:t>
      </w:r>
      <w:bookmarkEnd w:id="1619"/>
    </w:p>
    <w:p w14:paraId="2B0D0C18" w14:textId="77777777" w:rsidR="00FA0945" w:rsidRPr="00DD477A" w:rsidRDefault="53BF0693" w:rsidP="000A7DEC">
      <w:pPr>
        <w:rPr>
          <w:rFonts w:cs="Calibri"/>
        </w:rPr>
      </w:pPr>
      <w:r w:rsidRPr="00DD477A">
        <w:rPr>
          <w:rFonts w:cs="Calibri"/>
        </w:rPr>
        <w:t>Government Finance Statistics classification of government expenses.</w:t>
      </w:r>
    </w:p>
    <w:p w14:paraId="2C526ED3" w14:textId="77777777" w:rsidR="00FA0945" w:rsidRPr="00DD477A" w:rsidRDefault="53BF0693" w:rsidP="00E548A0">
      <w:pPr>
        <w:pStyle w:val="Heading2"/>
      </w:pPr>
      <w:bookmarkStart w:id="1620" w:name="_Toc160715700"/>
      <w:r w:rsidRPr="00DD477A">
        <w:t>Target group</w:t>
      </w:r>
      <w:bookmarkEnd w:id="1620"/>
    </w:p>
    <w:p w14:paraId="717270F6" w14:textId="77777777" w:rsidR="00FA0945" w:rsidRPr="00DD477A" w:rsidRDefault="53BF0693" w:rsidP="000A7DEC">
      <w:pPr>
        <w:rPr>
          <w:rFonts w:cs="Calibri"/>
        </w:rPr>
      </w:pPr>
      <w:r w:rsidRPr="00DD477A">
        <w:rPr>
          <w:rFonts w:cs="Calibri"/>
        </w:rPr>
        <w:t>A specific group being targeted for assistance by government policy.</w:t>
      </w:r>
    </w:p>
    <w:p w14:paraId="4E64852D" w14:textId="77777777" w:rsidR="006A0F01" w:rsidRPr="00DD477A" w:rsidRDefault="53BF0693" w:rsidP="00E548A0">
      <w:pPr>
        <w:pStyle w:val="Heading2"/>
      </w:pPr>
      <w:bookmarkStart w:id="1621" w:name="_Toc160715701"/>
      <w:r w:rsidRPr="00DD477A">
        <w:t>Third party payments</w:t>
      </w:r>
      <w:bookmarkEnd w:id="1621"/>
    </w:p>
    <w:p w14:paraId="0155FA46" w14:textId="08A330E9" w:rsidR="006A0F01" w:rsidRPr="00DD477A" w:rsidRDefault="53BF0693" w:rsidP="000A7DEC">
      <w:pPr>
        <w:rPr>
          <w:rFonts w:cs="Calibri"/>
        </w:rPr>
      </w:pPr>
      <w:r w:rsidRPr="00DD477A">
        <w:rPr>
          <w:rFonts w:cs="Calibri"/>
        </w:rPr>
        <w:t xml:space="preserve">Payments made on behalf of another entity, or by other entities on behalf of the </w:t>
      </w:r>
      <w:r w:rsidR="007F0366" w:rsidRPr="00DD477A">
        <w:rPr>
          <w:rFonts w:cs="Calibri"/>
        </w:rPr>
        <w:t>entity</w:t>
      </w:r>
      <w:r w:rsidRPr="00DD477A">
        <w:rPr>
          <w:rFonts w:cs="Calibri"/>
        </w:rPr>
        <w:t>. For example, payments made in relation to Special Appropriations.</w:t>
      </w:r>
    </w:p>
    <w:p w14:paraId="5A6F0A9F" w14:textId="77777777" w:rsidR="00FA0945" w:rsidRPr="00DD477A" w:rsidRDefault="53BF0693" w:rsidP="00E548A0">
      <w:pPr>
        <w:pStyle w:val="Heading2"/>
      </w:pPr>
      <w:bookmarkStart w:id="1622" w:name="_Toc160715702"/>
      <w:r w:rsidRPr="00DD477A">
        <w:t>Transfer</w:t>
      </w:r>
      <w:bookmarkEnd w:id="1622"/>
    </w:p>
    <w:p w14:paraId="70F762A2" w14:textId="200673F1" w:rsidR="005D3E0C" w:rsidRPr="00DD477A" w:rsidRDefault="53BF0693" w:rsidP="000A7DEC">
      <w:pPr>
        <w:rPr>
          <w:rFonts w:cs="Calibri"/>
        </w:rPr>
      </w:pPr>
      <w:r w:rsidRPr="00DD477A">
        <w:rPr>
          <w:rFonts w:cs="Calibri"/>
        </w:rPr>
        <w:t>Cash paid to recipients of the applicable program</w:t>
      </w:r>
      <w:r w:rsidR="00517E36" w:rsidRPr="00DD477A">
        <w:rPr>
          <w:rFonts w:cs="Calibri"/>
        </w:rPr>
        <w:t>,</w:t>
      </w:r>
      <w:r w:rsidRPr="00DD477A">
        <w:rPr>
          <w:rFonts w:cs="Calibri"/>
        </w:rPr>
        <w:t xml:space="preserve"> includ</w:t>
      </w:r>
      <w:r w:rsidR="00D80BD3" w:rsidRPr="00DD477A">
        <w:rPr>
          <w:rFonts w:cs="Calibri"/>
        </w:rPr>
        <w:t>ing</w:t>
      </w:r>
      <w:r w:rsidRPr="00DD477A">
        <w:rPr>
          <w:rFonts w:cs="Calibri"/>
        </w:rPr>
        <w:t xml:space="preserve"> welfare payments and tax rebates.</w:t>
      </w:r>
    </w:p>
    <w:sectPr w:rsidR="005D3E0C" w:rsidRPr="00DD477A" w:rsidSect="00E73E0E">
      <w:pgSz w:w="11900" w:h="16840" w:code="9"/>
      <w:pgMar w:top="1418" w:right="851" w:bottom="1418" w:left="1418"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096C" w14:textId="77777777" w:rsidR="00E73E0E" w:rsidRDefault="00E73E0E" w:rsidP="00DF7D78">
      <w:r>
        <w:separator/>
      </w:r>
    </w:p>
    <w:p w14:paraId="08FD5BB7" w14:textId="77777777" w:rsidR="00E73E0E" w:rsidRDefault="00E73E0E" w:rsidP="00DF7D78"/>
    <w:p w14:paraId="7AB42909" w14:textId="77777777" w:rsidR="00E73E0E" w:rsidRDefault="00E73E0E" w:rsidP="00DF7D78"/>
    <w:p w14:paraId="6C9728E4" w14:textId="77777777" w:rsidR="00E73E0E" w:rsidRDefault="00E73E0E" w:rsidP="00DF7D78"/>
    <w:p w14:paraId="7E089EF2" w14:textId="77777777" w:rsidR="00E73E0E" w:rsidRDefault="00E73E0E"/>
  </w:endnote>
  <w:endnote w:type="continuationSeparator" w:id="0">
    <w:p w14:paraId="001A0B68" w14:textId="77777777" w:rsidR="00E73E0E" w:rsidRDefault="00E73E0E" w:rsidP="00DF7D78">
      <w:r>
        <w:continuationSeparator/>
      </w:r>
    </w:p>
    <w:p w14:paraId="02344E2E" w14:textId="77777777" w:rsidR="00E73E0E" w:rsidRDefault="00E73E0E" w:rsidP="00DF7D78"/>
    <w:p w14:paraId="2BA7F36F" w14:textId="77777777" w:rsidR="00E73E0E" w:rsidRDefault="00E73E0E" w:rsidP="00DF7D78"/>
    <w:p w14:paraId="6532BE6E" w14:textId="77777777" w:rsidR="00E73E0E" w:rsidRDefault="00E73E0E" w:rsidP="00DF7D78"/>
    <w:p w14:paraId="66C06919" w14:textId="77777777" w:rsidR="00E73E0E" w:rsidRDefault="00E73E0E"/>
  </w:endnote>
  <w:endnote w:type="continuationNotice" w:id="1">
    <w:p w14:paraId="7B69D55B" w14:textId="77777777" w:rsidR="00E73E0E" w:rsidRDefault="00E73E0E">
      <w:pPr>
        <w:spacing w:before="0" w:after="0" w:line="240" w:lineRule="auto"/>
      </w:pPr>
    </w:p>
    <w:p w14:paraId="262AFF9E" w14:textId="77777777" w:rsidR="00E73E0E" w:rsidRDefault="00E73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2636" w14:textId="77777777" w:rsidR="008F2996" w:rsidRDefault="008F2996"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1644" w14:textId="77777777" w:rsidR="008F2996" w:rsidRDefault="008F2996">
    <w:pPr>
      <w:pStyle w:val="Footer"/>
    </w:pPr>
  </w:p>
  <w:sdt>
    <w:sdtPr>
      <w:rPr>
        <w:rStyle w:val="Classification"/>
      </w:rPr>
      <w:alias w:val="Status"/>
      <w:tag w:val=""/>
      <w:id w:val="1675842541"/>
      <w:showingPlcHdr/>
      <w:dataBinding w:prefixMappings="xmlns:ns0='http://purl.org/dc/elements/1.1/' xmlns:ns1='http://schemas.openxmlformats.org/package/2006/metadata/core-properties' " w:xpath="/ns1:coreProperties[1]/ns1:contentStatus[1]" w:storeItemID="{6C3C8BC8-F283-45AE-878A-BAB7291924A1}"/>
      <w:text/>
    </w:sdtPr>
    <w:sdtContent>
      <w:p w14:paraId="1490186E" w14:textId="374E0E78" w:rsidR="008F2996" w:rsidRDefault="00065AE3" w:rsidP="000A6A8B">
        <w:pPr>
          <w:pStyle w:val="Footer"/>
          <w:jc w:val="center"/>
          <w:rPr>
            <w:rStyle w:val="Classification"/>
          </w:rPr>
        </w:pPr>
        <w:r>
          <w:rPr>
            <w:rStyle w:val="Classification"/>
          </w:rPr>
          <w:t xml:space="preserve">     </w:t>
        </w:r>
      </w:p>
    </w:sdtContent>
  </w:sdt>
  <w:p w14:paraId="7705F2D3" w14:textId="77777777" w:rsidR="008F2996" w:rsidRPr="000A6A8B" w:rsidRDefault="008F2996"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4F4C" w14:textId="53374C84" w:rsidR="00AE1D34" w:rsidRPr="00065AE3" w:rsidRDefault="00AE1D34" w:rsidP="00F611EB">
    <w:pPr>
      <w:pStyle w:val="Footer"/>
      <w:tabs>
        <w:tab w:val="clear" w:pos="4513"/>
        <w:tab w:val="clear" w:pos="8819"/>
        <w:tab w:val="clear" w:pos="9026"/>
        <w:tab w:val="center" w:pos="4253"/>
        <w:tab w:val="right" w:pos="9639"/>
      </w:tabs>
      <w:jc w:val="right"/>
      <w:rPr>
        <w:rFonts w:ascii="Arial" w:hAnsi="Arial" w:cs="Arial"/>
        <w:noProof/>
        <w:color w:val="4A3F6E" w:themeColor="accent5" w:themeShade="BF"/>
      </w:rPr>
    </w:pPr>
    <w:r w:rsidRPr="00065AE3">
      <w:rPr>
        <w:rStyle w:val="ArialBlackBlue"/>
        <w:color w:val="4A3F6E" w:themeColor="accent5" w:themeShade="BF"/>
        <w:sz w:val="18"/>
        <w:szCs w:val="18"/>
      </w:rPr>
      <w:t xml:space="preserve">Guide to preparing the </w:t>
    </w:r>
    <w:r w:rsidR="00DE5763" w:rsidRPr="00065AE3">
      <w:rPr>
        <w:rStyle w:val="ArialBlackBlue"/>
        <w:color w:val="4A3F6E" w:themeColor="accent5" w:themeShade="BF"/>
        <w:sz w:val="18"/>
        <w:szCs w:val="18"/>
      </w:rPr>
      <w:t>2024</w:t>
    </w:r>
    <w:r w:rsidRPr="00065AE3">
      <w:rPr>
        <w:rStyle w:val="ArialBlackBlue"/>
        <w:color w:val="4A3F6E" w:themeColor="accent5" w:themeShade="BF"/>
        <w:sz w:val="18"/>
        <w:szCs w:val="18"/>
      </w:rPr>
      <w:t>-</w:t>
    </w:r>
    <w:r w:rsidR="00DE5763" w:rsidRPr="00065AE3">
      <w:rPr>
        <w:rStyle w:val="ArialBlackBlue"/>
        <w:color w:val="4A3F6E" w:themeColor="accent5" w:themeShade="BF"/>
        <w:sz w:val="18"/>
        <w:szCs w:val="18"/>
      </w:rPr>
      <w:t xml:space="preserve">25 </w:t>
    </w:r>
    <w:r w:rsidRPr="00065AE3">
      <w:rPr>
        <w:rStyle w:val="ArialBlackBlue"/>
        <w:color w:val="4A3F6E" w:themeColor="accent5" w:themeShade="BF"/>
        <w:sz w:val="18"/>
        <w:szCs w:val="18"/>
      </w:rPr>
      <w:t>Portfolio Budget Statements</w:t>
    </w:r>
    <w:r w:rsidR="00994760" w:rsidRPr="00065AE3">
      <w:rPr>
        <w:color w:val="4A3F6E" w:themeColor="accent5" w:themeShade="BF"/>
      </w:rPr>
      <w:t xml:space="preserve">  </w:t>
    </w:r>
    <w:r w:rsidRPr="00065AE3">
      <w:rPr>
        <w:rFonts w:ascii="Arial" w:hAnsi="Arial" w:cs="Arial"/>
        <w:color w:val="4A3F6E" w:themeColor="accent5" w:themeShade="BF"/>
      </w:rPr>
      <w:t>|</w:t>
    </w:r>
    <w:r w:rsidR="00994760" w:rsidRPr="00065AE3">
      <w:rPr>
        <w:rFonts w:ascii="Arial" w:hAnsi="Arial" w:cs="Arial"/>
        <w:color w:val="4A3F6E" w:themeColor="accent5" w:themeShade="BF"/>
      </w:rPr>
      <w:t xml:space="preserve">  </w:t>
    </w:r>
    <w:r w:rsidRPr="00065AE3">
      <w:rPr>
        <w:rFonts w:ascii="Arial" w:hAnsi="Arial" w:cs="Arial"/>
        <w:noProof/>
        <w:color w:val="4A3F6E" w:themeColor="accent5" w:themeShade="BF"/>
      </w:rPr>
      <w:fldChar w:fldCharType="begin"/>
    </w:r>
    <w:r w:rsidRPr="00065AE3">
      <w:rPr>
        <w:rFonts w:ascii="Arial" w:hAnsi="Arial" w:cs="Arial"/>
        <w:noProof/>
        <w:color w:val="4A3F6E" w:themeColor="accent5" w:themeShade="BF"/>
      </w:rPr>
      <w:instrText xml:space="preserve"> PAGE   \* MERGEFORMAT </w:instrText>
    </w:r>
    <w:r w:rsidRPr="00065AE3">
      <w:rPr>
        <w:rFonts w:ascii="Arial" w:hAnsi="Arial" w:cs="Arial"/>
        <w:noProof/>
        <w:color w:val="4A3F6E" w:themeColor="accent5" w:themeShade="BF"/>
      </w:rPr>
      <w:fldChar w:fldCharType="separate"/>
    </w:r>
    <w:r w:rsidRPr="00065AE3">
      <w:rPr>
        <w:rFonts w:ascii="Arial" w:hAnsi="Arial" w:cs="Arial"/>
        <w:noProof/>
        <w:color w:val="4A3F6E" w:themeColor="accent5" w:themeShade="BF"/>
      </w:rPr>
      <w:t>5</w:t>
    </w:r>
    <w:r w:rsidRPr="00065AE3">
      <w:rPr>
        <w:rFonts w:ascii="Arial" w:hAnsi="Arial" w:cs="Arial"/>
        <w:noProof/>
        <w:color w:val="4A3F6E" w:themeColor="accent5" w:themeShade="BF"/>
      </w:rPr>
      <w:fldChar w:fldCharType="end"/>
    </w:r>
  </w:p>
  <w:p w14:paraId="45598B54" w14:textId="79EC663C" w:rsidR="000D76A1" w:rsidRDefault="00855F71" w:rsidP="00F611EB">
    <w:pPr>
      <w:pStyle w:val="Header"/>
      <w:ind w:firstLine="0"/>
      <w:jc w:val="left"/>
    </w:pPr>
    <w:r>
      <w:rPr>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E21C" w14:textId="77777777" w:rsidR="006F5B7C" w:rsidRDefault="006F5B7C" w:rsidP="00EE7FD8">
    <w:pPr>
      <w:pStyle w:val="Footer"/>
      <w:jc w:val="right"/>
      <w:rPr>
        <w:rFonts w:ascii="Arial" w:hAnsi="Arial" w:cs="Arial"/>
        <w:noProof/>
      </w:rPr>
    </w:pPr>
    <w:r w:rsidRPr="00065AE3">
      <w:rPr>
        <w:rStyle w:val="ArialBlackBlue"/>
        <w:color w:val="4A3F6E" w:themeColor="accent5" w:themeShade="BF"/>
        <w:sz w:val="18"/>
        <w:szCs w:val="18"/>
      </w:rPr>
      <w:t>Guide to preparing the 2024-25 Portfolio Budget Statements</w:t>
    </w:r>
    <w:r w:rsidRPr="00065AE3">
      <w:rPr>
        <w:color w:val="4A3F6E" w:themeColor="accent5" w:themeShade="BF"/>
      </w:rPr>
      <w:t xml:space="preserve">  </w:t>
    </w:r>
    <w:r w:rsidRPr="53BF0693">
      <w:rPr>
        <w:rFonts w:ascii="Arial" w:hAnsi="Arial" w:cs="Arial"/>
      </w:rPr>
      <w:t>|</w:t>
    </w:r>
    <w:r>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9</w:t>
    </w:r>
    <w:r w:rsidRPr="53BF0693">
      <w:rPr>
        <w:rFonts w:ascii="Arial" w:hAnsi="Arial" w:cs="Arial"/>
        <w:noProof/>
      </w:rPr>
      <w:fldChar w:fldCharType="end"/>
    </w:r>
  </w:p>
  <w:p w14:paraId="350E0C3D" w14:textId="77777777" w:rsidR="006F5B7C" w:rsidRDefault="006F5B7C" w:rsidP="00F611EB">
    <w:pPr>
      <w:pStyle w:val="Header"/>
      <w:ind w:firstLine="0"/>
      <w:jc w:val="left"/>
    </w:pP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FEF9" w14:textId="04E5E7D5" w:rsidR="00EE7FD8" w:rsidRDefault="00EE7FD8" w:rsidP="00EE7FD8">
    <w:pPr>
      <w:pStyle w:val="Footer"/>
      <w:jc w:val="right"/>
      <w:rPr>
        <w:rFonts w:ascii="Arial" w:hAnsi="Arial" w:cs="Arial"/>
        <w:noProof/>
      </w:rPr>
    </w:pPr>
    <w:r w:rsidRPr="00065AE3">
      <w:rPr>
        <w:rStyle w:val="ArialBlackBlue"/>
        <w:color w:val="4A3F6E" w:themeColor="accent5" w:themeShade="BF"/>
        <w:sz w:val="18"/>
        <w:szCs w:val="18"/>
      </w:rPr>
      <w:t>Guide to preparing the 202</w:t>
    </w:r>
    <w:r w:rsidR="00A60BDE" w:rsidRPr="00065AE3">
      <w:rPr>
        <w:rStyle w:val="ArialBlackBlue"/>
        <w:color w:val="4A3F6E" w:themeColor="accent5" w:themeShade="BF"/>
        <w:sz w:val="18"/>
        <w:szCs w:val="18"/>
      </w:rPr>
      <w:t>4</w:t>
    </w:r>
    <w:r w:rsidRPr="00065AE3">
      <w:rPr>
        <w:rStyle w:val="ArialBlackBlue"/>
        <w:color w:val="4A3F6E" w:themeColor="accent5" w:themeShade="BF"/>
        <w:sz w:val="18"/>
        <w:szCs w:val="18"/>
      </w:rPr>
      <w:t>-2</w:t>
    </w:r>
    <w:r w:rsidR="00A60BDE" w:rsidRPr="00065AE3">
      <w:rPr>
        <w:rStyle w:val="ArialBlackBlue"/>
        <w:color w:val="4A3F6E" w:themeColor="accent5" w:themeShade="BF"/>
        <w:sz w:val="18"/>
        <w:szCs w:val="18"/>
      </w:rPr>
      <w:t>5</w:t>
    </w:r>
    <w:r w:rsidRPr="00065AE3">
      <w:rPr>
        <w:rStyle w:val="ArialBlackBlue"/>
        <w:color w:val="4A3F6E" w:themeColor="accent5" w:themeShade="BF"/>
        <w:sz w:val="18"/>
        <w:szCs w:val="18"/>
      </w:rPr>
      <w:t xml:space="preserve"> Portfolio Budget Statements</w:t>
    </w:r>
    <w:r w:rsidR="00994760">
      <w:t xml:space="preserve">  </w:t>
    </w:r>
    <w:r w:rsidRPr="53BF0693">
      <w:rPr>
        <w:rFonts w:ascii="Arial" w:hAnsi="Arial" w:cs="Arial"/>
      </w:rPr>
      <w:t>|</w:t>
    </w:r>
    <w:r w:rsidR="00994760">
      <w:rPr>
        <w:rFonts w:ascii="Arial" w:hAnsi="Arial" w:cs="Arial"/>
      </w:rPr>
      <w:t xml:space="preserve">  </w:t>
    </w:r>
    <w:r w:rsidRPr="53BF0693">
      <w:rPr>
        <w:rFonts w:ascii="Arial" w:hAnsi="Arial" w:cs="Arial"/>
        <w:noProof/>
      </w:rPr>
      <w:fldChar w:fldCharType="begin"/>
    </w:r>
    <w:r w:rsidRPr="53BF0693">
      <w:rPr>
        <w:rFonts w:ascii="Arial" w:hAnsi="Arial" w:cs="Arial"/>
        <w:noProof/>
      </w:rPr>
      <w:instrText xml:space="preserve"> PAGE   \* MERGEFORMAT </w:instrText>
    </w:r>
    <w:r w:rsidRPr="53BF0693">
      <w:rPr>
        <w:rFonts w:ascii="Arial" w:hAnsi="Arial" w:cs="Arial"/>
        <w:noProof/>
      </w:rPr>
      <w:fldChar w:fldCharType="separate"/>
    </w:r>
    <w:r>
      <w:rPr>
        <w:rFonts w:ascii="Arial" w:hAnsi="Arial" w:cs="Arial"/>
        <w:noProof/>
      </w:rPr>
      <w:t>9</w:t>
    </w:r>
    <w:r w:rsidRPr="53BF0693">
      <w:rPr>
        <w:rFonts w:ascii="Arial" w:hAnsi="Arial" w:cs="Arial"/>
        <w:noProof/>
      </w:rPr>
      <w:fldChar w:fldCharType="end"/>
    </w:r>
  </w:p>
  <w:p w14:paraId="1CD6BC2C" w14:textId="02FB8703" w:rsidR="000D76A1" w:rsidRDefault="00EE7FD8" w:rsidP="00F611EB">
    <w:pPr>
      <w:pStyle w:val="Header"/>
      <w:ind w:firstLine="0"/>
      <w:jc w:val="left"/>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38CD" w14:textId="77777777" w:rsidR="00E73E0E" w:rsidRDefault="00E73E0E" w:rsidP="00DF7D78"/>
    <w:p w14:paraId="13A4FBC6" w14:textId="77777777" w:rsidR="00E73E0E" w:rsidRDefault="00E73E0E" w:rsidP="00DF7D78"/>
    <w:p w14:paraId="3B5B929A" w14:textId="77777777" w:rsidR="00E73E0E" w:rsidRDefault="00E73E0E" w:rsidP="00DF7D78"/>
    <w:p w14:paraId="4313F636" w14:textId="77777777" w:rsidR="00E73E0E" w:rsidRDefault="00E73E0E"/>
  </w:footnote>
  <w:footnote w:type="continuationSeparator" w:id="0">
    <w:p w14:paraId="7EA1CEFC" w14:textId="77777777" w:rsidR="00E73E0E" w:rsidRDefault="00E73E0E" w:rsidP="00DF7D78">
      <w:r>
        <w:continuationSeparator/>
      </w:r>
    </w:p>
    <w:p w14:paraId="208E8645" w14:textId="77777777" w:rsidR="00E73E0E" w:rsidRDefault="00E73E0E" w:rsidP="00DF7D78"/>
    <w:p w14:paraId="16C1CE20" w14:textId="77777777" w:rsidR="00E73E0E" w:rsidRDefault="00E73E0E" w:rsidP="00DF7D78"/>
    <w:p w14:paraId="240D58ED" w14:textId="77777777" w:rsidR="00E73E0E" w:rsidRDefault="00E73E0E" w:rsidP="00DF7D78"/>
    <w:p w14:paraId="2F193186" w14:textId="77777777" w:rsidR="00E73E0E" w:rsidRDefault="00E73E0E"/>
  </w:footnote>
  <w:footnote w:type="continuationNotice" w:id="1">
    <w:p w14:paraId="798E2F72" w14:textId="77777777" w:rsidR="00E73E0E" w:rsidRDefault="00E73E0E">
      <w:pPr>
        <w:spacing w:before="0" w:after="0" w:line="240" w:lineRule="auto"/>
      </w:pPr>
    </w:p>
    <w:p w14:paraId="5EBF26D1" w14:textId="77777777" w:rsidR="00E73E0E" w:rsidRDefault="00E73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19EF0" w14:textId="77777777" w:rsidR="008F2996" w:rsidRDefault="00000000">
    <w:pPr>
      <w:pStyle w:val="Header"/>
    </w:pPr>
    <w:r>
      <w:rPr>
        <w:noProof/>
      </w:rPr>
      <w:pict w14:anchorId="780D4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0.9pt;margin-top:-28.25pt;width:596.25pt;height:842.15pt;z-index:-251651072;mso-position-horizontal-relative:text;mso-position-vertical-relative:text;mso-width-relative:page;mso-height-relative:page">
          <v:imagedata r:id="rId1" o:title="Long word cover_purp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8007" w14:textId="6011F1F2" w:rsidR="000D76A1" w:rsidRPr="00F611EB" w:rsidRDefault="00AE1D34" w:rsidP="00323568">
    <w:pPr>
      <w:pStyle w:val="Header"/>
      <w:tabs>
        <w:tab w:val="clear" w:pos="7655"/>
        <w:tab w:val="right" w:pos="9637"/>
      </w:tabs>
      <w:jc w:val="right"/>
      <w:rPr>
        <w:noProof/>
        <w:sz w:val="16"/>
        <w:szCs w:val="16"/>
      </w:rPr>
    </w:pPr>
    <w:r w:rsidRPr="006A429C">
      <w:rPr>
        <w:sz w:val="16"/>
        <w:szCs w:val="16"/>
      </w:rPr>
      <w:tab/>
    </w:r>
    <w:r w:rsidR="00323568" w:rsidRPr="00681881">
      <w:rPr>
        <w:sz w:val="18"/>
      </w:rPr>
      <w:t>Agency Guidance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566C" w14:textId="0AA0C9B1" w:rsidR="000D76A1" w:rsidRDefault="000D76A1" w:rsidP="00CB050D">
    <w:pPr>
      <w:pStyle w:val="Header"/>
    </w:pPr>
    <w:r>
      <w:rPr>
        <w:noProof/>
        <w:lang w:eastAsia="en-AU"/>
      </w:rPr>
      <mc:AlternateContent>
        <mc:Choice Requires="wps">
          <w:drawing>
            <wp:anchor distT="0" distB="0" distL="0" distR="0" simplePos="0" relativeHeight="251661312" behindDoc="0" locked="0" layoutInCell="1" allowOverlap="1" wp14:anchorId="55663316" wp14:editId="170F71E8">
              <wp:simplePos x="635" y="635"/>
              <wp:positionH relativeFrom="page">
                <wp:align>center</wp:align>
              </wp:positionH>
              <wp:positionV relativeFrom="page">
                <wp:align>top</wp:align>
              </wp:positionV>
              <wp:extent cx="443865" cy="443865"/>
              <wp:effectExtent l="0" t="0" r="635" b="10795"/>
              <wp:wrapNone/>
              <wp:docPr id="1765365427" name="Text Box 17653654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BC0DDA" w14:textId="566C6299"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663316" id="_x0000_t202" coordsize="21600,21600" o:spt="202" path="m,l,21600r21600,l21600,xe">
              <v:stroke joinstyle="miter"/>
              <v:path gradientshapeok="t" o:connecttype="rect"/>
            </v:shapetype>
            <v:shape id="Text Box 1765365427" o:spid="_x0000_s1035"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1BC0DDA" w14:textId="566C6299"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59BD4D37" w14:textId="77777777" w:rsidR="000D76A1" w:rsidRDefault="000D76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ECC4" w14:textId="128FF245" w:rsidR="008F2996" w:rsidRDefault="00000000" w:rsidP="000A6A8B">
    <w:pPr>
      <w:pStyle w:val="Header"/>
    </w:pPr>
    <w:r>
      <w:rPr>
        <w:noProof/>
      </w:rPr>
      <w:pict w14:anchorId="31A3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9pt;margin-top:-28.4pt;width:596.15pt;height:842.95pt;z-index:-251652096;mso-position-horizontal-relative:text;mso-position-vertical-relative:text;mso-width-relative:page;mso-height-relative:page">
          <v:imagedata r:id="rId1" o:title="Long word cover_blue"/>
        </v:shape>
      </w:pict>
    </w:r>
    <w:sdt>
      <w:sdtPr>
        <w:rPr>
          <w:rStyle w:val="Classification"/>
        </w:rPr>
        <w:alias w:val="Status"/>
        <w:tag w:val=""/>
        <w:id w:val="1135987026"/>
        <w:showingPlcHdr/>
        <w:dataBinding w:prefixMappings="xmlns:ns0='http://purl.org/dc/elements/1.1/' xmlns:ns1='http://schemas.openxmlformats.org/package/2006/metadata/core-properties' " w:xpath="/ns1:coreProperties[1]/ns1:contentStatus[1]" w:storeItemID="{6C3C8BC8-F283-45AE-878A-BAB7291924A1}"/>
        <w:text/>
      </w:sdtPr>
      <w:sdtContent>
        <w:r w:rsidR="00065AE3">
          <w:rPr>
            <w:rStyle w:val="Classification"/>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D4C3" w14:textId="6B9DEF87" w:rsidR="006E6CBD" w:rsidRPr="006A429C" w:rsidRDefault="006E6CBD" w:rsidP="006E6CBD">
    <w:pPr>
      <w:pStyle w:val="Header"/>
      <w:tabs>
        <w:tab w:val="clear" w:pos="7655"/>
        <w:tab w:val="right" w:pos="9637"/>
      </w:tabs>
      <w:jc w:val="left"/>
      <w:rPr>
        <w:sz w:val="16"/>
        <w:szCs w:val="16"/>
      </w:rPr>
    </w:pPr>
    <w:r w:rsidRPr="006A429C">
      <w:rPr>
        <w:sz w:val="16"/>
        <w:szCs w:val="16"/>
      </w:rPr>
      <w:t>OFFICIAL</w:t>
    </w:r>
    <w:r w:rsidR="00994760">
      <w:rPr>
        <w:sz w:val="16"/>
        <w:szCs w:val="16"/>
      </w:rPr>
      <w:t xml:space="preserve"> </w:t>
    </w:r>
    <w:r w:rsidRPr="006A429C">
      <w:rPr>
        <w:sz w:val="16"/>
        <w:szCs w:val="16"/>
      </w:rPr>
      <w:tab/>
      <w:t>Department of Finance</w:t>
    </w:r>
    <w:r w:rsidRPr="006A429C">
      <w:rPr>
        <w:sz w:val="16"/>
        <w:szCs w:val="16"/>
      </w:rPr>
      <w:tab/>
    </w:r>
    <w:r w:rsidRPr="006A429C">
      <w:rPr>
        <w:sz w:val="16"/>
        <w:szCs w:val="16"/>
      </w:rPr>
      <w:tab/>
      <w:t>Attachment</w:t>
    </w:r>
    <w:r w:rsidRPr="006A429C">
      <w:rPr>
        <w:noProof/>
        <w:sz w:val="16"/>
        <w:szCs w:val="16"/>
      </w:rPr>
      <w:t xml:space="preserve"> A</w:t>
    </w:r>
  </w:p>
  <w:p w14:paraId="4C95397A" w14:textId="1843F079" w:rsidR="000D76A1" w:rsidRDefault="000D76A1" w:rsidP="00CB05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06D0" w14:textId="62C460F1" w:rsidR="00323568" w:rsidRPr="00681881" w:rsidRDefault="00C64A1A" w:rsidP="00323568">
    <w:pPr>
      <w:spacing w:before="0" w:after="0" w:line="240" w:lineRule="auto"/>
      <w:ind w:left="3181" w:hanging="771"/>
      <w:jc w:val="right"/>
      <w:rPr>
        <w:sz w:val="18"/>
      </w:rPr>
    </w:pPr>
    <w:r w:rsidRPr="00F611EB">
      <w:rPr>
        <w:sz w:val="16"/>
        <w:szCs w:val="16"/>
      </w:rPr>
      <w:tab/>
    </w:r>
    <w:r w:rsidR="00323568" w:rsidRPr="00681881">
      <w:rPr>
        <w:sz w:val="18"/>
      </w:rPr>
      <w:t>Agency Guidance</w:t>
    </w:r>
  </w:p>
  <w:p w14:paraId="68F7A2B1" w14:textId="798A2310" w:rsidR="000D76A1" w:rsidRPr="00F611EB" w:rsidRDefault="000D76A1" w:rsidP="00F611EB">
    <w:pPr>
      <w:pStyle w:val="Header"/>
      <w:tabs>
        <w:tab w:val="clear" w:pos="7655"/>
        <w:tab w:val="right" w:pos="9637"/>
      </w:tabs>
      <w:jc w:val="lef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3026" w14:textId="5FE53121" w:rsidR="000D76A1" w:rsidRDefault="000D76A1" w:rsidP="00CB050D">
    <w:pPr>
      <w:pStyle w:val="Header"/>
    </w:pPr>
    <w:r>
      <w:rPr>
        <w:noProof/>
        <w:lang w:eastAsia="en-AU"/>
      </w:rPr>
      <mc:AlternateContent>
        <mc:Choice Requires="wps">
          <w:drawing>
            <wp:anchor distT="0" distB="0" distL="0" distR="0" simplePos="0" relativeHeight="251657216" behindDoc="0" locked="0" layoutInCell="1" allowOverlap="1" wp14:anchorId="769A960D" wp14:editId="7353C5EF">
              <wp:simplePos x="635" y="635"/>
              <wp:positionH relativeFrom="page">
                <wp:align>center</wp:align>
              </wp:positionH>
              <wp:positionV relativeFrom="page">
                <wp:align>top</wp:align>
              </wp:positionV>
              <wp:extent cx="443865" cy="443865"/>
              <wp:effectExtent l="0" t="0" r="635" b="10795"/>
              <wp:wrapNone/>
              <wp:docPr id="13"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4F201C" w14:textId="058FA90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9A960D" id="_x0000_t202" coordsize="21600,21600" o:spt="202" path="m,l,21600r21600,l21600,xe">
              <v:stroke joinstyle="miter"/>
              <v:path gradientshapeok="t" o:connecttype="rect"/>
            </v:shapetype>
            <v:shape id="Text Box 13" o:spid="_x0000_s1031" type="#_x0000_t202" alt="OFFICIAL"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4F201C" w14:textId="058FA905"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BE7E" w14:textId="77777777" w:rsidR="006F5B7C" w:rsidRDefault="006F5B7C" w:rsidP="00CB050D">
    <w:pPr>
      <w:pStyle w:val="Header"/>
    </w:pPr>
    <w:r>
      <w:rPr>
        <w:noProof/>
        <w:lang w:eastAsia="en-AU"/>
      </w:rPr>
      <mc:AlternateContent>
        <mc:Choice Requires="wps">
          <w:drawing>
            <wp:anchor distT="0" distB="0" distL="0" distR="0" simplePos="0" relativeHeight="251659264" behindDoc="0" locked="0" layoutInCell="1" allowOverlap="1" wp14:anchorId="1D45DBDC" wp14:editId="1C10499C">
              <wp:simplePos x="635" y="635"/>
              <wp:positionH relativeFrom="page">
                <wp:align>center</wp:align>
              </wp:positionH>
              <wp:positionV relativeFrom="page">
                <wp:align>top</wp:align>
              </wp:positionV>
              <wp:extent cx="443865" cy="443865"/>
              <wp:effectExtent l="0" t="0" r="635" b="10795"/>
              <wp:wrapNone/>
              <wp:docPr id="995857364" name="Text Box 99585736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4B00F0"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45DBDC" id="_x0000_t202" coordsize="21600,21600" o:spt="202" path="m,l,21600r21600,l21600,xe">
              <v:stroke joinstyle="miter"/>
              <v:path gradientshapeok="t" o:connecttype="rect"/>
            </v:shapetype>
            <v:shape id="Text Box 995857364" o:spid="_x0000_s1032" type="#_x0000_t202" alt="OFFI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34B00F0"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2296A3A9" w14:textId="77777777" w:rsidR="006F5B7C" w:rsidRDefault="006F5B7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5E12" w14:textId="751BE4E4" w:rsidR="00323568" w:rsidRPr="00681881" w:rsidRDefault="006F5B7C" w:rsidP="00323568">
    <w:pPr>
      <w:spacing w:before="0" w:after="0" w:line="240" w:lineRule="auto"/>
      <w:ind w:left="3181" w:hanging="771"/>
      <w:jc w:val="right"/>
      <w:rPr>
        <w:sz w:val="18"/>
      </w:rPr>
    </w:pPr>
    <w:r w:rsidRPr="006A429C">
      <w:rPr>
        <w:sz w:val="16"/>
        <w:szCs w:val="16"/>
      </w:rPr>
      <w:tab/>
    </w:r>
    <w:r w:rsidR="00323568" w:rsidRPr="00681881">
      <w:rPr>
        <w:sz w:val="18"/>
      </w:rPr>
      <w:t>Agency Guidance</w:t>
    </w:r>
  </w:p>
  <w:p w14:paraId="04F32912" w14:textId="6572AEEE" w:rsidR="006F5B7C" w:rsidRPr="00F611EB" w:rsidRDefault="006F5B7C" w:rsidP="00323568">
    <w:pPr>
      <w:pStyle w:val="Header"/>
      <w:tabs>
        <w:tab w:val="clear" w:pos="7655"/>
        <w:tab w:val="right" w:pos="9637"/>
      </w:tabs>
      <w:jc w:val="left"/>
      <w:rPr>
        <w:noProof/>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51D8" w14:textId="77777777" w:rsidR="006F5B7C" w:rsidRDefault="006F5B7C" w:rsidP="00CB050D">
    <w:pPr>
      <w:pStyle w:val="Header"/>
    </w:pPr>
    <w:r>
      <w:rPr>
        <w:noProof/>
        <w:lang w:eastAsia="en-AU"/>
      </w:rPr>
      <mc:AlternateContent>
        <mc:Choice Requires="wps">
          <w:drawing>
            <wp:anchor distT="0" distB="0" distL="0" distR="0" simplePos="0" relativeHeight="251658240" behindDoc="0" locked="0" layoutInCell="1" allowOverlap="1" wp14:anchorId="37E4B279" wp14:editId="5B9FACC3">
              <wp:simplePos x="635" y="635"/>
              <wp:positionH relativeFrom="page">
                <wp:align>center</wp:align>
              </wp:positionH>
              <wp:positionV relativeFrom="page">
                <wp:align>top</wp:align>
              </wp:positionV>
              <wp:extent cx="443865" cy="443865"/>
              <wp:effectExtent l="0" t="0" r="635" b="10795"/>
              <wp:wrapNone/>
              <wp:docPr id="462761604" name="Text Box 46276160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062778"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4B279" id="_x0000_t202" coordsize="21600,21600" o:spt="202" path="m,l,21600r21600,l21600,xe">
              <v:stroke joinstyle="miter"/>
              <v:path gradientshapeok="t" o:connecttype="rect"/>
            </v:shapetype>
            <v:shape id="Text Box 462761604" o:spid="_x0000_s1033"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0062778" w14:textId="77777777" w:rsidR="006F5B7C" w:rsidRPr="00F611EB" w:rsidRDefault="006F5B7C"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77138BFB" w14:textId="77777777" w:rsidR="006F5B7C" w:rsidRDefault="006F5B7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3DDD" w14:textId="5BEBC69D" w:rsidR="000D76A1" w:rsidRDefault="000D76A1" w:rsidP="00CB050D">
    <w:pPr>
      <w:pStyle w:val="Header"/>
    </w:pPr>
    <w:r>
      <w:rPr>
        <w:noProof/>
        <w:lang w:eastAsia="en-AU"/>
      </w:rPr>
      <mc:AlternateContent>
        <mc:Choice Requires="wps">
          <w:drawing>
            <wp:anchor distT="0" distB="0" distL="0" distR="0" simplePos="0" relativeHeight="251660288" behindDoc="0" locked="0" layoutInCell="1" allowOverlap="1" wp14:anchorId="7F2F6F51" wp14:editId="4E97F512">
              <wp:simplePos x="635" y="635"/>
              <wp:positionH relativeFrom="page">
                <wp:align>center</wp:align>
              </wp:positionH>
              <wp:positionV relativeFrom="page">
                <wp:align>top</wp:align>
              </wp:positionV>
              <wp:extent cx="443865" cy="443865"/>
              <wp:effectExtent l="0" t="0" r="635" b="10795"/>
              <wp:wrapNone/>
              <wp:docPr id="1622730181" name="Text Box 16227301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6F4DA4" w14:textId="6F02843C"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F6F51" id="_x0000_t202" coordsize="21600,21600" o:spt="202" path="m,l,21600r21600,l21600,xe">
              <v:stroke joinstyle="miter"/>
              <v:path gradientshapeok="t" o:connecttype="rect"/>
            </v:shapetype>
            <v:shape id="Text Box 1622730181" o:spid="_x0000_s1034"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E6F4DA4" w14:textId="6F02843C" w:rsidR="000D76A1" w:rsidRPr="00F611EB" w:rsidRDefault="000D76A1" w:rsidP="00F611EB">
                    <w:pPr>
                      <w:spacing w:after="0"/>
                      <w:rPr>
                        <w:rFonts w:eastAsia="Calibri" w:cs="Calibri"/>
                        <w:noProof/>
                        <w:color w:val="FF0000"/>
                        <w:sz w:val="24"/>
                        <w:szCs w:val="24"/>
                      </w:rPr>
                    </w:pPr>
                    <w:r w:rsidRPr="00F611EB">
                      <w:rPr>
                        <w:rFonts w:eastAsia="Calibri" w:cs="Calibri"/>
                        <w:noProof/>
                        <w:color w:val="FF0000"/>
                        <w:sz w:val="24"/>
                        <w:szCs w:val="24"/>
                      </w:rPr>
                      <w:t>OFFICIAL</w:t>
                    </w:r>
                  </w:p>
                </w:txbxContent>
              </v:textbox>
              <w10:wrap anchorx="page" anchory="page"/>
            </v:shape>
          </w:pict>
        </mc:Fallback>
      </mc:AlternateContent>
    </w:r>
  </w:p>
  <w:p w14:paraId="31F03368" w14:textId="77777777" w:rsidR="000D76A1" w:rsidRDefault="000D76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BA4E6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E26229A"/>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48925B3"/>
    <w:multiLevelType w:val="hybridMultilevel"/>
    <w:tmpl w:val="5736359E"/>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7D689F96">
      <w:start w:val="1"/>
      <w:numFmt w:val="bullet"/>
      <w:pStyle w:val="Bullet4"/>
      <w:lvlText w:val="»"/>
      <w:lvlJc w:val="left"/>
      <w:pPr>
        <w:ind w:left="2256" w:hanging="360"/>
      </w:pPr>
      <w:rPr>
        <w:rFonts w:ascii="Arial" w:hAnsi="Arial" w:hint="default"/>
      </w:rPr>
    </w:lvl>
    <w:lvl w:ilvl="3" w:tplc="0C090001">
      <w:start w:val="1"/>
      <w:numFmt w:val="bullet"/>
      <w:lvlText w:val=""/>
      <w:lvlJc w:val="left"/>
      <w:pPr>
        <w:ind w:left="2976" w:hanging="360"/>
      </w:pPr>
      <w:rPr>
        <w:rFonts w:ascii="Symbol" w:hAnsi="Symbo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5" w15:restartNumberingAfterBreak="0">
    <w:nsid w:val="06215270"/>
    <w:multiLevelType w:val="hybridMultilevel"/>
    <w:tmpl w:val="4DE6E34A"/>
    <w:lvl w:ilvl="0" w:tplc="5360F4B6">
      <w:start w:val="1"/>
      <w:numFmt w:val="bullet"/>
      <w:pStyle w:val="Bullet3"/>
      <w:lvlText w:val=""/>
      <w:lvlJc w:val="left"/>
      <w:pPr>
        <w:ind w:left="1571" w:hanging="360"/>
      </w:pPr>
      <w:rPr>
        <w:rFonts w:ascii="Symbol" w:hAnsi="Symbol" w:hint="default"/>
      </w:rPr>
    </w:lvl>
    <w:lvl w:ilvl="1" w:tplc="C120A18A">
      <w:numFmt w:val="bullet"/>
      <w:lvlText w:val="-"/>
      <w:lvlJc w:val="left"/>
      <w:pPr>
        <w:ind w:left="720" w:hanging="360"/>
      </w:pPr>
      <w:rPr>
        <w:rFonts w:ascii="Calibri" w:eastAsiaTheme="minorHAnsi" w:hAnsi="Calibri" w:cs="Calibri"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0A2F6B80"/>
    <w:multiLevelType w:val="multilevel"/>
    <w:tmpl w:val="FC9ECCC4"/>
    <w:styleLink w:val="Numberedlist"/>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C4C6C25"/>
    <w:multiLevelType w:val="hybridMultilevel"/>
    <w:tmpl w:val="C8145CAC"/>
    <w:lvl w:ilvl="0" w:tplc="0C090001">
      <w:start w:val="1"/>
      <w:numFmt w:val="bullet"/>
      <w:lvlText w:val=""/>
      <w:lvlJc w:val="left"/>
      <w:pPr>
        <w:ind w:left="816" w:hanging="360"/>
      </w:pPr>
      <w:rPr>
        <w:rFonts w:ascii="Symbol" w:hAnsi="Symbol" w:hint="default"/>
      </w:rPr>
    </w:lvl>
    <w:lvl w:ilvl="1" w:tplc="0C090003">
      <w:start w:val="1"/>
      <w:numFmt w:val="bullet"/>
      <w:lvlText w:val="o"/>
      <w:lvlJc w:val="left"/>
      <w:pPr>
        <w:ind w:left="1536" w:hanging="360"/>
      </w:pPr>
      <w:rPr>
        <w:rFonts w:ascii="Courier New" w:hAnsi="Courier New" w:cs="Courier New" w:hint="default"/>
      </w:rPr>
    </w:lvl>
    <w:lvl w:ilvl="2" w:tplc="0C090005">
      <w:start w:val="1"/>
      <w:numFmt w:val="bullet"/>
      <w:lvlText w:val=""/>
      <w:lvlJc w:val="left"/>
      <w:pPr>
        <w:ind w:left="2256" w:hanging="360"/>
      </w:pPr>
      <w:rPr>
        <w:rFonts w:ascii="Wingdings" w:hAnsi="Wingdings" w:hint="default"/>
      </w:rPr>
    </w:lvl>
    <w:lvl w:ilvl="3" w:tplc="A25650F0">
      <w:start w:val="1"/>
      <w:numFmt w:val="bullet"/>
      <w:pStyle w:val="Bullet5"/>
      <w:lvlText w:val="▫"/>
      <w:lvlJc w:val="left"/>
      <w:pPr>
        <w:ind w:left="2976" w:hanging="360"/>
      </w:pPr>
      <w:rPr>
        <w:rFonts w:ascii="Arial" w:hAnsi="Arial" w:hint="default"/>
      </w:rPr>
    </w:lvl>
    <w:lvl w:ilvl="4" w:tplc="0C090003" w:tentative="1">
      <w:start w:val="1"/>
      <w:numFmt w:val="bullet"/>
      <w:lvlText w:val="o"/>
      <w:lvlJc w:val="left"/>
      <w:pPr>
        <w:ind w:left="3696" w:hanging="360"/>
      </w:pPr>
      <w:rPr>
        <w:rFonts w:ascii="Courier New" w:hAnsi="Courier New" w:cs="Courier New" w:hint="default"/>
      </w:rPr>
    </w:lvl>
    <w:lvl w:ilvl="5" w:tplc="0C090005" w:tentative="1">
      <w:start w:val="1"/>
      <w:numFmt w:val="bullet"/>
      <w:lvlText w:val=""/>
      <w:lvlJc w:val="left"/>
      <w:pPr>
        <w:ind w:left="4416" w:hanging="360"/>
      </w:pPr>
      <w:rPr>
        <w:rFonts w:ascii="Wingdings" w:hAnsi="Wingdings" w:hint="default"/>
      </w:rPr>
    </w:lvl>
    <w:lvl w:ilvl="6" w:tplc="0C090001" w:tentative="1">
      <w:start w:val="1"/>
      <w:numFmt w:val="bullet"/>
      <w:lvlText w:val=""/>
      <w:lvlJc w:val="left"/>
      <w:pPr>
        <w:ind w:left="5136" w:hanging="360"/>
      </w:pPr>
      <w:rPr>
        <w:rFonts w:ascii="Symbol" w:hAnsi="Symbol" w:hint="default"/>
      </w:rPr>
    </w:lvl>
    <w:lvl w:ilvl="7" w:tplc="0C090003" w:tentative="1">
      <w:start w:val="1"/>
      <w:numFmt w:val="bullet"/>
      <w:lvlText w:val="o"/>
      <w:lvlJc w:val="left"/>
      <w:pPr>
        <w:ind w:left="5856" w:hanging="360"/>
      </w:pPr>
      <w:rPr>
        <w:rFonts w:ascii="Courier New" w:hAnsi="Courier New" w:cs="Courier New" w:hint="default"/>
      </w:rPr>
    </w:lvl>
    <w:lvl w:ilvl="8" w:tplc="0C090005" w:tentative="1">
      <w:start w:val="1"/>
      <w:numFmt w:val="bullet"/>
      <w:lvlText w:val=""/>
      <w:lvlJc w:val="left"/>
      <w:pPr>
        <w:ind w:left="6576" w:hanging="360"/>
      </w:pPr>
      <w:rPr>
        <w:rFonts w:ascii="Wingdings" w:hAnsi="Wingdings" w:hint="default"/>
      </w:rPr>
    </w:lvl>
  </w:abstractNum>
  <w:abstractNum w:abstractNumId="8"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5B24BE"/>
    <w:multiLevelType w:val="hybridMultilevel"/>
    <w:tmpl w:val="26F62A6E"/>
    <w:lvl w:ilvl="0" w:tplc="103E7990">
      <w:start w:val="1"/>
      <w:numFmt w:val="bullet"/>
      <w:pStyle w:val="Boxed2Text-Bullet1"/>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1" w15:restartNumberingAfterBreak="0">
    <w:nsid w:val="1EC350DE"/>
    <w:multiLevelType w:val="multilevel"/>
    <w:tmpl w:val="887C7146"/>
    <w:lvl w:ilvl="0">
      <w:start w:val="1"/>
      <w:numFmt w:val="decimal"/>
      <w:pStyle w:val="OutlineNumbered1"/>
      <w:lvlText w:val="%1."/>
      <w:lvlJc w:val="left"/>
      <w:pPr>
        <w:tabs>
          <w:tab w:val="num" w:pos="425"/>
        </w:tabs>
        <w:ind w:left="425" w:hanging="425"/>
      </w:pPr>
    </w:lvl>
    <w:lvl w:ilvl="1">
      <w:start w:val="1"/>
      <w:numFmt w:val="decimal"/>
      <w:pStyle w:val="OutlineNumbered2"/>
      <w:lvlText w:val="%1.%2."/>
      <w:lvlJc w:val="left"/>
      <w:pPr>
        <w:tabs>
          <w:tab w:val="num" w:pos="850"/>
        </w:tabs>
        <w:ind w:left="850" w:hanging="425"/>
      </w:pPr>
    </w:lvl>
    <w:lvl w:ilvl="2">
      <w:start w:val="1"/>
      <w:numFmt w:val="decimal"/>
      <w:pStyle w:val="OutlineNumbered3"/>
      <w:lvlText w:val="%1.%2.%3."/>
      <w:lvlJc w:val="left"/>
      <w:pPr>
        <w:tabs>
          <w:tab w:val="num" w:pos="1275"/>
        </w:tabs>
        <w:ind w:left="1275"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1492C"/>
    <w:multiLevelType w:val="hybridMultilevel"/>
    <w:tmpl w:val="0C183610"/>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776BDC"/>
    <w:multiLevelType w:val="hybridMultilevel"/>
    <w:tmpl w:val="FCF637FE"/>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4214C9"/>
    <w:multiLevelType w:val="multilevel"/>
    <w:tmpl w:val="15BC10E0"/>
    <w:styleLink w:val="Bullets"/>
    <w:lvl w:ilvl="0">
      <w:start w:val="1"/>
      <w:numFmt w:val="bullet"/>
      <w:lvlText w:val="•"/>
      <w:lvlJc w:val="left"/>
      <w:pPr>
        <w:tabs>
          <w:tab w:val="num" w:pos="284"/>
        </w:tabs>
        <w:ind w:left="284" w:hanging="284"/>
      </w:pPr>
      <w:rPr>
        <w:rFonts w:ascii="Cambria" w:hAnsi="Cambria" w:hint="default"/>
        <w:color w:val="5BC6E8"/>
      </w:rPr>
    </w:lvl>
    <w:lvl w:ilvl="1">
      <w:start w:val="1"/>
      <w:numFmt w:val="bullet"/>
      <w:lvlText w:val="•"/>
      <w:lvlJc w:val="left"/>
      <w:pPr>
        <w:tabs>
          <w:tab w:val="num" w:pos="567"/>
        </w:tabs>
        <w:ind w:left="567" w:hanging="283"/>
      </w:pPr>
      <w:rPr>
        <w:rFonts w:ascii="Cambria" w:hAnsi="Cambria" w:hint="default"/>
        <w:color w:val="5BC6E8"/>
      </w:rPr>
    </w:lvl>
    <w:lvl w:ilvl="2">
      <w:start w:val="1"/>
      <w:numFmt w:val="bullet"/>
      <w:lvlText w:val="•"/>
      <w:lvlJc w:val="left"/>
      <w:pPr>
        <w:tabs>
          <w:tab w:val="num" w:pos="284"/>
        </w:tabs>
        <w:ind w:left="284" w:hanging="284"/>
      </w:pPr>
      <w:rPr>
        <w:rFonts w:ascii="Cambria" w:hAnsi="Cambria" w:hint="default"/>
        <w:color w:val="5BC6E8"/>
      </w:rPr>
    </w:lvl>
    <w:lvl w:ilvl="3">
      <w:start w:val="1"/>
      <w:numFmt w:val="bullet"/>
      <w:lvlText w:val="•"/>
      <w:lvlJc w:val="left"/>
      <w:pPr>
        <w:tabs>
          <w:tab w:val="num" w:pos="567"/>
        </w:tabs>
        <w:ind w:left="567" w:hanging="283"/>
      </w:pPr>
      <w:rPr>
        <w:rFonts w:ascii="Cambria" w:hAnsi="Cambria" w:hint="default"/>
        <w:color w:val="5BC6E8"/>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Symbol" w:hAnsi="Symbol" w:hint="default"/>
        <w:color w:val="14708E"/>
        <w:sz w:val="16"/>
      </w:rPr>
    </w:lvl>
    <w:lvl w:ilvl="6">
      <w:start w:val="1"/>
      <w:numFmt w:val="bullet"/>
      <w:pStyle w:val="Tablebullets2ndindent"/>
      <w:lvlText w:val=""/>
      <w:lvlJc w:val="left"/>
      <w:pPr>
        <w:tabs>
          <w:tab w:val="num" w:pos="437"/>
        </w:tabs>
        <w:ind w:left="437" w:hanging="171"/>
      </w:pPr>
      <w:rPr>
        <w:rFonts w:ascii="Symbol" w:hAnsi="Symbol" w:hint="default"/>
        <w:color w:val="14708E"/>
        <w:sz w:val="16"/>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B8246E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9B159F"/>
    <w:multiLevelType w:val="multilevel"/>
    <w:tmpl w:val="BF828C0C"/>
    <w:styleLink w:val="HeadingsList"/>
    <w:lvl w:ilvl="0">
      <w:start w:val="1"/>
      <w:numFmt w:val="decimal"/>
      <w:lvlText w:val="%1."/>
      <w:lvlJc w:val="left"/>
      <w:pPr>
        <w:ind w:left="567" w:hanging="567"/>
      </w:pPr>
      <w:rPr>
        <w:rFonts w:hint="default"/>
      </w:rPr>
    </w:lvl>
    <w:lvl w:ilvl="1">
      <w:start w:val="1"/>
      <w:numFmt w:val="decimal"/>
      <w:lvlText w:val="%1.%2"/>
      <w:lvlJc w:val="left"/>
      <w:pPr>
        <w:ind w:left="5529"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928"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2BF350C3"/>
    <w:multiLevelType w:val="hybridMultilevel"/>
    <w:tmpl w:val="53682D52"/>
    <w:lvl w:ilvl="0" w:tplc="299836E4">
      <w:start w:val="1"/>
      <w:numFmt w:val="bullet"/>
      <w:pStyle w:val="Repor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FE327B"/>
    <w:multiLevelType w:val="hybridMultilevel"/>
    <w:tmpl w:val="4F88A1B8"/>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EAA6B6B"/>
    <w:multiLevelType w:val="hybridMultilevel"/>
    <w:tmpl w:val="3912F07A"/>
    <w:lvl w:ilvl="0" w:tplc="07B05118">
      <w:start w:val="1"/>
      <w:numFmt w:val="bullet"/>
      <w:pStyle w:val="Reports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406BB9"/>
    <w:multiLevelType w:val="hybridMultilevel"/>
    <w:tmpl w:val="B6B8283A"/>
    <w:lvl w:ilvl="0" w:tplc="88522B6A">
      <w:start w:val="1"/>
      <w:numFmt w:val="bullet"/>
      <w:pStyle w:val="Reports3"/>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85342A"/>
    <w:multiLevelType w:val="hybridMultilevel"/>
    <w:tmpl w:val="08CA7BC4"/>
    <w:lvl w:ilvl="0" w:tplc="883A8436">
      <w:start w:val="1"/>
      <w:numFmt w:val="lowerLetter"/>
      <w:pStyle w:val="Lettered"/>
      <w:lvlText w:val="%1)"/>
      <w:lvlJc w:val="left"/>
      <w:pPr>
        <w:ind w:left="360" w:hanging="360"/>
      </w:pPr>
      <w:rPr>
        <w:rFonts w:hint="default"/>
        <w:color w:val="auto"/>
      </w:rPr>
    </w:lvl>
    <w:lvl w:ilvl="1" w:tplc="C120A18A">
      <w:numFmt w:val="bullet"/>
      <w:lvlText w:val="-"/>
      <w:lvlJc w:val="left"/>
      <w:pPr>
        <w:ind w:left="720" w:hanging="360"/>
      </w:pPr>
      <w:rPr>
        <w:rFonts w:ascii="Calibri" w:eastAsiaTheme="minorHAnsi" w:hAnsi="Calibri" w:cs="Calibri"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1A67BF6"/>
    <w:multiLevelType w:val="hybridMultilevel"/>
    <w:tmpl w:val="C1928B5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1C51D87"/>
    <w:multiLevelType w:val="hybridMultilevel"/>
    <w:tmpl w:val="11A08FBE"/>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5" w15:restartNumberingAfterBreak="0">
    <w:nsid w:val="43FB49B7"/>
    <w:multiLevelType w:val="singleLevel"/>
    <w:tmpl w:val="9EDE5682"/>
    <w:name w:val="Alpha Paragraph"/>
    <w:lvl w:ilvl="0">
      <w:start w:val="1"/>
      <w:numFmt w:val="lowerLetter"/>
      <w:lvlRestart w:val="0"/>
      <w:lvlText w:val="(%1)"/>
      <w:lvlJc w:val="left"/>
      <w:pPr>
        <w:tabs>
          <w:tab w:val="num" w:pos="567"/>
        </w:tabs>
        <w:ind w:left="567" w:hanging="567"/>
      </w:pPr>
      <w:rPr>
        <w:b w:val="0"/>
        <w:i w:val="0"/>
        <w:color w:val="000000"/>
      </w:rPr>
    </w:lvl>
  </w:abstractNum>
  <w:abstractNum w:abstractNumId="26" w15:restartNumberingAfterBreak="0">
    <w:nsid w:val="469330DA"/>
    <w:multiLevelType w:val="hybridMultilevel"/>
    <w:tmpl w:val="56B83D3C"/>
    <w:lvl w:ilvl="0" w:tplc="0C09000F">
      <w:start w:val="1"/>
      <w:numFmt w:val="decimal"/>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97124E"/>
    <w:multiLevelType w:val="hybridMultilevel"/>
    <w:tmpl w:val="AB964362"/>
    <w:lvl w:ilvl="0" w:tplc="84727AC4">
      <w:start w:val="1"/>
      <w:numFmt w:val="bullet"/>
      <w:pStyle w:val="TableText-Normal-DotPoint"/>
      <w:lvlText w:val=""/>
      <w:lvlJc w:val="left"/>
      <w:pPr>
        <w:ind w:left="490" w:hanging="360"/>
      </w:pPr>
      <w:rPr>
        <w:rFonts w:ascii="Symbol" w:hAnsi="Symbol" w:hint="default"/>
      </w:rPr>
    </w:lvl>
    <w:lvl w:ilvl="1" w:tplc="0C090003" w:tentative="1">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1930" w:hanging="360"/>
      </w:pPr>
      <w:rPr>
        <w:rFonts w:ascii="Wingdings" w:hAnsi="Wingdings" w:hint="default"/>
      </w:rPr>
    </w:lvl>
    <w:lvl w:ilvl="3" w:tplc="0C090001" w:tentative="1">
      <w:start w:val="1"/>
      <w:numFmt w:val="bullet"/>
      <w:lvlText w:val=""/>
      <w:lvlJc w:val="left"/>
      <w:pPr>
        <w:ind w:left="2650" w:hanging="360"/>
      </w:pPr>
      <w:rPr>
        <w:rFonts w:ascii="Symbol" w:hAnsi="Symbol" w:hint="default"/>
      </w:rPr>
    </w:lvl>
    <w:lvl w:ilvl="4" w:tplc="0C090003" w:tentative="1">
      <w:start w:val="1"/>
      <w:numFmt w:val="bullet"/>
      <w:lvlText w:val="o"/>
      <w:lvlJc w:val="left"/>
      <w:pPr>
        <w:ind w:left="3370" w:hanging="360"/>
      </w:pPr>
      <w:rPr>
        <w:rFonts w:ascii="Courier New" w:hAnsi="Courier New" w:cs="Courier New" w:hint="default"/>
      </w:rPr>
    </w:lvl>
    <w:lvl w:ilvl="5" w:tplc="0C090005" w:tentative="1">
      <w:start w:val="1"/>
      <w:numFmt w:val="bullet"/>
      <w:lvlText w:val=""/>
      <w:lvlJc w:val="left"/>
      <w:pPr>
        <w:ind w:left="4090" w:hanging="360"/>
      </w:pPr>
      <w:rPr>
        <w:rFonts w:ascii="Wingdings" w:hAnsi="Wingdings" w:hint="default"/>
      </w:rPr>
    </w:lvl>
    <w:lvl w:ilvl="6" w:tplc="0C090001" w:tentative="1">
      <w:start w:val="1"/>
      <w:numFmt w:val="bullet"/>
      <w:lvlText w:val=""/>
      <w:lvlJc w:val="left"/>
      <w:pPr>
        <w:ind w:left="4810" w:hanging="360"/>
      </w:pPr>
      <w:rPr>
        <w:rFonts w:ascii="Symbol" w:hAnsi="Symbol" w:hint="default"/>
      </w:rPr>
    </w:lvl>
    <w:lvl w:ilvl="7" w:tplc="0C090003" w:tentative="1">
      <w:start w:val="1"/>
      <w:numFmt w:val="bullet"/>
      <w:lvlText w:val="o"/>
      <w:lvlJc w:val="left"/>
      <w:pPr>
        <w:ind w:left="5530" w:hanging="360"/>
      </w:pPr>
      <w:rPr>
        <w:rFonts w:ascii="Courier New" w:hAnsi="Courier New" w:cs="Courier New" w:hint="default"/>
      </w:rPr>
    </w:lvl>
    <w:lvl w:ilvl="8" w:tplc="0C090005" w:tentative="1">
      <w:start w:val="1"/>
      <w:numFmt w:val="bullet"/>
      <w:lvlText w:val=""/>
      <w:lvlJc w:val="left"/>
      <w:pPr>
        <w:ind w:left="6250" w:hanging="360"/>
      </w:pPr>
      <w:rPr>
        <w:rFonts w:ascii="Wingdings" w:hAnsi="Wingdings" w:hint="default"/>
      </w:rPr>
    </w:lvl>
  </w:abstractNum>
  <w:abstractNum w:abstractNumId="28" w15:restartNumberingAfterBreak="0">
    <w:nsid w:val="4F1523F7"/>
    <w:multiLevelType w:val="multilevel"/>
    <w:tmpl w:val="AA8AE88E"/>
    <w:styleLink w:val="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542"/>
        </w:tabs>
        <w:ind w:left="7542"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Restart w:val="1"/>
      <w:lvlText w:val="%1.%4"/>
      <w:lvlJc w:val="left"/>
      <w:pPr>
        <w:tabs>
          <w:tab w:val="num" w:pos="567"/>
        </w:tabs>
        <w:ind w:left="567" w:hanging="567"/>
      </w:pPr>
      <w:rPr>
        <w:rFonts w:hint="default"/>
        <w:b/>
        <w:i w:val="0"/>
      </w:rPr>
    </w:lvl>
    <w:lvl w:ilvl="4">
      <w:start w:val="1"/>
      <w:numFmt w:val="lowerLetter"/>
      <w:lvlText w:val="%5."/>
      <w:lvlJc w:val="left"/>
      <w:pPr>
        <w:tabs>
          <w:tab w:val="num" w:pos="851"/>
        </w:tabs>
        <w:ind w:left="851" w:hanging="284"/>
      </w:pPr>
      <w:rPr>
        <w:rFonts w:hint="default"/>
      </w:rPr>
    </w:lvl>
    <w:lvl w:ilvl="5">
      <w:start w:val="1"/>
      <w:numFmt w:val="lowerRoman"/>
      <w:lvlText w:val="%6."/>
      <w:lvlJc w:val="left"/>
      <w:pPr>
        <w:tabs>
          <w:tab w:val="num" w:pos="1134"/>
        </w:tabs>
        <w:ind w:left="1134" w:hanging="283"/>
      </w:pPr>
      <w:rPr>
        <w:rFonts w:hint="default"/>
      </w:rPr>
    </w:lvl>
    <w:lvl w:ilvl="6">
      <w:start w:val="1"/>
      <w:numFmt w:val="decimal"/>
      <w:lvlRestart w:val="0"/>
      <w:suff w:val="space"/>
      <w:lvlText w:val="Figure %7:"/>
      <w:lvlJc w:val="left"/>
      <w:pPr>
        <w:ind w:left="0" w:firstLine="0"/>
      </w:pPr>
      <w:rPr>
        <w:rFonts w:hint="default"/>
      </w:rPr>
    </w:lvl>
    <w:lvl w:ilvl="7">
      <w:start w:val="1"/>
      <w:numFmt w:val="decimal"/>
      <w:lvlRestart w:val="0"/>
      <w:suff w:val="space"/>
      <w:lvlText w:val="Note %8:"/>
      <w:lvlJc w:val="left"/>
      <w:pPr>
        <w:ind w:left="0" w:firstLine="0"/>
      </w:pPr>
      <w:rPr>
        <w:rFonts w:hint="default"/>
      </w:rPr>
    </w:lvl>
    <w:lvl w:ilvl="8">
      <w:start w:val="1"/>
      <w:numFmt w:val="decimal"/>
      <w:lvlRestart w:val="1"/>
      <w:suff w:val="space"/>
      <w:lvlText w:val="Table %1.%9:"/>
      <w:lvlJc w:val="left"/>
      <w:pPr>
        <w:ind w:left="0" w:firstLine="0"/>
      </w:pPr>
      <w:rPr>
        <w:rFonts w:hint="default"/>
      </w:rPr>
    </w:lvl>
  </w:abstractNum>
  <w:abstractNum w:abstractNumId="29" w15:restartNumberingAfterBreak="0">
    <w:nsid w:val="4FD617A6"/>
    <w:multiLevelType w:val="multilevel"/>
    <w:tmpl w:val="136A11C4"/>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992"/>
        </w:tabs>
        <w:ind w:left="992" w:hanging="472"/>
      </w:pPr>
      <w:rPr>
        <w:rFonts w:ascii="Times New Roman" w:hAnsi="Times New Roman" w:cs="Times New Roman"/>
      </w:rPr>
    </w:lvl>
    <w:lvl w:ilvl="2">
      <w:start w:val="1"/>
      <w:numFmt w:val="bullet"/>
      <w:lvlText w:val=":"/>
      <w:lvlJc w:val="left"/>
      <w:pPr>
        <w:tabs>
          <w:tab w:val="num" w:pos="1464"/>
        </w:tabs>
        <w:ind w:left="1464"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5F26A75"/>
    <w:multiLevelType w:val="hybridMultilevel"/>
    <w:tmpl w:val="1E5AB388"/>
    <w:lvl w:ilvl="0" w:tplc="0C090001">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2105CF"/>
    <w:multiLevelType w:val="hybridMultilevel"/>
    <w:tmpl w:val="2EF273DA"/>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6BC2D5C"/>
    <w:multiLevelType w:val="hybridMultilevel"/>
    <w:tmpl w:val="C1928B5C"/>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4" w15:restartNumberingAfterBreak="0">
    <w:nsid w:val="5BA053F2"/>
    <w:multiLevelType w:val="hybridMultilevel"/>
    <w:tmpl w:val="B3B46F80"/>
    <w:lvl w:ilvl="0" w:tplc="DD50C990">
      <w:start w:val="1"/>
      <w:numFmt w:val="bullet"/>
      <w:pStyle w:val="TableTex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C6743E"/>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7" w15:restartNumberingAfterBreak="0">
    <w:nsid w:val="5E6874D5"/>
    <w:multiLevelType w:val="hybridMultilevel"/>
    <w:tmpl w:val="4592749A"/>
    <w:lvl w:ilvl="0" w:tplc="0C09000F">
      <w:start w:val="1"/>
      <w:numFmt w:val="decimal"/>
      <w:lvlText w:val="%1."/>
      <w:lvlJc w:val="left"/>
      <w:pPr>
        <w:ind w:left="360" w:hanging="360"/>
      </w:pPr>
      <w:rPr>
        <w:rFonts w:hint="default"/>
        <w:color w:val="auto"/>
      </w:rPr>
    </w:lvl>
    <w:lvl w:ilvl="1" w:tplc="5DDC4656">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FB97BCA"/>
    <w:multiLevelType w:val="multilevel"/>
    <w:tmpl w:val="402AEC22"/>
    <w:lvl w:ilvl="0">
      <w:start w:val="1"/>
      <w:numFmt w:val="decimal"/>
      <w:lvlText w:val="%1."/>
      <w:lvlJc w:val="left"/>
      <w:pPr>
        <w:ind w:left="284" w:hanging="284"/>
      </w:pPr>
      <w:rPr>
        <w:rFonts w:hint="default"/>
      </w:rPr>
    </w:lvl>
    <w:lvl w:ilvl="1">
      <w:start w:val="1"/>
      <w:numFmt w:val="decimal"/>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636A2B8D"/>
    <w:multiLevelType w:val="hybridMultilevel"/>
    <w:tmpl w:val="3C562292"/>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AE754E"/>
    <w:multiLevelType w:val="hybridMultilevel"/>
    <w:tmpl w:val="1666AD14"/>
    <w:lvl w:ilvl="0" w:tplc="0C42AF5A">
      <w:start w:val="1"/>
      <w:numFmt w:val="bullet"/>
      <w:pStyle w:val="Bullet2"/>
      <w:lvlText w:val=""/>
      <w:lvlJc w:val="left"/>
      <w:pPr>
        <w:ind w:left="785"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107305"/>
    <w:multiLevelType w:val="multilevel"/>
    <w:tmpl w:val="79262C7A"/>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2" w15:restartNumberingAfterBreak="0">
    <w:nsid w:val="75F05A6A"/>
    <w:multiLevelType w:val="hybridMultilevel"/>
    <w:tmpl w:val="7C2E7720"/>
    <w:lvl w:ilvl="0" w:tplc="937EE2EA">
      <w:start w:val="1"/>
      <w:numFmt w:val="lowerLetter"/>
      <w:pStyle w:val="LetteredList"/>
      <w:lvlText w:val="%1."/>
      <w:lvlJc w:val="left"/>
      <w:pPr>
        <w:ind w:left="717" w:hanging="360"/>
      </w:p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3" w15:restartNumberingAfterBreak="0">
    <w:nsid w:val="77067A8B"/>
    <w:multiLevelType w:val="hybridMultilevel"/>
    <w:tmpl w:val="38627860"/>
    <w:lvl w:ilvl="0" w:tplc="781E763E">
      <w:start w:val="1"/>
      <w:numFmt w:val="decimal"/>
      <w:pStyle w:val="Numbered"/>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8924434"/>
    <w:multiLevelType w:val="hybridMultilevel"/>
    <w:tmpl w:val="72B062F0"/>
    <w:lvl w:ilvl="0" w:tplc="0C09000F">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A1F3CF6"/>
    <w:multiLevelType w:val="hybridMultilevel"/>
    <w:tmpl w:val="C1928B5C"/>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C6468F4"/>
    <w:multiLevelType w:val="hybridMultilevel"/>
    <w:tmpl w:val="8A7AF19E"/>
    <w:lvl w:ilvl="0" w:tplc="E08CE728">
      <w:start w:val="1"/>
      <w:numFmt w:val="bullet"/>
      <w:pStyle w:val="ListBullet5"/>
      <w:lvlText w:val="▪"/>
      <w:lvlJc w:val="left"/>
      <w:pPr>
        <w:ind w:left="1004" w:hanging="360"/>
      </w:pPr>
      <w:rPr>
        <w:rFonts w:ascii="Arial" w:hAnsi="Arial" w:hint="default"/>
      </w:rPr>
    </w:lvl>
    <w:lvl w:ilvl="1" w:tplc="DCBCD73A">
      <w:numFmt w:val="bullet"/>
      <w:lvlText w:val="-"/>
      <w:lvlJc w:val="left"/>
      <w:pPr>
        <w:ind w:left="1724" w:hanging="360"/>
      </w:pPr>
      <w:rPr>
        <w:rFonts w:ascii="Arial" w:eastAsia="Cambria" w:hAnsi="Arial" w:cs="Arial" w:hint="default"/>
        <w:b/>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7" w15:restartNumberingAfterBreak="0">
    <w:nsid w:val="7FDE363A"/>
    <w:multiLevelType w:val="hybridMultilevel"/>
    <w:tmpl w:val="335EEAC0"/>
    <w:lvl w:ilvl="0" w:tplc="5A980F64">
      <w:start w:val="1"/>
      <w:numFmt w:val="lowerLetter"/>
      <w:lvlText w:val="(%1)"/>
      <w:lvlJc w:val="left"/>
      <w:pPr>
        <w:ind w:left="816" w:hanging="360"/>
      </w:pPr>
      <w:rPr>
        <w:rFonts w:hint="default"/>
      </w:rPr>
    </w:lvl>
    <w:lvl w:ilvl="1" w:tplc="0C090019" w:tentative="1">
      <w:start w:val="1"/>
      <w:numFmt w:val="lowerLetter"/>
      <w:lvlText w:val="%2."/>
      <w:lvlJc w:val="left"/>
      <w:pPr>
        <w:ind w:left="1536" w:hanging="360"/>
      </w:pPr>
    </w:lvl>
    <w:lvl w:ilvl="2" w:tplc="0C09001B" w:tentative="1">
      <w:start w:val="1"/>
      <w:numFmt w:val="lowerRoman"/>
      <w:lvlText w:val="%3."/>
      <w:lvlJc w:val="right"/>
      <w:pPr>
        <w:ind w:left="2256" w:hanging="180"/>
      </w:pPr>
    </w:lvl>
    <w:lvl w:ilvl="3" w:tplc="0C09000F" w:tentative="1">
      <w:start w:val="1"/>
      <w:numFmt w:val="decimal"/>
      <w:lvlText w:val="%4."/>
      <w:lvlJc w:val="left"/>
      <w:pPr>
        <w:ind w:left="2976" w:hanging="360"/>
      </w:pPr>
    </w:lvl>
    <w:lvl w:ilvl="4" w:tplc="0C090019" w:tentative="1">
      <w:start w:val="1"/>
      <w:numFmt w:val="lowerLetter"/>
      <w:lvlText w:val="%5."/>
      <w:lvlJc w:val="left"/>
      <w:pPr>
        <w:ind w:left="3696" w:hanging="360"/>
      </w:pPr>
    </w:lvl>
    <w:lvl w:ilvl="5" w:tplc="0C09001B" w:tentative="1">
      <w:start w:val="1"/>
      <w:numFmt w:val="lowerRoman"/>
      <w:lvlText w:val="%6."/>
      <w:lvlJc w:val="right"/>
      <w:pPr>
        <w:ind w:left="4416" w:hanging="180"/>
      </w:pPr>
    </w:lvl>
    <w:lvl w:ilvl="6" w:tplc="0C09000F" w:tentative="1">
      <w:start w:val="1"/>
      <w:numFmt w:val="decimal"/>
      <w:lvlText w:val="%7."/>
      <w:lvlJc w:val="left"/>
      <w:pPr>
        <w:ind w:left="5136" w:hanging="360"/>
      </w:pPr>
    </w:lvl>
    <w:lvl w:ilvl="7" w:tplc="0C090019" w:tentative="1">
      <w:start w:val="1"/>
      <w:numFmt w:val="lowerLetter"/>
      <w:lvlText w:val="%8."/>
      <w:lvlJc w:val="left"/>
      <w:pPr>
        <w:ind w:left="5856" w:hanging="360"/>
      </w:pPr>
    </w:lvl>
    <w:lvl w:ilvl="8" w:tplc="0C09001B" w:tentative="1">
      <w:start w:val="1"/>
      <w:numFmt w:val="lowerRoman"/>
      <w:lvlText w:val="%9."/>
      <w:lvlJc w:val="right"/>
      <w:pPr>
        <w:ind w:left="6576" w:hanging="180"/>
      </w:pPr>
    </w:lvl>
  </w:abstractNum>
  <w:num w:numId="1" w16cid:durableId="1292521563">
    <w:abstractNumId w:val="41"/>
  </w:num>
  <w:num w:numId="2" w16cid:durableId="564221359">
    <w:abstractNumId w:val="6"/>
  </w:num>
  <w:num w:numId="3" w16cid:durableId="1030953258">
    <w:abstractNumId w:val="16"/>
  </w:num>
  <w:num w:numId="4" w16cid:durableId="1033654217">
    <w:abstractNumId w:val="33"/>
  </w:num>
  <w:num w:numId="5" w16cid:durableId="602373875">
    <w:abstractNumId w:val="36"/>
  </w:num>
  <w:num w:numId="6" w16cid:durableId="1681665704">
    <w:abstractNumId w:val="3"/>
  </w:num>
  <w:num w:numId="7" w16cid:durableId="1823036315">
    <w:abstractNumId w:val="2"/>
  </w:num>
  <w:num w:numId="8" w16cid:durableId="969674112">
    <w:abstractNumId w:val="28"/>
  </w:num>
  <w:num w:numId="9" w16cid:durableId="855920696">
    <w:abstractNumId w:val="14"/>
  </w:num>
  <w:num w:numId="10" w16cid:durableId="1771390400">
    <w:abstractNumId w:val="15"/>
  </w:num>
  <w:num w:numId="11" w16cid:durableId="1945456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9879445">
    <w:abstractNumId w:val="40"/>
  </w:num>
  <w:num w:numId="13" w16cid:durableId="728848870">
    <w:abstractNumId w:val="38"/>
  </w:num>
  <w:num w:numId="14" w16cid:durableId="586233613">
    <w:abstractNumId w:val="20"/>
  </w:num>
  <w:num w:numId="15" w16cid:durableId="2080205148">
    <w:abstractNumId w:val="47"/>
  </w:num>
  <w:num w:numId="16" w16cid:durableId="1779907856">
    <w:abstractNumId w:val="4"/>
  </w:num>
  <w:num w:numId="17" w16cid:durableId="1006521945">
    <w:abstractNumId w:val="7"/>
  </w:num>
  <w:num w:numId="18" w16cid:durableId="1405956436">
    <w:abstractNumId w:val="27"/>
  </w:num>
  <w:num w:numId="19" w16cid:durableId="198051491">
    <w:abstractNumId w:val="9"/>
  </w:num>
  <w:num w:numId="20" w16cid:durableId="1460488707">
    <w:abstractNumId w:val="34"/>
  </w:num>
  <w:num w:numId="21" w16cid:durableId="166482490">
    <w:abstractNumId w:val="44"/>
    <w:lvlOverride w:ilvl="0">
      <w:startOverride w:val="1"/>
    </w:lvlOverride>
  </w:num>
  <w:num w:numId="22" w16cid:durableId="379398501">
    <w:abstractNumId w:val="21"/>
  </w:num>
  <w:num w:numId="23" w16cid:durableId="721708766">
    <w:abstractNumId w:val="23"/>
  </w:num>
  <w:num w:numId="24" w16cid:durableId="462961584">
    <w:abstractNumId w:val="31"/>
  </w:num>
  <w:num w:numId="25" w16cid:durableId="670790405">
    <w:abstractNumId w:val="37"/>
  </w:num>
  <w:num w:numId="26" w16cid:durableId="86315320">
    <w:abstractNumId w:val="32"/>
  </w:num>
  <w:num w:numId="27" w16cid:durableId="247812584">
    <w:abstractNumId w:val="18"/>
  </w:num>
  <w:num w:numId="28" w16cid:durableId="1519852457">
    <w:abstractNumId w:val="13"/>
  </w:num>
  <w:num w:numId="29" w16cid:durableId="2141455315">
    <w:abstractNumId w:val="42"/>
  </w:num>
  <w:num w:numId="30" w16cid:durableId="666710068">
    <w:abstractNumId w:val="19"/>
  </w:num>
  <w:num w:numId="31" w16cid:durableId="28575200">
    <w:abstractNumId w:val="46"/>
  </w:num>
  <w:num w:numId="32" w16cid:durableId="1418592500">
    <w:abstractNumId w:val="24"/>
  </w:num>
  <w:num w:numId="33" w16cid:durableId="1791896051">
    <w:abstractNumId w:val="24"/>
    <w:lvlOverride w:ilvl="0">
      <w:startOverride w:val="1"/>
    </w:lvlOverride>
  </w:num>
  <w:num w:numId="34" w16cid:durableId="361562390">
    <w:abstractNumId w:val="17"/>
  </w:num>
  <w:num w:numId="35" w16cid:durableId="1763840603">
    <w:abstractNumId w:val="39"/>
  </w:num>
  <w:num w:numId="36" w16cid:durableId="547227931">
    <w:abstractNumId w:val="5"/>
  </w:num>
  <w:num w:numId="37" w16cid:durableId="1539506283">
    <w:abstractNumId w:val="26"/>
  </w:num>
  <w:num w:numId="38" w16cid:durableId="1510873812">
    <w:abstractNumId w:val="30"/>
  </w:num>
  <w:num w:numId="39" w16cid:durableId="1585072013">
    <w:abstractNumId w:val="10"/>
  </w:num>
  <w:num w:numId="40" w16cid:durableId="2104523317">
    <w:abstractNumId w:val="8"/>
  </w:num>
  <w:num w:numId="41" w16cid:durableId="830868719">
    <w:abstractNumId w:val="35"/>
  </w:num>
  <w:num w:numId="42" w16cid:durableId="1460681799">
    <w:abstractNumId w:val="22"/>
  </w:num>
  <w:num w:numId="43" w16cid:durableId="1640962954">
    <w:abstractNumId w:val="45"/>
  </w:num>
  <w:num w:numId="44" w16cid:durableId="1363945524">
    <w:abstractNumId w:val="12"/>
  </w:num>
  <w:num w:numId="45" w16cid:durableId="11809761">
    <w:abstractNumId w:val="43"/>
  </w:num>
  <w:num w:numId="46" w16cid:durableId="673071766">
    <w:abstractNumId w:val="43"/>
    <w:lvlOverride w:ilvl="0">
      <w:startOverride w:val="1"/>
    </w:lvlOverride>
  </w:num>
  <w:num w:numId="47" w16cid:durableId="2108847086">
    <w:abstractNumId w:val="43"/>
    <w:lvlOverride w:ilvl="0">
      <w:startOverride w:val="1"/>
    </w:lvlOverride>
  </w:num>
  <w:num w:numId="48" w16cid:durableId="131561384">
    <w:abstractNumId w:val="43"/>
    <w:lvlOverride w:ilvl="0">
      <w:startOverride w:val="1"/>
    </w:lvlOverride>
  </w:num>
  <w:num w:numId="49" w16cid:durableId="1797797432">
    <w:abstractNumId w:val="43"/>
    <w:lvlOverride w:ilvl="0">
      <w:startOverride w:val="1"/>
    </w:lvlOverride>
  </w:num>
  <w:num w:numId="50" w16cid:durableId="368992213">
    <w:abstractNumId w:val="43"/>
    <w:lvlOverride w:ilvl="0">
      <w:startOverride w:val="1"/>
    </w:lvlOverride>
  </w:num>
  <w:num w:numId="51" w16cid:durableId="1393581539">
    <w:abstractNumId w:val="43"/>
    <w:lvlOverride w:ilvl="0">
      <w:startOverride w:val="1"/>
    </w:lvlOverride>
  </w:num>
  <w:num w:numId="52" w16cid:durableId="878710265">
    <w:abstractNumId w:val="43"/>
    <w:lvlOverride w:ilvl="0">
      <w:startOverride w:val="1"/>
    </w:lvlOverride>
  </w:num>
  <w:num w:numId="53" w16cid:durableId="16036890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2072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42057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9729420">
    <w:abstractNumId w:val="1"/>
  </w:num>
  <w:num w:numId="57" w16cid:durableId="1318654634">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activeWritingStyle w:appName="MSWord" w:lang="en-US" w:vendorID="64" w:dllVersion="0" w:nlCheck="1" w:checkStyle="0"/>
  <w:activeWritingStyle w:appName="MSWord" w:lang="en-AU"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0259"/>
    <w:rsid w:val="00000450"/>
    <w:rsid w:val="00000DB8"/>
    <w:rsid w:val="00000E09"/>
    <w:rsid w:val="00001EE6"/>
    <w:rsid w:val="0000212B"/>
    <w:rsid w:val="000023DE"/>
    <w:rsid w:val="00002586"/>
    <w:rsid w:val="000027EC"/>
    <w:rsid w:val="00002FDE"/>
    <w:rsid w:val="000031B3"/>
    <w:rsid w:val="000034FA"/>
    <w:rsid w:val="00003A8D"/>
    <w:rsid w:val="000041E1"/>
    <w:rsid w:val="00004428"/>
    <w:rsid w:val="00004526"/>
    <w:rsid w:val="000049E9"/>
    <w:rsid w:val="00004D73"/>
    <w:rsid w:val="00004FF0"/>
    <w:rsid w:val="00005327"/>
    <w:rsid w:val="00005407"/>
    <w:rsid w:val="0000566F"/>
    <w:rsid w:val="00005F3B"/>
    <w:rsid w:val="00006697"/>
    <w:rsid w:val="000069A6"/>
    <w:rsid w:val="00007226"/>
    <w:rsid w:val="00007430"/>
    <w:rsid w:val="00007A71"/>
    <w:rsid w:val="00007A7A"/>
    <w:rsid w:val="00007C37"/>
    <w:rsid w:val="00007C7E"/>
    <w:rsid w:val="00007CC7"/>
    <w:rsid w:val="00007ED3"/>
    <w:rsid w:val="000103CA"/>
    <w:rsid w:val="00010501"/>
    <w:rsid w:val="00010665"/>
    <w:rsid w:val="000106DB"/>
    <w:rsid w:val="000109F6"/>
    <w:rsid w:val="00010D51"/>
    <w:rsid w:val="00010F01"/>
    <w:rsid w:val="0001164D"/>
    <w:rsid w:val="000118BD"/>
    <w:rsid w:val="000128B4"/>
    <w:rsid w:val="00012FDA"/>
    <w:rsid w:val="00013303"/>
    <w:rsid w:val="00013CB8"/>
    <w:rsid w:val="00014A1D"/>
    <w:rsid w:val="00014B3C"/>
    <w:rsid w:val="00014DCE"/>
    <w:rsid w:val="00015144"/>
    <w:rsid w:val="0001549B"/>
    <w:rsid w:val="00015D58"/>
    <w:rsid w:val="00015F15"/>
    <w:rsid w:val="00016621"/>
    <w:rsid w:val="00016E16"/>
    <w:rsid w:val="00017AED"/>
    <w:rsid w:val="00020486"/>
    <w:rsid w:val="00020498"/>
    <w:rsid w:val="0002085E"/>
    <w:rsid w:val="00020870"/>
    <w:rsid w:val="0002122C"/>
    <w:rsid w:val="000213E3"/>
    <w:rsid w:val="000214C9"/>
    <w:rsid w:val="000217B0"/>
    <w:rsid w:val="000218CC"/>
    <w:rsid w:val="0002198B"/>
    <w:rsid w:val="00021D79"/>
    <w:rsid w:val="0002296F"/>
    <w:rsid w:val="000234AC"/>
    <w:rsid w:val="0002365E"/>
    <w:rsid w:val="00023985"/>
    <w:rsid w:val="00023D10"/>
    <w:rsid w:val="00024924"/>
    <w:rsid w:val="00024A49"/>
    <w:rsid w:val="00024B8C"/>
    <w:rsid w:val="00025364"/>
    <w:rsid w:val="00025DD2"/>
    <w:rsid w:val="00025E0E"/>
    <w:rsid w:val="00025F88"/>
    <w:rsid w:val="00026044"/>
    <w:rsid w:val="00026053"/>
    <w:rsid w:val="0002613B"/>
    <w:rsid w:val="0002617A"/>
    <w:rsid w:val="000261AD"/>
    <w:rsid w:val="0002651C"/>
    <w:rsid w:val="000265B2"/>
    <w:rsid w:val="00026975"/>
    <w:rsid w:val="00026CA3"/>
    <w:rsid w:val="00026CAE"/>
    <w:rsid w:val="00026F3C"/>
    <w:rsid w:val="00027573"/>
    <w:rsid w:val="000276A4"/>
    <w:rsid w:val="000277A4"/>
    <w:rsid w:val="0002782F"/>
    <w:rsid w:val="0002795E"/>
    <w:rsid w:val="00027BB8"/>
    <w:rsid w:val="00027F2A"/>
    <w:rsid w:val="0003015B"/>
    <w:rsid w:val="000305A5"/>
    <w:rsid w:val="000305C5"/>
    <w:rsid w:val="00030C1F"/>
    <w:rsid w:val="00030FF1"/>
    <w:rsid w:val="00030FF2"/>
    <w:rsid w:val="0003152E"/>
    <w:rsid w:val="00031AF6"/>
    <w:rsid w:val="00031B8A"/>
    <w:rsid w:val="00032260"/>
    <w:rsid w:val="00032868"/>
    <w:rsid w:val="00032981"/>
    <w:rsid w:val="00032A18"/>
    <w:rsid w:val="00032B6F"/>
    <w:rsid w:val="0003349E"/>
    <w:rsid w:val="00033997"/>
    <w:rsid w:val="00033A88"/>
    <w:rsid w:val="00033BE0"/>
    <w:rsid w:val="00033DE5"/>
    <w:rsid w:val="00033FAA"/>
    <w:rsid w:val="00034271"/>
    <w:rsid w:val="000342D1"/>
    <w:rsid w:val="0003460F"/>
    <w:rsid w:val="00034744"/>
    <w:rsid w:val="00034764"/>
    <w:rsid w:val="000349DD"/>
    <w:rsid w:val="0003517E"/>
    <w:rsid w:val="00035B73"/>
    <w:rsid w:val="00035D04"/>
    <w:rsid w:val="00036140"/>
    <w:rsid w:val="0003645A"/>
    <w:rsid w:val="000367F4"/>
    <w:rsid w:val="00036AE6"/>
    <w:rsid w:val="00036EC8"/>
    <w:rsid w:val="00037182"/>
    <w:rsid w:val="00037DCB"/>
    <w:rsid w:val="00037F7F"/>
    <w:rsid w:val="000407F5"/>
    <w:rsid w:val="00040893"/>
    <w:rsid w:val="00040D3D"/>
    <w:rsid w:val="00041F25"/>
    <w:rsid w:val="00041F55"/>
    <w:rsid w:val="00042418"/>
    <w:rsid w:val="000426D2"/>
    <w:rsid w:val="00042946"/>
    <w:rsid w:val="00042E01"/>
    <w:rsid w:val="00043183"/>
    <w:rsid w:val="000434A8"/>
    <w:rsid w:val="000438AB"/>
    <w:rsid w:val="00043FCB"/>
    <w:rsid w:val="00044180"/>
    <w:rsid w:val="000442BA"/>
    <w:rsid w:val="000444D2"/>
    <w:rsid w:val="00044547"/>
    <w:rsid w:val="00044726"/>
    <w:rsid w:val="0004519C"/>
    <w:rsid w:val="0004576F"/>
    <w:rsid w:val="000457F9"/>
    <w:rsid w:val="0004584F"/>
    <w:rsid w:val="00045D47"/>
    <w:rsid w:val="000462A3"/>
    <w:rsid w:val="00046859"/>
    <w:rsid w:val="00047316"/>
    <w:rsid w:val="0004756E"/>
    <w:rsid w:val="00047731"/>
    <w:rsid w:val="0004790A"/>
    <w:rsid w:val="00047DED"/>
    <w:rsid w:val="00050328"/>
    <w:rsid w:val="00050350"/>
    <w:rsid w:val="000508B5"/>
    <w:rsid w:val="00050C5F"/>
    <w:rsid w:val="00050C9C"/>
    <w:rsid w:val="0005103A"/>
    <w:rsid w:val="00051A38"/>
    <w:rsid w:val="00051EC4"/>
    <w:rsid w:val="000526A4"/>
    <w:rsid w:val="00052C3C"/>
    <w:rsid w:val="00052ECD"/>
    <w:rsid w:val="00053398"/>
    <w:rsid w:val="0005348F"/>
    <w:rsid w:val="00053950"/>
    <w:rsid w:val="00053CAA"/>
    <w:rsid w:val="0005416B"/>
    <w:rsid w:val="000544A6"/>
    <w:rsid w:val="000544B8"/>
    <w:rsid w:val="000549E2"/>
    <w:rsid w:val="00054A36"/>
    <w:rsid w:val="00054B08"/>
    <w:rsid w:val="00054E4D"/>
    <w:rsid w:val="00054F81"/>
    <w:rsid w:val="00055116"/>
    <w:rsid w:val="000551CE"/>
    <w:rsid w:val="00055337"/>
    <w:rsid w:val="00055486"/>
    <w:rsid w:val="00055885"/>
    <w:rsid w:val="00055A39"/>
    <w:rsid w:val="00055D8C"/>
    <w:rsid w:val="0005600C"/>
    <w:rsid w:val="00056101"/>
    <w:rsid w:val="000561B4"/>
    <w:rsid w:val="000563BB"/>
    <w:rsid w:val="00056B9F"/>
    <w:rsid w:val="00056CAE"/>
    <w:rsid w:val="00057191"/>
    <w:rsid w:val="000574BC"/>
    <w:rsid w:val="00057BA1"/>
    <w:rsid w:val="00060073"/>
    <w:rsid w:val="000600AA"/>
    <w:rsid w:val="000600D1"/>
    <w:rsid w:val="000603C7"/>
    <w:rsid w:val="00060678"/>
    <w:rsid w:val="000619C0"/>
    <w:rsid w:val="00061A52"/>
    <w:rsid w:val="00061BE9"/>
    <w:rsid w:val="000621E9"/>
    <w:rsid w:val="0006237C"/>
    <w:rsid w:val="00063027"/>
    <w:rsid w:val="0006304D"/>
    <w:rsid w:val="0006357A"/>
    <w:rsid w:val="00063581"/>
    <w:rsid w:val="00063C83"/>
    <w:rsid w:val="00063D96"/>
    <w:rsid w:val="000640D8"/>
    <w:rsid w:val="000642A9"/>
    <w:rsid w:val="0006442B"/>
    <w:rsid w:val="0006469E"/>
    <w:rsid w:val="00064891"/>
    <w:rsid w:val="0006499B"/>
    <w:rsid w:val="000651CC"/>
    <w:rsid w:val="000652E1"/>
    <w:rsid w:val="0006545C"/>
    <w:rsid w:val="00065820"/>
    <w:rsid w:val="0006590F"/>
    <w:rsid w:val="00065AE3"/>
    <w:rsid w:val="000662C5"/>
    <w:rsid w:val="00066966"/>
    <w:rsid w:val="00067185"/>
    <w:rsid w:val="000675C0"/>
    <w:rsid w:val="00067633"/>
    <w:rsid w:val="0006792E"/>
    <w:rsid w:val="00067983"/>
    <w:rsid w:val="00067ED8"/>
    <w:rsid w:val="00070467"/>
    <w:rsid w:val="00070634"/>
    <w:rsid w:val="000707DF"/>
    <w:rsid w:val="0007114A"/>
    <w:rsid w:val="000711B1"/>
    <w:rsid w:val="000717B5"/>
    <w:rsid w:val="00071B5B"/>
    <w:rsid w:val="00071D1C"/>
    <w:rsid w:val="00071D4D"/>
    <w:rsid w:val="00071DD0"/>
    <w:rsid w:val="00072122"/>
    <w:rsid w:val="000729A5"/>
    <w:rsid w:val="00072CE9"/>
    <w:rsid w:val="000733FF"/>
    <w:rsid w:val="0007367B"/>
    <w:rsid w:val="00073DDA"/>
    <w:rsid w:val="00073F12"/>
    <w:rsid w:val="00073FAC"/>
    <w:rsid w:val="00073FB6"/>
    <w:rsid w:val="000744C4"/>
    <w:rsid w:val="00074797"/>
    <w:rsid w:val="00074C68"/>
    <w:rsid w:val="00076100"/>
    <w:rsid w:val="0007613A"/>
    <w:rsid w:val="000763E0"/>
    <w:rsid w:val="000769D0"/>
    <w:rsid w:val="0007756E"/>
    <w:rsid w:val="00077785"/>
    <w:rsid w:val="00077C67"/>
    <w:rsid w:val="00077D03"/>
    <w:rsid w:val="00077D9C"/>
    <w:rsid w:val="00080319"/>
    <w:rsid w:val="00080570"/>
    <w:rsid w:val="00080C32"/>
    <w:rsid w:val="000813D3"/>
    <w:rsid w:val="00081787"/>
    <w:rsid w:val="000819FD"/>
    <w:rsid w:val="00081E7D"/>
    <w:rsid w:val="000821E2"/>
    <w:rsid w:val="000829F4"/>
    <w:rsid w:val="00082DA2"/>
    <w:rsid w:val="00082E41"/>
    <w:rsid w:val="0008306A"/>
    <w:rsid w:val="00083627"/>
    <w:rsid w:val="000836A9"/>
    <w:rsid w:val="000836CB"/>
    <w:rsid w:val="00083822"/>
    <w:rsid w:val="00083B3C"/>
    <w:rsid w:val="00083C0E"/>
    <w:rsid w:val="00084367"/>
    <w:rsid w:val="00084670"/>
    <w:rsid w:val="00084C5E"/>
    <w:rsid w:val="00084E2F"/>
    <w:rsid w:val="000850F7"/>
    <w:rsid w:val="00085122"/>
    <w:rsid w:val="00085230"/>
    <w:rsid w:val="000853D0"/>
    <w:rsid w:val="000855D8"/>
    <w:rsid w:val="000856FB"/>
    <w:rsid w:val="00085825"/>
    <w:rsid w:val="0008587A"/>
    <w:rsid w:val="00085C63"/>
    <w:rsid w:val="000863D1"/>
    <w:rsid w:val="0008648E"/>
    <w:rsid w:val="00086759"/>
    <w:rsid w:val="00086BC6"/>
    <w:rsid w:val="00086F8E"/>
    <w:rsid w:val="00086FC3"/>
    <w:rsid w:val="00087019"/>
    <w:rsid w:val="000874D1"/>
    <w:rsid w:val="00087771"/>
    <w:rsid w:val="00087818"/>
    <w:rsid w:val="00087A25"/>
    <w:rsid w:val="00087EE7"/>
    <w:rsid w:val="000900CD"/>
    <w:rsid w:val="0009021D"/>
    <w:rsid w:val="000903B6"/>
    <w:rsid w:val="00090962"/>
    <w:rsid w:val="0009102C"/>
    <w:rsid w:val="000912BF"/>
    <w:rsid w:val="0009152D"/>
    <w:rsid w:val="000918B2"/>
    <w:rsid w:val="000919BD"/>
    <w:rsid w:val="00091ACC"/>
    <w:rsid w:val="0009253F"/>
    <w:rsid w:val="000925CA"/>
    <w:rsid w:val="0009277D"/>
    <w:rsid w:val="0009359A"/>
    <w:rsid w:val="00093A6E"/>
    <w:rsid w:val="00094ED2"/>
    <w:rsid w:val="0009565B"/>
    <w:rsid w:val="00095958"/>
    <w:rsid w:val="000959DF"/>
    <w:rsid w:val="00095B8A"/>
    <w:rsid w:val="00095EF7"/>
    <w:rsid w:val="00096B6E"/>
    <w:rsid w:val="00096C37"/>
    <w:rsid w:val="00096CCA"/>
    <w:rsid w:val="000972B0"/>
    <w:rsid w:val="00097617"/>
    <w:rsid w:val="00097A05"/>
    <w:rsid w:val="00097DBF"/>
    <w:rsid w:val="000A0143"/>
    <w:rsid w:val="000A033F"/>
    <w:rsid w:val="000A0993"/>
    <w:rsid w:val="000A0A1E"/>
    <w:rsid w:val="000A11B2"/>
    <w:rsid w:val="000A13CA"/>
    <w:rsid w:val="000A1BC8"/>
    <w:rsid w:val="000A206B"/>
    <w:rsid w:val="000A2905"/>
    <w:rsid w:val="000A2C3C"/>
    <w:rsid w:val="000A2F6E"/>
    <w:rsid w:val="000A300D"/>
    <w:rsid w:val="000A3255"/>
    <w:rsid w:val="000A38C6"/>
    <w:rsid w:val="000A3D31"/>
    <w:rsid w:val="000A3F50"/>
    <w:rsid w:val="000A3FDA"/>
    <w:rsid w:val="000A4045"/>
    <w:rsid w:val="000A4089"/>
    <w:rsid w:val="000A4B30"/>
    <w:rsid w:val="000A4C21"/>
    <w:rsid w:val="000A4DFC"/>
    <w:rsid w:val="000A53AF"/>
    <w:rsid w:val="000A57E8"/>
    <w:rsid w:val="000A5D4D"/>
    <w:rsid w:val="000A5EEF"/>
    <w:rsid w:val="000A6297"/>
    <w:rsid w:val="000A6800"/>
    <w:rsid w:val="000A6823"/>
    <w:rsid w:val="000A6A8B"/>
    <w:rsid w:val="000A72A5"/>
    <w:rsid w:val="000A77B9"/>
    <w:rsid w:val="000A77C7"/>
    <w:rsid w:val="000A7A2B"/>
    <w:rsid w:val="000A7DEC"/>
    <w:rsid w:val="000A7EE8"/>
    <w:rsid w:val="000B0012"/>
    <w:rsid w:val="000B025E"/>
    <w:rsid w:val="000B0672"/>
    <w:rsid w:val="000B0B4C"/>
    <w:rsid w:val="000B16FC"/>
    <w:rsid w:val="000B16FE"/>
    <w:rsid w:val="000B189A"/>
    <w:rsid w:val="000B1B52"/>
    <w:rsid w:val="000B206F"/>
    <w:rsid w:val="000B21AC"/>
    <w:rsid w:val="000B28EB"/>
    <w:rsid w:val="000B31AD"/>
    <w:rsid w:val="000B39CA"/>
    <w:rsid w:val="000B42E7"/>
    <w:rsid w:val="000B4A52"/>
    <w:rsid w:val="000B4CED"/>
    <w:rsid w:val="000B4EB4"/>
    <w:rsid w:val="000B517E"/>
    <w:rsid w:val="000B5260"/>
    <w:rsid w:val="000B5963"/>
    <w:rsid w:val="000B5B88"/>
    <w:rsid w:val="000B5D8F"/>
    <w:rsid w:val="000B5EEC"/>
    <w:rsid w:val="000B5F8F"/>
    <w:rsid w:val="000B6093"/>
    <w:rsid w:val="000B634F"/>
    <w:rsid w:val="000B6B7B"/>
    <w:rsid w:val="000B6E36"/>
    <w:rsid w:val="000B6EA3"/>
    <w:rsid w:val="000B6EC8"/>
    <w:rsid w:val="000B7306"/>
    <w:rsid w:val="000B74EF"/>
    <w:rsid w:val="000B7659"/>
    <w:rsid w:val="000B7911"/>
    <w:rsid w:val="000B7C09"/>
    <w:rsid w:val="000B7C83"/>
    <w:rsid w:val="000B7E42"/>
    <w:rsid w:val="000C07E1"/>
    <w:rsid w:val="000C0888"/>
    <w:rsid w:val="000C1047"/>
    <w:rsid w:val="000C18CF"/>
    <w:rsid w:val="000C194B"/>
    <w:rsid w:val="000C1A58"/>
    <w:rsid w:val="000C1D71"/>
    <w:rsid w:val="000C1F6B"/>
    <w:rsid w:val="000C24EC"/>
    <w:rsid w:val="000C2A48"/>
    <w:rsid w:val="000C302A"/>
    <w:rsid w:val="000C32C7"/>
    <w:rsid w:val="000C33B6"/>
    <w:rsid w:val="000C346C"/>
    <w:rsid w:val="000C3924"/>
    <w:rsid w:val="000C395D"/>
    <w:rsid w:val="000C3D1F"/>
    <w:rsid w:val="000C3D7C"/>
    <w:rsid w:val="000C42A6"/>
    <w:rsid w:val="000C440E"/>
    <w:rsid w:val="000C446F"/>
    <w:rsid w:val="000C4820"/>
    <w:rsid w:val="000C5235"/>
    <w:rsid w:val="000C53A8"/>
    <w:rsid w:val="000C5449"/>
    <w:rsid w:val="000C55B3"/>
    <w:rsid w:val="000C5D50"/>
    <w:rsid w:val="000C5E93"/>
    <w:rsid w:val="000C5F75"/>
    <w:rsid w:val="000C5F8B"/>
    <w:rsid w:val="000C6078"/>
    <w:rsid w:val="000C61C2"/>
    <w:rsid w:val="000C6D2A"/>
    <w:rsid w:val="000C6D86"/>
    <w:rsid w:val="000C71FD"/>
    <w:rsid w:val="000C7A01"/>
    <w:rsid w:val="000C7A2B"/>
    <w:rsid w:val="000D0413"/>
    <w:rsid w:val="000D04F3"/>
    <w:rsid w:val="000D0820"/>
    <w:rsid w:val="000D0C38"/>
    <w:rsid w:val="000D0F45"/>
    <w:rsid w:val="000D1925"/>
    <w:rsid w:val="000D2200"/>
    <w:rsid w:val="000D23AB"/>
    <w:rsid w:val="000D28F8"/>
    <w:rsid w:val="000D2A16"/>
    <w:rsid w:val="000D2A59"/>
    <w:rsid w:val="000D3875"/>
    <w:rsid w:val="000D3D6D"/>
    <w:rsid w:val="000D4EA4"/>
    <w:rsid w:val="000D4EE5"/>
    <w:rsid w:val="000D5300"/>
    <w:rsid w:val="000D5624"/>
    <w:rsid w:val="000D5628"/>
    <w:rsid w:val="000D5E51"/>
    <w:rsid w:val="000D60B1"/>
    <w:rsid w:val="000D6117"/>
    <w:rsid w:val="000D6820"/>
    <w:rsid w:val="000D7509"/>
    <w:rsid w:val="000D76A1"/>
    <w:rsid w:val="000D781A"/>
    <w:rsid w:val="000D7933"/>
    <w:rsid w:val="000D7965"/>
    <w:rsid w:val="000D7B43"/>
    <w:rsid w:val="000D7CBF"/>
    <w:rsid w:val="000D7E96"/>
    <w:rsid w:val="000D7F15"/>
    <w:rsid w:val="000E01A5"/>
    <w:rsid w:val="000E0572"/>
    <w:rsid w:val="000E0C4E"/>
    <w:rsid w:val="000E12E7"/>
    <w:rsid w:val="000E1572"/>
    <w:rsid w:val="000E1A93"/>
    <w:rsid w:val="000E1BDE"/>
    <w:rsid w:val="000E261E"/>
    <w:rsid w:val="000E2AAE"/>
    <w:rsid w:val="000E2D89"/>
    <w:rsid w:val="000E3261"/>
    <w:rsid w:val="000E3774"/>
    <w:rsid w:val="000E386D"/>
    <w:rsid w:val="000E3921"/>
    <w:rsid w:val="000E3980"/>
    <w:rsid w:val="000E3A4B"/>
    <w:rsid w:val="000E3CD3"/>
    <w:rsid w:val="000E3FA7"/>
    <w:rsid w:val="000E3FFA"/>
    <w:rsid w:val="000E412B"/>
    <w:rsid w:val="000E4294"/>
    <w:rsid w:val="000E4BFB"/>
    <w:rsid w:val="000E4D82"/>
    <w:rsid w:val="000E4FB3"/>
    <w:rsid w:val="000E5302"/>
    <w:rsid w:val="000E5859"/>
    <w:rsid w:val="000E59BC"/>
    <w:rsid w:val="000E5BA8"/>
    <w:rsid w:val="000E5DA9"/>
    <w:rsid w:val="000E5EBE"/>
    <w:rsid w:val="000E6010"/>
    <w:rsid w:val="000E692C"/>
    <w:rsid w:val="000E69EB"/>
    <w:rsid w:val="000E6D69"/>
    <w:rsid w:val="000E6F1C"/>
    <w:rsid w:val="000E71F7"/>
    <w:rsid w:val="000E72F1"/>
    <w:rsid w:val="000E77EC"/>
    <w:rsid w:val="000E7921"/>
    <w:rsid w:val="000E7D46"/>
    <w:rsid w:val="000F0236"/>
    <w:rsid w:val="000F041B"/>
    <w:rsid w:val="000F0482"/>
    <w:rsid w:val="000F07CE"/>
    <w:rsid w:val="000F0A12"/>
    <w:rsid w:val="000F0BEE"/>
    <w:rsid w:val="000F0D6A"/>
    <w:rsid w:val="000F17BE"/>
    <w:rsid w:val="000F1A93"/>
    <w:rsid w:val="000F1BAB"/>
    <w:rsid w:val="000F23F3"/>
    <w:rsid w:val="000F2562"/>
    <w:rsid w:val="000F2A0E"/>
    <w:rsid w:val="000F2A6B"/>
    <w:rsid w:val="000F2AC5"/>
    <w:rsid w:val="000F2EF0"/>
    <w:rsid w:val="000F349B"/>
    <w:rsid w:val="000F34AC"/>
    <w:rsid w:val="000F4DA7"/>
    <w:rsid w:val="000F4E93"/>
    <w:rsid w:val="000F557E"/>
    <w:rsid w:val="000F5722"/>
    <w:rsid w:val="000F5797"/>
    <w:rsid w:val="000F58A2"/>
    <w:rsid w:val="000F59E8"/>
    <w:rsid w:val="000F5F46"/>
    <w:rsid w:val="000F626C"/>
    <w:rsid w:val="000F6B5A"/>
    <w:rsid w:val="000F6E40"/>
    <w:rsid w:val="000F7131"/>
    <w:rsid w:val="001008AF"/>
    <w:rsid w:val="00101165"/>
    <w:rsid w:val="0010117F"/>
    <w:rsid w:val="00101267"/>
    <w:rsid w:val="00101488"/>
    <w:rsid w:val="0010198F"/>
    <w:rsid w:val="001024F0"/>
    <w:rsid w:val="00102531"/>
    <w:rsid w:val="00102A2A"/>
    <w:rsid w:val="00102F5B"/>
    <w:rsid w:val="0010338E"/>
    <w:rsid w:val="00103C5C"/>
    <w:rsid w:val="00103DC7"/>
    <w:rsid w:val="001042E8"/>
    <w:rsid w:val="001043D1"/>
    <w:rsid w:val="00104986"/>
    <w:rsid w:val="00104E63"/>
    <w:rsid w:val="0010563B"/>
    <w:rsid w:val="00105712"/>
    <w:rsid w:val="00105DD4"/>
    <w:rsid w:val="00105E8A"/>
    <w:rsid w:val="00106304"/>
    <w:rsid w:val="00106A6D"/>
    <w:rsid w:val="00106BE3"/>
    <w:rsid w:val="0011020C"/>
    <w:rsid w:val="0011048E"/>
    <w:rsid w:val="001105E6"/>
    <w:rsid w:val="001106C6"/>
    <w:rsid w:val="001112CD"/>
    <w:rsid w:val="0011219F"/>
    <w:rsid w:val="001123F1"/>
    <w:rsid w:val="0011247C"/>
    <w:rsid w:val="00112D6B"/>
    <w:rsid w:val="00112EEE"/>
    <w:rsid w:val="00112F6B"/>
    <w:rsid w:val="00113389"/>
    <w:rsid w:val="001134C1"/>
    <w:rsid w:val="001134FA"/>
    <w:rsid w:val="00113504"/>
    <w:rsid w:val="00113BE2"/>
    <w:rsid w:val="00113C7C"/>
    <w:rsid w:val="00113F11"/>
    <w:rsid w:val="00114108"/>
    <w:rsid w:val="0011410E"/>
    <w:rsid w:val="00114B3B"/>
    <w:rsid w:val="001150D4"/>
    <w:rsid w:val="001150EB"/>
    <w:rsid w:val="001154AD"/>
    <w:rsid w:val="00115580"/>
    <w:rsid w:val="001155B6"/>
    <w:rsid w:val="001160A7"/>
    <w:rsid w:val="001169B8"/>
    <w:rsid w:val="001172F2"/>
    <w:rsid w:val="001173D4"/>
    <w:rsid w:val="001174F1"/>
    <w:rsid w:val="00117BD5"/>
    <w:rsid w:val="00117EF6"/>
    <w:rsid w:val="00120A35"/>
    <w:rsid w:val="0012115A"/>
    <w:rsid w:val="00121217"/>
    <w:rsid w:val="0012169B"/>
    <w:rsid w:val="0012172E"/>
    <w:rsid w:val="0012183E"/>
    <w:rsid w:val="00121917"/>
    <w:rsid w:val="00121A72"/>
    <w:rsid w:val="00121C3B"/>
    <w:rsid w:val="001223F5"/>
    <w:rsid w:val="0012336D"/>
    <w:rsid w:val="0012349E"/>
    <w:rsid w:val="0012362E"/>
    <w:rsid w:val="001236C7"/>
    <w:rsid w:val="001236FB"/>
    <w:rsid w:val="001238E0"/>
    <w:rsid w:val="00123B3F"/>
    <w:rsid w:val="001240D0"/>
    <w:rsid w:val="001240DF"/>
    <w:rsid w:val="00124265"/>
    <w:rsid w:val="00124793"/>
    <w:rsid w:val="00124B02"/>
    <w:rsid w:val="00124EF9"/>
    <w:rsid w:val="001256A6"/>
    <w:rsid w:val="00125780"/>
    <w:rsid w:val="00126943"/>
    <w:rsid w:val="00126A9D"/>
    <w:rsid w:val="00126DAA"/>
    <w:rsid w:val="00126F55"/>
    <w:rsid w:val="00127076"/>
    <w:rsid w:val="001276E9"/>
    <w:rsid w:val="0013008A"/>
    <w:rsid w:val="001300FC"/>
    <w:rsid w:val="00130E2A"/>
    <w:rsid w:val="00131163"/>
    <w:rsid w:val="0013119E"/>
    <w:rsid w:val="001311DF"/>
    <w:rsid w:val="00131318"/>
    <w:rsid w:val="001315D0"/>
    <w:rsid w:val="00132014"/>
    <w:rsid w:val="001321B8"/>
    <w:rsid w:val="00132780"/>
    <w:rsid w:val="00133272"/>
    <w:rsid w:val="00133736"/>
    <w:rsid w:val="001337A1"/>
    <w:rsid w:val="00133ACC"/>
    <w:rsid w:val="00133B66"/>
    <w:rsid w:val="00134327"/>
    <w:rsid w:val="00134CEE"/>
    <w:rsid w:val="00134D34"/>
    <w:rsid w:val="00135488"/>
    <w:rsid w:val="00135A4E"/>
    <w:rsid w:val="00135CB2"/>
    <w:rsid w:val="00135FBA"/>
    <w:rsid w:val="00136347"/>
    <w:rsid w:val="00136530"/>
    <w:rsid w:val="00136544"/>
    <w:rsid w:val="00136682"/>
    <w:rsid w:val="00136741"/>
    <w:rsid w:val="00136F8A"/>
    <w:rsid w:val="0013701A"/>
    <w:rsid w:val="0013775D"/>
    <w:rsid w:val="001377F0"/>
    <w:rsid w:val="001377F9"/>
    <w:rsid w:val="00137BC2"/>
    <w:rsid w:val="00137FD5"/>
    <w:rsid w:val="0014000C"/>
    <w:rsid w:val="001400C6"/>
    <w:rsid w:val="00140144"/>
    <w:rsid w:val="0014052E"/>
    <w:rsid w:val="0014121A"/>
    <w:rsid w:val="0014140F"/>
    <w:rsid w:val="00141972"/>
    <w:rsid w:val="00141D0F"/>
    <w:rsid w:val="001420A0"/>
    <w:rsid w:val="00142276"/>
    <w:rsid w:val="00142316"/>
    <w:rsid w:val="00142413"/>
    <w:rsid w:val="00143207"/>
    <w:rsid w:val="0014333B"/>
    <w:rsid w:val="001433B2"/>
    <w:rsid w:val="001434C8"/>
    <w:rsid w:val="00143617"/>
    <w:rsid w:val="00143DC0"/>
    <w:rsid w:val="00143E21"/>
    <w:rsid w:val="00143FCF"/>
    <w:rsid w:val="00144F3B"/>
    <w:rsid w:val="00145659"/>
    <w:rsid w:val="001457EE"/>
    <w:rsid w:val="001459A2"/>
    <w:rsid w:val="00145C48"/>
    <w:rsid w:val="00145E47"/>
    <w:rsid w:val="00145F58"/>
    <w:rsid w:val="00146531"/>
    <w:rsid w:val="00146CA1"/>
    <w:rsid w:val="00146DEA"/>
    <w:rsid w:val="0014701B"/>
    <w:rsid w:val="0014717F"/>
    <w:rsid w:val="0014765A"/>
    <w:rsid w:val="0014770B"/>
    <w:rsid w:val="0014772E"/>
    <w:rsid w:val="00147972"/>
    <w:rsid w:val="00147C25"/>
    <w:rsid w:val="001501A8"/>
    <w:rsid w:val="00150391"/>
    <w:rsid w:val="00150473"/>
    <w:rsid w:val="00150D9C"/>
    <w:rsid w:val="00151003"/>
    <w:rsid w:val="0015195A"/>
    <w:rsid w:val="00151984"/>
    <w:rsid w:val="00151BE2"/>
    <w:rsid w:val="00151FCD"/>
    <w:rsid w:val="00153830"/>
    <w:rsid w:val="00153BB3"/>
    <w:rsid w:val="00153C02"/>
    <w:rsid w:val="00153C64"/>
    <w:rsid w:val="00153F0D"/>
    <w:rsid w:val="001540B3"/>
    <w:rsid w:val="001541EA"/>
    <w:rsid w:val="001542D2"/>
    <w:rsid w:val="00154371"/>
    <w:rsid w:val="00154520"/>
    <w:rsid w:val="00154BA2"/>
    <w:rsid w:val="00154CB1"/>
    <w:rsid w:val="00155053"/>
    <w:rsid w:val="001557AB"/>
    <w:rsid w:val="001558E0"/>
    <w:rsid w:val="00155B83"/>
    <w:rsid w:val="0015629B"/>
    <w:rsid w:val="00156C1B"/>
    <w:rsid w:val="00156F55"/>
    <w:rsid w:val="0015783F"/>
    <w:rsid w:val="001578C0"/>
    <w:rsid w:val="00157BAB"/>
    <w:rsid w:val="00157D1C"/>
    <w:rsid w:val="00157FD8"/>
    <w:rsid w:val="001606FF"/>
    <w:rsid w:val="001607C5"/>
    <w:rsid w:val="00160801"/>
    <w:rsid w:val="00160815"/>
    <w:rsid w:val="001609B3"/>
    <w:rsid w:val="00160BA5"/>
    <w:rsid w:val="00160E84"/>
    <w:rsid w:val="00160EE4"/>
    <w:rsid w:val="00161013"/>
    <w:rsid w:val="001612A4"/>
    <w:rsid w:val="00161318"/>
    <w:rsid w:val="00161369"/>
    <w:rsid w:val="001613A0"/>
    <w:rsid w:val="001614E3"/>
    <w:rsid w:val="00161A00"/>
    <w:rsid w:val="00162117"/>
    <w:rsid w:val="001624AD"/>
    <w:rsid w:val="00162755"/>
    <w:rsid w:val="0016286B"/>
    <w:rsid w:val="00162A21"/>
    <w:rsid w:val="00162EEB"/>
    <w:rsid w:val="00163095"/>
    <w:rsid w:val="00163BCE"/>
    <w:rsid w:val="00164C91"/>
    <w:rsid w:val="00164D9D"/>
    <w:rsid w:val="00164F0B"/>
    <w:rsid w:val="00164F37"/>
    <w:rsid w:val="001652BA"/>
    <w:rsid w:val="001654B8"/>
    <w:rsid w:val="001656A6"/>
    <w:rsid w:val="00165903"/>
    <w:rsid w:val="0016610C"/>
    <w:rsid w:val="0016628F"/>
    <w:rsid w:val="00166619"/>
    <w:rsid w:val="00166714"/>
    <w:rsid w:val="00166A5E"/>
    <w:rsid w:val="00166C74"/>
    <w:rsid w:val="00166DFA"/>
    <w:rsid w:val="00166E35"/>
    <w:rsid w:val="00166F54"/>
    <w:rsid w:val="001675A8"/>
    <w:rsid w:val="00167621"/>
    <w:rsid w:val="001676A8"/>
    <w:rsid w:val="00167C0B"/>
    <w:rsid w:val="001700F9"/>
    <w:rsid w:val="00170787"/>
    <w:rsid w:val="001707EE"/>
    <w:rsid w:val="0017088C"/>
    <w:rsid w:val="00170AA0"/>
    <w:rsid w:val="001710B9"/>
    <w:rsid w:val="001710EA"/>
    <w:rsid w:val="00171243"/>
    <w:rsid w:val="001713A1"/>
    <w:rsid w:val="00171829"/>
    <w:rsid w:val="00171AAB"/>
    <w:rsid w:val="00171BB2"/>
    <w:rsid w:val="001728FF"/>
    <w:rsid w:val="00172B0B"/>
    <w:rsid w:val="00172C33"/>
    <w:rsid w:val="0017331E"/>
    <w:rsid w:val="001733B4"/>
    <w:rsid w:val="0017365E"/>
    <w:rsid w:val="00173A29"/>
    <w:rsid w:val="00173AFD"/>
    <w:rsid w:val="00173B12"/>
    <w:rsid w:val="001745C4"/>
    <w:rsid w:val="001745EB"/>
    <w:rsid w:val="00174B1A"/>
    <w:rsid w:val="00174DA3"/>
    <w:rsid w:val="0017521A"/>
    <w:rsid w:val="0017537C"/>
    <w:rsid w:val="0017540D"/>
    <w:rsid w:val="001754FC"/>
    <w:rsid w:val="0017584E"/>
    <w:rsid w:val="0017589F"/>
    <w:rsid w:val="00175B01"/>
    <w:rsid w:val="00175EB8"/>
    <w:rsid w:val="001761F2"/>
    <w:rsid w:val="00176384"/>
    <w:rsid w:val="00176513"/>
    <w:rsid w:val="001768C3"/>
    <w:rsid w:val="00176B04"/>
    <w:rsid w:val="00176D8A"/>
    <w:rsid w:val="001771B9"/>
    <w:rsid w:val="00177750"/>
    <w:rsid w:val="00177791"/>
    <w:rsid w:val="00177909"/>
    <w:rsid w:val="00177A19"/>
    <w:rsid w:val="00177ABE"/>
    <w:rsid w:val="00180088"/>
    <w:rsid w:val="00180098"/>
    <w:rsid w:val="00180259"/>
    <w:rsid w:val="0018067E"/>
    <w:rsid w:val="001807A9"/>
    <w:rsid w:val="00181598"/>
    <w:rsid w:val="001819E3"/>
    <w:rsid w:val="00181AC9"/>
    <w:rsid w:val="00181B76"/>
    <w:rsid w:val="00181FDE"/>
    <w:rsid w:val="001831E3"/>
    <w:rsid w:val="00183215"/>
    <w:rsid w:val="00183B4C"/>
    <w:rsid w:val="00184155"/>
    <w:rsid w:val="0018426B"/>
    <w:rsid w:val="00184F40"/>
    <w:rsid w:val="00184FBD"/>
    <w:rsid w:val="001851B2"/>
    <w:rsid w:val="00185231"/>
    <w:rsid w:val="00185599"/>
    <w:rsid w:val="00185C92"/>
    <w:rsid w:val="00185CA8"/>
    <w:rsid w:val="00186419"/>
    <w:rsid w:val="001864F0"/>
    <w:rsid w:val="00186663"/>
    <w:rsid w:val="001873F6"/>
    <w:rsid w:val="00187438"/>
    <w:rsid w:val="001878EF"/>
    <w:rsid w:val="001878FF"/>
    <w:rsid w:val="00187A9E"/>
    <w:rsid w:val="00187C4E"/>
    <w:rsid w:val="001908FB"/>
    <w:rsid w:val="00191C36"/>
    <w:rsid w:val="001923C9"/>
    <w:rsid w:val="00192595"/>
    <w:rsid w:val="001925C7"/>
    <w:rsid w:val="00192786"/>
    <w:rsid w:val="0019339F"/>
    <w:rsid w:val="001938CA"/>
    <w:rsid w:val="00193E30"/>
    <w:rsid w:val="001940C6"/>
    <w:rsid w:val="001943BB"/>
    <w:rsid w:val="00194976"/>
    <w:rsid w:val="00194C9B"/>
    <w:rsid w:val="00194C9E"/>
    <w:rsid w:val="001952BB"/>
    <w:rsid w:val="001954FB"/>
    <w:rsid w:val="001957DC"/>
    <w:rsid w:val="00196D01"/>
    <w:rsid w:val="00196F30"/>
    <w:rsid w:val="00197550"/>
    <w:rsid w:val="00197B62"/>
    <w:rsid w:val="00197BAE"/>
    <w:rsid w:val="00197D34"/>
    <w:rsid w:val="00197D38"/>
    <w:rsid w:val="00197E7A"/>
    <w:rsid w:val="001A038A"/>
    <w:rsid w:val="001A0595"/>
    <w:rsid w:val="001A09ED"/>
    <w:rsid w:val="001A0CFD"/>
    <w:rsid w:val="001A0D79"/>
    <w:rsid w:val="001A1128"/>
    <w:rsid w:val="001A1256"/>
    <w:rsid w:val="001A12F5"/>
    <w:rsid w:val="001A163D"/>
    <w:rsid w:val="001A1888"/>
    <w:rsid w:val="001A2884"/>
    <w:rsid w:val="001A29BF"/>
    <w:rsid w:val="001A3065"/>
    <w:rsid w:val="001A308B"/>
    <w:rsid w:val="001A324D"/>
    <w:rsid w:val="001A3AAE"/>
    <w:rsid w:val="001A40A4"/>
    <w:rsid w:val="001A471B"/>
    <w:rsid w:val="001A4930"/>
    <w:rsid w:val="001A4BB6"/>
    <w:rsid w:val="001A5C7F"/>
    <w:rsid w:val="001A5EEB"/>
    <w:rsid w:val="001A6168"/>
    <w:rsid w:val="001A6C51"/>
    <w:rsid w:val="001A6CC1"/>
    <w:rsid w:val="001A720C"/>
    <w:rsid w:val="001A727C"/>
    <w:rsid w:val="001A73DB"/>
    <w:rsid w:val="001A7755"/>
    <w:rsid w:val="001A7AC4"/>
    <w:rsid w:val="001B02FE"/>
    <w:rsid w:val="001B0748"/>
    <w:rsid w:val="001B0BCE"/>
    <w:rsid w:val="001B1408"/>
    <w:rsid w:val="001B1E58"/>
    <w:rsid w:val="001B2125"/>
    <w:rsid w:val="001B22F4"/>
    <w:rsid w:val="001B2612"/>
    <w:rsid w:val="001B298A"/>
    <w:rsid w:val="001B2B8B"/>
    <w:rsid w:val="001B350F"/>
    <w:rsid w:val="001B36F7"/>
    <w:rsid w:val="001B3C88"/>
    <w:rsid w:val="001B435E"/>
    <w:rsid w:val="001B43AE"/>
    <w:rsid w:val="001B455A"/>
    <w:rsid w:val="001B49E5"/>
    <w:rsid w:val="001B4BE2"/>
    <w:rsid w:val="001B4CBC"/>
    <w:rsid w:val="001B5281"/>
    <w:rsid w:val="001B5853"/>
    <w:rsid w:val="001B5A81"/>
    <w:rsid w:val="001B5E54"/>
    <w:rsid w:val="001B66EF"/>
    <w:rsid w:val="001B68FE"/>
    <w:rsid w:val="001B6934"/>
    <w:rsid w:val="001C0165"/>
    <w:rsid w:val="001C095F"/>
    <w:rsid w:val="001C0C4A"/>
    <w:rsid w:val="001C1225"/>
    <w:rsid w:val="001C2C54"/>
    <w:rsid w:val="001C2FA8"/>
    <w:rsid w:val="001C322C"/>
    <w:rsid w:val="001C3955"/>
    <w:rsid w:val="001C3BD9"/>
    <w:rsid w:val="001C40B8"/>
    <w:rsid w:val="001C4488"/>
    <w:rsid w:val="001C4517"/>
    <w:rsid w:val="001C4CC8"/>
    <w:rsid w:val="001C51F0"/>
    <w:rsid w:val="001C543C"/>
    <w:rsid w:val="001C54F4"/>
    <w:rsid w:val="001C585F"/>
    <w:rsid w:val="001C614F"/>
    <w:rsid w:val="001C67E8"/>
    <w:rsid w:val="001C69C7"/>
    <w:rsid w:val="001C6B6A"/>
    <w:rsid w:val="001C6C32"/>
    <w:rsid w:val="001C70EB"/>
    <w:rsid w:val="001C70F1"/>
    <w:rsid w:val="001C71BD"/>
    <w:rsid w:val="001C71F3"/>
    <w:rsid w:val="001C779F"/>
    <w:rsid w:val="001C7F0F"/>
    <w:rsid w:val="001D0412"/>
    <w:rsid w:val="001D0506"/>
    <w:rsid w:val="001D07E5"/>
    <w:rsid w:val="001D0C59"/>
    <w:rsid w:val="001D0FA1"/>
    <w:rsid w:val="001D1076"/>
    <w:rsid w:val="001D1678"/>
    <w:rsid w:val="001D16F2"/>
    <w:rsid w:val="001D1BC1"/>
    <w:rsid w:val="001D1D02"/>
    <w:rsid w:val="001D2404"/>
    <w:rsid w:val="001D2D83"/>
    <w:rsid w:val="001D30A2"/>
    <w:rsid w:val="001D312B"/>
    <w:rsid w:val="001D40BF"/>
    <w:rsid w:val="001D4976"/>
    <w:rsid w:val="001D4C61"/>
    <w:rsid w:val="001D505F"/>
    <w:rsid w:val="001D525B"/>
    <w:rsid w:val="001D5761"/>
    <w:rsid w:val="001D5A6E"/>
    <w:rsid w:val="001D5C16"/>
    <w:rsid w:val="001D5E9C"/>
    <w:rsid w:val="001D6966"/>
    <w:rsid w:val="001D6A91"/>
    <w:rsid w:val="001D6AB0"/>
    <w:rsid w:val="001D6FDB"/>
    <w:rsid w:val="001D738F"/>
    <w:rsid w:val="001D73DE"/>
    <w:rsid w:val="001D756B"/>
    <w:rsid w:val="001D7666"/>
    <w:rsid w:val="001D7739"/>
    <w:rsid w:val="001D7AB4"/>
    <w:rsid w:val="001D7B93"/>
    <w:rsid w:val="001D7EB4"/>
    <w:rsid w:val="001E00E8"/>
    <w:rsid w:val="001E09E2"/>
    <w:rsid w:val="001E1DC0"/>
    <w:rsid w:val="001E27E0"/>
    <w:rsid w:val="001E2865"/>
    <w:rsid w:val="001E2A5F"/>
    <w:rsid w:val="001E417B"/>
    <w:rsid w:val="001E43CA"/>
    <w:rsid w:val="001E452A"/>
    <w:rsid w:val="001E4E61"/>
    <w:rsid w:val="001E50E7"/>
    <w:rsid w:val="001E5187"/>
    <w:rsid w:val="001E5799"/>
    <w:rsid w:val="001E6156"/>
    <w:rsid w:val="001E643F"/>
    <w:rsid w:val="001E6A38"/>
    <w:rsid w:val="001E6C29"/>
    <w:rsid w:val="001E6F2F"/>
    <w:rsid w:val="001E7112"/>
    <w:rsid w:val="001E7187"/>
    <w:rsid w:val="001E7A6E"/>
    <w:rsid w:val="001E7CDA"/>
    <w:rsid w:val="001E7F11"/>
    <w:rsid w:val="001F04DD"/>
    <w:rsid w:val="001F06EC"/>
    <w:rsid w:val="001F0970"/>
    <w:rsid w:val="001F0CED"/>
    <w:rsid w:val="001F14DE"/>
    <w:rsid w:val="001F1677"/>
    <w:rsid w:val="001F1D74"/>
    <w:rsid w:val="001F233D"/>
    <w:rsid w:val="001F258D"/>
    <w:rsid w:val="001F2594"/>
    <w:rsid w:val="001F2C97"/>
    <w:rsid w:val="001F2D02"/>
    <w:rsid w:val="001F2F2B"/>
    <w:rsid w:val="001F3092"/>
    <w:rsid w:val="001F3629"/>
    <w:rsid w:val="001F391D"/>
    <w:rsid w:val="001F42DF"/>
    <w:rsid w:val="001F494D"/>
    <w:rsid w:val="001F4D72"/>
    <w:rsid w:val="001F4FB8"/>
    <w:rsid w:val="001F5901"/>
    <w:rsid w:val="001F5996"/>
    <w:rsid w:val="001F5E0A"/>
    <w:rsid w:val="001F5F09"/>
    <w:rsid w:val="001F64C5"/>
    <w:rsid w:val="001F6853"/>
    <w:rsid w:val="001F6B5B"/>
    <w:rsid w:val="001F72A9"/>
    <w:rsid w:val="001F7463"/>
    <w:rsid w:val="001F7696"/>
    <w:rsid w:val="001F79EB"/>
    <w:rsid w:val="00200055"/>
    <w:rsid w:val="002000DF"/>
    <w:rsid w:val="002009CF"/>
    <w:rsid w:val="00200AF3"/>
    <w:rsid w:val="00200D7B"/>
    <w:rsid w:val="002011F7"/>
    <w:rsid w:val="0020122A"/>
    <w:rsid w:val="0020174E"/>
    <w:rsid w:val="002017E7"/>
    <w:rsid w:val="00201EE4"/>
    <w:rsid w:val="00202406"/>
    <w:rsid w:val="00202731"/>
    <w:rsid w:val="00202DC8"/>
    <w:rsid w:val="0020350A"/>
    <w:rsid w:val="00203C0B"/>
    <w:rsid w:val="00204269"/>
    <w:rsid w:val="00204768"/>
    <w:rsid w:val="00204BAB"/>
    <w:rsid w:val="002050CE"/>
    <w:rsid w:val="002050D0"/>
    <w:rsid w:val="00205120"/>
    <w:rsid w:val="00205826"/>
    <w:rsid w:val="00205FB6"/>
    <w:rsid w:val="002065CA"/>
    <w:rsid w:val="00206B0B"/>
    <w:rsid w:val="002078B6"/>
    <w:rsid w:val="00207B94"/>
    <w:rsid w:val="002101DC"/>
    <w:rsid w:val="00210F43"/>
    <w:rsid w:val="002112E3"/>
    <w:rsid w:val="00211343"/>
    <w:rsid w:val="0021134F"/>
    <w:rsid w:val="00211471"/>
    <w:rsid w:val="00211EB9"/>
    <w:rsid w:val="00212C70"/>
    <w:rsid w:val="002135E1"/>
    <w:rsid w:val="00213797"/>
    <w:rsid w:val="00213814"/>
    <w:rsid w:val="00213BF8"/>
    <w:rsid w:val="00213C46"/>
    <w:rsid w:val="00213C76"/>
    <w:rsid w:val="0021411C"/>
    <w:rsid w:val="002145B7"/>
    <w:rsid w:val="00214A17"/>
    <w:rsid w:val="00214B5F"/>
    <w:rsid w:val="00214C7F"/>
    <w:rsid w:val="002150D3"/>
    <w:rsid w:val="0021546B"/>
    <w:rsid w:val="002157D5"/>
    <w:rsid w:val="002158CB"/>
    <w:rsid w:val="00215C9B"/>
    <w:rsid w:val="00215FBE"/>
    <w:rsid w:val="00216811"/>
    <w:rsid w:val="00216E71"/>
    <w:rsid w:val="002173C0"/>
    <w:rsid w:val="002177AC"/>
    <w:rsid w:val="0022056F"/>
    <w:rsid w:val="00220C19"/>
    <w:rsid w:val="00221664"/>
    <w:rsid w:val="002218D2"/>
    <w:rsid w:val="00221E4C"/>
    <w:rsid w:val="00222307"/>
    <w:rsid w:val="002223F1"/>
    <w:rsid w:val="00222556"/>
    <w:rsid w:val="00222700"/>
    <w:rsid w:val="002227A6"/>
    <w:rsid w:val="002229DE"/>
    <w:rsid w:val="00222B0D"/>
    <w:rsid w:val="00222E17"/>
    <w:rsid w:val="002231E7"/>
    <w:rsid w:val="00223229"/>
    <w:rsid w:val="002234EA"/>
    <w:rsid w:val="002238C1"/>
    <w:rsid w:val="00223A9C"/>
    <w:rsid w:val="00223AA3"/>
    <w:rsid w:val="00223B9A"/>
    <w:rsid w:val="00225037"/>
    <w:rsid w:val="0022514F"/>
    <w:rsid w:val="00225387"/>
    <w:rsid w:val="00225585"/>
    <w:rsid w:val="002258A3"/>
    <w:rsid w:val="00225A13"/>
    <w:rsid w:val="00225AD4"/>
    <w:rsid w:val="00225BB2"/>
    <w:rsid w:val="00225D11"/>
    <w:rsid w:val="00226805"/>
    <w:rsid w:val="002268A8"/>
    <w:rsid w:val="00226FCC"/>
    <w:rsid w:val="0022713C"/>
    <w:rsid w:val="00227438"/>
    <w:rsid w:val="002278AB"/>
    <w:rsid w:val="00227A15"/>
    <w:rsid w:val="00230790"/>
    <w:rsid w:val="00230A74"/>
    <w:rsid w:val="00230A88"/>
    <w:rsid w:val="002311C5"/>
    <w:rsid w:val="00232039"/>
    <w:rsid w:val="0023216D"/>
    <w:rsid w:val="002323B6"/>
    <w:rsid w:val="0023312E"/>
    <w:rsid w:val="00233EB4"/>
    <w:rsid w:val="00233EB6"/>
    <w:rsid w:val="00234208"/>
    <w:rsid w:val="00234398"/>
    <w:rsid w:val="00234507"/>
    <w:rsid w:val="002346A4"/>
    <w:rsid w:val="002348CA"/>
    <w:rsid w:val="00234EDC"/>
    <w:rsid w:val="00235069"/>
    <w:rsid w:val="00235366"/>
    <w:rsid w:val="002353B5"/>
    <w:rsid w:val="002353F4"/>
    <w:rsid w:val="00235518"/>
    <w:rsid w:val="00235EAB"/>
    <w:rsid w:val="00236189"/>
    <w:rsid w:val="002362A7"/>
    <w:rsid w:val="00236936"/>
    <w:rsid w:val="00236BAE"/>
    <w:rsid w:val="00236E39"/>
    <w:rsid w:val="00237064"/>
    <w:rsid w:val="0023767E"/>
    <w:rsid w:val="002376FB"/>
    <w:rsid w:val="002377D9"/>
    <w:rsid w:val="00237C38"/>
    <w:rsid w:val="00237CCD"/>
    <w:rsid w:val="00240370"/>
    <w:rsid w:val="002406F9"/>
    <w:rsid w:val="00240F58"/>
    <w:rsid w:val="002413A0"/>
    <w:rsid w:val="00241472"/>
    <w:rsid w:val="00241752"/>
    <w:rsid w:val="00241C2E"/>
    <w:rsid w:val="00242120"/>
    <w:rsid w:val="0024262B"/>
    <w:rsid w:val="002431FC"/>
    <w:rsid w:val="002433D4"/>
    <w:rsid w:val="002433DB"/>
    <w:rsid w:val="00243657"/>
    <w:rsid w:val="002442E0"/>
    <w:rsid w:val="0024487C"/>
    <w:rsid w:val="002448FF"/>
    <w:rsid w:val="00244BA7"/>
    <w:rsid w:val="00244BC8"/>
    <w:rsid w:val="00245555"/>
    <w:rsid w:val="0024564D"/>
    <w:rsid w:val="00245921"/>
    <w:rsid w:val="00246398"/>
    <w:rsid w:val="002463BE"/>
    <w:rsid w:val="002466D2"/>
    <w:rsid w:val="00246887"/>
    <w:rsid w:val="00246B4B"/>
    <w:rsid w:val="00246E48"/>
    <w:rsid w:val="002476CF"/>
    <w:rsid w:val="0025031A"/>
    <w:rsid w:val="002503BA"/>
    <w:rsid w:val="002504A2"/>
    <w:rsid w:val="00250658"/>
    <w:rsid w:val="002506C8"/>
    <w:rsid w:val="00250714"/>
    <w:rsid w:val="00250821"/>
    <w:rsid w:val="00250AA0"/>
    <w:rsid w:val="00250C16"/>
    <w:rsid w:val="00250F9B"/>
    <w:rsid w:val="00251795"/>
    <w:rsid w:val="00251D08"/>
    <w:rsid w:val="00251F2F"/>
    <w:rsid w:val="00252166"/>
    <w:rsid w:val="002521B4"/>
    <w:rsid w:val="00252661"/>
    <w:rsid w:val="002527B4"/>
    <w:rsid w:val="002528D0"/>
    <w:rsid w:val="00252A82"/>
    <w:rsid w:val="00252A90"/>
    <w:rsid w:val="00253410"/>
    <w:rsid w:val="00253449"/>
    <w:rsid w:val="00253B7A"/>
    <w:rsid w:val="00253DD1"/>
    <w:rsid w:val="00253F8B"/>
    <w:rsid w:val="00254697"/>
    <w:rsid w:val="00254837"/>
    <w:rsid w:val="00254C5B"/>
    <w:rsid w:val="0025530C"/>
    <w:rsid w:val="0025566E"/>
    <w:rsid w:val="00255D66"/>
    <w:rsid w:val="002561E6"/>
    <w:rsid w:val="0025628F"/>
    <w:rsid w:val="0025679D"/>
    <w:rsid w:val="00256896"/>
    <w:rsid w:val="00256B10"/>
    <w:rsid w:val="00256EFC"/>
    <w:rsid w:val="0025710B"/>
    <w:rsid w:val="00257FB6"/>
    <w:rsid w:val="00260152"/>
    <w:rsid w:val="00260A84"/>
    <w:rsid w:val="00260DB3"/>
    <w:rsid w:val="002616C9"/>
    <w:rsid w:val="00261938"/>
    <w:rsid w:val="00261989"/>
    <w:rsid w:val="00261AB2"/>
    <w:rsid w:val="002621F2"/>
    <w:rsid w:val="002625F3"/>
    <w:rsid w:val="00262A31"/>
    <w:rsid w:val="00262DE5"/>
    <w:rsid w:val="00263C24"/>
    <w:rsid w:val="00263E79"/>
    <w:rsid w:val="0026410E"/>
    <w:rsid w:val="002642CF"/>
    <w:rsid w:val="00264D96"/>
    <w:rsid w:val="002656B3"/>
    <w:rsid w:val="00265990"/>
    <w:rsid w:val="002659CC"/>
    <w:rsid w:val="00265A19"/>
    <w:rsid w:val="002660EF"/>
    <w:rsid w:val="002661D6"/>
    <w:rsid w:val="002662ED"/>
    <w:rsid w:val="002667FE"/>
    <w:rsid w:val="002672A4"/>
    <w:rsid w:val="00267316"/>
    <w:rsid w:val="002673A2"/>
    <w:rsid w:val="002676E6"/>
    <w:rsid w:val="0026790A"/>
    <w:rsid w:val="00267ADD"/>
    <w:rsid w:val="00267F5D"/>
    <w:rsid w:val="0027054E"/>
    <w:rsid w:val="00270823"/>
    <w:rsid w:val="00270A29"/>
    <w:rsid w:val="00271A28"/>
    <w:rsid w:val="00271A45"/>
    <w:rsid w:val="00271B87"/>
    <w:rsid w:val="00271C37"/>
    <w:rsid w:val="002727B4"/>
    <w:rsid w:val="00272849"/>
    <w:rsid w:val="00272C28"/>
    <w:rsid w:val="00272CCE"/>
    <w:rsid w:val="002732E9"/>
    <w:rsid w:val="00273726"/>
    <w:rsid w:val="002741D3"/>
    <w:rsid w:val="00274252"/>
    <w:rsid w:val="002746C6"/>
    <w:rsid w:val="002749DF"/>
    <w:rsid w:val="00274AAF"/>
    <w:rsid w:val="00274C6B"/>
    <w:rsid w:val="00274DF0"/>
    <w:rsid w:val="00274E8A"/>
    <w:rsid w:val="00275456"/>
    <w:rsid w:val="002754A8"/>
    <w:rsid w:val="002754DF"/>
    <w:rsid w:val="00275D7F"/>
    <w:rsid w:val="00276A4F"/>
    <w:rsid w:val="00276B9F"/>
    <w:rsid w:val="00276FB4"/>
    <w:rsid w:val="00277260"/>
    <w:rsid w:val="00277F86"/>
    <w:rsid w:val="002808B0"/>
    <w:rsid w:val="002810AF"/>
    <w:rsid w:val="002813A4"/>
    <w:rsid w:val="00281E87"/>
    <w:rsid w:val="00281F3E"/>
    <w:rsid w:val="0028218C"/>
    <w:rsid w:val="0028226C"/>
    <w:rsid w:val="002822E0"/>
    <w:rsid w:val="00282468"/>
    <w:rsid w:val="00282604"/>
    <w:rsid w:val="002826B2"/>
    <w:rsid w:val="0028285D"/>
    <w:rsid w:val="00282B62"/>
    <w:rsid w:val="00282DC6"/>
    <w:rsid w:val="00282E8C"/>
    <w:rsid w:val="0028392C"/>
    <w:rsid w:val="00283D5C"/>
    <w:rsid w:val="00284ABB"/>
    <w:rsid w:val="00284C08"/>
    <w:rsid w:val="00284F83"/>
    <w:rsid w:val="002850A2"/>
    <w:rsid w:val="002851B4"/>
    <w:rsid w:val="002851CB"/>
    <w:rsid w:val="00285377"/>
    <w:rsid w:val="0028538E"/>
    <w:rsid w:val="00285763"/>
    <w:rsid w:val="00285791"/>
    <w:rsid w:val="00285CFB"/>
    <w:rsid w:val="0028602A"/>
    <w:rsid w:val="00286628"/>
    <w:rsid w:val="002867F0"/>
    <w:rsid w:val="00286851"/>
    <w:rsid w:val="002868A9"/>
    <w:rsid w:val="00286D96"/>
    <w:rsid w:val="002872C3"/>
    <w:rsid w:val="00287835"/>
    <w:rsid w:val="00287908"/>
    <w:rsid w:val="0029039F"/>
    <w:rsid w:val="00290B0B"/>
    <w:rsid w:val="00290DD0"/>
    <w:rsid w:val="0029108B"/>
    <w:rsid w:val="002910FC"/>
    <w:rsid w:val="002913ED"/>
    <w:rsid w:val="002914FA"/>
    <w:rsid w:val="002917B1"/>
    <w:rsid w:val="00292683"/>
    <w:rsid w:val="00292881"/>
    <w:rsid w:val="002928FD"/>
    <w:rsid w:val="002929EF"/>
    <w:rsid w:val="00292BF1"/>
    <w:rsid w:val="00292DF7"/>
    <w:rsid w:val="002937D1"/>
    <w:rsid w:val="00293806"/>
    <w:rsid w:val="00293C1E"/>
    <w:rsid w:val="00293DE2"/>
    <w:rsid w:val="00294183"/>
    <w:rsid w:val="002941A0"/>
    <w:rsid w:val="0029449C"/>
    <w:rsid w:val="00294ACC"/>
    <w:rsid w:val="00294AE3"/>
    <w:rsid w:val="00294F04"/>
    <w:rsid w:val="00294F1C"/>
    <w:rsid w:val="00295C79"/>
    <w:rsid w:val="002960BC"/>
    <w:rsid w:val="0029643E"/>
    <w:rsid w:val="00296B09"/>
    <w:rsid w:val="00296DC4"/>
    <w:rsid w:val="00297159"/>
    <w:rsid w:val="002974DF"/>
    <w:rsid w:val="002977D2"/>
    <w:rsid w:val="002A0597"/>
    <w:rsid w:val="002A08E2"/>
    <w:rsid w:val="002A0BFA"/>
    <w:rsid w:val="002A0F02"/>
    <w:rsid w:val="002A130F"/>
    <w:rsid w:val="002A1452"/>
    <w:rsid w:val="002A1606"/>
    <w:rsid w:val="002A16AD"/>
    <w:rsid w:val="002A1962"/>
    <w:rsid w:val="002A1CE8"/>
    <w:rsid w:val="002A1E06"/>
    <w:rsid w:val="002A259D"/>
    <w:rsid w:val="002A2928"/>
    <w:rsid w:val="002A2A62"/>
    <w:rsid w:val="002A2BB7"/>
    <w:rsid w:val="002A2BD5"/>
    <w:rsid w:val="002A2DBA"/>
    <w:rsid w:val="002A3229"/>
    <w:rsid w:val="002A3B92"/>
    <w:rsid w:val="002A3B9A"/>
    <w:rsid w:val="002A3BC2"/>
    <w:rsid w:val="002A3C5B"/>
    <w:rsid w:val="002A4001"/>
    <w:rsid w:val="002A4931"/>
    <w:rsid w:val="002A4A2D"/>
    <w:rsid w:val="002A50AB"/>
    <w:rsid w:val="002A5177"/>
    <w:rsid w:val="002A5A16"/>
    <w:rsid w:val="002A5C4D"/>
    <w:rsid w:val="002A5C51"/>
    <w:rsid w:val="002A5E00"/>
    <w:rsid w:val="002A6080"/>
    <w:rsid w:val="002A63CD"/>
    <w:rsid w:val="002A6415"/>
    <w:rsid w:val="002A6B2C"/>
    <w:rsid w:val="002A712C"/>
    <w:rsid w:val="002A7A5E"/>
    <w:rsid w:val="002A7F05"/>
    <w:rsid w:val="002B027B"/>
    <w:rsid w:val="002B03D0"/>
    <w:rsid w:val="002B0888"/>
    <w:rsid w:val="002B0D20"/>
    <w:rsid w:val="002B0FEA"/>
    <w:rsid w:val="002B14B4"/>
    <w:rsid w:val="002B152A"/>
    <w:rsid w:val="002B16FF"/>
    <w:rsid w:val="002B1E92"/>
    <w:rsid w:val="002B22A7"/>
    <w:rsid w:val="002B27EC"/>
    <w:rsid w:val="002B2BB2"/>
    <w:rsid w:val="002B2C06"/>
    <w:rsid w:val="002B2DCA"/>
    <w:rsid w:val="002B31DC"/>
    <w:rsid w:val="002B337D"/>
    <w:rsid w:val="002B386A"/>
    <w:rsid w:val="002B43A1"/>
    <w:rsid w:val="002B4935"/>
    <w:rsid w:val="002B4B9D"/>
    <w:rsid w:val="002B4CBD"/>
    <w:rsid w:val="002B5145"/>
    <w:rsid w:val="002B5225"/>
    <w:rsid w:val="002B5690"/>
    <w:rsid w:val="002B56BD"/>
    <w:rsid w:val="002B56EF"/>
    <w:rsid w:val="002B5920"/>
    <w:rsid w:val="002B63F9"/>
    <w:rsid w:val="002B641F"/>
    <w:rsid w:val="002B721D"/>
    <w:rsid w:val="002B7516"/>
    <w:rsid w:val="002B7654"/>
    <w:rsid w:val="002B76F7"/>
    <w:rsid w:val="002C09BA"/>
    <w:rsid w:val="002C0C38"/>
    <w:rsid w:val="002C0E7B"/>
    <w:rsid w:val="002C1362"/>
    <w:rsid w:val="002C13A6"/>
    <w:rsid w:val="002C1678"/>
    <w:rsid w:val="002C1779"/>
    <w:rsid w:val="002C1932"/>
    <w:rsid w:val="002C197C"/>
    <w:rsid w:val="002C1BC1"/>
    <w:rsid w:val="002C1E1B"/>
    <w:rsid w:val="002C1FEB"/>
    <w:rsid w:val="002C218A"/>
    <w:rsid w:val="002C2697"/>
    <w:rsid w:val="002C2852"/>
    <w:rsid w:val="002C2872"/>
    <w:rsid w:val="002C2DB9"/>
    <w:rsid w:val="002C3833"/>
    <w:rsid w:val="002C3981"/>
    <w:rsid w:val="002C3F22"/>
    <w:rsid w:val="002C3F45"/>
    <w:rsid w:val="002C42BE"/>
    <w:rsid w:val="002C446F"/>
    <w:rsid w:val="002C4696"/>
    <w:rsid w:val="002C491B"/>
    <w:rsid w:val="002C4956"/>
    <w:rsid w:val="002C52B8"/>
    <w:rsid w:val="002C5447"/>
    <w:rsid w:val="002C5521"/>
    <w:rsid w:val="002C571A"/>
    <w:rsid w:val="002C6EBE"/>
    <w:rsid w:val="002C70B4"/>
    <w:rsid w:val="002C7151"/>
    <w:rsid w:val="002C73BC"/>
    <w:rsid w:val="002C78E5"/>
    <w:rsid w:val="002C79AB"/>
    <w:rsid w:val="002C7DEA"/>
    <w:rsid w:val="002D03E5"/>
    <w:rsid w:val="002D0446"/>
    <w:rsid w:val="002D0848"/>
    <w:rsid w:val="002D0ACC"/>
    <w:rsid w:val="002D0D31"/>
    <w:rsid w:val="002D1A5D"/>
    <w:rsid w:val="002D26AC"/>
    <w:rsid w:val="002D28C9"/>
    <w:rsid w:val="002D2E1F"/>
    <w:rsid w:val="002D2E3C"/>
    <w:rsid w:val="002D2ECF"/>
    <w:rsid w:val="002D2EE4"/>
    <w:rsid w:val="002D30EE"/>
    <w:rsid w:val="002D3120"/>
    <w:rsid w:val="002D31F0"/>
    <w:rsid w:val="002D33D1"/>
    <w:rsid w:val="002D33E3"/>
    <w:rsid w:val="002D3BA4"/>
    <w:rsid w:val="002D3CBF"/>
    <w:rsid w:val="002D477A"/>
    <w:rsid w:val="002D4E01"/>
    <w:rsid w:val="002D5381"/>
    <w:rsid w:val="002D5A5E"/>
    <w:rsid w:val="002D60CC"/>
    <w:rsid w:val="002D6BCD"/>
    <w:rsid w:val="002D6E6F"/>
    <w:rsid w:val="002D73FB"/>
    <w:rsid w:val="002D7BF8"/>
    <w:rsid w:val="002D7CF6"/>
    <w:rsid w:val="002E0632"/>
    <w:rsid w:val="002E0B2C"/>
    <w:rsid w:val="002E0D0C"/>
    <w:rsid w:val="002E0D42"/>
    <w:rsid w:val="002E0E04"/>
    <w:rsid w:val="002E0E5C"/>
    <w:rsid w:val="002E0FCD"/>
    <w:rsid w:val="002E1181"/>
    <w:rsid w:val="002E1497"/>
    <w:rsid w:val="002E150F"/>
    <w:rsid w:val="002E1539"/>
    <w:rsid w:val="002E16E7"/>
    <w:rsid w:val="002E17C4"/>
    <w:rsid w:val="002E1BBA"/>
    <w:rsid w:val="002E2BDF"/>
    <w:rsid w:val="002E3029"/>
    <w:rsid w:val="002E304B"/>
    <w:rsid w:val="002E381E"/>
    <w:rsid w:val="002E3B59"/>
    <w:rsid w:val="002E4168"/>
    <w:rsid w:val="002E42A9"/>
    <w:rsid w:val="002E4628"/>
    <w:rsid w:val="002E57DC"/>
    <w:rsid w:val="002E58F0"/>
    <w:rsid w:val="002E5B5D"/>
    <w:rsid w:val="002E66B1"/>
    <w:rsid w:val="002E6799"/>
    <w:rsid w:val="002E6A67"/>
    <w:rsid w:val="002E6DE4"/>
    <w:rsid w:val="002E70A1"/>
    <w:rsid w:val="002E7527"/>
    <w:rsid w:val="002E7528"/>
    <w:rsid w:val="002E7BEC"/>
    <w:rsid w:val="002E7CE0"/>
    <w:rsid w:val="002F060E"/>
    <w:rsid w:val="002F0743"/>
    <w:rsid w:val="002F07A0"/>
    <w:rsid w:val="002F0879"/>
    <w:rsid w:val="002F0AF2"/>
    <w:rsid w:val="002F0DFA"/>
    <w:rsid w:val="002F12AD"/>
    <w:rsid w:val="002F1556"/>
    <w:rsid w:val="002F164F"/>
    <w:rsid w:val="002F187B"/>
    <w:rsid w:val="002F18F2"/>
    <w:rsid w:val="002F19BF"/>
    <w:rsid w:val="002F1D87"/>
    <w:rsid w:val="002F2AAB"/>
    <w:rsid w:val="002F3094"/>
    <w:rsid w:val="002F3849"/>
    <w:rsid w:val="002F3A16"/>
    <w:rsid w:val="002F3B61"/>
    <w:rsid w:val="002F3D22"/>
    <w:rsid w:val="002F4EE4"/>
    <w:rsid w:val="002F5017"/>
    <w:rsid w:val="002F5145"/>
    <w:rsid w:val="002F5437"/>
    <w:rsid w:val="002F5443"/>
    <w:rsid w:val="002F55F8"/>
    <w:rsid w:val="002F5E9E"/>
    <w:rsid w:val="002F5F27"/>
    <w:rsid w:val="002F6118"/>
    <w:rsid w:val="002F6904"/>
    <w:rsid w:val="002F6A77"/>
    <w:rsid w:val="002F6F9D"/>
    <w:rsid w:val="002F723B"/>
    <w:rsid w:val="002F76AE"/>
    <w:rsid w:val="002F7BE9"/>
    <w:rsid w:val="00300209"/>
    <w:rsid w:val="00300CA1"/>
    <w:rsid w:val="00300F0A"/>
    <w:rsid w:val="00301144"/>
    <w:rsid w:val="00301193"/>
    <w:rsid w:val="00301235"/>
    <w:rsid w:val="00301442"/>
    <w:rsid w:val="00301BCF"/>
    <w:rsid w:val="0030211D"/>
    <w:rsid w:val="0030219F"/>
    <w:rsid w:val="003022D8"/>
    <w:rsid w:val="0030235B"/>
    <w:rsid w:val="00302920"/>
    <w:rsid w:val="00302C01"/>
    <w:rsid w:val="003030C8"/>
    <w:rsid w:val="00303984"/>
    <w:rsid w:val="00303AD5"/>
    <w:rsid w:val="003045CA"/>
    <w:rsid w:val="003045E1"/>
    <w:rsid w:val="00305389"/>
    <w:rsid w:val="003054F8"/>
    <w:rsid w:val="0030599E"/>
    <w:rsid w:val="00306AE3"/>
    <w:rsid w:val="00307DD7"/>
    <w:rsid w:val="003100AF"/>
    <w:rsid w:val="003107BE"/>
    <w:rsid w:val="00311076"/>
    <w:rsid w:val="00311130"/>
    <w:rsid w:val="00311A41"/>
    <w:rsid w:val="00311A4C"/>
    <w:rsid w:val="00311B30"/>
    <w:rsid w:val="00311B68"/>
    <w:rsid w:val="00311B7B"/>
    <w:rsid w:val="00311BE7"/>
    <w:rsid w:val="00312453"/>
    <w:rsid w:val="00312760"/>
    <w:rsid w:val="0031276A"/>
    <w:rsid w:val="00312D4F"/>
    <w:rsid w:val="00313246"/>
    <w:rsid w:val="00313331"/>
    <w:rsid w:val="00313809"/>
    <w:rsid w:val="00313C95"/>
    <w:rsid w:val="00313D12"/>
    <w:rsid w:val="00313E97"/>
    <w:rsid w:val="0031408B"/>
    <w:rsid w:val="003141CD"/>
    <w:rsid w:val="0031487D"/>
    <w:rsid w:val="003148B7"/>
    <w:rsid w:val="00314AE9"/>
    <w:rsid w:val="00314C45"/>
    <w:rsid w:val="003151D8"/>
    <w:rsid w:val="003158C3"/>
    <w:rsid w:val="00315F4E"/>
    <w:rsid w:val="003160EE"/>
    <w:rsid w:val="00316F3C"/>
    <w:rsid w:val="00316F9F"/>
    <w:rsid w:val="00317277"/>
    <w:rsid w:val="0031790E"/>
    <w:rsid w:val="00317C54"/>
    <w:rsid w:val="00317F74"/>
    <w:rsid w:val="00320054"/>
    <w:rsid w:val="003201E3"/>
    <w:rsid w:val="00320351"/>
    <w:rsid w:val="00320843"/>
    <w:rsid w:val="00320953"/>
    <w:rsid w:val="00320B05"/>
    <w:rsid w:val="00320C03"/>
    <w:rsid w:val="00320C61"/>
    <w:rsid w:val="00320E43"/>
    <w:rsid w:val="003215CF"/>
    <w:rsid w:val="00322115"/>
    <w:rsid w:val="00322224"/>
    <w:rsid w:val="0032254F"/>
    <w:rsid w:val="003227D1"/>
    <w:rsid w:val="00323568"/>
    <w:rsid w:val="00323CAE"/>
    <w:rsid w:val="00323D64"/>
    <w:rsid w:val="00323F53"/>
    <w:rsid w:val="003240F6"/>
    <w:rsid w:val="003244E9"/>
    <w:rsid w:val="003249FB"/>
    <w:rsid w:val="0032512C"/>
    <w:rsid w:val="00325226"/>
    <w:rsid w:val="003255C3"/>
    <w:rsid w:val="00325A2E"/>
    <w:rsid w:val="00325AB0"/>
    <w:rsid w:val="00325C1A"/>
    <w:rsid w:val="00325DAA"/>
    <w:rsid w:val="00325F2F"/>
    <w:rsid w:val="003260B8"/>
    <w:rsid w:val="00326AA3"/>
    <w:rsid w:val="00326EBD"/>
    <w:rsid w:val="003274CD"/>
    <w:rsid w:val="003276FB"/>
    <w:rsid w:val="00327B2E"/>
    <w:rsid w:val="00327BFF"/>
    <w:rsid w:val="00330415"/>
    <w:rsid w:val="0033055B"/>
    <w:rsid w:val="0033084E"/>
    <w:rsid w:val="00330A15"/>
    <w:rsid w:val="00330A84"/>
    <w:rsid w:val="00330D35"/>
    <w:rsid w:val="00330E0D"/>
    <w:rsid w:val="00330E59"/>
    <w:rsid w:val="00331461"/>
    <w:rsid w:val="003315E9"/>
    <w:rsid w:val="00331C0F"/>
    <w:rsid w:val="00331D68"/>
    <w:rsid w:val="00331D78"/>
    <w:rsid w:val="00332938"/>
    <w:rsid w:val="00332B84"/>
    <w:rsid w:val="00332E2C"/>
    <w:rsid w:val="00332EF4"/>
    <w:rsid w:val="00333274"/>
    <w:rsid w:val="0033433D"/>
    <w:rsid w:val="00334C6F"/>
    <w:rsid w:val="00334F8A"/>
    <w:rsid w:val="0033519F"/>
    <w:rsid w:val="00335280"/>
    <w:rsid w:val="00335B6F"/>
    <w:rsid w:val="003367A8"/>
    <w:rsid w:val="00336855"/>
    <w:rsid w:val="00336FC6"/>
    <w:rsid w:val="00337226"/>
    <w:rsid w:val="003377DA"/>
    <w:rsid w:val="003377F1"/>
    <w:rsid w:val="00337A1A"/>
    <w:rsid w:val="00337B17"/>
    <w:rsid w:val="00337D61"/>
    <w:rsid w:val="00337E01"/>
    <w:rsid w:val="00340094"/>
    <w:rsid w:val="00340D32"/>
    <w:rsid w:val="003414F5"/>
    <w:rsid w:val="003416C7"/>
    <w:rsid w:val="00341BA3"/>
    <w:rsid w:val="00341DFA"/>
    <w:rsid w:val="003423F5"/>
    <w:rsid w:val="003424C3"/>
    <w:rsid w:val="0034269F"/>
    <w:rsid w:val="003428F9"/>
    <w:rsid w:val="00342C52"/>
    <w:rsid w:val="003430F1"/>
    <w:rsid w:val="00343947"/>
    <w:rsid w:val="00343C48"/>
    <w:rsid w:val="00343D83"/>
    <w:rsid w:val="00343F50"/>
    <w:rsid w:val="00343FA4"/>
    <w:rsid w:val="00343FA8"/>
    <w:rsid w:val="003442B2"/>
    <w:rsid w:val="003442F5"/>
    <w:rsid w:val="0034442B"/>
    <w:rsid w:val="003445B7"/>
    <w:rsid w:val="00344D28"/>
    <w:rsid w:val="00344D99"/>
    <w:rsid w:val="00344E09"/>
    <w:rsid w:val="00344F02"/>
    <w:rsid w:val="00345B7A"/>
    <w:rsid w:val="00346097"/>
    <w:rsid w:val="00346128"/>
    <w:rsid w:val="00346167"/>
    <w:rsid w:val="00346AAB"/>
    <w:rsid w:val="00346E69"/>
    <w:rsid w:val="00346E8F"/>
    <w:rsid w:val="003473D9"/>
    <w:rsid w:val="00347499"/>
    <w:rsid w:val="0034755C"/>
    <w:rsid w:val="00347622"/>
    <w:rsid w:val="0034784C"/>
    <w:rsid w:val="0034785D"/>
    <w:rsid w:val="00347994"/>
    <w:rsid w:val="00347B58"/>
    <w:rsid w:val="00347C35"/>
    <w:rsid w:val="00347D8D"/>
    <w:rsid w:val="0035072D"/>
    <w:rsid w:val="00350DEB"/>
    <w:rsid w:val="00350FA1"/>
    <w:rsid w:val="0035104C"/>
    <w:rsid w:val="00351130"/>
    <w:rsid w:val="0035119D"/>
    <w:rsid w:val="003515C9"/>
    <w:rsid w:val="003519AB"/>
    <w:rsid w:val="00351B52"/>
    <w:rsid w:val="0035204F"/>
    <w:rsid w:val="003523C8"/>
    <w:rsid w:val="0035249A"/>
    <w:rsid w:val="003525F1"/>
    <w:rsid w:val="0035283E"/>
    <w:rsid w:val="00352DF4"/>
    <w:rsid w:val="0035390E"/>
    <w:rsid w:val="0035430A"/>
    <w:rsid w:val="00354656"/>
    <w:rsid w:val="0035467D"/>
    <w:rsid w:val="00354928"/>
    <w:rsid w:val="003553E9"/>
    <w:rsid w:val="00355C5A"/>
    <w:rsid w:val="00356280"/>
    <w:rsid w:val="0035681D"/>
    <w:rsid w:val="00356972"/>
    <w:rsid w:val="00356C62"/>
    <w:rsid w:val="00357141"/>
    <w:rsid w:val="003576A1"/>
    <w:rsid w:val="0035776D"/>
    <w:rsid w:val="00357A1B"/>
    <w:rsid w:val="00357C9B"/>
    <w:rsid w:val="00357E60"/>
    <w:rsid w:val="00357E6A"/>
    <w:rsid w:val="003600A3"/>
    <w:rsid w:val="00360283"/>
    <w:rsid w:val="003606E0"/>
    <w:rsid w:val="00360968"/>
    <w:rsid w:val="00360A80"/>
    <w:rsid w:val="00361D91"/>
    <w:rsid w:val="00362741"/>
    <w:rsid w:val="00363311"/>
    <w:rsid w:val="00363758"/>
    <w:rsid w:val="003639AC"/>
    <w:rsid w:val="00363CF2"/>
    <w:rsid w:val="00363E96"/>
    <w:rsid w:val="003644E7"/>
    <w:rsid w:val="00364878"/>
    <w:rsid w:val="00364BE9"/>
    <w:rsid w:val="00364C0D"/>
    <w:rsid w:val="00365006"/>
    <w:rsid w:val="0036529B"/>
    <w:rsid w:val="00365EEE"/>
    <w:rsid w:val="00365F66"/>
    <w:rsid w:val="003666ED"/>
    <w:rsid w:val="00366A75"/>
    <w:rsid w:val="00366F9C"/>
    <w:rsid w:val="003674B8"/>
    <w:rsid w:val="00367563"/>
    <w:rsid w:val="00367AB2"/>
    <w:rsid w:val="00370B71"/>
    <w:rsid w:val="0037101E"/>
    <w:rsid w:val="003714D2"/>
    <w:rsid w:val="003718D1"/>
    <w:rsid w:val="00371A04"/>
    <w:rsid w:val="00371FF1"/>
    <w:rsid w:val="003722B5"/>
    <w:rsid w:val="00372423"/>
    <w:rsid w:val="00372500"/>
    <w:rsid w:val="00372BCE"/>
    <w:rsid w:val="003737B1"/>
    <w:rsid w:val="00373A3F"/>
    <w:rsid w:val="00373CC1"/>
    <w:rsid w:val="00373ECC"/>
    <w:rsid w:val="00373ECD"/>
    <w:rsid w:val="00374870"/>
    <w:rsid w:val="00374898"/>
    <w:rsid w:val="00374DC8"/>
    <w:rsid w:val="0037524E"/>
    <w:rsid w:val="0037560D"/>
    <w:rsid w:val="00375687"/>
    <w:rsid w:val="00375C59"/>
    <w:rsid w:val="00375D68"/>
    <w:rsid w:val="00375DE7"/>
    <w:rsid w:val="00375F8F"/>
    <w:rsid w:val="00376613"/>
    <w:rsid w:val="003766B2"/>
    <w:rsid w:val="003779B0"/>
    <w:rsid w:val="00377D2A"/>
    <w:rsid w:val="003804B6"/>
    <w:rsid w:val="00380547"/>
    <w:rsid w:val="00380600"/>
    <w:rsid w:val="003812B2"/>
    <w:rsid w:val="0038163F"/>
    <w:rsid w:val="003816D6"/>
    <w:rsid w:val="00381976"/>
    <w:rsid w:val="00381B78"/>
    <w:rsid w:val="00381FC0"/>
    <w:rsid w:val="00382459"/>
    <w:rsid w:val="003826FC"/>
    <w:rsid w:val="00382E5B"/>
    <w:rsid w:val="00382E8F"/>
    <w:rsid w:val="00383324"/>
    <w:rsid w:val="0038354C"/>
    <w:rsid w:val="00384200"/>
    <w:rsid w:val="003846AF"/>
    <w:rsid w:val="00384A06"/>
    <w:rsid w:val="00384CFD"/>
    <w:rsid w:val="00384D17"/>
    <w:rsid w:val="00385479"/>
    <w:rsid w:val="003854D9"/>
    <w:rsid w:val="003858C5"/>
    <w:rsid w:val="00385D63"/>
    <w:rsid w:val="00385F48"/>
    <w:rsid w:val="003862BF"/>
    <w:rsid w:val="003872AA"/>
    <w:rsid w:val="00387355"/>
    <w:rsid w:val="00387AC1"/>
    <w:rsid w:val="00390132"/>
    <w:rsid w:val="003901D8"/>
    <w:rsid w:val="00390383"/>
    <w:rsid w:val="003908FF"/>
    <w:rsid w:val="0039092E"/>
    <w:rsid w:val="0039098D"/>
    <w:rsid w:val="00391112"/>
    <w:rsid w:val="003911FC"/>
    <w:rsid w:val="00391B0E"/>
    <w:rsid w:val="00392344"/>
    <w:rsid w:val="003924D6"/>
    <w:rsid w:val="00392643"/>
    <w:rsid w:val="00392AA2"/>
    <w:rsid w:val="00392DAF"/>
    <w:rsid w:val="00392E1F"/>
    <w:rsid w:val="0039310C"/>
    <w:rsid w:val="00393208"/>
    <w:rsid w:val="003936B4"/>
    <w:rsid w:val="00393B5F"/>
    <w:rsid w:val="00393D6A"/>
    <w:rsid w:val="0039400A"/>
    <w:rsid w:val="003941BD"/>
    <w:rsid w:val="00394BA2"/>
    <w:rsid w:val="00395AC4"/>
    <w:rsid w:val="00395B53"/>
    <w:rsid w:val="00395BAE"/>
    <w:rsid w:val="00396356"/>
    <w:rsid w:val="003965A8"/>
    <w:rsid w:val="00396887"/>
    <w:rsid w:val="00396B40"/>
    <w:rsid w:val="00396D5F"/>
    <w:rsid w:val="00396DC5"/>
    <w:rsid w:val="00396E4B"/>
    <w:rsid w:val="00396E7B"/>
    <w:rsid w:val="00396EEC"/>
    <w:rsid w:val="00396F99"/>
    <w:rsid w:val="00397CD7"/>
    <w:rsid w:val="003A016E"/>
    <w:rsid w:val="003A05FA"/>
    <w:rsid w:val="003A08F2"/>
    <w:rsid w:val="003A192E"/>
    <w:rsid w:val="003A1BAD"/>
    <w:rsid w:val="003A25EF"/>
    <w:rsid w:val="003A277B"/>
    <w:rsid w:val="003A289D"/>
    <w:rsid w:val="003A28BB"/>
    <w:rsid w:val="003A2973"/>
    <w:rsid w:val="003A29BC"/>
    <w:rsid w:val="003A3BAC"/>
    <w:rsid w:val="003A3DDD"/>
    <w:rsid w:val="003A3E02"/>
    <w:rsid w:val="003A3F45"/>
    <w:rsid w:val="003A45E5"/>
    <w:rsid w:val="003A47EE"/>
    <w:rsid w:val="003A4B20"/>
    <w:rsid w:val="003A517F"/>
    <w:rsid w:val="003A5509"/>
    <w:rsid w:val="003A5807"/>
    <w:rsid w:val="003A5BF4"/>
    <w:rsid w:val="003A6D2C"/>
    <w:rsid w:val="003A6D9C"/>
    <w:rsid w:val="003A6E1B"/>
    <w:rsid w:val="003A7058"/>
    <w:rsid w:val="003A71C5"/>
    <w:rsid w:val="003A7DA7"/>
    <w:rsid w:val="003A7E44"/>
    <w:rsid w:val="003B0AA4"/>
    <w:rsid w:val="003B15B4"/>
    <w:rsid w:val="003B1D97"/>
    <w:rsid w:val="003B2E7F"/>
    <w:rsid w:val="003B3079"/>
    <w:rsid w:val="003B3227"/>
    <w:rsid w:val="003B3311"/>
    <w:rsid w:val="003B346F"/>
    <w:rsid w:val="003B3DEC"/>
    <w:rsid w:val="003B402B"/>
    <w:rsid w:val="003B42E0"/>
    <w:rsid w:val="003B453D"/>
    <w:rsid w:val="003B47B3"/>
    <w:rsid w:val="003B4F12"/>
    <w:rsid w:val="003B52E6"/>
    <w:rsid w:val="003B56AB"/>
    <w:rsid w:val="003B62F5"/>
    <w:rsid w:val="003B6F5C"/>
    <w:rsid w:val="003B779D"/>
    <w:rsid w:val="003B7D2A"/>
    <w:rsid w:val="003B7F30"/>
    <w:rsid w:val="003C0198"/>
    <w:rsid w:val="003C0955"/>
    <w:rsid w:val="003C0B9E"/>
    <w:rsid w:val="003C0E5E"/>
    <w:rsid w:val="003C0F5E"/>
    <w:rsid w:val="003C1080"/>
    <w:rsid w:val="003C10AE"/>
    <w:rsid w:val="003C10C3"/>
    <w:rsid w:val="003C1A4C"/>
    <w:rsid w:val="003C21C6"/>
    <w:rsid w:val="003C2572"/>
    <w:rsid w:val="003C2BC9"/>
    <w:rsid w:val="003C2C71"/>
    <w:rsid w:val="003C2DB0"/>
    <w:rsid w:val="003C310D"/>
    <w:rsid w:val="003C3736"/>
    <w:rsid w:val="003C38E2"/>
    <w:rsid w:val="003C3A62"/>
    <w:rsid w:val="003C3A6A"/>
    <w:rsid w:val="003C3C28"/>
    <w:rsid w:val="003C3EC6"/>
    <w:rsid w:val="003C40F7"/>
    <w:rsid w:val="003C43AC"/>
    <w:rsid w:val="003C55C9"/>
    <w:rsid w:val="003C58D9"/>
    <w:rsid w:val="003C5A90"/>
    <w:rsid w:val="003C60DA"/>
    <w:rsid w:val="003C6767"/>
    <w:rsid w:val="003C681B"/>
    <w:rsid w:val="003C68A2"/>
    <w:rsid w:val="003C692B"/>
    <w:rsid w:val="003C6E01"/>
    <w:rsid w:val="003C7042"/>
    <w:rsid w:val="003C748C"/>
    <w:rsid w:val="003C7591"/>
    <w:rsid w:val="003C7595"/>
    <w:rsid w:val="003C75EA"/>
    <w:rsid w:val="003C7CF0"/>
    <w:rsid w:val="003D0546"/>
    <w:rsid w:val="003D06E7"/>
    <w:rsid w:val="003D070A"/>
    <w:rsid w:val="003D07B8"/>
    <w:rsid w:val="003D0E98"/>
    <w:rsid w:val="003D1B46"/>
    <w:rsid w:val="003D1E2A"/>
    <w:rsid w:val="003D2C33"/>
    <w:rsid w:val="003D2E2A"/>
    <w:rsid w:val="003D2E67"/>
    <w:rsid w:val="003D304C"/>
    <w:rsid w:val="003D30D7"/>
    <w:rsid w:val="003D334D"/>
    <w:rsid w:val="003D3E80"/>
    <w:rsid w:val="003D418D"/>
    <w:rsid w:val="003D43D4"/>
    <w:rsid w:val="003D4F20"/>
    <w:rsid w:val="003D5356"/>
    <w:rsid w:val="003D54E7"/>
    <w:rsid w:val="003D551E"/>
    <w:rsid w:val="003D623C"/>
    <w:rsid w:val="003D6367"/>
    <w:rsid w:val="003D659C"/>
    <w:rsid w:val="003D66F9"/>
    <w:rsid w:val="003D68EB"/>
    <w:rsid w:val="003D6905"/>
    <w:rsid w:val="003D6BD8"/>
    <w:rsid w:val="003D6FCF"/>
    <w:rsid w:val="003D72D5"/>
    <w:rsid w:val="003D755D"/>
    <w:rsid w:val="003D7583"/>
    <w:rsid w:val="003D77F1"/>
    <w:rsid w:val="003D79EF"/>
    <w:rsid w:val="003D7D52"/>
    <w:rsid w:val="003E05CE"/>
    <w:rsid w:val="003E0908"/>
    <w:rsid w:val="003E1099"/>
    <w:rsid w:val="003E1123"/>
    <w:rsid w:val="003E1259"/>
    <w:rsid w:val="003E15EA"/>
    <w:rsid w:val="003E1D9E"/>
    <w:rsid w:val="003E1E57"/>
    <w:rsid w:val="003E210E"/>
    <w:rsid w:val="003E253C"/>
    <w:rsid w:val="003E2598"/>
    <w:rsid w:val="003E26AD"/>
    <w:rsid w:val="003E2918"/>
    <w:rsid w:val="003E2C8D"/>
    <w:rsid w:val="003E309A"/>
    <w:rsid w:val="003E381B"/>
    <w:rsid w:val="003E3BDE"/>
    <w:rsid w:val="003E3C9D"/>
    <w:rsid w:val="003E3E2E"/>
    <w:rsid w:val="003E3EA5"/>
    <w:rsid w:val="003E422B"/>
    <w:rsid w:val="003E4DB0"/>
    <w:rsid w:val="003E58B4"/>
    <w:rsid w:val="003E5A1A"/>
    <w:rsid w:val="003E6F25"/>
    <w:rsid w:val="003E7982"/>
    <w:rsid w:val="003E799D"/>
    <w:rsid w:val="003E79EE"/>
    <w:rsid w:val="003F0643"/>
    <w:rsid w:val="003F1D73"/>
    <w:rsid w:val="003F1EF4"/>
    <w:rsid w:val="003F2776"/>
    <w:rsid w:val="003F2C98"/>
    <w:rsid w:val="003F2FD2"/>
    <w:rsid w:val="003F3356"/>
    <w:rsid w:val="003F381D"/>
    <w:rsid w:val="003F3FB6"/>
    <w:rsid w:val="003F464D"/>
    <w:rsid w:val="003F4693"/>
    <w:rsid w:val="003F48C3"/>
    <w:rsid w:val="003F53E4"/>
    <w:rsid w:val="003F5B4E"/>
    <w:rsid w:val="003F5F22"/>
    <w:rsid w:val="003F5F6A"/>
    <w:rsid w:val="003F5FC6"/>
    <w:rsid w:val="003F647E"/>
    <w:rsid w:val="003F6CA7"/>
    <w:rsid w:val="003F6EF6"/>
    <w:rsid w:val="003F7499"/>
    <w:rsid w:val="003F761D"/>
    <w:rsid w:val="003F76BF"/>
    <w:rsid w:val="003F7C5A"/>
    <w:rsid w:val="003F7F2E"/>
    <w:rsid w:val="0040076E"/>
    <w:rsid w:val="00400873"/>
    <w:rsid w:val="004012B0"/>
    <w:rsid w:val="0040141A"/>
    <w:rsid w:val="00401943"/>
    <w:rsid w:val="00401DFC"/>
    <w:rsid w:val="0040213C"/>
    <w:rsid w:val="004027E5"/>
    <w:rsid w:val="00402939"/>
    <w:rsid w:val="0040306D"/>
    <w:rsid w:val="00403308"/>
    <w:rsid w:val="0040361D"/>
    <w:rsid w:val="00403719"/>
    <w:rsid w:val="004039CC"/>
    <w:rsid w:val="00403A22"/>
    <w:rsid w:val="00403D7E"/>
    <w:rsid w:val="00403DC4"/>
    <w:rsid w:val="00403DFF"/>
    <w:rsid w:val="00403E7D"/>
    <w:rsid w:val="00404233"/>
    <w:rsid w:val="00404241"/>
    <w:rsid w:val="0040504F"/>
    <w:rsid w:val="004052AF"/>
    <w:rsid w:val="00405BC4"/>
    <w:rsid w:val="004061B1"/>
    <w:rsid w:val="004066DD"/>
    <w:rsid w:val="004067D4"/>
    <w:rsid w:val="00406A92"/>
    <w:rsid w:val="00406ADB"/>
    <w:rsid w:val="0040713F"/>
    <w:rsid w:val="00407169"/>
    <w:rsid w:val="00407501"/>
    <w:rsid w:val="00410748"/>
    <w:rsid w:val="0041082D"/>
    <w:rsid w:val="00411378"/>
    <w:rsid w:val="00411B91"/>
    <w:rsid w:val="00411C69"/>
    <w:rsid w:val="00411F6B"/>
    <w:rsid w:val="00411FC4"/>
    <w:rsid w:val="004120AD"/>
    <w:rsid w:val="00413383"/>
    <w:rsid w:val="0041421B"/>
    <w:rsid w:val="004143B6"/>
    <w:rsid w:val="00414804"/>
    <w:rsid w:val="0041491F"/>
    <w:rsid w:val="00414E22"/>
    <w:rsid w:val="004157BD"/>
    <w:rsid w:val="00416320"/>
    <w:rsid w:val="00416377"/>
    <w:rsid w:val="00416CBF"/>
    <w:rsid w:val="00417104"/>
    <w:rsid w:val="004174D2"/>
    <w:rsid w:val="00417C14"/>
    <w:rsid w:val="0042010D"/>
    <w:rsid w:val="0042016D"/>
    <w:rsid w:val="0042022F"/>
    <w:rsid w:val="00420A4F"/>
    <w:rsid w:val="0042108E"/>
    <w:rsid w:val="0042133E"/>
    <w:rsid w:val="004215DD"/>
    <w:rsid w:val="00422480"/>
    <w:rsid w:val="004229EC"/>
    <w:rsid w:val="00422FC1"/>
    <w:rsid w:val="004235E0"/>
    <w:rsid w:val="0042396C"/>
    <w:rsid w:val="00423D08"/>
    <w:rsid w:val="00423F31"/>
    <w:rsid w:val="00423FC1"/>
    <w:rsid w:val="004244FE"/>
    <w:rsid w:val="00424968"/>
    <w:rsid w:val="00424A26"/>
    <w:rsid w:val="00424E3B"/>
    <w:rsid w:val="00424FE7"/>
    <w:rsid w:val="00425289"/>
    <w:rsid w:val="004254FC"/>
    <w:rsid w:val="00425834"/>
    <w:rsid w:val="00425967"/>
    <w:rsid w:val="00426296"/>
    <w:rsid w:val="0042668E"/>
    <w:rsid w:val="004268C4"/>
    <w:rsid w:val="00426927"/>
    <w:rsid w:val="00426931"/>
    <w:rsid w:val="00426BA4"/>
    <w:rsid w:val="00427921"/>
    <w:rsid w:val="00427A89"/>
    <w:rsid w:val="00427CD7"/>
    <w:rsid w:val="00427D5F"/>
    <w:rsid w:val="00427E88"/>
    <w:rsid w:val="00430CAD"/>
    <w:rsid w:val="00430CE6"/>
    <w:rsid w:val="00430CF6"/>
    <w:rsid w:val="00431073"/>
    <w:rsid w:val="00431899"/>
    <w:rsid w:val="004319B4"/>
    <w:rsid w:val="00432666"/>
    <w:rsid w:val="00432E8E"/>
    <w:rsid w:val="00433124"/>
    <w:rsid w:val="00433327"/>
    <w:rsid w:val="00433742"/>
    <w:rsid w:val="0043387D"/>
    <w:rsid w:val="00433AB3"/>
    <w:rsid w:val="00433E09"/>
    <w:rsid w:val="00434266"/>
    <w:rsid w:val="00434278"/>
    <w:rsid w:val="00434C70"/>
    <w:rsid w:val="00435941"/>
    <w:rsid w:val="00435C2D"/>
    <w:rsid w:val="00435F90"/>
    <w:rsid w:val="0043633B"/>
    <w:rsid w:val="0043734D"/>
    <w:rsid w:val="0043783B"/>
    <w:rsid w:val="00440142"/>
    <w:rsid w:val="004405BD"/>
    <w:rsid w:val="004416C4"/>
    <w:rsid w:val="00441FB8"/>
    <w:rsid w:val="00442152"/>
    <w:rsid w:val="00442164"/>
    <w:rsid w:val="0044223A"/>
    <w:rsid w:val="004428B1"/>
    <w:rsid w:val="00442B62"/>
    <w:rsid w:val="0044337D"/>
    <w:rsid w:val="00443397"/>
    <w:rsid w:val="004436FC"/>
    <w:rsid w:val="00443935"/>
    <w:rsid w:val="00443964"/>
    <w:rsid w:val="00444045"/>
    <w:rsid w:val="0044436F"/>
    <w:rsid w:val="004444C5"/>
    <w:rsid w:val="00444A7F"/>
    <w:rsid w:val="00444E8C"/>
    <w:rsid w:val="00444F70"/>
    <w:rsid w:val="00445143"/>
    <w:rsid w:val="0044572D"/>
    <w:rsid w:val="00445A0A"/>
    <w:rsid w:val="00445AB2"/>
    <w:rsid w:val="00445CD0"/>
    <w:rsid w:val="0044640A"/>
    <w:rsid w:val="00446512"/>
    <w:rsid w:val="0044684C"/>
    <w:rsid w:val="00446ACF"/>
    <w:rsid w:val="00446C16"/>
    <w:rsid w:val="00446F92"/>
    <w:rsid w:val="004471B8"/>
    <w:rsid w:val="0044751D"/>
    <w:rsid w:val="00447703"/>
    <w:rsid w:val="004478BD"/>
    <w:rsid w:val="00450017"/>
    <w:rsid w:val="004503C2"/>
    <w:rsid w:val="00450579"/>
    <w:rsid w:val="004506E6"/>
    <w:rsid w:val="00450725"/>
    <w:rsid w:val="00450C31"/>
    <w:rsid w:val="00450ECE"/>
    <w:rsid w:val="0045115B"/>
    <w:rsid w:val="00451474"/>
    <w:rsid w:val="004515E4"/>
    <w:rsid w:val="00451667"/>
    <w:rsid w:val="00451CD3"/>
    <w:rsid w:val="00451D14"/>
    <w:rsid w:val="004526F6"/>
    <w:rsid w:val="00452ABD"/>
    <w:rsid w:val="00453241"/>
    <w:rsid w:val="0045349D"/>
    <w:rsid w:val="004539AD"/>
    <w:rsid w:val="004539FF"/>
    <w:rsid w:val="00454218"/>
    <w:rsid w:val="00454299"/>
    <w:rsid w:val="004543B9"/>
    <w:rsid w:val="00454729"/>
    <w:rsid w:val="0045475E"/>
    <w:rsid w:val="00454846"/>
    <w:rsid w:val="0045486A"/>
    <w:rsid w:val="004549A4"/>
    <w:rsid w:val="0045500F"/>
    <w:rsid w:val="00455633"/>
    <w:rsid w:val="00455C74"/>
    <w:rsid w:val="00455CBD"/>
    <w:rsid w:val="0045663B"/>
    <w:rsid w:val="00456A1F"/>
    <w:rsid w:val="00456B0F"/>
    <w:rsid w:val="00456BE8"/>
    <w:rsid w:val="004574A9"/>
    <w:rsid w:val="0045791B"/>
    <w:rsid w:val="00457C99"/>
    <w:rsid w:val="00460287"/>
    <w:rsid w:val="004609EB"/>
    <w:rsid w:val="00460BBF"/>
    <w:rsid w:val="00460CA1"/>
    <w:rsid w:val="004613CB"/>
    <w:rsid w:val="00461527"/>
    <w:rsid w:val="0046190E"/>
    <w:rsid w:val="00462104"/>
    <w:rsid w:val="00462343"/>
    <w:rsid w:val="00463391"/>
    <w:rsid w:val="004634CD"/>
    <w:rsid w:val="00463BDC"/>
    <w:rsid w:val="00463BDF"/>
    <w:rsid w:val="00463CDC"/>
    <w:rsid w:val="00463CED"/>
    <w:rsid w:val="0046434E"/>
    <w:rsid w:val="004644CD"/>
    <w:rsid w:val="004645A6"/>
    <w:rsid w:val="004649F6"/>
    <w:rsid w:val="004651F9"/>
    <w:rsid w:val="004653F3"/>
    <w:rsid w:val="004656B5"/>
    <w:rsid w:val="00465737"/>
    <w:rsid w:val="00465BDE"/>
    <w:rsid w:val="00465C32"/>
    <w:rsid w:val="00465CD8"/>
    <w:rsid w:val="00466304"/>
    <w:rsid w:val="00466425"/>
    <w:rsid w:val="00466A17"/>
    <w:rsid w:val="00466C28"/>
    <w:rsid w:val="00466DEB"/>
    <w:rsid w:val="004673FC"/>
    <w:rsid w:val="00467790"/>
    <w:rsid w:val="00467E06"/>
    <w:rsid w:val="00470474"/>
    <w:rsid w:val="004704BD"/>
    <w:rsid w:val="0047051C"/>
    <w:rsid w:val="00470C70"/>
    <w:rsid w:val="00470E22"/>
    <w:rsid w:val="00470F8A"/>
    <w:rsid w:val="004710CC"/>
    <w:rsid w:val="004712A9"/>
    <w:rsid w:val="004713D3"/>
    <w:rsid w:val="0047193A"/>
    <w:rsid w:val="004719F3"/>
    <w:rsid w:val="00471B2A"/>
    <w:rsid w:val="00472232"/>
    <w:rsid w:val="00472574"/>
    <w:rsid w:val="004728A6"/>
    <w:rsid w:val="004731A1"/>
    <w:rsid w:val="0047375A"/>
    <w:rsid w:val="00473A10"/>
    <w:rsid w:val="00473D66"/>
    <w:rsid w:val="00473E84"/>
    <w:rsid w:val="004742A0"/>
    <w:rsid w:val="00474652"/>
    <w:rsid w:val="0047479B"/>
    <w:rsid w:val="00474F84"/>
    <w:rsid w:val="00474FF6"/>
    <w:rsid w:val="004756C2"/>
    <w:rsid w:val="00475B3D"/>
    <w:rsid w:val="00476156"/>
    <w:rsid w:val="00476397"/>
    <w:rsid w:val="00476916"/>
    <w:rsid w:val="00476FFF"/>
    <w:rsid w:val="004777A3"/>
    <w:rsid w:val="004778EA"/>
    <w:rsid w:val="00477C4E"/>
    <w:rsid w:val="00477FB9"/>
    <w:rsid w:val="004801DE"/>
    <w:rsid w:val="00480535"/>
    <w:rsid w:val="004809BD"/>
    <w:rsid w:val="00480DBA"/>
    <w:rsid w:val="00480FF1"/>
    <w:rsid w:val="00481062"/>
    <w:rsid w:val="00481558"/>
    <w:rsid w:val="004815F3"/>
    <w:rsid w:val="00481BB6"/>
    <w:rsid w:val="0048258F"/>
    <w:rsid w:val="00482662"/>
    <w:rsid w:val="004827CA"/>
    <w:rsid w:val="00482ACA"/>
    <w:rsid w:val="00482CBD"/>
    <w:rsid w:val="00482D6D"/>
    <w:rsid w:val="004830CB"/>
    <w:rsid w:val="004832C3"/>
    <w:rsid w:val="00483416"/>
    <w:rsid w:val="0048377E"/>
    <w:rsid w:val="00483DBF"/>
    <w:rsid w:val="00483F48"/>
    <w:rsid w:val="0048460A"/>
    <w:rsid w:val="00484694"/>
    <w:rsid w:val="0048469B"/>
    <w:rsid w:val="00484F8A"/>
    <w:rsid w:val="00485188"/>
    <w:rsid w:val="00485460"/>
    <w:rsid w:val="00485578"/>
    <w:rsid w:val="0048583A"/>
    <w:rsid w:val="004863DA"/>
    <w:rsid w:val="004865D1"/>
    <w:rsid w:val="00486804"/>
    <w:rsid w:val="00486873"/>
    <w:rsid w:val="0048735D"/>
    <w:rsid w:val="00487843"/>
    <w:rsid w:val="00487A03"/>
    <w:rsid w:val="00487D89"/>
    <w:rsid w:val="00490069"/>
    <w:rsid w:val="0049062D"/>
    <w:rsid w:val="00490914"/>
    <w:rsid w:val="0049098A"/>
    <w:rsid w:val="004910B8"/>
    <w:rsid w:val="00491498"/>
    <w:rsid w:val="00491638"/>
    <w:rsid w:val="0049169D"/>
    <w:rsid w:val="00492034"/>
    <w:rsid w:val="0049208E"/>
    <w:rsid w:val="0049238D"/>
    <w:rsid w:val="004923B1"/>
    <w:rsid w:val="0049255F"/>
    <w:rsid w:val="004929D8"/>
    <w:rsid w:val="004932F4"/>
    <w:rsid w:val="00493460"/>
    <w:rsid w:val="00493554"/>
    <w:rsid w:val="00493884"/>
    <w:rsid w:val="004939B2"/>
    <w:rsid w:val="00493D63"/>
    <w:rsid w:val="00493EAD"/>
    <w:rsid w:val="00493ED2"/>
    <w:rsid w:val="004944B2"/>
    <w:rsid w:val="004944CE"/>
    <w:rsid w:val="004945BF"/>
    <w:rsid w:val="00494935"/>
    <w:rsid w:val="00494D4E"/>
    <w:rsid w:val="004950C9"/>
    <w:rsid w:val="00495123"/>
    <w:rsid w:val="0049533A"/>
    <w:rsid w:val="0049561C"/>
    <w:rsid w:val="00495729"/>
    <w:rsid w:val="004960E4"/>
    <w:rsid w:val="004967BA"/>
    <w:rsid w:val="00496ACF"/>
    <w:rsid w:val="00496C86"/>
    <w:rsid w:val="00496FE8"/>
    <w:rsid w:val="004973DE"/>
    <w:rsid w:val="0049781E"/>
    <w:rsid w:val="004978B4"/>
    <w:rsid w:val="00497945"/>
    <w:rsid w:val="00497A1F"/>
    <w:rsid w:val="00497E40"/>
    <w:rsid w:val="00497F89"/>
    <w:rsid w:val="004A0126"/>
    <w:rsid w:val="004A020E"/>
    <w:rsid w:val="004A024B"/>
    <w:rsid w:val="004A0734"/>
    <w:rsid w:val="004A0B0D"/>
    <w:rsid w:val="004A0E92"/>
    <w:rsid w:val="004A1259"/>
    <w:rsid w:val="004A15AC"/>
    <w:rsid w:val="004A170B"/>
    <w:rsid w:val="004A17C4"/>
    <w:rsid w:val="004A1BA0"/>
    <w:rsid w:val="004A1DFA"/>
    <w:rsid w:val="004A1E52"/>
    <w:rsid w:val="004A3289"/>
    <w:rsid w:val="004A39B5"/>
    <w:rsid w:val="004A3EE8"/>
    <w:rsid w:val="004A42EE"/>
    <w:rsid w:val="004A4940"/>
    <w:rsid w:val="004A5842"/>
    <w:rsid w:val="004A5AC6"/>
    <w:rsid w:val="004A5BAA"/>
    <w:rsid w:val="004A60BD"/>
    <w:rsid w:val="004A60C9"/>
    <w:rsid w:val="004A63B9"/>
    <w:rsid w:val="004A6E51"/>
    <w:rsid w:val="004A7D38"/>
    <w:rsid w:val="004B02FD"/>
    <w:rsid w:val="004B0C9E"/>
    <w:rsid w:val="004B0FDD"/>
    <w:rsid w:val="004B1078"/>
    <w:rsid w:val="004B10B9"/>
    <w:rsid w:val="004B14D9"/>
    <w:rsid w:val="004B16BE"/>
    <w:rsid w:val="004B1ABE"/>
    <w:rsid w:val="004B1B61"/>
    <w:rsid w:val="004B2170"/>
    <w:rsid w:val="004B2C47"/>
    <w:rsid w:val="004B3000"/>
    <w:rsid w:val="004B345F"/>
    <w:rsid w:val="004B35D0"/>
    <w:rsid w:val="004B367F"/>
    <w:rsid w:val="004B3775"/>
    <w:rsid w:val="004B3867"/>
    <w:rsid w:val="004B394C"/>
    <w:rsid w:val="004B39BB"/>
    <w:rsid w:val="004B3AF6"/>
    <w:rsid w:val="004B4016"/>
    <w:rsid w:val="004B4136"/>
    <w:rsid w:val="004B4224"/>
    <w:rsid w:val="004B5136"/>
    <w:rsid w:val="004B5238"/>
    <w:rsid w:val="004B57AF"/>
    <w:rsid w:val="004B5952"/>
    <w:rsid w:val="004B59B8"/>
    <w:rsid w:val="004B5A9E"/>
    <w:rsid w:val="004B5B96"/>
    <w:rsid w:val="004B5F4F"/>
    <w:rsid w:val="004B6162"/>
    <w:rsid w:val="004B6719"/>
    <w:rsid w:val="004B7612"/>
    <w:rsid w:val="004B76F7"/>
    <w:rsid w:val="004B7A1B"/>
    <w:rsid w:val="004B7CC2"/>
    <w:rsid w:val="004C06A4"/>
    <w:rsid w:val="004C0AC5"/>
    <w:rsid w:val="004C0CA8"/>
    <w:rsid w:val="004C0DE8"/>
    <w:rsid w:val="004C0E3C"/>
    <w:rsid w:val="004C1139"/>
    <w:rsid w:val="004C1431"/>
    <w:rsid w:val="004C157F"/>
    <w:rsid w:val="004C1925"/>
    <w:rsid w:val="004C1C21"/>
    <w:rsid w:val="004C1DA7"/>
    <w:rsid w:val="004C1ED7"/>
    <w:rsid w:val="004C20EF"/>
    <w:rsid w:val="004C2169"/>
    <w:rsid w:val="004C22FD"/>
    <w:rsid w:val="004C23F5"/>
    <w:rsid w:val="004C27B5"/>
    <w:rsid w:val="004C27F4"/>
    <w:rsid w:val="004C29D4"/>
    <w:rsid w:val="004C2A06"/>
    <w:rsid w:val="004C2F06"/>
    <w:rsid w:val="004C3132"/>
    <w:rsid w:val="004C31B9"/>
    <w:rsid w:val="004C346C"/>
    <w:rsid w:val="004C36FC"/>
    <w:rsid w:val="004C37EE"/>
    <w:rsid w:val="004C3B5A"/>
    <w:rsid w:val="004C41FC"/>
    <w:rsid w:val="004C51BD"/>
    <w:rsid w:val="004C5261"/>
    <w:rsid w:val="004C56AD"/>
    <w:rsid w:val="004C5851"/>
    <w:rsid w:val="004C5A64"/>
    <w:rsid w:val="004C6813"/>
    <w:rsid w:val="004C6903"/>
    <w:rsid w:val="004C7624"/>
    <w:rsid w:val="004C77E7"/>
    <w:rsid w:val="004D00B0"/>
    <w:rsid w:val="004D0115"/>
    <w:rsid w:val="004D0254"/>
    <w:rsid w:val="004D0F69"/>
    <w:rsid w:val="004D1504"/>
    <w:rsid w:val="004D1A3B"/>
    <w:rsid w:val="004D25B7"/>
    <w:rsid w:val="004D284E"/>
    <w:rsid w:val="004D29D4"/>
    <w:rsid w:val="004D2AB8"/>
    <w:rsid w:val="004D335E"/>
    <w:rsid w:val="004D3574"/>
    <w:rsid w:val="004D3F60"/>
    <w:rsid w:val="004D3F82"/>
    <w:rsid w:val="004D4119"/>
    <w:rsid w:val="004D46D0"/>
    <w:rsid w:val="004D479A"/>
    <w:rsid w:val="004D48BB"/>
    <w:rsid w:val="004D4A17"/>
    <w:rsid w:val="004D4B57"/>
    <w:rsid w:val="004D4C93"/>
    <w:rsid w:val="004D564D"/>
    <w:rsid w:val="004D5807"/>
    <w:rsid w:val="004D5A5C"/>
    <w:rsid w:val="004D5BF6"/>
    <w:rsid w:val="004D5CD3"/>
    <w:rsid w:val="004D5D21"/>
    <w:rsid w:val="004D616B"/>
    <w:rsid w:val="004D64A6"/>
    <w:rsid w:val="004D65F0"/>
    <w:rsid w:val="004D682E"/>
    <w:rsid w:val="004D68FF"/>
    <w:rsid w:val="004D6FC6"/>
    <w:rsid w:val="004D761E"/>
    <w:rsid w:val="004D77BD"/>
    <w:rsid w:val="004D7856"/>
    <w:rsid w:val="004D7E46"/>
    <w:rsid w:val="004D7EA2"/>
    <w:rsid w:val="004E02FB"/>
    <w:rsid w:val="004E058E"/>
    <w:rsid w:val="004E058F"/>
    <w:rsid w:val="004E0923"/>
    <w:rsid w:val="004E0ABC"/>
    <w:rsid w:val="004E0AFF"/>
    <w:rsid w:val="004E0FFA"/>
    <w:rsid w:val="004E127A"/>
    <w:rsid w:val="004E165E"/>
    <w:rsid w:val="004E16EF"/>
    <w:rsid w:val="004E1A7E"/>
    <w:rsid w:val="004E1AFC"/>
    <w:rsid w:val="004E1F47"/>
    <w:rsid w:val="004E1F51"/>
    <w:rsid w:val="004E2497"/>
    <w:rsid w:val="004E2597"/>
    <w:rsid w:val="004E2865"/>
    <w:rsid w:val="004E28C0"/>
    <w:rsid w:val="004E29B4"/>
    <w:rsid w:val="004E2BCE"/>
    <w:rsid w:val="004E2D67"/>
    <w:rsid w:val="004E3102"/>
    <w:rsid w:val="004E3223"/>
    <w:rsid w:val="004E33F1"/>
    <w:rsid w:val="004E34EA"/>
    <w:rsid w:val="004E36FB"/>
    <w:rsid w:val="004E37CE"/>
    <w:rsid w:val="004E39B3"/>
    <w:rsid w:val="004E3B87"/>
    <w:rsid w:val="004E3BA5"/>
    <w:rsid w:val="004E3C6F"/>
    <w:rsid w:val="004E40DE"/>
    <w:rsid w:val="004E4F6C"/>
    <w:rsid w:val="004E58F5"/>
    <w:rsid w:val="004E7531"/>
    <w:rsid w:val="004E76A4"/>
    <w:rsid w:val="004E780E"/>
    <w:rsid w:val="004E7A44"/>
    <w:rsid w:val="004E7B5C"/>
    <w:rsid w:val="004E7E3D"/>
    <w:rsid w:val="004E7FCC"/>
    <w:rsid w:val="004F00AC"/>
    <w:rsid w:val="004F02B4"/>
    <w:rsid w:val="004F0860"/>
    <w:rsid w:val="004F0F04"/>
    <w:rsid w:val="004F288E"/>
    <w:rsid w:val="004F2BEF"/>
    <w:rsid w:val="004F2E37"/>
    <w:rsid w:val="004F32B8"/>
    <w:rsid w:val="004F3C32"/>
    <w:rsid w:val="004F3FB1"/>
    <w:rsid w:val="004F41D5"/>
    <w:rsid w:val="004F45B5"/>
    <w:rsid w:val="004F4DBB"/>
    <w:rsid w:val="004F50E3"/>
    <w:rsid w:val="004F529B"/>
    <w:rsid w:val="004F59C4"/>
    <w:rsid w:val="004F5D7D"/>
    <w:rsid w:val="004F5DC1"/>
    <w:rsid w:val="004F6418"/>
    <w:rsid w:val="004F64AF"/>
    <w:rsid w:val="004F6B15"/>
    <w:rsid w:val="004F7054"/>
    <w:rsid w:val="004F7071"/>
    <w:rsid w:val="004F790D"/>
    <w:rsid w:val="004F7C89"/>
    <w:rsid w:val="004F7C8C"/>
    <w:rsid w:val="00500151"/>
    <w:rsid w:val="00500246"/>
    <w:rsid w:val="005002F0"/>
    <w:rsid w:val="00500637"/>
    <w:rsid w:val="00500A45"/>
    <w:rsid w:val="00501D69"/>
    <w:rsid w:val="005021F0"/>
    <w:rsid w:val="0050273A"/>
    <w:rsid w:val="005027A6"/>
    <w:rsid w:val="00502E65"/>
    <w:rsid w:val="00503244"/>
    <w:rsid w:val="0050362D"/>
    <w:rsid w:val="005037BC"/>
    <w:rsid w:val="0050433C"/>
    <w:rsid w:val="0050491E"/>
    <w:rsid w:val="00504E22"/>
    <w:rsid w:val="005054F9"/>
    <w:rsid w:val="00505D9F"/>
    <w:rsid w:val="00506EC0"/>
    <w:rsid w:val="00506FD3"/>
    <w:rsid w:val="00506FF0"/>
    <w:rsid w:val="0050725A"/>
    <w:rsid w:val="005077A4"/>
    <w:rsid w:val="00507A76"/>
    <w:rsid w:val="00507D63"/>
    <w:rsid w:val="005100D3"/>
    <w:rsid w:val="00510512"/>
    <w:rsid w:val="0051070E"/>
    <w:rsid w:val="00510921"/>
    <w:rsid w:val="00510AD3"/>
    <w:rsid w:val="00510BB8"/>
    <w:rsid w:val="00511313"/>
    <w:rsid w:val="00511C8D"/>
    <w:rsid w:val="00511DF0"/>
    <w:rsid w:val="0051203F"/>
    <w:rsid w:val="005120CE"/>
    <w:rsid w:val="00512589"/>
    <w:rsid w:val="00512A73"/>
    <w:rsid w:val="00512AA9"/>
    <w:rsid w:val="00512B1D"/>
    <w:rsid w:val="00512D49"/>
    <w:rsid w:val="00513348"/>
    <w:rsid w:val="0051349A"/>
    <w:rsid w:val="0051399A"/>
    <w:rsid w:val="005142F3"/>
    <w:rsid w:val="005148E0"/>
    <w:rsid w:val="00514EAD"/>
    <w:rsid w:val="00514F71"/>
    <w:rsid w:val="00515380"/>
    <w:rsid w:val="00515764"/>
    <w:rsid w:val="00515787"/>
    <w:rsid w:val="00515BA2"/>
    <w:rsid w:val="00515C56"/>
    <w:rsid w:val="00515F48"/>
    <w:rsid w:val="00515FA2"/>
    <w:rsid w:val="00516358"/>
    <w:rsid w:val="00516CC2"/>
    <w:rsid w:val="005171AB"/>
    <w:rsid w:val="00517B27"/>
    <w:rsid w:val="00517B3D"/>
    <w:rsid w:val="00517DB6"/>
    <w:rsid w:val="00517E36"/>
    <w:rsid w:val="00520274"/>
    <w:rsid w:val="005202FB"/>
    <w:rsid w:val="005215C0"/>
    <w:rsid w:val="005217D3"/>
    <w:rsid w:val="005217FE"/>
    <w:rsid w:val="005223D5"/>
    <w:rsid w:val="0052256F"/>
    <w:rsid w:val="00522B9F"/>
    <w:rsid w:val="00522E47"/>
    <w:rsid w:val="0052306B"/>
    <w:rsid w:val="0052389B"/>
    <w:rsid w:val="00523B20"/>
    <w:rsid w:val="00523D13"/>
    <w:rsid w:val="005245ED"/>
    <w:rsid w:val="00524985"/>
    <w:rsid w:val="00524CFC"/>
    <w:rsid w:val="005253BF"/>
    <w:rsid w:val="00525AAF"/>
    <w:rsid w:val="00525D6A"/>
    <w:rsid w:val="00525DB3"/>
    <w:rsid w:val="0052639C"/>
    <w:rsid w:val="0052694E"/>
    <w:rsid w:val="0052717F"/>
    <w:rsid w:val="005275E7"/>
    <w:rsid w:val="005277D0"/>
    <w:rsid w:val="00527B86"/>
    <w:rsid w:val="00530060"/>
    <w:rsid w:val="00530295"/>
    <w:rsid w:val="00530565"/>
    <w:rsid w:val="00530846"/>
    <w:rsid w:val="00530CED"/>
    <w:rsid w:val="005310E6"/>
    <w:rsid w:val="00531826"/>
    <w:rsid w:val="00531849"/>
    <w:rsid w:val="00531CAD"/>
    <w:rsid w:val="005326B3"/>
    <w:rsid w:val="00532704"/>
    <w:rsid w:val="00532B3E"/>
    <w:rsid w:val="00532C1F"/>
    <w:rsid w:val="0053394F"/>
    <w:rsid w:val="00533B5D"/>
    <w:rsid w:val="00533BE8"/>
    <w:rsid w:val="00533D2D"/>
    <w:rsid w:val="00533F8B"/>
    <w:rsid w:val="00534D9B"/>
    <w:rsid w:val="00535A18"/>
    <w:rsid w:val="00535A65"/>
    <w:rsid w:val="00535AE8"/>
    <w:rsid w:val="00535E3F"/>
    <w:rsid w:val="005362D1"/>
    <w:rsid w:val="005363D1"/>
    <w:rsid w:val="005369BC"/>
    <w:rsid w:val="00536D59"/>
    <w:rsid w:val="00536DEC"/>
    <w:rsid w:val="00536E93"/>
    <w:rsid w:val="005374FE"/>
    <w:rsid w:val="0053773D"/>
    <w:rsid w:val="0053783A"/>
    <w:rsid w:val="005378E8"/>
    <w:rsid w:val="005379D4"/>
    <w:rsid w:val="00537A8A"/>
    <w:rsid w:val="00537A98"/>
    <w:rsid w:val="00537F2E"/>
    <w:rsid w:val="00540BAF"/>
    <w:rsid w:val="00540DCB"/>
    <w:rsid w:val="00540FEF"/>
    <w:rsid w:val="005410B3"/>
    <w:rsid w:val="005411B7"/>
    <w:rsid w:val="0054180F"/>
    <w:rsid w:val="00541FE5"/>
    <w:rsid w:val="005420D6"/>
    <w:rsid w:val="00542AF1"/>
    <w:rsid w:val="00542B0E"/>
    <w:rsid w:val="00543830"/>
    <w:rsid w:val="00543B85"/>
    <w:rsid w:val="005441F7"/>
    <w:rsid w:val="0054425E"/>
    <w:rsid w:val="005442FC"/>
    <w:rsid w:val="00544583"/>
    <w:rsid w:val="005452A6"/>
    <w:rsid w:val="00545E5E"/>
    <w:rsid w:val="0054607D"/>
    <w:rsid w:val="0054621D"/>
    <w:rsid w:val="00546A92"/>
    <w:rsid w:val="00547503"/>
    <w:rsid w:val="00547CFC"/>
    <w:rsid w:val="00550312"/>
    <w:rsid w:val="00550841"/>
    <w:rsid w:val="005509F3"/>
    <w:rsid w:val="0055127C"/>
    <w:rsid w:val="00551610"/>
    <w:rsid w:val="005519BC"/>
    <w:rsid w:val="005521AC"/>
    <w:rsid w:val="0055235A"/>
    <w:rsid w:val="005529B0"/>
    <w:rsid w:val="00552FA3"/>
    <w:rsid w:val="00553522"/>
    <w:rsid w:val="005535AE"/>
    <w:rsid w:val="0055389E"/>
    <w:rsid w:val="00553B02"/>
    <w:rsid w:val="00553B81"/>
    <w:rsid w:val="00553F38"/>
    <w:rsid w:val="00554175"/>
    <w:rsid w:val="00554601"/>
    <w:rsid w:val="0055527D"/>
    <w:rsid w:val="005554A4"/>
    <w:rsid w:val="0055551C"/>
    <w:rsid w:val="00555B25"/>
    <w:rsid w:val="00555C2A"/>
    <w:rsid w:val="00555CDC"/>
    <w:rsid w:val="0055620B"/>
    <w:rsid w:val="005563FD"/>
    <w:rsid w:val="00556656"/>
    <w:rsid w:val="0055671F"/>
    <w:rsid w:val="005570E8"/>
    <w:rsid w:val="0055758A"/>
    <w:rsid w:val="0055761E"/>
    <w:rsid w:val="00557F46"/>
    <w:rsid w:val="00560051"/>
    <w:rsid w:val="0056011B"/>
    <w:rsid w:val="00560241"/>
    <w:rsid w:val="005604BC"/>
    <w:rsid w:val="00560626"/>
    <w:rsid w:val="00560A3D"/>
    <w:rsid w:val="00560F5E"/>
    <w:rsid w:val="00561307"/>
    <w:rsid w:val="0056149A"/>
    <w:rsid w:val="005615EC"/>
    <w:rsid w:val="0056167C"/>
    <w:rsid w:val="005622E2"/>
    <w:rsid w:val="00562465"/>
    <w:rsid w:val="005627D5"/>
    <w:rsid w:val="00562AE2"/>
    <w:rsid w:val="00562BE7"/>
    <w:rsid w:val="00563146"/>
    <w:rsid w:val="0056314B"/>
    <w:rsid w:val="0056331F"/>
    <w:rsid w:val="005633AE"/>
    <w:rsid w:val="0056340C"/>
    <w:rsid w:val="00563558"/>
    <w:rsid w:val="00563621"/>
    <w:rsid w:val="00564C0E"/>
    <w:rsid w:val="00564E6F"/>
    <w:rsid w:val="005651CE"/>
    <w:rsid w:val="00565C7B"/>
    <w:rsid w:val="00565FC5"/>
    <w:rsid w:val="0056640D"/>
    <w:rsid w:val="0056671F"/>
    <w:rsid w:val="005667E3"/>
    <w:rsid w:val="00566C02"/>
    <w:rsid w:val="00566C47"/>
    <w:rsid w:val="00567D63"/>
    <w:rsid w:val="0057047B"/>
    <w:rsid w:val="00570F85"/>
    <w:rsid w:val="00571279"/>
    <w:rsid w:val="00571295"/>
    <w:rsid w:val="00571333"/>
    <w:rsid w:val="00571452"/>
    <w:rsid w:val="005715E6"/>
    <w:rsid w:val="00571E14"/>
    <w:rsid w:val="00572379"/>
    <w:rsid w:val="005723B7"/>
    <w:rsid w:val="0057241A"/>
    <w:rsid w:val="0057288F"/>
    <w:rsid w:val="00572A22"/>
    <w:rsid w:val="00572B35"/>
    <w:rsid w:val="005739B1"/>
    <w:rsid w:val="0057422A"/>
    <w:rsid w:val="005747A8"/>
    <w:rsid w:val="00574BAF"/>
    <w:rsid w:val="005759AC"/>
    <w:rsid w:val="005761BE"/>
    <w:rsid w:val="00576566"/>
    <w:rsid w:val="005769E6"/>
    <w:rsid w:val="0057712C"/>
    <w:rsid w:val="0057738D"/>
    <w:rsid w:val="00577B7A"/>
    <w:rsid w:val="00577C1F"/>
    <w:rsid w:val="00577D9C"/>
    <w:rsid w:val="00577E79"/>
    <w:rsid w:val="00577EB6"/>
    <w:rsid w:val="00580008"/>
    <w:rsid w:val="00580099"/>
    <w:rsid w:val="0058087A"/>
    <w:rsid w:val="00580A99"/>
    <w:rsid w:val="00580DAE"/>
    <w:rsid w:val="00580E40"/>
    <w:rsid w:val="00580F20"/>
    <w:rsid w:val="005815B0"/>
    <w:rsid w:val="005819F3"/>
    <w:rsid w:val="00581B3C"/>
    <w:rsid w:val="005822C7"/>
    <w:rsid w:val="0058245C"/>
    <w:rsid w:val="005825C7"/>
    <w:rsid w:val="00582DF0"/>
    <w:rsid w:val="00582E03"/>
    <w:rsid w:val="00583082"/>
    <w:rsid w:val="00583302"/>
    <w:rsid w:val="00583465"/>
    <w:rsid w:val="00583658"/>
    <w:rsid w:val="005836EB"/>
    <w:rsid w:val="00583A66"/>
    <w:rsid w:val="00583AF6"/>
    <w:rsid w:val="0058406E"/>
    <w:rsid w:val="00584591"/>
    <w:rsid w:val="0058483C"/>
    <w:rsid w:val="00584B66"/>
    <w:rsid w:val="00584E5D"/>
    <w:rsid w:val="0058542D"/>
    <w:rsid w:val="00585A16"/>
    <w:rsid w:val="00585B70"/>
    <w:rsid w:val="00585BEB"/>
    <w:rsid w:val="00585F2C"/>
    <w:rsid w:val="00586BE3"/>
    <w:rsid w:val="00586D8B"/>
    <w:rsid w:val="00586E4C"/>
    <w:rsid w:val="0058705C"/>
    <w:rsid w:val="00587082"/>
    <w:rsid w:val="00587747"/>
    <w:rsid w:val="00587772"/>
    <w:rsid w:val="00587B36"/>
    <w:rsid w:val="00590388"/>
    <w:rsid w:val="005904D2"/>
    <w:rsid w:val="00590722"/>
    <w:rsid w:val="00590966"/>
    <w:rsid w:val="0059137E"/>
    <w:rsid w:val="0059156D"/>
    <w:rsid w:val="005916DA"/>
    <w:rsid w:val="00591D35"/>
    <w:rsid w:val="00591FAF"/>
    <w:rsid w:val="00592209"/>
    <w:rsid w:val="005929A1"/>
    <w:rsid w:val="005929A9"/>
    <w:rsid w:val="005929D7"/>
    <w:rsid w:val="00592A04"/>
    <w:rsid w:val="00592AD7"/>
    <w:rsid w:val="00592E14"/>
    <w:rsid w:val="00593723"/>
    <w:rsid w:val="005937F4"/>
    <w:rsid w:val="00593C5B"/>
    <w:rsid w:val="00593E3A"/>
    <w:rsid w:val="00594157"/>
    <w:rsid w:val="005942C9"/>
    <w:rsid w:val="00594DF7"/>
    <w:rsid w:val="0059544C"/>
    <w:rsid w:val="005955E4"/>
    <w:rsid w:val="00595CC0"/>
    <w:rsid w:val="00595D6E"/>
    <w:rsid w:val="00595DB3"/>
    <w:rsid w:val="00595E62"/>
    <w:rsid w:val="00596642"/>
    <w:rsid w:val="005967C2"/>
    <w:rsid w:val="00596BD1"/>
    <w:rsid w:val="00596D2E"/>
    <w:rsid w:val="00597039"/>
    <w:rsid w:val="005970EA"/>
    <w:rsid w:val="00597740"/>
    <w:rsid w:val="00597937"/>
    <w:rsid w:val="00597F29"/>
    <w:rsid w:val="005A00C3"/>
    <w:rsid w:val="005A0279"/>
    <w:rsid w:val="005A0505"/>
    <w:rsid w:val="005A092B"/>
    <w:rsid w:val="005A0B7D"/>
    <w:rsid w:val="005A0C9C"/>
    <w:rsid w:val="005A0CE0"/>
    <w:rsid w:val="005A0E63"/>
    <w:rsid w:val="005A1496"/>
    <w:rsid w:val="005A2D0E"/>
    <w:rsid w:val="005A3471"/>
    <w:rsid w:val="005A364E"/>
    <w:rsid w:val="005A3CAA"/>
    <w:rsid w:val="005A3E24"/>
    <w:rsid w:val="005A4099"/>
    <w:rsid w:val="005A4321"/>
    <w:rsid w:val="005A4334"/>
    <w:rsid w:val="005A450E"/>
    <w:rsid w:val="005A45C3"/>
    <w:rsid w:val="005A4930"/>
    <w:rsid w:val="005A4BDA"/>
    <w:rsid w:val="005A4F0B"/>
    <w:rsid w:val="005A5304"/>
    <w:rsid w:val="005A5513"/>
    <w:rsid w:val="005A5546"/>
    <w:rsid w:val="005A5D4C"/>
    <w:rsid w:val="005A63E4"/>
    <w:rsid w:val="005A6613"/>
    <w:rsid w:val="005A6D34"/>
    <w:rsid w:val="005A6F16"/>
    <w:rsid w:val="005A7486"/>
    <w:rsid w:val="005B0811"/>
    <w:rsid w:val="005B0B5B"/>
    <w:rsid w:val="005B0D06"/>
    <w:rsid w:val="005B12B6"/>
    <w:rsid w:val="005B1E7D"/>
    <w:rsid w:val="005B1FF7"/>
    <w:rsid w:val="005B22DA"/>
    <w:rsid w:val="005B25A7"/>
    <w:rsid w:val="005B25B3"/>
    <w:rsid w:val="005B2724"/>
    <w:rsid w:val="005B2761"/>
    <w:rsid w:val="005B2ECC"/>
    <w:rsid w:val="005B3367"/>
    <w:rsid w:val="005B357F"/>
    <w:rsid w:val="005B3582"/>
    <w:rsid w:val="005B3A85"/>
    <w:rsid w:val="005B3DF8"/>
    <w:rsid w:val="005B41EB"/>
    <w:rsid w:val="005B4269"/>
    <w:rsid w:val="005B4280"/>
    <w:rsid w:val="005B42FA"/>
    <w:rsid w:val="005B43C6"/>
    <w:rsid w:val="005B451C"/>
    <w:rsid w:val="005B4A01"/>
    <w:rsid w:val="005B4FC5"/>
    <w:rsid w:val="005B560C"/>
    <w:rsid w:val="005B56C7"/>
    <w:rsid w:val="005B5A94"/>
    <w:rsid w:val="005B5AAA"/>
    <w:rsid w:val="005B5CD1"/>
    <w:rsid w:val="005B73AC"/>
    <w:rsid w:val="005B7708"/>
    <w:rsid w:val="005B7A24"/>
    <w:rsid w:val="005B7DEE"/>
    <w:rsid w:val="005B7E90"/>
    <w:rsid w:val="005C0568"/>
    <w:rsid w:val="005C08D1"/>
    <w:rsid w:val="005C09CE"/>
    <w:rsid w:val="005C0A22"/>
    <w:rsid w:val="005C0E83"/>
    <w:rsid w:val="005C1017"/>
    <w:rsid w:val="005C1664"/>
    <w:rsid w:val="005C16F9"/>
    <w:rsid w:val="005C1901"/>
    <w:rsid w:val="005C19B7"/>
    <w:rsid w:val="005C1C8B"/>
    <w:rsid w:val="005C1E7D"/>
    <w:rsid w:val="005C278D"/>
    <w:rsid w:val="005C37F0"/>
    <w:rsid w:val="005C3ABA"/>
    <w:rsid w:val="005C3C4F"/>
    <w:rsid w:val="005C3C79"/>
    <w:rsid w:val="005C4A47"/>
    <w:rsid w:val="005C4FE4"/>
    <w:rsid w:val="005C52D6"/>
    <w:rsid w:val="005C535D"/>
    <w:rsid w:val="005C561B"/>
    <w:rsid w:val="005C5C70"/>
    <w:rsid w:val="005C5D07"/>
    <w:rsid w:val="005C63D7"/>
    <w:rsid w:val="005C661E"/>
    <w:rsid w:val="005C68B8"/>
    <w:rsid w:val="005C6C76"/>
    <w:rsid w:val="005C7716"/>
    <w:rsid w:val="005C79C6"/>
    <w:rsid w:val="005C7A68"/>
    <w:rsid w:val="005C7AED"/>
    <w:rsid w:val="005D04D4"/>
    <w:rsid w:val="005D12C9"/>
    <w:rsid w:val="005D14DC"/>
    <w:rsid w:val="005D170E"/>
    <w:rsid w:val="005D2092"/>
    <w:rsid w:val="005D2176"/>
    <w:rsid w:val="005D285D"/>
    <w:rsid w:val="005D28DC"/>
    <w:rsid w:val="005D2BDE"/>
    <w:rsid w:val="005D2D36"/>
    <w:rsid w:val="005D2DD1"/>
    <w:rsid w:val="005D2FEF"/>
    <w:rsid w:val="005D35B6"/>
    <w:rsid w:val="005D362B"/>
    <w:rsid w:val="005D3750"/>
    <w:rsid w:val="005D37E2"/>
    <w:rsid w:val="005D3A02"/>
    <w:rsid w:val="005D3E0C"/>
    <w:rsid w:val="005D464E"/>
    <w:rsid w:val="005D4A99"/>
    <w:rsid w:val="005D4C37"/>
    <w:rsid w:val="005D5942"/>
    <w:rsid w:val="005D59DE"/>
    <w:rsid w:val="005D5B9A"/>
    <w:rsid w:val="005D5FA3"/>
    <w:rsid w:val="005D5FF5"/>
    <w:rsid w:val="005D64D2"/>
    <w:rsid w:val="005D654D"/>
    <w:rsid w:val="005D662E"/>
    <w:rsid w:val="005D6DCD"/>
    <w:rsid w:val="005D6E77"/>
    <w:rsid w:val="005D7192"/>
    <w:rsid w:val="005D722E"/>
    <w:rsid w:val="005D72F9"/>
    <w:rsid w:val="005D77C0"/>
    <w:rsid w:val="005D7CD6"/>
    <w:rsid w:val="005E0643"/>
    <w:rsid w:val="005E078E"/>
    <w:rsid w:val="005E0AF6"/>
    <w:rsid w:val="005E0C88"/>
    <w:rsid w:val="005E0F21"/>
    <w:rsid w:val="005E1760"/>
    <w:rsid w:val="005E1C35"/>
    <w:rsid w:val="005E2332"/>
    <w:rsid w:val="005E29C1"/>
    <w:rsid w:val="005E2BC7"/>
    <w:rsid w:val="005E2DE2"/>
    <w:rsid w:val="005E3007"/>
    <w:rsid w:val="005E333F"/>
    <w:rsid w:val="005E3502"/>
    <w:rsid w:val="005E4DA9"/>
    <w:rsid w:val="005E5D51"/>
    <w:rsid w:val="005E6027"/>
    <w:rsid w:val="005E6FA2"/>
    <w:rsid w:val="005E7026"/>
    <w:rsid w:val="005E758A"/>
    <w:rsid w:val="005E780B"/>
    <w:rsid w:val="005E7BE4"/>
    <w:rsid w:val="005F01DF"/>
    <w:rsid w:val="005F0902"/>
    <w:rsid w:val="005F0C5D"/>
    <w:rsid w:val="005F1063"/>
    <w:rsid w:val="005F1286"/>
    <w:rsid w:val="005F1D10"/>
    <w:rsid w:val="005F1DA7"/>
    <w:rsid w:val="005F1E07"/>
    <w:rsid w:val="005F2AA3"/>
    <w:rsid w:val="005F2C95"/>
    <w:rsid w:val="005F2EC2"/>
    <w:rsid w:val="005F35D6"/>
    <w:rsid w:val="005F37B8"/>
    <w:rsid w:val="005F39A5"/>
    <w:rsid w:val="005F4005"/>
    <w:rsid w:val="005F4766"/>
    <w:rsid w:val="005F4D5C"/>
    <w:rsid w:val="005F517A"/>
    <w:rsid w:val="005F5750"/>
    <w:rsid w:val="005F590D"/>
    <w:rsid w:val="005F5F11"/>
    <w:rsid w:val="005F5FD7"/>
    <w:rsid w:val="005F611F"/>
    <w:rsid w:val="005F628C"/>
    <w:rsid w:val="005F6763"/>
    <w:rsid w:val="005F6857"/>
    <w:rsid w:val="005F68B3"/>
    <w:rsid w:val="005F71A9"/>
    <w:rsid w:val="005F7934"/>
    <w:rsid w:val="00600516"/>
    <w:rsid w:val="00600A73"/>
    <w:rsid w:val="00600AE2"/>
    <w:rsid w:val="00600B92"/>
    <w:rsid w:val="00600BB1"/>
    <w:rsid w:val="006015A4"/>
    <w:rsid w:val="006024D4"/>
    <w:rsid w:val="0060267D"/>
    <w:rsid w:val="00602D16"/>
    <w:rsid w:val="00602DC3"/>
    <w:rsid w:val="00603165"/>
    <w:rsid w:val="00603360"/>
    <w:rsid w:val="006034D9"/>
    <w:rsid w:val="006037A5"/>
    <w:rsid w:val="006037D8"/>
    <w:rsid w:val="006039C2"/>
    <w:rsid w:val="00604099"/>
    <w:rsid w:val="0060490E"/>
    <w:rsid w:val="00604A45"/>
    <w:rsid w:val="00604C17"/>
    <w:rsid w:val="006052F8"/>
    <w:rsid w:val="0060544A"/>
    <w:rsid w:val="006056AB"/>
    <w:rsid w:val="00605A68"/>
    <w:rsid w:val="00605CB1"/>
    <w:rsid w:val="00605F74"/>
    <w:rsid w:val="00605FC6"/>
    <w:rsid w:val="00606409"/>
    <w:rsid w:val="00606555"/>
    <w:rsid w:val="00606A84"/>
    <w:rsid w:val="00606B07"/>
    <w:rsid w:val="00606F1E"/>
    <w:rsid w:val="0060729A"/>
    <w:rsid w:val="00607418"/>
    <w:rsid w:val="00607EC8"/>
    <w:rsid w:val="006105A9"/>
    <w:rsid w:val="006105B8"/>
    <w:rsid w:val="00610670"/>
    <w:rsid w:val="006110B0"/>
    <w:rsid w:val="00611899"/>
    <w:rsid w:val="00611E25"/>
    <w:rsid w:val="00612724"/>
    <w:rsid w:val="006129A3"/>
    <w:rsid w:val="00612C51"/>
    <w:rsid w:val="0061318C"/>
    <w:rsid w:val="0061337C"/>
    <w:rsid w:val="0061345A"/>
    <w:rsid w:val="006142B2"/>
    <w:rsid w:val="006145BB"/>
    <w:rsid w:val="0061463D"/>
    <w:rsid w:val="00614E0E"/>
    <w:rsid w:val="00614F25"/>
    <w:rsid w:val="006150E4"/>
    <w:rsid w:val="00615184"/>
    <w:rsid w:val="0061527F"/>
    <w:rsid w:val="006157F0"/>
    <w:rsid w:val="00615F91"/>
    <w:rsid w:val="00616039"/>
    <w:rsid w:val="006160C9"/>
    <w:rsid w:val="006165CD"/>
    <w:rsid w:val="00616B52"/>
    <w:rsid w:val="00616EDC"/>
    <w:rsid w:val="00617063"/>
    <w:rsid w:val="00617C22"/>
    <w:rsid w:val="00617D5C"/>
    <w:rsid w:val="006203B3"/>
    <w:rsid w:val="0062062A"/>
    <w:rsid w:val="006206B5"/>
    <w:rsid w:val="0062098A"/>
    <w:rsid w:val="00620AB8"/>
    <w:rsid w:val="0062189E"/>
    <w:rsid w:val="00621B10"/>
    <w:rsid w:val="00621E47"/>
    <w:rsid w:val="00621EB9"/>
    <w:rsid w:val="00622136"/>
    <w:rsid w:val="00622586"/>
    <w:rsid w:val="00622AC6"/>
    <w:rsid w:val="00622AE9"/>
    <w:rsid w:val="00622BEA"/>
    <w:rsid w:val="0062364C"/>
    <w:rsid w:val="00623BA1"/>
    <w:rsid w:val="00624369"/>
    <w:rsid w:val="006245FE"/>
    <w:rsid w:val="006246D4"/>
    <w:rsid w:val="00624716"/>
    <w:rsid w:val="006248C5"/>
    <w:rsid w:val="00624C8D"/>
    <w:rsid w:val="00624CEB"/>
    <w:rsid w:val="0062508E"/>
    <w:rsid w:val="00625167"/>
    <w:rsid w:val="0062540A"/>
    <w:rsid w:val="00625932"/>
    <w:rsid w:val="00625D3C"/>
    <w:rsid w:val="0062612F"/>
    <w:rsid w:val="00626B9E"/>
    <w:rsid w:val="00626CF3"/>
    <w:rsid w:val="006271D7"/>
    <w:rsid w:val="0063005D"/>
    <w:rsid w:val="00630312"/>
    <w:rsid w:val="0063080F"/>
    <w:rsid w:val="006308D5"/>
    <w:rsid w:val="00630976"/>
    <w:rsid w:val="00630B0C"/>
    <w:rsid w:val="00630E90"/>
    <w:rsid w:val="00631042"/>
    <w:rsid w:val="0063141D"/>
    <w:rsid w:val="006314AE"/>
    <w:rsid w:val="006327D3"/>
    <w:rsid w:val="006329D2"/>
    <w:rsid w:val="00632B7D"/>
    <w:rsid w:val="00632E9F"/>
    <w:rsid w:val="006332D6"/>
    <w:rsid w:val="00633401"/>
    <w:rsid w:val="0063349E"/>
    <w:rsid w:val="0063372C"/>
    <w:rsid w:val="006345B9"/>
    <w:rsid w:val="006345DA"/>
    <w:rsid w:val="006346BC"/>
    <w:rsid w:val="0063492B"/>
    <w:rsid w:val="00634B16"/>
    <w:rsid w:val="0063510E"/>
    <w:rsid w:val="006353CD"/>
    <w:rsid w:val="00636475"/>
    <w:rsid w:val="006364D5"/>
    <w:rsid w:val="00636554"/>
    <w:rsid w:val="00636880"/>
    <w:rsid w:val="00636939"/>
    <w:rsid w:val="0063695C"/>
    <w:rsid w:val="00636FB2"/>
    <w:rsid w:val="00637034"/>
    <w:rsid w:val="0063769A"/>
    <w:rsid w:val="0063794F"/>
    <w:rsid w:val="00637E04"/>
    <w:rsid w:val="00640374"/>
    <w:rsid w:val="00640B3F"/>
    <w:rsid w:val="00640BAD"/>
    <w:rsid w:val="00640F9C"/>
    <w:rsid w:val="00641438"/>
    <w:rsid w:val="006418EA"/>
    <w:rsid w:val="00641C6D"/>
    <w:rsid w:val="00641D9C"/>
    <w:rsid w:val="00642149"/>
    <w:rsid w:val="00642D16"/>
    <w:rsid w:val="00642E0B"/>
    <w:rsid w:val="00642EA7"/>
    <w:rsid w:val="006433C9"/>
    <w:rsid w:val="00643523"/>
    <w:rsid w:val="006437D6"/>
    <w:rsid w:val="006438C3"/>
    <w:rsid w:val="0064398E"/>
    <w:rsid w:val="00644454"/>
    <w:rsid w:val="006444C8"/>
    <w:rsid w:val="006445B6"/>
    <w:rsid w:val="006445E1"/>
    <w:rsid w:val="0064470D"/>
    <w:rsid w:val="0064489D"/>
    <w:rsid w:val="00644B8E"/>
    <w:rsid w:val="00644FC6"/>
    <w:rsid w:val="006452A3"/>
    <w:rsid w:val="006452BE"/>
    <w:rsid w:val="00645384"/>
    <w:rsid w:val="00645392"/>
    <w:rsid w:val="00646839"/>
    <w:rsid w:val="006468EB"/>
    <w:rsid w:val="00646B7E"/>
    <w:rsid w:val="00646EC4"/>
    <w:rsid w:val="00647010"/>
    <w:rsid w:val="00647117"/>
    <w:rsid w:val="00647827"/>
    <w:rsid w:val="006507E1"/>
    <w:rsid w:val="00651632"/>
    <w:rsid w:val="00651651"/>
    <w:rsid w:val="006518CB"/>
    <w:rsid w:val="00651A85"/>
    <w:rsid w:val="00651AB6"/>
    <w:rsid w:val="00651C5A"/>
    <w:rsid w:val="00651C8F"/>
    <w:rsid w:val="00651CEC"/>
    <w:rsid w:val="006522A1"/>
    <w:rsid w:val="0065254A"/>
    <w:rsid w:val="006538B1"/>
    <w:rsid w:val="0065398A"/>
    <w:rsid w:val="00653B82"/>
    <w:rsid w:val="00653EF5"/>
    <w:rsid w:val="00653F6A"/>
    <w:rsid w:val="006541D7"/>
    <w:rsid w:val="00654674"/>
    <w:rsid w:val="006548E2"/>
    <w:rsid w:val="00654AD8"/>
    <w:rsid w:val="00654B8C"/>
    <w:rsid w:val="00654D2B"/>
    <w:rsid w:val="00655080"/>
    <w:rsid w:val="00655122"/>
    <w:rsid w:val="006553C5"/>
    <w:rsid w:val="00655600"/>
    <w:rsid w:val="00655A35"/>
    <w:rsid w:val="00655C52"/>
    <w:rsid w:val="00656019"/>
    <w:rsid w:val="0065657E"/>
    <w:rsid w:val="00656F68"/>
    <w:rsid w:val="006579D7"/>
    <w:rsid w:val="00660604"/>
    <w:rsid w:val="00660FEF"/>
    <w:rsid w:val="006614BA"/>
    <w:rsid w:val="00661C14"/>
    <w:rsid w:val="00662AFC"/>
    <w:rsid w:val="00662DDF"/>
    <w:rsid w:val="00662F95"/>
    <w:rsid w:val="00663540"/>
    <w:rsid w:val="006635C5"/>
    <w:rsid w:val="006638F7"/>
    <w:rsid w:val="00663952"/>
    <w:rsid w:val="00663CAE"/>
    <w:rsid w:val="00663E18"/>
    <w:rsid w:val="0066469B"/>
    <w:rsid w:val="006653B5"/>
    <w:rsid w:val="00665B21"/>
    <w:rsid w:val="00665EAD"/>
    <w:rsid w:val="00666291"/>
    <w:rsid w:val="0066652A"/>
    <w:rsid w:val="006669B1"/>
    <w:rsid w:val="00666CAB"/>
    <w:rsid w:val="006670AF"/>
    <w:rsid w:val="0066745C"/>
    <w:rsid w:val="006676D6"/>
    <w:rsid w:val="0066795C"/>
    <w:rsid w:val="00667C1F"/>
    <w:rsid w:val="006700D4"/>
    <w:rsid w:val="006700F0"/>
    <w:rsid w:val="006701CC"/>
    <w:rsid w:val="006702BF"/>
    <w:rsid w:val="0067062D"/>
    <w:rsid w:val="00670783"/>
    <w:rsid w:val="006707E8"/>
    <w:rsid w:val="00670A50"/>
    <w:rsid w:val="0067104D"/>
    <w:rsid w:val="006714EB"/>
    <w:rsid w:val="006717AB"/>
    <w:rsid w:val="00671AA4"/>
    <w:rsid w:val="00671C1A"/>
    <w:rsid w:val="00671DFF"/>
    <w:rsid w:val="00671E4E"/>
    <w:rsid w:val="00671EAF"/>
    <w:rsid w:val="00671FA8"/>
    <w:rsid w:val="00672420"/>
    <w:rsid w:val="00672699"/>
    <w:rsid w:val="006727D7"/>
    <w:rsid w:val="00672ADA"/>
    <w:rsid w:val="00672CDE"/>
    <w:rsid w:val="00672D02"/>
    <w:rsid w:val="0067309D"/>
    <w:rsid w:val="006731DC"/>
    <w:rsid w:val="0067332D"/>
    <w:rsid w:val="00673397"/>
    <w:rsid w:val="0067390E"/>
    <w:rsid w:val="00673D3D"/>
    <w:rsid w:val="00673E2D"/>
    <w:rsid w:val="00673E50"/>
    <w:rsid w:val="006742B5"/>
    <w:rsid w:val="00674692"/>
    <w:rsid w:val="006746E4"/>
    <w:rsid w:val="00674725"/>
    <w:rsid w:val="00674D12"/>
    <w:rsid w:val="006750F4"/>
    <w:rsid w:val="00676001"/>
    <w:rsid w:val="006760CF"/>
    <w:rsid w:val="00676137"/>
    <w:rsid w:val="0067626F"/>
    <w:rsid w:val="00676584"/>
    <w:rsid w:val="00676627"/>
    <w:rsid w:val="0067702D"/>
    <w:rsid w:val="0067747C"/>
    <w:rsid w:val="00677506"/>
    <w:rsid w:val="006779D0"/>
    <w:rsid w:val="00677AEB"/>
    <w:rsid w:val="00677D25"/>
    <w:rsid w:val="00677E99"/>
    <w:rsid w:val="00677FF5"/>
    <w:rsid w:val="0068007F"/>
    <w:rsid w:val="00680489"/>
    <w:rsid w:val="006807E7"/>
    <w:rsid w:val="00680FFF"/>
    <w:rsid w:val="00681634"/>
    <w:rsid w:val="0068167B"/>
    <w:rsid w:val="00681AEA"/>
    <w:rsid w:val="00681C3A"/>
    <w:rsid w:val="00682167"/>
    <w:rsid w:val="00682438"/>
    <w:rsid w:val="00682448"/>
    <w:rsid w:val="00682463"/>
    <w:rsid w:val="0068264E"/>
    <w:rsid w:val="006834E6"/>
    <w:rsid w:val="0068424D"/>
    <w:rsid w:val="0068462B"/>
    <w:rsid w:val="0068484F"/>
    <w:rsid w:val="00684B69"/>
    <w:rsid w:val="00684C96"/>
    <w:rsid w:val="00684F00"/>
    <w:rsid w:val="006850E3"/>
    <w:rsid w:val="0068512A"/>
    <w:rsid w:val="006855F3"/>
    <w:rsid w:val="00685AB2"/>
    <w:rsid w:val="00685B91"/>
    <w:rsid w:val="006872F8"/>
    <w:rsid w:val="006873D7"/>
    <w:rsid w:val="00687528"/>
    <w:rsid w:val="006876B3"/>
    <w:rsid w:val="00687A28"/>
    <w:rsid w:val="00687C98"/>
    <w:rsid w:val="00687CF7"/>
    <w:rsid w:val="00687EE8"/>
    <w:rsid w:val="00687F3B"/>
    <w:rsid w:val="006901B3"/>
    <w:rsid w:val="00690313"/>
    <w:rsid w:val="0069035D"/>
    <w:rsid w:val="0069051F"/>
    <w:rsid w:val="0069053F"/>
    <w:rsid w:val="00691168"/>
    <w:rsid w:val="0069149B"/>
    <w:rsid w:val="006914F4"/>
    <w:rsid w:val="0069153B"/>
    <w:rsid w:val="00691FE9"/>
    <w:rsid w:val="00692138"/>
    <w:rsid w:val="0069247D"/>
    <w:rsid w:val="006926E9"/>
    <w:rsid w:val="00692A3D"/>
    <w:rsid w:val="00693080"/>
    <w:rsid w:val="00693512"/>
    <w:rsid w:val="0069382A"/>
    <w:rsid w:val="0069386D"/>
    <w:rsid w:val="0069397C"/>
    <w:rsid w:val="00693993"/>
    <w:rsid w:val="006939D5"/>
    <w:rsid w:val="00693DF4"/>
    <w:rsid w:val="006942FF"/>
    <w:rsid w:val="0069468D"/>
    <w:rsid w:val="00694907"/>
    <w:rsid w:val="00694A1C"/>
    <w:rsid w:val="00694FA5"/>
    <w:rsid w:val="0069500B"/>
    <w:rsid w:val="00695332"/>
    <w:rsid w:val="006959D0"/>
    <w:rsid w:val="0069646A"/>
    <w:rsid w:val="00696620"/>
    <w:rsid w:val="0069667E"/>
    <w:rsid w:val="0069672B"/>
    <w:rsid w:val="00696DD2"/>
    <w:rsid w:val="0069738E"/>
    <w:rsid w:val="00697618"/>
    <w:rsid w:val="00697696"/>
    <w:rsid w:val="006A0243"/>
    <w:rsid w:val="006A0476"/>
    <w:rsid w:val="006A0DF6"/>
    <w:rsid w:val="006A0E89"/>
    <w:rsid w:val="006A0F01"/>
    <w:rsid w:val="006A0F11"/>
    <w:rsid w:val="006A10A8"/>
    <w:rsid w:val="006A1C05"/>
    <w:rsid w:val="006A1FFB"/>
    <w:rsid w:val="006A2141"/>
    <w:rsid w:val="006A2848"/>
    <w:rsid w:val="006A2DA5"/>
    <w:rsid w:val="006A5628"/>
    <w:rsid w:val="006A56F0"/>
    <w:rsid w:val="006A56FF"/>
    <w:rsid w:val="006A5718"/>
    <w:rsid w:val="006A5992"/>
    <w:rsid w:val="006A5C5B"/>
    <w:rsid w:val="006A5E74"/>
    <w:rsid w:val="006A66AD"/>
    <w:rsid w:val="006A69BF"/>
    <w:rsid w:val="006A6D2C"/>
    <w:rsid w:val="006A6ED7"/>
    <w:rsid w:val="006A720D"/>
    <w:rsid w:val="006A7318"/>
    <w:rsid w:val="006A7457"/>
    <w:rsid w:val="006B0405"/>
    <w:rsid w:val="006B0628"/>
    <w:rsid w:val="006B0AE2"/>
    <w:rsid w:val="006B1597"/>
    <w:rsid w:val="006B27AA"/>
    <w:rsid w:val="006B29C8"/>
    <w:rsid w:val="006B2C96"/>
    <w:rsid w:val="006B3A5D"/>
    <w:rsid w:val="006B3CA1"/>
    <w:rsid w:val="006B3E6D"/>
    <w:rsid w:val="006B43F6"/>
    <w:rsid w:val="006B4C1D"/>
    <w:rsid w:val="006B4F2C"/>
    <w:rsid w:val="006B5151"/>
    <w:rsid w:val="006B56B9"/>
    <w:rsid w:val="006B5725"/>
    <w:rsid w:val="006B5869"/>
    <w:rsid w:val="006B5BA4"/>
    <w:rsid w:val="006B6259"/>
    <w:rsid w:val="006B63D7"/>
    <w:rsid w:val="006B68BC"/>
    <w:rsid w:val="006B6B17"/>
    <w:rsid w:val="006B6DC4"/>
    <w:rsid w:val="006B7139"/>
    <w:rsid w:val="006B74CF"/>
    <w:rsid w:val="006B7963"/>
    <w:rsid w:val="006C03AC"/>
    <w:rsid w:val="006C07E0"/>
    <w:rsid w:val="006C0AD8"/>
    <w:rsid w:val="006C0AF2"/>
    <w:rsid w:val="006C0B45"/>
    <w:rsid w:val="006C0ED7"/>
    <w:rsid w:val="006C0F56"/>
    <w:rsid w:val="006C142D"/>
    <w:rsid w:val="006C1558"/>
    <w:rsid w:val="006C1DFC"/>
    <w:rsid w:val="006C2022"/>
    <w:rsid w:val="006C2259"/>
    <w:rsid w:val="006C22B7"/>
    <w:rsid w:val="006C230C"/>
    <w:rsid w:val="006C2849"/>
    <w:rsid w:val="006C2930"/>
    <w:rsid w:val="006C2F6D"/>
    <w:rsid w:val="006C35C3"/>
    <w:rsid w:val="006C381B"/>
    <w:rsid w:val="006C390C"/>
    <w:rsid w:val="006C3A1E"/>
    <w:rsid w:val="006C42AF"/>
    <w:rsid w:val="006C4310"/>
    <w:rsid w:val="006C4DD1"/>
    <w:rsid w:val="006C4EE7"/>
    <w:rsid w:val="006C5C13"/>
    <w:rsid w:val="006C6102"/>
    <w:rsid w:val="006C6C72"/>
    <w:rsid w:val="006C6D07"/>
    <w:rsid w:val="006C6F91"/>
    <w:rsid w:val="006C79AA"/>
    <w:rsid w:val="006C7C60"/>
    <w:rsid w:val="006C7F1E"/>
    <w:rsid w:val="006D021E"/>
    <w:rsid w:val="006D03F9"/>
    <w:rsid w:val="006D0613"/>
    <w:rsid w:val="006D0898"/>
    <w:rsid w:val="006D0E03"/>
    <w:rsid w:val="006D1243"/>
    <w:rsid w:val="006D129B"/>
    <w:rsid w:val="006D179E"/>
    <w:rsid w:val="006D1908"/>
    <w:rsid w:val="006D19E2"/>
    <w:rsid w:val="006D1F83"/>
    <w:rsid w:val="006D27FC"/>
    <w:rsid w:val="006D2A87"/>
    <w:rsid w:val="006D2E0B"/>
    <w:rsid w:val="006D328A"/>
    <w:rsid w:val="006D3512"/>
    <w:rsid w:val="006D3C35"/>
    <w:rsid w:val="006D3C86"/>
    <w:rsid w:val="006D3E58"/>
    <w:rsid w:val="006D3EF9"/>
    <w:rsid w:val="006D4046"/>
    <w:rsid w:val="006D44F1"/>
    <w:rsid w:val="006D4999"/>
    <w:rsid w:val="006D4BAC"/>
    <w:rsid w:val="006D55BE"/>
    <w:rsid w:val="006D590B"/>
    <w:rsid w:val="006D5A56"/>
    <w:rsid w:val="006D5B40"/>
    <w:rsid w:val="006D64AF"/>
    <w:rsid w:val="006D69ED"/>
    <w:rsid w:val="006E0756"/>
    <w:rsid w:val="006E0B41"/>
    <w:rsid w:val="006E0EFB"/>
    <w:rsid w:val="006E10D6"/>
    <w:rsid w:val="006E2867"/>
    <w:rsid w:val="006E2E24"/>
    <w:rsid w:val="006E2F3B"/>
    <w:rsid w:val="006E328B"/>
    <w:rsid w:val="006E35FB"/>
    <w:rsid w:val="006E36BB"/>
    <w:rsid w:val="006E36CF"/>
    <w:rsid w:val="006E37B7"/>
    <w:rsid w:val="006E3813"/>
    <w:rsid w:val="006E4002"/>
    <w:rsid w:val="006E4223"/>
    <w:rsid w:val="006E49BD"/>
    <w:rsid w:val="006E4EB1"/>
    <w:rsid w:val="006E4F60"/>
    <w:rsid w:val="006E5A47"/>
    <w:rsid w:val="006E5DBC"/>
    <w:rsid w:val="006E5E24"/>
    <w:rsid w:val="006E5F90"/>
    <w:rsid w:val="006E6370"/>
    <w:rsid w:val="006E6413"/>
    <w:rsid w:val="006E6664"/>
    <w:rsid w:val="006E66C1"/>
    <w:rsid w:val="006E6CBD"/>
    <w:rsid w:val="006E75BA"/>
    <w:rsid w:val="006E7C87"/>
    <w:rsid w:val="006E7F29"/>
    <w:rsid w:val="006F000D"/>
    <w:rsid w:val="006F0205"/>
    <w:rsid w:val="006F0357"/>
    <w:rsid w:val="006F12E7"/>
    <w:rsid w:val="006F1726"/>
    <w:rsid w:val="006F1F0C"/>
    <w:rsid w:val="006F26C7"/>
    <w:rsid w:val="006F2C96"/>
    <w:rsid w:val="006F2D40"/>
    <w:rsid w:val="006F2F16"/>
    <w:rsid w:val="006F2F29"/>
    <w:rsid w:val="006F33EA"/>
    <w:rsid w:val="006F3682"/>
    <w:rsid w:val="006F3F39"/>
    <w:rsid w:val="006F3F46"/>
    <w:rsid w:val="006F447A"/>
    <w:rsid w:val="006F5B7C"/>
    <w:rsid w:val="006F618C"/>
    <w:rsid w:val="006F7195"/>
    <w:rsid w:val="006F73D2"/>
    <w:rsid w:val="006F79EE"/>
    <w:rsid w:val="007004B1"/>
    <w:rsid w:val="007004F6"/>
    <w:rsid w:val="007005FC"/>
    <w:rsid w:val="00700F9D"/>
    <w:rsid w:val="00701205"/>
    <w:rsid w:val="00701277"/>
    <w:rsid w:val="007013FD"/>
    <w:rsid w:val="00701858"/>
    <w:rsid w:val="00701E93"/>
    <w:rsid w:val="00701EA2"/>
    <w:rsid w:val="00702686"/>
    <w:rsid w:val="007027C8"/>
    <w:rsid w:val="00702984"/>
    <w:rsid w:val="00702A9C"/>
    <w:rsid w:val="0070338F"/>
    <w:rsid w:val="00703880"/>
    <w:rsid w:val="007039D3"/>
    <w:rsid w:val="00703EDF"/>
    <w:rsid w:val="00703FF8"/>
    <w:rsid w:val="007040AA"/>
    <w:rsid w:val="00704420"/>
    <w:rsid w:val="0070486B"/>
    <w:rsid w:val="00704DA3"/>
    <w:rsid w:val="00705262"/>
    <w:rsid w:val="0070542A"/>
    <w:rsid w:val="007054CB"/>
    <w:rsid w:val="00705559"/>
    <w:rsid w:val="0070617C"/>
    <w:rsid w:val="00706745"/>
    <w:rsid w:val="00706B24"/>
    <w:rsid w:val="00706DDF"/>
    <w:rsid w:val="007072F1"/>
    <w:rsid w:val="00707ECD"/>
    <w:rsid w:val="00710046"/>
    <w:rsid w:val="0071006F"/>
    <w:rsid w:val="007101C9"/>
    <w:rsid w:val="007102A7"/>
    <w:rsid w:val="007104F5"/>
    <w:rsid w:val="00710611"/>
    <w:rsid w:val="00710B63"/>
    <w:rsid w:val="00710BF8"/>
    <w:rsid w:val="007110F5"/>
    <w:rsid w:val="00711305"/>
    <w:rsid w:val="00711D8E"/>
    <w:rsid w:val="00711DD3"/>
    <w:rsid w:val="00711E86"/>
    <w:rsid w:val="0071205F"/>
    <w:rsid w:val="00712672"/>
    <w:rsid w:val="00712AF1"/>
    <w:rsid w:val="00712BED"/>
    <w:rsid w:val="00712D3B"/>
    <w:rsid w:val="00712F48"/>
    <w:rsid w:val="0071376E"/>
    <w:rsid w:val="007138E0"/>
    <w:rsid w:val="00713E7F"/>
    <w:rsid w:val="0071465E"/>
    <w:rsid w:val="007147A5"/>
    <w:rsid w:val="00714A82"/>
    <w:rsid w:val="00714B5A"/>
    <w:rsid w:val="00714F8A"/>
    <w:rsid w:val="00714FA3"/>
    <w:rsid w:val="00715895"/>
    <w:rsid w:val="00715EF2"/>
    <w:rsid w:val="00716285"/>
    <w:rsid w:val="00716A70"/>
    <w:rsid w:val="0071727F"/>
    <w:rsid w:val="007173BD"/>
    <w:rsid w:val="007177F3"/>
    <w:rsid w:val="00717AA7"/>
    <w:rsid w:val="0072052F"/>
    <w:rsid w:val="007207E2"/>
    <w:rsid w:val="00720C8B"/>
    <w:rsid w:val="00721411"/>
    <w:rsid w:val="00721C67"/>
    <w:rsid w:val="007223A0"/>
    <w:rsid w:val="007226E8"/>
    <w:rsid w:val="00722BC3"/>
    <w:rsid w:val="00722E53"/>
    <w:rsid w:val="0072398C"/>
    <w:rsid w:val="00723A0C"/>
    <w:rsid w:val="00723EB7"/>
    <w:rsid w:val="00723FA6"/>
    <w:rsid w:val="00724136"/>
    <w:rsid w:val="007241EB"/>
    <w:rsid w:val="00724726"/>
    <w:rsid w:val="00724A2E"/>
    <w:rsid w:val="00724E17"/>
    <w:rsid w:val="00725104"/>
    <w:rsid w:val="007258C2"/>
    <w:rsid w:val="00726970"/>
    <w:rsid w:val="00726F65"/>
    <w:rsid w:val="00727C0B"/>
    <w:rsid w:val="00727C90"/>
    <w:rsid w:val="00727DA8"/>
    <w:rsid w:val="00727F94"/>
    <w:rsid w:val="00730168"/>
    <w:rsid w:val="00730DB1"/>
    <w:rsid w:val="0073116E"/>
    <w:rsid w:val="007315DA"/>
    <w:rsid w:val="007316B7"/>
    <w:rsid w:val="0073175E"/>
    <w:rsid w:val="0073176B"/>
    <w:rsid w:val="00731E9D"/>
    <w:rsid w:val="007322F2"/>
    <w:rsid w:val="007323D0"/>
    <w:rsid w:val="007326A2"/>
    <w:rsid w:val="00732910"/>
    <w:rsid w:val="00732D86"/>
    <w:rsid w:val="007331A2"/>
    <w:rsid w:val="0073376C"/>
    <w:rsid w:val="00733AD3"/>
    <w:rsid w:val="00733D89"/>
    <w:rsid w:val="0073409A"/>
    <w:rsid w:val="007345EC"/>
    <w:rsid w:val="007346BE"/>
    <w:rsid w:val="00734D3A"/>
    <w:rsid w:val="00734E3F"/>
    <w:rsid w:val="00735521"/>
    <w:rsid w:val="00735E37"/>
    <w:rsid w:val="00735F2B"/>
    <w:rsid w:val="00735FED"/>
    <w:rsid w:val="007361CC"/>
    <w:rsid w:val="007363C0"/>
    <w:rsid w:val="00736667"/>
    <w:rsid w:val="00736985"/>
    <w:rsid w:val="00736B4A"/>
    <w:rsid w:val="00737100"/>
    <w:rsid w:val="00737870"/>
    <w:rsid w:val="007379D4"/>
    <w:rsid w:val="00737A13"/>
    <w:rsid w:val="00737E0E"/>
    <w:rsid w:val="00737EB9"/>
    <w:rsid w:val="00737F27"/>
    <w:rsid w:val="00740055"/>
    <w:rsid w:val="007404A2"/>
    <w:rsid w:val="00740BFA"/>
    <w:rsid w:val="00740CA4"/>
    <w:rsid w:val="00740CBC"/>
    <w:rsid w:val="00740CF9"/>
    <w:rsid w:val="00741234"/>
    <w:rsid w:val="00741548"/>
    <w:rsid w:val="007416E2"/>
    <w:rsid w:val="00741B19"/>
    <w:rsid w:val="00741C3D"/>
    <w:rsid w:val="00742082"/>
    <w:rsid w:val="00742F04"/>
    <w:rsid w:val="007433FC"/>
    <w:rsid w:val="00743B08"/>
    <w:rsid w:val="00743D79"/>
    <w:rsid w:val="00744310"/>
    <w:rsid w:val="0074446C"/>
    <w:rsid w:val="00744B5B"/>
    <w:rsid w:val="00744C87"/>
    <w:rsid w:val="00744DFF"/>
    <w:rsid w:val="00745117"/>
    <w:rsid w:val="0074521F"/>
    <w:rsid w:val="007452EC"/>
    <w:rsid w:val="007458F0"/>
    <w:rsid w:val="00745DB2"/>
    <w:rsid w:val="00745E25"/>
    <w:rsid w:val="00745FE8"/>
    <w:rsid w:val="00746528"/>
    <w:rsid w:val="007469C6"/>
    <w:rsid w:val="00746BD9"/>
    <w:rsid w:val="00746CA0"/>
    <w:rsid w:val="00746CB9"/>
    <w:rsid w:val="007470BC"/>
    <w:rsid w:val="00747724"/>
    <w:rsid w:val="0074781B"/>
    <w:rsid w:val="00747C61"/>
    <w:rsid w:val="00747C74"/>
    <w:rsid w:val="0075071D"/>
    <w:rsid w:val="007508E6"/>
    <w:rsid w:val="007510FE"/>
    <w:rsid w:val="00751194"/>
    <w:rsid w:val="0075140A"/>
    <w:rsid w:val="007515D4"/>
    <w:rsid w:val="00751AA0"/>
    <w:rsid w:val="00751B8A"/>
    <w:rsid w:val="00751C33"/>
    <w:rsid w:val="00751D60"/>
    <w:rsid w:val="00751FCE"/>
    <w:rsid w:val="007520F6"/>
    <w:rsid w:val="00752318"/>
    <w:rsid w:val="007523BD"/>
    <w:rsid w:val="007529A1"/>
    <w:rsid w:val="00752B78"/>
    <w:rsid w:val="00752E10"/>
    <w:rsid w:val="0075323A"/>
    <w:rsid w:val="00753719"/>
    <w:rsid w:val="00753D9B"/>
    <w:rsid w:val="00753F49"/>
    <w:rsid w:val="00754464"/>
    <w:rsid w:val="00754813"/>
    <w:rsid w:val="00754A45"/>
    <w:rsid w:val="00754FC2"/>
    <w:rsid w:val="007553E4"/>
    <w:rsid w:val="00755664"/>
    <w:rsid w:val="0075590B"/>
    <w:rsid w:val="00755929"/>
    <w:rsid w:val="00755A0B"/>
    <w:rsid w:val="00755A0F"/>
    <w:rsid w:val="00755A38"/>
    <w:rsid w:val="00756077"/>
    <w:rsid w:val="00756499"/>
    <w:rsid w:val="00756C59"/>
    <w:rsid w:val="00756CFA"/>
    <w:rsid w:val="00756EA6"/>
    <w:rsid w:val="00757090"/>
    <w:rsid w:val="00757E32"/>
    <w:rsid w:val="00760048"/>
    <w:rsid w:val="00760733"/>
    <w:rsid w:val="00760AB2"/>
    <w:rsid w:val="00760D3D"/>
    <w:rsid w:val="00760E14"/>
    <w:rsid w:val="00761298"/>
    <w:rsid w:val="007615B1"/>
    <w:rsid w:val="00761F96"/>
    <w:rsid w:val="00761FCC"/>
    <w:rsid w:val="00761FD1"/>
    <w:rsid w:val="007620BB"/>
    <w:rsid w:val="007622C0"/>
    <w:rsid w:val="00762555"/>
    <w:rsid w:val="007626FD"/>
    <w:rsid w:val="00762706"/>
    <w:rsid w:val="007628F9"/>
    <w:rsid w:val="00762F15"/>
    <w:rsid w:val="00763506"/>
    <w:rsid w:val="00763B9F"/>
    <w:rsid w:val="00763D1C"/>
    <w:rsid w:val="00764090"/>
    <w:rsid w:val="0076435E"/>
    <w:rsid w:val="007648E2"/>
    <w:rsid w:val="0076507C"/>
    <w:rsid w:val="00765257"/>
    <w:rsid w:val="007655E1"/>
    <w:rsid w:val="00765656"/>
    <w:rsid w:val="007659E2"/>
    <w:rsid w:val="007663B6"/>
    <w:rsid w:val="00766BCC"/>
    <w:rsid w:val="00766C6D"/>
    <w:rsid w:val="007671DA"/>
    <w:rsid w:val="00767433"/>
    <w:rsid w:val="0076760E"/>
    <w:rsid w:val="00767AB3"/>
    <w:rsid w:val="007700CF"/>
    <w:rsid w:val="0077015C"/>
    <w:rsid w:val="00770202"/>
    <w:rsid w:val="007703C3"/>
    <w:rsid w:val="007705AA"/>
    <w:rsid w:val="00770A85"/>
    <w:rsid w:val="00770C21"/>
    <w:rsid w:val="00770E2D"/>
    <w:rsid w:val="00771356"/>
    <w:rsid w:val="0077177D"/>
    <w:rsid w:val="007719BB"/>
    <w:rsid w:val="00771BA6"/>
    <w:rsid w:val="00771CD6"/>
    <w:rsid w:val="007720F6"/>
    <w:rsid w:val="00772117"/>
    <w:rsid w:val="0077213E"/>
    <w:rsid w:val="00772882"/>
    <w:rsid w:val="007736E1"/>
    <w:rsid w:val="007737BB"/>
    <w:rsid w:val="007739BC"/>
    <w:rsid w:val="00774258"/>
    <w:rsid w:val="00774286"/>
    <w:rsid w:val="00774483"/>
    <w:rsid w:val="00774D5A"/>
    <w:rsid w:val="00774F48"/>
    <w:rsid w:val="00775024"/>
    <w:rsid w:val="007755A8"/>
    <w:rsid w:val="00775692"/>
    <w:rsid w:val="00775754"/>
    <w:rsid w:val="00775773"/>
    <w:rsid w:val="0077579A"/>
    <w:rsid w:val="00775E8F"/>
    <w:rsid w:val="00775E9B"/>
    <w:rsid w:val="007760AA"/>
    <w:rsid w:val="0077642D"/>
    <w:rsid w:val="0077694A"/>
    <w:rsid w:val="00776E6E"/>
    <w:rsid w:val="0077732B"/>
    <w:rsid w:val="0077748F"/>
    <w:rsid w:val="00777EBD"/>
    <w:rsid w:val="0078007C"/>
    <w:rsid w:val="00780222"/>
    <w:rsid w:val="007806E9"/>
    <w:rsid w:val="00780A8D"/>
    <w:rsid w:val="00780C0D"/>
    <w:rsid w:val="00780E99"/>
    <w:rsid w:val="00780FD9"/>
    <w:rsid w:val="00781345"/>
    <w:rsid w:val="00781560"/>
    <w:rsid w:val="0078158C"/>
    <w:rsid w:val="00781857"/>
    <w:rsid w:val="007819C6"/>
    <w:rsid w:val="007819DA"/>
    <w:rsid w:val="00781BE3"/>
    <w:rsid w:val="00781CA8"/>
    <w:rsid w:val="00781E7F"/>
    <w:rsid w:val="00782273"/>
    <w:rsid w:val="00782460"/>
    <w:rsid w:val="00782C08"/>
    <w:rsid w:val="00782D18"/>
    <w:rsid w:val="00783A16"/>
    <w:rsid w:val="00783E43"/>
    <w:rsid w:val="00783F5B"/>
    <w:rsid w:val="00784268"/>
    <w:rsid w:val="00784554"/>
    <w:rsid w:val="00784DBD"/>
    <w:rsid w:val="007856D2"/>
    <w:rsid w:val="007857D2"/>
    <w:rsid w:val="007858AB"/>
    <w:rsid w:val="00785D70"/>
    <w:rsid w:val="00785DC4"/>
    <w:rsid w:val="00786186"/>
    <w:rsid w:val="007868A4"/>
    <w:rsid w:val="00786B48"/>
    <w:rsid w:val="00786F4E"/>
    <w:rsid w:val="00786FD9"/>
    <w:rsid w:val="00787131"/>
    <w:rsid w:val="0078757C"/>
    <w:rsid w:val="007876BC"/>
    <w:rsid w:val="00787E77"/>
    <w:rsid w:val="007904CF"/>
    <w:rsid w:val="00790698"/>
    <w:rsid w:val="0079079F"/>
    <w:rsid w:val="00790A3A"/>
    <w:rsid w:val="00790F0D"/>
    <w:rsid w:val="007910C4"/>
    <w:rsid w:val="00791201"/>
    <w:rsid w:val="007914A0"/>
    <w:rsid w:val="0079164B"/>
    <w:rsid w:val="00792801"/>
    <w:rsid w:val="00792F21"/>
    <w:rsid w:val="0079364E"/>
    <w:rsid w:val="00793B3D"/>
    <w:rsid w:val="00794083"/>
    <w:rsid w:val="00794481"/>
    <w:rsid w:val="00794E5E"/>
    <w:rsid w:val="00794F17"/>
    <w:rsid w:val="00795397"/>
    <w:rsid w:val="00795B04"/>
    <w:rsid w:val="00795D3C"/>
    <w:rsid w:val="00795DB8"/>
    <w:rsid w:val="00796011"/>
    <w:rsid w:val="0079648C"/>
    <w:rsid w:val="0079651B"/>
    <w:rsid w:val="00797162"/>
    <w:rsid w:val="00797B4F"/>
    <w:rsid w:val="00797E6D"/>
    <w:rsid w:val="00797E96"/>
    <w:rsid w:val="007A0334"/>
    <w:rsid w:val="007A0E16"/>
    <w:rsid w:val="007A1058"/>
    <w:rsid w:val="007A129A"/>
    <w:rsid w:val="007A159F"/>
    <w:rsid w:val="007A1F70"/>
    <w:rsid w:val="007A248F"/>
    <w:rsid w:val="007A2602"/>
    <w:rsid w:val="007A299B"/>
    <w:rsid w:val="007A2E5D"/>
    <w:rsid w:val="007A307F"/>
    <w:rsid w:val="007A35B6"/>
    <w:rsid w:val="007A3739"/>
    <w:rsid w:val="007A3757"/>
    <w:rsid w:val="007A380C"/>
    <w:rsid w:val="007A3A5A"/>
    <w:rsid w:val="007A3B89"/>
    <w:rsid w:val="007A3CCD"/>
    <w:rsid w:val="007A3D5B"/>
    <w:rsid w:val="007A4247"/>
    <w:rsid w:val="007A434B"/>
    <w:rsid w:val="007A4CB6"/>
    <w:rsid w:val="007A54F9"/>
    <w:rsid w:val="007A5800"/>
    <w:rsid w:val="007A5A6A"/>
    <w:rsid w:val="007A60D1"/>
    <w:rsid w:val="007A6474"/>
    <w:rsid w:val="007A6549"/>
    <w:rsid w:val="007A69B6"/>
    <w:rsid w:val="007A6C51"/>
    <w:rsid w:val="007A7373"/>
    <w:rsid w:val="007A78F1"/>
    <w:rsid w:val="007A7BD9"/>
    <w:rsid w:val="007A7BF0"/>
    <w:rsid w:val="007B04B4"/>
    <w:rsid w:val="007B068F"/>
    <w:rsid w:val="007B06AD"/>
    <w:rsid w:val="007B0E59"/>
    <w:rsid w:val="007B0EA9"/>
    <w:rsid w:val="007B14C4"/>
    <w:rsid w:val="007B1984"/>
    <w:rsid w:val="007B19EC"/>
    <w:rsid w:val="007B1CB2"/>
    <w:rsid w:val="007B23D6"/>
    <w:rsid w:val="007B25E4"/>
    <w:rsid w:val="007B277F"/>
    <w:rsid w:val="007B31E8"/>
    <w:rsid w:val="007B38E4"/>
    <w:rsid w:val="007B392A"/>
    <w:rsid w:val="007B403C"/>
    <w:rsid w:val="007B47FE"/>
    <w:rsid w:val="007B4B8F"/>
    <w:rsid w:val="007B5115"/>
    <w:rsid w:val="007B5237"/>
    <w:rsid w:val="007B549E"/>
    <w:rsid w:val="007B54A9"/>
    <w:rsid w:val="007B57F6"/>
    <w:rsid w:val="007B5995"/>
    <w:rsid w:val="007B5CC5"/>
    <w:rsid w:val="007B5D59"/>
    <w:rsid w:val="007B5FC0"/>
    <w:rsid w:val="007B60DE"/>
    <w:rsid w:val="007B6200"/>
    <w:rsid w:val="007B62EF"/>
    <w:rsid w:val="007B6774"/>
    <w:rsid w:val="007B6808"/>
    <w:rsid w:val="007B6913"/>
    <w:rsid w:val="007B6B32"/>
    <w:rsid w:val="007B6E9B"/>
    <w:rsid w:val="007B702A"/>
    <w:rsid w:val="007B71AD"/>
    <w:rsid w:val="007B741E"/>
    <w:rsid w:val="007B7691"/>
    <w:rsid w:val="007B77F0"/>
    <w:rsid w:val="007B7B26"/>
    <w:rsid w:val="007B7D74"/>
    <w:rsid w:val="007B7FCF"/>
    <w:rsid w:val="007C010C"/>
    <w:rsid w:val="007C02D4"/>
    <w:rsid w:val="007C0AF1"/>
    <w:rsid w:val="007C1256"/>
    <w:rsid w:val="007C157E"/>
    <w:rsid w:val="007C184F"/>
    <w:rsid w:val="007C1874"/>
    <w:rsid w:val="007C1987"/>
    <w:rsid w:val="007C20B3"/>
    <w:rsid w:val="007C20B6"/>
    <w:rsid w:val="007C20EE"/>
    <w:rsid w:val="007C23DF"/>
    <w:rsid w:val="007C2A6D"/>
    <w:rsid w:val="007C2A87"/>
    <w:rsid w:val="007C3058"/>
    <w:rsid w:val="007C3910"/>
    <w:rsid w:val="007C439A"/>
    <w:rsid w:val="007C4C11"/>
    <w:rsid w:val="007C4C39"/>
    <w:rsid w:val="007C4E65"/>
    <w:rsid w:val="007C4ED3"/>
    <w:rsid w:val="007C5524"/>
    <w:rsid w:val="007C57C2"/>
    <w:rsid w:val="007C5F81"/>
    <w:rsid w:val="007C61E8"/>
    <w:rsid w:val="007C63F4"/>
    <w:rsid w:val="007C646C"/>
    <w:rsid w:val="007C6A25"/>
    <w:rsid w:val="007C6A85"/>
    <w:rsid w:val="007C6C04"/>
    <w:rsid w:val="007C6D56"/>
    <w:rsid w:val="007C6F49"/>
    <w:rsid w:val="007D0040"/>
    <w:rsid w:val="007D004A"/>
    <w:rsid w:val="007D05E4"/>
    <w:rsid w:val="007D0875"/>
    <w:rsid w:val="007D0DC2"/>
    <w:rsid w:val="007D11D8"/>
    <w:rsid w:val="007D1678"/>
    <w:rsid w:val="007D2868"/>
    <w:rsid w:val="007D28D8"/>
    <w:rsid w:val="007D2A5E"/>
    <w:rsid w:val="007D2F69"/>
    <w:rsid w:val="007D3079"/>
    <w:rsid w:val="007D36F5"/>
    <w:rsid w:val="007D3716"/>
    <w:rsid w:val="007D38D8"/>
    <w:rsid w:val="007D3D44"/>
    <w:rsid w:val="007D3E5D"/>
    <w:rsid w:val="007D43D9"/>
    <w:rsid w:val="007D4650"/>
    <w:rsid w:val="007D50E1"/>
    <w:rsid w:val="007D545A"/>
    <w:rsid w:val="007D54E5"/>
    <w:rsid w:val="007D603D"/>
    <w:rsid w:val="007D613F"/>
    <w:rsid w:val="007D6403"/>
    <w:rsid w:val="007D65CE"/>
    <w:rsid w:val="007D6822"/>
    <w:rsid w:val="007D6892"/>
    <w:rsid w:val="007D6AA1"/>
    <w:rsid w:val="007D6F1B"/>
    <w:rsid w:val="007D7678"/>
    <w:rsid w:val="007E0150"/>
    <w:rsid w:val="007E04DD"/>
    <w:rsid w:val="007E0874"/>
    <w:rsid w:val="007E0CA6"/>
    <w:rsid w:val="007E0CE1"/>
    <w:rsid w:val="007E0F29"/>
    <w:rsid w:val="007E1C8E"/>
    <w:rsid w:val="007E1F0B"/>
    <w:rsid w:val="007E22ED"/>
    <w:rsid w:val="007E27FF"/>
    <w:rsid w:val="007E2940"/>
    <w:rsid w:val="007E2B35"/>
    <w:rsid w:val="007E3CF9"/>
    <w:rsid w:val="007E429F"/>
    <w:rsid w:val="007E46AE"/>
    <w:rsid w:val="007E4A9C"/>
    <w:rsid w:val="007E50C9"/>
    <w:rsid w:val="007E537A"/>
    <w:rsid w:val="007E58DC"/>
    <w:rsid w:val="007E6381"/>
    <w:rsid w:val="007E63E6"/>
    <w:rsid w:val="007E642B"/>
    <w:rsid w:val="007E6DB9"/>
    <w:rsid w:val="007E7170"/>
    <w:rsid w:val="007E76AF"/>
    <w:rsid w:val="007E7920"/>
    <w:rsid w:val="007E7959"/>
    <w:rsid w:val="007E7B36"/>
    <w:rsid w:val="007E7DD0"/>
    <w:rsid w:val="007E7F78"/>
    <w:rsid w:val="007F0366"/>
    <w:rsid w:val="007F0723"/>
    <w:rsid w:val="007F0CF6"/>
    <w:rsid w:val="007F0EFE"/>
    <w:rsid w:val="007F1248"/>
    <w:rsid w:val="007F18D1"/>
    <w:rsid w:val="007F1BC8"/>
    <w:rsid w:val="007F1BF1"/>
    <w:rsid w:val="007F1DF5"/>
    <w:rsid w:val="007F2064"/>
    <w:rsid w:val="007F24CC"/>
    <w:rsid w:val="007F282A"/>
    <w:rsid w:val="007F2B5C"/>
    <w:rsid w:val="007F2E22"/>
    <w:rsid w:val="007F2E37"/>
    <w:rsid w:val="007F2F43"/>
    <w:rsid w:val="007F354B"/>
    <w:rsid w:val="007F403E"/>
    <w:rsid w:val="007F43A4"/>
    <w:rsid w:val="007F4607"/>
    <w:rsid w:val="007F4668"/>
    <w:rsid w:val="007F466D"/>
    <w:rsid w:val="007F4A26"/>
    <w:rsid w:val="007F5139"/>
    <w:rsid w:val="007F5204"/>
    <w:rsid w:val="007F55EB"/>
    <w:rsid w:val="007F587C"/>
    <w:rsid w:val="007F589D"/>
    <w:rsid w:val="007F5C19"/>
    <w:rsid w:val="007F6156"/>
    <w:rsid w:val="007F66FB"/>
    <w:rsid w:val="007F7042"/>
    <w:rsid w:val="007F7E26"/>
    <w:rsid w:val="00800445"/>
    <w:rsid w:val="0080087F"/>
    <w:rsid w:val="00800BBB"/>
    <w:rsid w:val="00800FE5"/>
    <w:rsid w:val="00801084"/>
    <w:rsid w:val="00801889"/>
    <w:rsid w:val="00801B9F"/>
    <w:rsid w:val="00801CE1"/>
    <w:rsid w:val="00802343"/>
    <w:rsid w:val="008026E8"/>
    <w:rsid w:val="00802765"/>
    <w:rsid w:val="00802A0B"/>
    <w:rsid w:val="00803275"/>
    <w:rsid w:val="00803A31"/>
    <w:rsid w:val="00803DB7"/>
    <w:rsid w:val="00803E7D"/>
    <w:rsid w:val="008045E1"/>
    <w:rsid w:val="00804DDD"/>
    <w:rsid w:val="00805479"/>
    <w:rsid w:val="00805A99"/>
    <w:rsid w:val="00805C98"/>
    <w:rsid w:val="00805CFA"/>
    <w:rsid w:val="0080658B"/>
    <w:rsid w:val="00806650"/>
    <w:rsid w:val="00806A23"/>
    <w:rsid w:val="00807276"/>
    <w:rsid w:val="0080774B"/>
    <w:rsid w:val="00810021"/>
    <w:rsid w:val="0081017F"/>
    <w:rsid w:val="00811549"/>
    <w:rsid w:val="00811956"/>
    <w:rsid w:val="00811EB3"/>
    <w:rsid w:val="00811FCA"/>
    <w:rsid w:val="008121BB"/>
    <w:rsid w:val="0081248E"/>
    <w:rsid w:val="0081270D"/>
    <w:rsid w:val="00812770"/>
    <w:rsid w:val="00812829"/>
    <w:rsid w:val="00812BF0"/>
    <w:rsid w:val="00813123"/>
    <w:rsid w:val="00813680"/>
    <w:rsid w:val="008136F4"/>
    <w:rsid w:val="00813E1C"/>
    <w:rsid w:val="00813E38"/>
    <w:rsid w:val="00814186"/>
    <w:rsid w:val="008141CF"/>
    <w:rsid w:val="008149F4"/>
    <w:rsid w:val="00814B9B"/>
    <w:rsid w:val="00814F2A"/>
    <w:rsid w:val="008154C1"/>
    <w:rsid w:val="0081642A"/>
    <w:rsid w:val="0081649B"/>
    <w:rsid w:val="00816678"/>
    <w:rsid w:val="0081690C"/>
    <w:rsid w:val="008169D6"/>
    <w:rsid w:val="00816D86"/>
    <w:rsid w:val="008172B9"/>
    <w:rsid w:val="008174F1"/>
    <w:rsid w:val="0081792A"/>
    <w:rsid w:val="00817A5B"/>
    <w:rsid w:val="00817D06"/>
    <w:rsid w:val="008200C8"/>
    <w:rsid w:val="00820843"/>
    <w:rsid w:val="008208BA"/>
    <w:rsid w:val="0082115C"/>
    <w:rsid w:val="008216A3"/>
    <w:rsid w:val="00821700"/>
    <w:rsid w:val="0082173F"/>
    <w:rsid w:val="00821C9C"/>
    <w:rsid w:val="00821D6C"/>
    <w:rsid w:val="0082206B"/>
    <w:rsid w:val="0082221B"/>
    <w:rsid w:val="008224CB"/>
    <w:rsid w:val="00822564"/>
    <w:rsid w:val="008226D1"/>
    <w:rsid w:val="0082311B"/>
    <w:rsid w:val="008231AC"/>
    <w:rsid w:val="00823456"/>
    <w:rsid w:val="0082357F"/>
    <w:rsid w:val="00823A72"/>
    <w:rsid w:val="00823B27"/>
    <w:rsid w:val="00823E31"/>
    <w:rsid w:val="00823E68"/>
    <w:rsid w:val="00823FD3"/>
    <w:rsid w:val="00823FE7"/>
    <w:rsid w:val="008240C3"/>
    <w:rsid w:val="008245E4"/>
    <w:rsid w:val="008246BB"/>
    <w:rsid w:val="0082509B"/>
    <w:rsid w:val="008254FD"/>
    <w:rsid w:val="008263E3"/>
    <w:rsid w:val="0082689E"/>
    <w:rsid w:val="008275E7"/>
    <w:rsid w:val="0082788A"/>
    <w:rsid w:val="00830100"/>
    <w:rsid w:val="00830216"/>
    <w:rsid w:val="00830E63"/>
    <w:rsid w:val="00831154"/>
    <w:rsid w:val="00831618"/>
    <w:rsid w:val="00832419"/>
    <w:rsid w:val="008324A7"/>
    <w:rsid w:val="00832B4F"/>
    <w:rsid w:val="00832EF9"/>
    <w:rsid w:val="00833181"/>
    <w:rsid w:val="008332B6"/>
    <w:rsid w:val="008332C7"/>
    <w:rsid w:val="008333BF"/>
    <w:rsid w:val="008333F9"/>
    <w:rsid w:val="0083363A"/>
    <w:rsid w:val="00833FC5"/>
    <w:rsid w:val="00834648"/>
    <w:rsid w:val="00834805"/>
    <w:rsid w:val="00834A1A"/>
    <w:rsid w:val="00834A87"/>
    <w:rsid w:val="00834A9D"/>
    <w:rsid w:val="00834C0F"/>
    <w:rsid w:val="008356A6"/>
    <w:rsid w:val="008356CD"/>
    <w:rsid w:val="00835F80"/>
    <w:rsid w:val="008368F2"/>
    <w:rsid w:val="00836A6F"/>
    <w:rsid w:val="00836B9B"/>
    <w:rsid w:val="008372B7"/>
    <w:rsid w:val="00837776"/>
    <w:rsid w:val="00837EE6"/>
    <w:rsid w:val="00840448"/>
    <w:rsid w:val="00840449"/>
    <w:rsid w:val="008405D0"/>
    <w:rsid w:val="00840D31"/>
    <w:rsid w:val="00840F39"/>
    <w:rsid w:val="0084221B"/>
    <w:rsid w:val="008423D6"/>
    <w:rsid w:val="00842CE1"/>
    <w:rsid w:val="00842CEB"/>
    <w:rsid w:val="00842D8B"/>
    <w:rsid w:val="00842E38"/>
    <w:rsid w:val="00843297"/>
    <w:rsid w:val="0084363C"/>
    <w:rsid w:val="008438C3"/>
    <w:rsid w:val="008439B3"/>
    <w:rsid w:val="00843D8D"/>
    <w:rsid w:val="00843E61"/>
    <w:rsid w:val="00843F96"/>
    <w:rsid w:val="00844462"/>
    <w:rsid w:val="00844C44"/>
    <w:rsid w:val="00844C94"/>
    <w:rsid w:val="00844D82"/>
    <w:rsid w:val="00845162"/>
    <w:rsid w:val="0084525C"/>
    <w:rsid w:val="008452BF"/>
    <w:rsid w:val="0084546E"/>
    <w:rsid w:val="00845790"/>
    <w:rsid w:val="008458FA"/>
    <w:rsid w:val="008464FE"/>
    <w:rsid w:val="008465AB"/>
    <w:rsid w:val="008469DE"/>
    <w:rsid w:val="00846B1F"/>
    <w:rsid w:val="00846D8B"/>
    <w:rsid w:val="00847707"/>
    <w:rsid w:val="00847E85"/>
    <w:rsid w:val="008503DA"/>
    <w:rsid w:val="00850518"/>
    <w:rsid w:val="00850D50"/>
    <w:rsid w:val="00850E79"/>
    <w:rsid w:val="00851002"/>
    <w:rsid w:val="00851548"/>
    <w:rsid w:val="00851587"/>
    <w:rsid w:val="008519E0"/>
    <w:rsid w:val="00851EFB"/>
    <w:rsid w:val="0085208D"/>
    <w:rsid w:val="00852323"/>
    <w:rsid w:val="00852646"/>
    <w:rsid w:val="00852AA4"/>
    <w:rsid w:val="00852BAD"/>
    <w:rsid w:val="0085310E"/>
    <w:rsid w:val="00853A8E"/>
    <w:rsid w:val="00854055"/>
    <w:rsid w:val="0085419F"/>
    <w:rsid w:val="0085520B"/>
    <w:rsid w:val="00855385"/>
    <w:rsid w:val="008555BE"/>
    <w:rsid w:val="0085571D"/>
    <w:rsid w:val="008557DB"/>
    <w:rsid w:val="008558F7"/>
    <w:rsid w:val="00855E15"/>
    <w:rsid w:val="00855F71"/>
    <w:rsid w:val="00856049"/>
    <w:rsid w:val="008564A1"/>
    <w:rsid w:val="008565A5"/>
    <w:rsid w:val="0085703C"/>
    <w:rsid w:val="00857279"/>
    <w:rsid w:val="0085775C"/>
    <w:rsid w:val="008577D2"/>
    <w:rsid w:val="008579E7"/>
    <w:rsid w:val="00857D0F"/>
    <w:rsid w:val="00857D1A"/>
    <w:rsid w:val="00860229"/>
    <w:rsid w:val="00860336"/>
    <w:rsid w:val="00860488"/>
    <w:rsid w:val="008604B8"/>
    <w:rsid w:val="008604D2"/>
    <w:rsid w:val="008604D9"/>
    <w:rsid w:val="0086054C"/>
    <w:rsid w:val="00860B5A"/>
    <w:rsid w:val="00860B7B"/>
    <w:rsid w:val="00860CAC"/>
    <w:rsid w:val="00860D0A"/>
    <w:rsid w:val="008610B4"/>
    <w:rsid w:val="00861A30"/>
    <w:rsid w:val="00861BB4"/>
    <w:rsid w:val="00861D0D"/>
    <w:rsid w:val="008623FE"/>
    <w:rsid w:val="008629ED"/>
    <w:rsid w:val="00862D17"/>
    <w:rsid w:val="008632C7"/>
    <w:rsid w:val="00863BD1"/>
    <w:rsid w:val="00863F64"/>
    <w:rsid w:val="00863FC6"/>
    <w:rsid w:val="00864236"/>
    <w:rsid w:val="00864AF5"/>
    <w:rsid w:val="00864F88"/>
    <w:rsid w:val="008660DA"/>
    <w:rsid w:val="00866C7A"/>
    <w:rsid w:val="00866D4A"/>
    <w:rsid w:val="00866F08"/>
    <w:rsid w:val="00866FEC"/>
    <w:rsid w:val="00867A6D"/>
    <w:rsid w:val="00867C96"/>
    <w:rsid w:val="00867E76"/>
    <w:rsid w:val="008701B9"/>
    <w:rsid w:val="00870707"/>
    <w:rsid w:val="0087087B"/>
    <w:rsid w:val="0087146B"/>
    <w:rsid w:val="00871510"/>
    <w:rsid w:val="008718A1"/>
    <w:rsid w:val="008719B0"/>
    <w:rsid w:val="00871B76"/>
    <w:rsid w:val="008720E3"/>
    <w:rsid w:val="0087220A"/>
    <w:rsid w:val="00872343"/>
    <w:rsid w:val="00872673"/>
    <w:rsid w:val="0087279D"/>
    <w:rsid w:val="00872CB5"/>
    <w:rsid w:val="00872E60"/>
    <w:rsid w:val="00872EBF"/>
    <w:rsid w:val="00873087"/>
    <w:rsid w:val="008731CA"/>
    <w:rsid w:val="008734AA"/>
    <w:rsid w:val="00873E3E"/>
    <w:rsid w:val="00873FDC"/>
    <w:rsid w:val="008742CB"/>
    <w:rsid w:val="00874A88"/>
    <w:rsid w:val="00874D2E"/>
    <w:rsid w:val="00874E87"/>
    <w:rsid w:val="00874E9E"/>
    <w:rsid w:val="00874F0F"/>
    <w:rsid w:val="008755EF"/>
    <w:rsid w:val="00875911"/>
    <w:rsid w:val="00875AB2"/>
    <w:rsid w:val="00875B9D"/>
    <w:rsid w:val="00875E96"/>
    <w:rsid w:val="00876A11"/>
    <w:rsid w:val="00876EF2"/>
    <w:rsid w:val="00877167"/>
    <w:rsid w:val="00877893"/>
    <w:rsid w:val="00877B45"/>
    <w:rsid w:val="00877BBB"/>
    <w:rsid w:val="0088053A"/>
    <w:rsid w:val="008805FD"/>
    <w:rsid w:val="0088079B"/>
    <w:rsid w:val="008809E5"/>
    <w:rsid w:val="00880B3F"/>
    <w:rsid w:val="00880C07"/>
    <w:rsid w:val="008810A4"/>
    <w:rsid w:val="008812BE"/>
    <w:rsid w:val="00881879"/>
    <w:rsid w:val="0088199F"/>
    <w:rsid w:val="00881C1D"/>
    <w:rsid w:val="00882583"/>
    <w:rsid w:val="008826C4"/>
    <w:rsid w:val="008828A9"/>
    <w:rsid w:val="00883114"/>
    <w:rsid w:val="008833A2"/>
    <w:rsid w:val="00883CC6"/>
    <w:rsid w:val="00883DD7"/>
    <w:rsid w:val="00883E63"/>
    <w:rsid w:val="008843C3"/>
    <w:rsid w:val="00884865"/>
    <w:rsid w:val="00884D97"/>
    <w:rsid w:val="00885390"/>
    <w:rsid w:val="00885572"/>
    <w:rsid w:val="00885713"/>
    <w:rsid w:val="00885995"/>
    <w:rsid w:val="00885A72"/>
    <w:rsid w:val="00885AE6"/>
    <w:rsid w:val="00885D73"/>
    <w:rsid w:val="00886133"/>
    <w:rsid w:val="00886B74"/>
    <w:rsid w:val="00886E58"/>
    <w:rsid w:val="00887163"/>
    <w:rsid w:val="00887290"/>
    <w:rsid w:val="008876A6"/>
    <w:rsid w:val="00887A39"/>
    <w:rsid w:val="00890765"/>
    <w:rsid w:val="00890911"/>
    <w:rsid w:val="00890B06"/>
    <w:rsid w:val="00890BC9"/>
    <w:rsid w:val="00891079"/>
    <w:rsid w:val="008911DB"/>
    <w:rsid w:val="008914EC"/>
    <w:rsid w:val="00891E65"/>
    <w:rsid w:val="00891E93"/>
    <w:rsid w:val="00892302"/>
    <w:rsid w:val="008926A8"/>
    <w:rsid w:val="008926C8"/>
    <w:rsid w:val="0089292C"/>
    <w:rsid w:val="00892C7D"/>
    <w:rsid w:val="00893169"/>
    <w:rsid w:val="00893209"/>
    <w:rsid w:val="0089359A"/>
    <w:rsid w:val="00893F71"/>
    <w:rsid w:val="00893FA4"/>
    <w:rsid w:val="00894B75"/>
    <w:rsid w:val="00894C4D"/>
    <w:rsid w:val="00894C7E"/>
    <w:rsid w:val="0089506B"/>
    <w:rsid w:val="00895236"/>
    <w:rsid w:val="008953C8"/>
    <w:rsid w:val="00895608"/>
    <w:rsid w:val="00895F72"/>
    <w:rsid w:val="00895F99"/>
    <w:rsid w:val="00895FC3"/>
    <w:rsid w:val="00896364"/>
    <w:rsid w:val="00896384"/>
    <w:rsid w:val="00896E91"/>
    <w:rsid w:val="008976B3"/>
    <w:rsid w:val="0089770B"/>
    <w:rsid w:val="008A0045"/>
    <w:rsid w:val="008A010D"/>
    <w:rsid w:val="008A0AAE"/>
    <w:rsid w:val="008A0ED8"/>
    <w:rsid w:val="008A1383"/>
    <w:rsid w:val="008A16B2"/>
    <w:rsid w:val="008A1926"/>
    <w:rsid w:val="008A1E91"/>
    <w:rsid w:val="008A303D"/>
    <w:rsid w:val="008A3568"/>
    <w:rsid w:val="008A3609"/>
    <w:rsid w:val="008A361C"/>
    <w:rsid w:val="008A3667"/>
    <w:rsid w:val="008A37EA"/>
    <w:rsid w:val="008A3B05"/>
    <w:rsid w:val="008A3DD7"/>
    <w:rsid w:val="008A41EF"/>
    <w:rsid w:val="008A43C0"/>
    <w:rsid w:val="008A457B"/>
    <w:rsid w:val="008A4A49"/>
    <w:rsid w:val="008A4CB3"/>
    <w:rsid w:val="008A4D75"/>
    <w:rsid w:val="008A53A6"/>
    <w:rsid w:val="008A54D7"/>
    <w:rsid w:val="008A56F3"/>
    <w:rsid w:val="008A5B27"/>
    <w:rsid w:val="008A5B8E"/>
    <w:rsid w:val="008A6209"/>
    <w:rsid w:val="008A63AD"/>
    <w:rsid w:val="008A6606"/>
    <w:rsid w:val="008A66E7"/>
    <w:rsid w:val="008A6A25"/>
    <w:rsid w:val="008A6B7C"/>
    <w:rsid w:val="008A7416"/>
    <w:rsid w:val="008A7FBA"/>
    <w:rsid w:val="008B0212"/>
    <w:rsid w:val="008B029A"/>
    <w:rsid w:val="008B1499"/>
    <w:rsid w:val="008B1699"/>
    <w:rsid w:val="008B1D0A"/>
    <w:rsid w:val="008B234E"/>
    <w:rsid w:val="008B2DB0"/>
    <w:rsid w:val="008B33E6"/>
    <w:rsid w:val="008B35B8"/>
    <w:rsid w:val="008B417B"/>
    <w:rsid w:val="008B4541"/>
    <w:rsid w:val="008B4C4F"/>
    <w:rsid w:val="008B4C99"/>
    <w:rsid w:val="008B4F64"/>
    <w:rsid w:val="008B5091"/>
    <w:rsid w:val="008B58F6"/>
    <w:rsid w:val="008B5A18"/>
    <w:rsid w:val="008B5C2C"/>
    <w:rsid w:val="008B62C7"/>
    <w:rsid w:val="008B6420"/>
    <w:rsid w:val="008B64D2"/>
    <w:rsid w:val="008B6AEF"/>
    <w:rsid w:val="008B6D4D"/>
    <w:rsid w:val="008B7845"/>
    <w:rsid w:val="008B7D5D"/>
    <w:rsid w:val="008B7F86"/>
    <w:rsid w:val="008C0022"/>
    <w:rsid w:val="008C0BCF"/>
    <w:rsid w:val="008C1A52"/>
    <w:rsid w:val="008C1AAE"/>
    <w:rsid w:val="008C1E50"/>
    <w:rsid w:val="008C203D"/>
    <w:rsid w:val="008C2329"/>
    <w:rsid w:val="008C2AD7"/>
    <w:rsid w:val="008C2D38"/>
    <w:rsid w:val="008C319F"/>
    <w:rsid w:val="008C3275"/>
    <w:rsid w:val="008C3E09"/>
    <w:rsid w:val="008C411A"/>
    <w:rsid w:val="008C43E1"/>
    <w:rsid w:val="008C44DA"/>
    <w:rsid w:val="008C4F90"/>
    <w:rsid w:val="008C5565"/>
    <w:rsid w:val="008C55FC"/>
    <w:rsid w:val="008C5719"/>
    <w:rsid w:val="008C5744"/>
    <w:rsid w:val="008C5A23"/>
    <w:rsid w:val="008C5C93"/>
    <w:rsid w:val="008C5FB2"/>
    <w:rsid w:val="008C5FFB"/>
    <w:rsid w:val="008C6392"/>
    <w:rsid w:val="008C6592"/>
    <w:rsid w:val="008C6B4F"/>
    <w:rsid w:val="008C7657"/>
    <w:rsid w:val="008C76E1"/>
    <w:rsid w:val="008D0067"/>
    <w:rsid w:val="008D03E4"/>
    <w:rsid w:val="008D0434"/>
    <w:rsid w:val="008D06CA"/>
    <w:rsid w:val="008D0D17"/>
    <w:rsid w:val="008D0D8D"/>
    <w:rsid w:val="008D0F6F"/>
    <w:rsid w:val="008D1024"/>
    <w:rsid w:val="008D1398"/>
    <w:rsid w:val="008D15A2"/>
    <w:rsid w:val="008D1BFA"/>
    <w:rsid w:val="008D1D5F"/>
    <w:rsid w:val="008D1F62"/>
    <w:rsid w:val="008D236D"/>
    <w:rsid w:val="008D2653"/>
    <w:rsid w:val="008D2853"/>
    <w:rsid w:val="008D34A7"/>
    <w:rsid w:val="008D3832"/>
    <w:rsid w:val="008D38D8"/>
    <w:rsid w:val="008D4630"/>
    <w:rsid w:val="008D4A99"/>
    <w:rsid w:val="008D4F42"/>
    <w:rsid w:val="008D4FB8"/>
    <w:rsid w:val="008D541E"/>
    <w:rsid w:val="008D5596"/>
    <w:rsid w:val="008D5770"/>
    <w:rsid w:val="008D58A7"/>
    <w:rsid w:val="008D5ABA"/>
    <w:rsid w:val="008D5F47"/>
    <w:rsid w:val="008D6340"/>
    <w:rsid w:val="008D6E38"/>
    <w:rsid w:val="008D7445"/>
    <w:rsid w:val="008D74F7"/>
    <w:rsid w:val="008D7659"/>
    <w:rsid w:val="008D7679"/>
    <w:rsid w:val="008D784F"/>
    <w:rsid w:val="008D7A22"/>
    <w:rsid w:val="008D7A9A"/>
    <w:rsid w:val="008E02B2"/>
    <w:rsid w:val="008E0676"/>
    <w:rsid w:val="008E0753"/>
    <w:rsid w:val="008E0E16"/>
    <w:rsid w:val="008E1086"/>
    <w:rsid w:val="008E1379"/>
    <w:rsid w:val="008E1996"/>
    <w:rsid w:val="008E1BDD"/>
    <w:rsid w:val="008E2060"/>
    <w:rsid w:val="008E22DB"/>
    <w:rsid w:val="008E267A"/>
    <w:rsid w:val="008E29AB"/>
    <w:rsid w:val="008E2AAE"/>
    <w:rsid w:val="008E2F45"/>
    <w:rsid w:val="008E3855"/>
    <w:rsid w:val="008E3D9D"/>
    <w:rsid w:val="008E3DEA"/>
    <w:rsid w:val="008E4100"/>
    <w:rsid w:val="008E433E"/>
    <w:rsid w:val="008E4508"/>
    <w:rsid w:val="008E452D"/>
    <w:rsid w:val="008E4908"/>
    <w:rsid w:val="008E4D2B"/>
    <w:rsid w:val="008E4D2C"/>
    <w:rsid w:val="008E518D"/>
    <w:rsid w:val="008E5763"/>
    <w:rsid w:val="008E57D7"/>
    <w:rsid w:val="008E5858"/>
    <w:rsid w:val="008E58F2"/>
    <w:rsid w:val="008E5A28"/>
    <w:rsid w:val="008E5A5D"/>
    <w:rsid w:val="008E5D8B"/>
    <w:rsid w:val="008E5F87"/>
    <w:rsid w:val="008E6110"/>
    <w:rsid w:val="008E65EE"/>
    <w:rsid w:val="008E671F"/>
    <w:rsid w:val="008E692D"/>
    <w:rsid w:val="008E6CFC"/>
    <w:rsid w:val="008E766D"/>
    <w:rsid w:val="008E77DE"/>
    <w:rsid w:val="008E788A"/>
    <w:rsid w:val="008E7C11"/>
    <w:rsid w:val="008F010E"/>
    <w:rsid w:val="008F059D"/>
    <w:rsid w:val="008F064C"/>
    <w:rsid w:val="008F09B0"/>
    <w:rsid w:val="008F1270"/>
    <w:rsid w:val="008F1E55"/>
    <w:rsid w:val="008F24BD"/>
    <w:rsid w:val="008F2656"/>
    <w:rsid w:val="008F2996"/>
    <w:rsid w:val="008F2BD5"/>
    <w:rsid w:val="008F2D32"/>
    <w:rsid w:val="008F2F7F"/>
    <w:rsid w:val="008F3005"/>
    <w:rsid w:val="008F3029"/>
    <w:rsid w:val="008F32A5"/>
    <w:rsid w:val="008F3384"/>
    <w:rsid w:val="008F33A2"/>
    <w:rsid w:val="008F354C"/>
    <w:rsid w:val="008F37AA"/>
    <w:rsid w:val="008F3B53"/>
    <w:rsid w:val="008F4122"/>
    <w:rsid w:val="008F47C2"/>
    <w:rsid w:val="008F49FE"/>
    <w:rsid w:val="008F4E72"/>
    <w:rsid w:val="008F514E"/>
    <w:rsid w:val="008F5359"/>
    <w:rsid w:val="008F53E0"/>
    <w:rsid w:val="008F56B6"/>
    <w:rsid w:val="008F56E5"/>
    <w:rsid w:val="008F5BD1"/>
    <w:rsid w:val="008F5DC1"/>
    <w:rsid w:val="008F5E95"/>
    <w:rsid w:val="008F619E"/>
    <w:rsid w:val="008F6369"/>
    <w:rsid w:val="008F66EB"/>
    <w:rsid w:val="008F6905"/>
    <w:rsid w:val="008F6924"/>
    <w:rsid w:val="008F6C45"/>
    <w:rsid w:val="008F6C8C"/>
    <w:rsid w:val="008F6F48"/>
    <w:rsid w:val="008F700C"/>
    <w:rsid w:val="008F702B"/>
    <w:rsid w:val="008F72CD"/>
    <w:rsid w:val="008F7639"/>
    <w:rsid w:val="008F7D4F"/>
    <w:rsid w:val="0090051A"/>
    <w:rsid w:val="009008E3"/>
    <w:rsid w:val="00900DF8"/>
    <w:rsid w:val="009012E0"/>
    <w:rsid w:val="00901780"/>
    <w:rsid w:val="0090185F"/>
    <w:rsid w:val="009018BA"/>
    <w:rsid w:val="00901D2A"/>
    <w:rsid w:val="009025F5"/>
    <w:rsid w:val="00902CD4"/>
    <w:rsid w:val="0090305B"/>
    <w:rsid w:val="0090309A"/>
    <w:rsid w:val="00903255"/>
    <w:rsid w:val="00903596"/>
    <w:rsid w:val="009037E4"/>
    <w:rsid w:val="00903AB4"/>
    <w:rsid w:val="00903D31"/>
    <w:rsid w:val="00904471"/>
    <w:rsid w:val="009044B6"/>
    <w:rsid w:val="00904918"/>
    <w:rsid w:val="0090553A"/>
    <w:rsid w:val="00905618"/>
    <w:rsid w:val="009057DD"/>
    <w:rsid w:val="00905B83"/>
    <w:rsid w:val="00905CB6"/>
    <w:rsid w:val="00905D4E"/>
    <w:rsid w:val="009064EE"/>
    <w:rsid w:val="00906B30"/>
    <w:rsid w:val="00906D3D"/>
    <w:rsid w:val="0090797F"/>
    <w:rsid w:val="00907A92"/>
    <w:rsid w:val="00907D27"/>
    <w:rsid w:val="0091039E"/>
    <w:rsid w:val="009104EE"/>
    <w:rsid w:val="00910606"/>
    <w:rsid w:val="00910744"/>
    <w:rsid w:val="0091092C"/>
    <w:rsid w:val="00910ACC"/>
    <w:rsid w:val="00910AF4"/>
    <w:rsid w:val="00910F43"/>
    <w:rsid w:val="009119D0"/>
    <w:rsid w:val="00911A11"/>
    <w:rsid w:val="009121CF"/>
    <w:rsid w:val="009121FD"/>
    <w:rsid w:val="0091258A"/>
    <w:rsid w:val="0091308E"/>
    <w:rsid w:val="00913329"/>
    <w:rsid w:val="009137DD"/>
    <w:rsid w:val="00913B92"/>
    <w:rsid w:val="00913C21"/>
    <w:rsid w:val="00913F03"/>
    <w:rsid w:val="00914797"/>
    <w:rsid w:val="0091496B"/>
    <w:rsid w:val="00914AD6"/>
    <w:rsid w:val="00914CD1"/>
    <w:rsid w:val="0091515A"/>
    <w:rsid w:val="009154E4"/>
    <w:rsid w:val="0091566C"/>
    <w:rsid w:val="009157D1"/>
    <w:rsid w:val="00915DA3"/>
    <w:rsid w:val="00915F58"/>
    <w:rsid w:val="009161A1"/>
    <w:rsid w:val="009161E7"/>
    <w:rsid w:val="0091628C"/>
    <w:rsid w:val="00916499"/>
    <w:rsid w:val="00916690"/>
    <w:rsid w:val="00916CF1"/>
    <w:rsid w:val="009178D6"/>
    <w:rsid w:val="00917F4A"/>
    <w:rsid w:val="009200BF"/>
    <w:rsid w:val="00920698"/>
    <w:rsid w:val="009206C0"/>
    <w:rsid w:val="009211E7"/>
    <w:rsid w:val="009214C7"/>
    <w:rsid w:val="0092164B"/>
    <w:rsid w:val="009217B0"/>
    <w:rsid w:val="00921A09"/>
    <w:rsid w:val="009224B6"/>
    <w:rsid w:val="00922736"/>
    <w:rsid w:val="00922DA3"/>
    <w:rsid w:val="009231D1"/>
    <w:rsid w:val="00923201"/>
    <w:rsid w:val="00923487"/>
    <w:rsid w:val="0092392F"/>
    <w:rsid w:val="0092407C"/>
    <w:rsid w:val="009241D1"/>
    <w:rsid w:val="0092426E"/>
    <w:rsid w:val="009244B3"/>
    <w:rsid w:val="00924735"/>
    <w:rsid w:val="00924AA3"/>
    <w:rsid w:val="00925EDB"/>
    <w:rsid w:val="00926782"/>
    <w:rsid w:val="00926879"/>
    <w:rsid w:val="00926CBF"/>
    <w:rsid w:val="00926D45"/>
    <w:rsid w:val="0092724C"/>
    <w:rsid w:val="009273B0"/>
    <w:rsid w:val="00927A9A"/>
    <w:rsid w:val="00927D41"/>
    <w:rsid w:val="00930135"/>
    <w:rsid w:val="00930BEA"/>
    <w:rsid w:val="00930F66"/>
    <w:rsid w:val="00930FBD"/>
    <w:rsid w:val="0093124E"/>
    <w:rsid w:val="009317A9"/>
    <w:rsid w:val="00931F0C"/>
    <w:rsid w:val="00931F6A"/>
    <w:rsid w:val="0093272B"/>
    <w:rsid w:val="00933865"/>
    <w:rsid w:val="00933E1D"/>
    <w:rsid w:val="00933E5A"/>
    <w:rsid w:val="0093476D"/>
    <w:rsid w:val="00934A3F"/>
    <w:rsid w:val="00934BCE"/>
    <w:rsid w:val="00934FD1"/>
    <w:rsid w:val="0093552B"/>
    <w:rsid w:val="00935A98"/>
    <w:rsid w:val="00935F99"/>
    <w:rsid w:val="0093638D"/>
    <w:rsid w:val="00936490"/>
    <w:rsid w:val="0093683D"/>
    <w:rsid w:val="00936880"/>
    <w:rsid w:val="009369A2"/>
    <w:rsid w:val="009371E0"/>
    <w:rsid w:val="009374B2"/>
    <w:rsid w:val="00937632"/>
    <w:rsid w:val="009379A4"/>
    <w:rsid w:val="00937CBF"/>
    <w:rsid w:val="009401F9"/>
    <w:rsid w:val="00940510"/>
    <w:rsid w:val="0094053F"/>
    <w:rsid w:val="009405D9"/>
    <w:rsid w:val="00941296"/>
    <w:rsid w:val="00941358"/>
    <w:rsid w:val="00941724"/>
    <w:rsid w:val="009421CE"/>
    <w:rsid w:val="00942C32"/>
    <w:rsid w:val="0094300A"/>
    <w:rsid w:val="00943149"/>
    <w:rsid w:val="0094372F"/>
    <w:rsid w:val="00943C3B"/>
    <w:rsid w:val="00943C85"/>
    <w:rsid w:val="00944231"/>
    <w:rsid w:val="00944849"/>
    <w:rsid w:val="009449F3"/>
    <w:rsid w:val="00944B0C"/>
    <w:rsid w:val="00944E38"/>
    <w:rsid w:val="00944FB2"/>
    <w:rsid w:val="00945035"/>
    <w:rsid w:val="00945161"/>
    <w:rsid w:val="00945487"/>
    <w:rsid w:val="009457C7"/>
    <w:rsid w:val="00945A09"/>
    <w:rsid w:val="00945BF5"/>
    <w:rsid w:val="00945FCE"/>
    <w:rsid w:val="00946011"/>
    <w:rsid w:val="00946473"/>
    <w:rsid w:val="0094705C"/>
    <w:rsid w:val="009476BA"/>
    <w:rsid w:val="00947A4C"/>
    <w:rsid w:val="00950251"/>
    <w:rsid w:val="0095079B"/>
    <w:rsid w:val="00950897"/>
    <w:rsid w:val="00950AFA"/>
    <w:rsid w:val="0095142C"/>
    <w:rsid w:val="00951452"/>
    <w:rsid w:val="0095219B"/>
    <w:rsid w:val="00952272"/>
    <w:rsid w:val="009526CA"/>
    <w:rsid w:val="00952C61"/>
    <w:rsid w:val="009532D0"/>
    <w:rsid w:val="00953890"/>
    <w:rsid w:val="009540F9"/>
    <w:rsid w:val="00954192"/>
    <w:rsid w:val="00954939"/>
    <w:rsid w:val="0095555A"/>
    <w:rsid w:val="00955700"/>
    <w:rsid w:val="00955806"/>
    <w:rsid w:val="00955A2A"/>
    <w:rsid w:val="00955CA2"/>
    <w:rsid w:val="00955FB8"/>
    <w:rsid w:val="009560B2"/>
    <w:rsid w:val="009563C0"/>
    <w:rsid w:val="009563FE"/>
    <w:rsid w:val="0095670F"/>
    <w:rsid w:val="00956785"/>
    <w:rsid w:val="00956EB6"/>
    <w:rsid w:val="00956F31"/>
    <w:rsid w:val="00957051"/>
    <w:rsid w:val="009573DD"/>
    <w:rsid w:val="0095757F"/>
    <w:rsid w:val="00957EB0"/>
    <w:rsid w:val="0096021C"/>
    <w:rsid w:val="00960233"/>
    <w:rsid w:val="009603CA"/>
    <w:rsid w:val="00960812"/>
    <w:rsid w:val="00961463"/>
    <w:rsid w:val="009616F3"/>
    <w:rsid w:val="0096345E"/>
    <w:rsid w:val="00963D4B"/>
    <w:rsid w:val="009644B5"/>
    <w:rsid w:val="009649BC"/>
    <w:rsid w:val="00964B9A"/>
    <w:rsid w:val="0096523C"/>
    <w:rsid w:val="00965309"/>
    <w:rsid w:val="00965606"/>
    <w:rsid w:val="0096572D"/>
    <w:rsid w:val="00965806"/>
    <w:rsid w:val="0096594D"/>
    <w:rsid w:val="00965C31"/>
    <w:rsid w:val="00966346"/>
    <w:rsid w:val="00966388"/>
    <w:rsid w:val="0096673F"/>
    <w:rsid w:val="00966796"/>
    <w:rsid w:val="00966CC2"/>
    <w:rsid w:val="00967A1E"/>
    <w:rsid w:val="00967B67"/>
    <w:rsid w:val="00967C60"/>
    <w:rsid w:val="00967D59"/>
    <w:rsid w:val="00970608"/>
    <w:rsid w:val="0097097C"/>
    <w:rsid w:val="00970C73"/>
    <w:rsid w:val="00970E33"/>
    <w:rsid w:val="009718E4"/>
    <w:rsid w:val="00971A9A"/>
    <w:rsid w:val="00971AC3"/>
    <w:rsid w:val="0097206B"/>
    <w:rsid w:val="009720F4"/>
    <w:rsid w:val="009721BF"/>
    <w:rsid w:val="00972AA0"/>
    <w:rsid w:val="0097309F"/>
    <w:rsid w:val="009735B4"/>
    <w:rsid w:val="0097366A"/>
    <w:rsid w:val="00973DB2"/>
    <w:rsid w:val="00973E4A"/>
    <w:rsid w:val="00973F91"/>
    <w:rsid w:val="00974232"/>
    <w:rsid w:val="0097451A"/>
    <w:rsid w:val="0097504F"/>
    <w:rsid w:val="00975593"/>
    <w:rsid w:val="00975ADF"/>
    <w:rsid w:val="00975B07"/>
    <w:rsid w:val="00975C3C"/>
    <w:rsid w:val="00975EC9"/>
    <w:rsid w:val="009768C7"/>
    <w:rsid w:val="00976AF8"/>
    <w:rsid w:val="00976E11"/>
    <w:rsid w:val="00977103"/>
    <w:rsid w:val="009772EE"/>
    <w:rsid w:val="0097738F"/>
    <w:rsid w:val="00977AFB"/>
    <w:rsid w:val="009812AD"/>
    <w:rsid w:val="00981453"/>
    <w:rsid w:val="009815ED"/>
    <w:rsid w:val="00981855"/>
    <w:rsid w:val="00981DD3"/>
    <w:rsid w:val="00981EA6"/>
    <w:rsid w:val="0098225D"/>
    <w:rsid w:val="009824EF"/>
    <w:rsid w:val="00982C4D"/>
    <w:rsid w:val="0098330E"/>
    <w:rsid w:val="00983B60"/>
    <w:rsid w:val="00983F21"/>
    <w:rsid w:val="009845E2"/>
    <w:rsid w:val="00984625"/>
    <w:rsid w:val="00984700"/>
    <w:rsid w:val="00984A9A"/>
    <w:rsid w:val="00984C77"/>
    <w:rsid w:val="009850F0"/>
    <w:rsid w:val="009851BE"/>
    <w:rsid w:val="00985252"/>
    <w:rsid w:val="00985363"/>
    <w:rsid w:val="009855AD"/>
    <w:rsid w:val="009861E5"/>
    <w:rsid w:val="009862FD"/>
    <w:rsid w:val="0098666E"/>
    <w:rsid w:val="00986D88"/>
    <w:rsid w:val="00986F88"/>
    <w:rsid w:val="00987052"/>
    <w:rsid w:val="0098710C"/>
    <w:rsid w:val="00987248"/>
    <w:rsid w:val="00987630"/>
    <w:rsid w:val="00987764"/>
    <w:rsid w:val="009878E8"/>
    <w:rsid w:val="00987CCA"/>
    <w:rsid w:val="00990255"/>
    <w:rsid w:val="0099049E"/>
    <w:rsid w:val="00990658"/>
    <w:rsid w:val="00991A79"/>
    <w:rsid w:val="00991E6B"/>
    <w:rsid w:val="00991ECE"/>
    <w:rsid w:val="00992335"/>
    <w:rsid w:val="00992E23"/>
    <w:rsid w:val="00992FF5"/>
    <w:rsid w:val="009930FC"/>
    <w:rsid w:val="009933FF"/>
    <w:rsid w:val="00993445"/>
    <w:rsid w:val="00993C01"/>
    <w:rsid w:val="00993CA2"/>
    <w:rsid w:val="00994760"/>
    <w:rsid w:val="00994C61"/>
    <w:rsid w:val="00994DB7"/>
    <w:rsid w:val="0099508C"/>
    <w:rsid w:val="00995494"/>
    <w:rsid w:val="0099565E"/>
    <w:rsid w:val="009959E0"/>
    <w:rsid w:val="00995AA1"/>
    <w:rsid w:val="00996113"/>
    <w:rsid w:val="009966BA"/>
    <w:rsid w:val="0099740A"/>
    <w:rsid w:val="00997686"/>
    <w:rsid w:val="009979D4"/>
    <w:rsid w:val="00997F58"/>
    <w:rsid w:val="009A0465"/>
    <w:rsid w:val="009A04BC"/>
    <w:rsid w:val="009A0C07"/>
    <w:rsid w:val="009A1184"/>
    <w:rsid w:val="009A1479"/>
    <w:rsid w:val="009A15FF"/>
    <w:rsid w:val="009A1C40"/>
    <w:rsid w:val="009A1DD2"/>
    <w:rsid w:val="009A1E7D"/>
    <w:rsid w:val="009A1F81"/>
    <w:rsid w:val="009A2329"/>
    <w:rsid w:val="009A2C71"/>
    <w:rsid w:val="009A2DA7"/>
    <w:rsid w:val="009A2DB2"/>
    <w:rsid w:val="009A2F85"/>
    <w:rsid w:val="009A3603"/>
    <w:rsid w:val="009A3677"/>
    <w:rsid w:val="009A3D53"/>
    <w:rsid w:val="009A40AC"/>
    <w:rsid w:val="009A435A"/>
    <w:rsid w:val="009A4716"/>
    <w:rsid w:val="009A4831"/>
    <w:rsid w:val="009A547B"/>
    <w:rsid w:val="009A563C"/>
    <w:rsid w:val="009A5830"/>
    <w:rsid w:val="009A5C7C"/>
    <w:rsid w:val="009A62C4"/>
    <w:rsid w:val="009A6410"/>
    <w:rsid w:val="009A6732"/>
    <w:rsid w:val="009A6836"/>
    <w:rsid w:val="009A6C82"/>
    <w:rsid w:val="009A6E92"/>
    <w:rsid w:val="009A714F"/>
    <w:rsid w:val="009B00E4"/>
    <w:rsid w:val="009B02AB"/>
    <w:rsid w:val="009B0701"/>
    <w:rsid w:val="009B1D25"/>
    <w:rsid w:val="009B1E2A"/>
    <w:rsid w:val="009B1F44"/>
    <w:rsid w:val="009B2010"/>
    <w:rsid w:val="009B216C"/>
    <w:rsid w:val="009B2AFD"/>
    <w:rsid w:val="009B2FA8"/>
    <w:rsid w:val="009B3145"/>
    <w:rsid w:val="009B3825"/>
    <w:rsid w:val="009B4288"/>
    <w:rsid w:val="009B4438"/>
    <w:rsid w:val="009B4602"/>
    <w:rsid w:val="009B47C2"/>
    <w:rsid w:val="009B4892"/>
    <w:rsid w:val="009B490C"/>
    <w:rsid w:val="009B4D3B"/>
    <w:rsid w:val="009B4D43"/>
    <w:rsid w:val="009B4EFD"/>
    <w:rsid w:val="009B5096"/>
    <w:rsid w:val="009B54F9"/>
    <w:rsid w:val="009B559F"/>
    <w:rsid w:val="009B5CB6"/>
    <w:rsid w:val="009B5DD0"/>
    <w:rsid w:val="009B6020"/>
    <w:rsid w:val="009B64EB"/>
    <w:rsid w:val="009B6B1D"/>
    <w:rsid w:val="009B6B94"/>
    <w:rsid w:val="009B6C51"/>
    <w:rsid w:val="009B7518"/>
    <w:rsid w:val="009B75BD"/>
    <w:rsid w:val="009B763A"/>
    <w:rsid w:val="009B78EB"/>
    <w:rsid w:val="009B7FA8"/>
    <w:rsid w:val="009C007F"/>
    <w:rsid w:val="009C02D1"/>
    <w:rsid w:val="009C077E"/>
    <w:rsid w:val="009C096D"/>
    <w:rsid w:val="009C189C"/>
    <w:rsid w:val="009C19EF"/>
    <w:rsid w:val="009C1DD4"/>
    <w:rsid w:val="009C224D"/>
    <w:rsid w:val="009C25BF"/>
    <w:rsid w:val="009C2916"/>
    <w:rsid w:val="009C2F94"/>
    <w:rsid w:val="009C2FE6"/>
    <w:rsid w:val="009C3190"/>
    <w:rsid w:val="009C3CA7"/>
    <w:rsid w:val="009C3E9A"/>
    <w:rsid w:val="009C40A3"/>
    <w:rsid w:val="009C4304"/>
    <w:rsid w:val="009C4883"/>
    <w:rsid w:val="009C48FA"/>
    <w:rsid w:val="009C4BE3"/>
    <w:rsid w:val="009C4BEF"/>
    <w:rsid w:val="009C4E51"/>
    <w:rsid w:val="009C4E5B"/>
    <w:rsid w:val="009C5AD7"/>
    <w:rsid w:val="009C5BEA"/>
    <w:rsid w:val="009C5EA5"/>
    <w:rsid w:val="009C64F5"/>
    <w:rsid w:val="009C6A31"/>
    <w:rsid w:val="009C73C7"/>
    <w:rsid w:val="009C768D"/>
    <w:rsid w:val="009C7BAE"/>
    <w:rsid w:val="009C7BF4"/>
    <w:rsid w:val="009D01E8"/>
    <w:rsid w:val="009D0982"/>
    <w:rsid w:val="009D0BB0"/>
    <w:rsid w:val="009D0D80"/>
    <w:rsid w:val="009D11A9"/>
    <w:rsid w:val="009D129D"/>
    <w:rsid w:val="009D132B"/>
    <w:rsid w:val="009D1679"/>
    <w:rsid w:val="009D1835"/>
    <w:rsid w:val="009D1DC3"/>
    <w:rsid w:val="009D2183"/>
    <w:rsid w:val="009D23A0"/>
    <w:rsid w:val="009D2644"/>
    <w:rsid w:val="009D2D17"/>
    <w:rsid w:val="009D37D3"/>
    <w:rsid w:val="009D3A2E"/>
    <w:rsid w:val="009D3A68"/>
    <w:rsid w:val="009D3DB3"/>
    <w:rsid w:val="009D46AB"/>
    <w:rsid w:val="009D475D"/>
    <w:rsid w:val="009D4815"/>
    <w:rsid w:val="009D4A50"/>
    <w:rsid w:val="009D4A74"/>
    <w:rsid w:val="009D4B71"/>
    <w:rsid w:val="009D4EB9"/>
    <w:rsid w:val="009D5530"/>
    <w:rsid w:val="009D5707"/>
    <w:rsid w:val="009D5B48"/>
    <w:rsid w:val="009D5EEB"/>
    <w:rsid w:val="009D6096"/>
    <w:rsid w:val="009D643B"/>
    <w:rsid w:val="009D6463"/>
    <w:rsid w:val="009D6497"/>
    <w:rsid w:val="009D7228"/>
    <w:rsid w:val="009D7272"/>
    <w:rsid w:val="009D7407"/>
    <w:rsid w:val="009D779A"/>
    <w:rsid w:val="009D7857"/>
    <w:rsid w:val="009D7AF3"/>
    <w:rsid w:val="009D7EC4"/>
    <w:rsid w:val="009E0063"/>
    <w:rsid w:val="009E01B5"/>
    <w:rsid w:val="009E0245"/>
    <w:rsid w:val="009E0866"/>
    <w:rsid w:val="009E0C43"/>
    <w:rsid w:val="009E1616"/>
    <w:rsid w:val="009E1A07"/>
    <w:rsid w:val="009E2406"/>
    <w:rsid w:val="009E250C"/>
    <w:rsid w:val="009E2937"/>
    <w:rsid w:val="009E3592"/>
    <w:rsid w:val="009E379C"/>
    <w:rsid w:val="009E4002"/>
    <w:rsid w:val="009E41C2"/>
    <w:rsid w:val="009E4311"/>
    <w:rsid w:val="009E475B"/>
    <w:rsid w:val="009E4F1B"/>
    <w:rsid w:val="009E5D56"/>
    <w:rsid w:val="009E6174"/>
    <w:rsid w:val="009E68F8"/>
    <w:rsid w:val="009E7064"/>
    <w:rsid w:val="009F0158"/>
    <w:rsid w:val="009F02CA"/>
    <w:rsid w:val="009F0EE4"/>
    <w:rsid w:val="009F1867"/>
    <w:rsid w:val="009F203F"/>
    <w:rsid w:val="009F20EC"/>
    <w:rsid w:val="009F2302"/>
    <w:rsid w:val="009F3A02"/>
    <w:rsid w:val="009F3C45"/>
    <w:rsid w:val="009F3C94"/>
    <w:rsid w:val="009F40CE"/>
    <w:rsid w:val="009F4886"/>
    <w:rsid w:val="009F4BDB"/>
    <w:rsid w:val="009F5372"/>
    <w:rsid w:val="009F5489"/>
    <w:rsid w:val="009F579E"/>
    <w:rsid w:val="009F6467"/>
    <w:rsid w:val="009F70D0"/>
    <w:rsid w:val="009F7201"/>
    <w:rsid w:val="009F7495"/>
    <w:rsid w:val="009F74E6"/>
    <w:rsid w:val="009F75EA"/>
    <w:rsid w:val="009F7AD7"/>
    <w:rsid w:val="009F7AEC"/>
    <w:rsid w:val="00A0059F"/>
    <w:rsid w:val="00A007B3"/>
    <w:rsid w:val="00A00C3F"/>
    <w:rsid w:val="00A00C50"/>
    <w:rsid w:val="00A00C68"/>
    <w:rsid w:val="00A01043"/>
    <w:rsid w:val="00A01305"/>
    <w:rsid w:val="00A01D1B"/>
    <w:rsid w:val="00A02164"/>
    <w:rsid w:val="00A021B3"/>
    <w:rsid w:val="00A0222C"/>
    <w:rsid w:val="00A024A8"/>
    <w:rsid w:val="00A02B96"/>
    <w:rsid w:val="00A02FF0"/>
    <w:rsid w:val="00A031ED"/>
    <w:rsid w:val="00A0360B"/>
    <w:rsid w:val="00A03915"/>
    <w:rsid w:val="00A0392E"/>
    <w:rsid w:val="00A03A67"/>
    <w:rsid w:val="00A03BEB"/>
    <w:rsid w:val="00A03D06"/>
    <w:rsid w:val="00A03D52"/>
    <w:rsid w:val="00A03E3C"/>
    <w:rsid w:val="00A03FE4"/>
    <w:rsid w:val="00A043F5"/>
    <w:rsid w:val="00A0447D"/>
    <w:rsid w:val="00A04A4B"/>
    <w:rsid w:val="00A04B0B"/>
    <w:rsid w:val="00A04BFC"/>
    <w:rsid w:val="00A04C9E"/>
    <w:rsid w:val="00A04D69"/>
    <w:rsid w:val="00A0519A"/>
    <w:rsid w:val="00A051C6"/>
    <w:rsid w:val="00A0535F"/>
    <w:rsid w:val="00A053B0"/>
    <w:rsid w:val="00A054A8"/>
    <w:rsid w:val="00A059E3"/>
    <w:rsid w:val="00A061A4"/>
    <w:rsid w:val="00A067C2"/>
    <w:rsid w:val="00A07261"/>
    <w:rsid w:val="00A07AE3"/>
    <w:rsid w:val="00A07E1C"/>
    <w:rsid w:val="00A1023A"/>
    <w:rsid w:val="00A10310"/>
    <w:rsid w:val="00A1051E"/>
    <w:rsid w:val="00A105F8"/>
    <w:rsid w:val="00A1067A"/>
    <w:rsid w:val="00A10979"/>
    <w:rsid w:val="00A10AE0"/>
    <w:rsid w:val="00A10C6A"/>
    <w:rsid w:val="00A10F2D"/>
    <w:rsid w:val="00A111E7"/>
    <w:rsid w:val="00A118BE"/>
    <w:rsid w:val="00A118BF"/>
    <w:rsid w:val="00A11A44"/>
    <w:rsid w:val="00A11D57"/>
    <w:rsid w:val="00A11D89"/>
    <w:rsid w:val="00A11FAD"/>
    <w:rsid w:val="00A12190"/>
    <w:rsid w:val="00A12716"/>
    <w:rsid w:val="00A13160"/>
    <w:rsid w:val="00A13B2D"/>
    <w:rsid w:val="00A13FFF"/>
    <w:rsid w:val="00A14419"/>
    <w:rsid w:val="00A14B8B"/>
    <w:rsid w:val="00A14EAF"/>
    <w:rsid w:val="00A1506B"/>
    <w:rsid w:val="00A1509F"/>
    <w:rsid w:val="00A15857"/>
    <w:rsid w:val="00A15977"/>
    <w:rsid w:val="00A15E76"/>
    <w:rsid w:val="00A162C6"/>
    <w:rsid w:val="00A16853"/>
    <w:rsid w:val="00A169E4"/>
    <w:rsid w:val="00A177F7"/>
    <w:rsid w:val="00A17AE3"/>
    <w:rsid w:val="00A17CF5"/>
    <w:rsid w:val="00A202EB"/>
    <w:rsid w:val="00A20300"/>
    <w:rsid w:val="00A2043F"/>
    <w:rsid w:val="00A207C9"/>
    <w:rsid w:val="00A208DA"/>
    <w:rsid w:val="00A209BB"/>
    <w:rsid w:val="00A20AF1"/>
    <w:rsid w:val="00A20E8E"/>
    <w:rsid w:val="00A224CD"/>
    <w:rsid w:val="00A226AB"/>
    <w:rsid w:val="00A227BD"/>
    <w:rsid w:val="00A22A4E"/>
    <w:rsid w:val="00A22E6C"/>
    <w:rsid w:val="00A22F93"/>
    <w:rsid w:val="00A240F7"/>
    <w:rsid w:val="00A2437F"/>
    <w:rsid w:val="00A24398"/>
    <w:rsid w:val="00A24A62"/>
    <w:rsid w:val="00A250B5"/>
    <w:rsid w:val="00A2522A"/>
    <w:rsid w:val="00A25470"/>
    <w:rsid w:val="00A25836"/>
    <w:rsid w:val="00A261E1"/>
    <w:rsid w:val="00A261F9"/>
    <w:rsid w:val="00A264B5"/>
    <w:rsid w:val="00A26783"/>
    <w:rsid w:val="00A267F3"/>
    <w:rsid w:val="00A26CCA"/>
    <w:rsid w:val="00A270FA"/>
    <w:rsid w:val="00A2714A"/>
    <w:rsid w:val="00A2738B"/>
    <w:rsid w:val="00A27503"/>
    <w:rsid w:val="00A27AC7"/>
    <w:rsid w:val="00A27C60"/>
    <w:rsid w:val="00A27DB6"/>
    <w:rsid w:val="00A27EA7"/>
    <w:rsid w:val="00A300E5"/>
    <w:rsid w:val="00A30242"/>
    <w:rsid w:val="00A3078D"/>
    <w:rsid w:val="00A3079A"/>
    <w:rsid w:val="00A307D5"/>
    <w:rsid w:val="00A30859"/>
    <w:rsid w:val="00A30BFB"/>
    <w:rsid w:val="00A30D01"/>
    <w:rsid w:val="00A315CE"/>
    <w:rsid w:val="00A31762"/>
    <w:rsid w:val="00A31870"/>
    <w:rsid w:val="00A31C9F"/>
    <w:rsid w:val="00A31FAC"/>
    <w:rsid w:val="00A323C2"/>
    <w:rsid w:val="00A326E2"/>
    <w:rsid w:val="00A326FB"/>
    <w:rsid w:val="00A32A89"/>
    <w:rsid w:val="00A32A8F"/>
    <w:rsid w:val="00A32ADA"/>
    <w:rsid w:val="00A33069"/>
    <w:rsid w:val="00A33783"/>
    <w:rsid w:val="00A33A00"/>
    <w:rsid w:val="00A33C81"/>
    <w:rsid w:val="00A33FE8"/>
    <w:rsid w:val="00A34144"/>
    <w:rsid w:val="00A341E9"/>
    <w:rsid w:val="00A343B2"/>
    <w:rsid w:val="00A34E57"/>
    <w:rsid w:val="00A34F39"/>
    <w:rsid w:val="00A35108"/>
    <w:rsid w:val="00A35357"/>
    <w:rsid w:val="00A358A7"/>
    <w:rsid w:val="00A35D51"/>
    <w:rsid w:val="00A35DB9"/>
    <w:rsid w:val="00A35F06"/>
    <w:rsid w:val="00A35F39"/>
    <w:rsid w:val="00A362E5"/>
    <w:rsid w:val="00A36842"/>
    <w:rsid w:val="00A368E7"/>
    <w:rsid w:val="00A36DBA"/>
    <w:rsid w:val="00A36DE6"/>
    <w:rsid w:val="00A3726C"/>
    <w:rsid w:val="00A3731C"/>
    <w:rsid w:val="00A3790A"/>
    <w:rsid w:val="00A37F73"/>
    <w:rsid w:val="00A403D6"/>
    <w:rsid w:val="00A4079E"/>
    <w:rsid w:val="00A40A6D"/>
    <w:rsid w:val="00A40CE5"/>
    <w:rsid w:val="00A410D1"/>
    <w:rsid w:val="00A411FA"/>
    <w:rsid w:val="00A41861"/>
    <w:rsid w:val="00A41B4E"/>
    <w:rsid w:val="00A42465"/>
    <w:rsid w:val="00A428FB"/>
    <w:rsid w:val="00A42E05"/>
    <w:rsid w:val="00A431EE"/>
    <w:rsid w:val="00A434A3"/>
    <w:rsid w:val="00A437FA"/>
    <w:rsid w:val="00A438D4"/>
    <w:rsid w:val="00A43B3F"/>
    <w:rsid w:val="00A43F38"/>
    <w:rsid w:val="00A43FEA"/>
    <w:rsid w:val="00A4417F"/>
    <w:rsid w:val="00A4440A"/>
    <w:rsid w:val="00A44592"/>
    <w:rsid w:val="00A446F5"/>
    <w:rsid w:val="00A44AD0"/>
    <w:rsid w:val="00A45647"/>
    <w:rsid w:val="00A456A3"/>
    <w:rsid w:val="00A4629F"/>
    <w:rsid w:val="00A46F04"/>
    <w:rsid w:val="00A46FA0"/>
    <w:rsid w:val="00A47957"/>
    <w:rsid w:val="00A47D28"/>
    <w:rsid w:val="00A509E2"/>
    <w:rsid w:val="00A50C16"/>
    <w:rsid w:val="00A50C8A"/>
    <w:rsid w:val="00A5131D"/>
    <w:rsid w:val="00A51933"/>
    <w:rsid w:val="00A51A57"/>
    <w:rsid w:val="00A522AD"/>
    <w:rsid w:val="00A530D1"/>
    <w:rsid w:val="00A53198"/>
    <w:rsid w:val="00A53827"/>
    <w:rsid w:val="00A53D43"/>
    <w:rsid w:val="00A542EC"/>
    <w:rsid w:val="00A545FF"/>
    <w:rsid w:val="00A54B25"/>
    <w:rsid w:val="00A54E9A"/>
    <w:rsid w:val="00A5525A"/>
    <w:rsid w:val="00A55531"/>
    <w:rsid w:val="00A55C16"/>
    <w:rsid w:val="00A57306"/>
    <w:rsid w:val="00A57834"/>
    <w:rsid w:val="00A57D44"/>
    <w:rsid w:val="00A60633"/>
    <w:rsid w:val="00A60AC6"/>
    <w:rsid w:val="00A60BDE"/>
    <w:rsid w:val="00A60DA0"/>
    <w:rsid w:val="00A6123A"/>
    <w:rsid w:val="00A6141B"/>
    <w:rsid w:val="00A61C08"/>
    <w:rsid w:val="00A624B2"/>
    <w:rsid w:val="00A6251F"/>
    <w:rsid w:val="00A626DB"/>
    <w:rsid w:val="00A62964"/>
    <w:rsid w:val="00A629D2"/>
    <w:rsid w:val="00A62A83"/>
    <w:rsid w:val="00A62F1C"/>
    <w:rsid w:val="00A63685"/>
    <w:rsid w:val="00A63865"/>
    <w:rsid w:val="00A63D48"/>
    <w:rsid w:val="00A63EA2"/>
    <w:rsid w:val="00A64044"/>
    <w:rsid w:val="00A648C7"/>
    <w:rsid w:val="00A648D5"/>
    <w:rsid w:val="00A65993"/>
    <w:rsid w:val="00A65AFC"/>
    <w:rsid w:val="00A65EA6"/>
    <w:rsid w:val="00A66511"/>
    <w:rsid w:val="00A665C1"/>
    <w:rsid w:val="00A667A6"/>
    <w:rsid w:val="00A668D1"/>
    <w:rsid w:val="00A66942"/>
    <w:rsid w:val="00A66A58"/>
    <w:rsid w:val="00A66A89"/>
    <w:rsid w:val="00A66D42"/>
    <w:rsid w:val="00A671CE"/>
    <w:rsid w:val="00A671DA"/>
    <w:rsid w:val="00A67550"/>
    <w:rsid w:val="00A67B33"/>
    <w:rsid w:val="00A67D3B"/>
    <w:rsid w:val="00A70622"/>
    <w:rsid w:val="00A7168C"/>
    <w:rsid w:val="00A718B7"/>
    <w:rsid w:val="00A71908"/>
    <w:rsid w:val="00A71CA7"/>
    <w:rsid w:val="00A71DC6"/>
    <w:rsid w:val="00A720A4"/>
    <w:rsid w:val="00A720F9"/>
    <w:rsid w:val="00A7269F"/>
    <w:rsid w:val="00A72C85"/>
    <w:rsid w:val="00A72EA7"/>
    <w:rsid w:val="00A731AE"/>
    <w:rsid w:val="00A732B6"/>
    <w:rsid w:val="00A7381C"/>
    <w:rsid w:val="00A73855"/>
    <w:rsid w:val="00A73D38"/>
    <w:rsid w:val="00A73DAD"/>
    <w:rsid w:val="00A740AA"/>
    <w:rsid w:val="00A74992"/>
    <w:rsid w:val="00A749A1"/>
    <w:rsid w:val="00A74A48"/>
    <w:rsid w:val="00A74B18"/>
    <w:rsid w:val="00A74DBE"/>
    <w:rsid w:val="00A74FC7"/>
    <w:rsid w:val="00A7521F"/>
    <w:rsid w:val="00A753A3"/>
    <w:rsid w:val="00A75487"/>
    <w:rsid w:val="00A75C8A"/>
    <w:rsid w:val="00A7653C"/>
    <w:rsid w:val="00A766C0"/>
    <w:rsid w:val="00A767A8"/>
    <w:rsid w:val="00A768A5"/>
    <w:rsid w:val="00A76CA7"/>
    <w:rsid w:val="00A76D0A"/>
    <w:rsid w:val="00A775B1"/>
    <w:rsid w:val="00A77833"/>
    <w:rsid w:val="00A77940"/>
    <w:rsid w:val="00A8015B"/>
    <w:rsid w:val="00A80DBC"/>
    <w:rsid w:val="00A817B0"/>
    <w:rsid w:val="00A8182D"/>
    <w:rsid w:val="00A81898"/>
    <w:rsid w:val="00A81B39"/>
    <w:rsid w:val="00A81E9A"/>
    <w:rsid w:val="00A82255"/>
    <w:rsid w:val="00A8289B"/>
    <w:rsid w:val="00A82B6F"/>
    <w:rsid w:val="00A83328"/>
    <w:rsid w:val="00A834F4"/>
    <w:rsid w:val="00A8355D"/>
    <w:rsid w:val="00A8386E"/>
    <w:rsid w:val="00A839B3"/>
    <w:rsid w:val="00A842D5"/>
    <w:rsid w:val="00A845B4"/>
    <w:rsid w:val="00A84735"/>
    <w:rsid w:val="00A84927"/>
    <w:rsid w:val="00A84AC5"/>
    <w:rsid w:val="00A84C30"/>
    <w:rsid w:val="00A84EAE"/>
    <w:rsid w:val="00A84F6D"/>
    <w:rsid w:val="00A84FEF"/>
    <w:rsid w:val="00A8515C"/>
    <w:rsid w:val="00A85847"/>
    <w:rsid w:val="00A85DDB"/>
    <w:rsid w:val="00A85E0D"/>
    <w:rsid w:val="00A861F9"/>
    <w:rsid w:val="00A862C5"/>
    <w:rsid w:val="00A865D4"/>
    <w:rsid w:val="00A86799"/>
    <w:rsid w:val="00A86B02"/>
    <w:rsid w:val="00A86C72"/>
    <w:rsid w:val="00A86DDD"/>
    <w:rsid w:val="00A86E84"/>
    <w:rsid w:val="00A87227"/>
    <w:rsid w:val="00A87AA3"/>
    <w:rsid w:val="00A87BD4"/>
    <w:rsid w:val="00A87F0C"/>
    <w:rsid w:val="00A90555"/>
    <w:rsid w:val="00A907E6"/>
    <w:rsid w:val="00A90B01"/>
    <w:rsid w:val="00A90C82"/>
    <w:rsid w:val="00A91669"/>
    <w:rsid w:val="00A916C6"/>
    <w:rsid w:val="00A916D2"/>
    <w:rsid w:val="00A91780"/>
    <w:rsid w:val="00A91A41"/>
    <w:rsid w:val="00A9227C"/>
    <w:rsid w:val="00A9232D"/>
    <w:rsid w:val="00A92398"/>
    <w:rsid w:val="00A92A55"/>
    <w:rsid w:val="00A9306A"/>
    <w:rsid w:val="00A93087"/>
    <w:rsid w:val="00A931F6"/>
    <w:rsid w:val="00A933A5"/>
    <w:rsid w:val="00A933EA"/>
    <w:rsid w:val="00A93554"/>
    <w:rsid w:val="00A935B3"/>
    <w:rsid w:val="00A936B3"/>
    <w:rsid w:val="00A939EC"/>
    <w:rsid w:val="00A93E4B"/>
    <w:rsid w:val="00A93F1E"/>
    <w:rsid w:val="00A94AE1"/>
    <w:rsid w:val="00A94AE6"/>
    <w:rsid w:val="00A94B6D"/>
    <w:rsid w:val="00A94D40"/>
    <w:rsid w:val="00A95784"/>
    <w:rsid w:val="00A95BF0"/>
    <w:rsid w:val="00A95C62"/>
    <w:rsid w:val="00A96C89"/>
    <w:rsid w:val="00A96D21"/>
    <w:rsid w:val="00A973ED"/>
    <w:rsid w:val="00AA05BB"/>
    <w:rsid w:val="00AA06EF"/>
    <w:rsid w:val="00AA08F0"/>
    <w:rsid w:val="00AA0E2A"/>
    <w:rsid w:val="00AA1037"/>
    <w:rsid w:val="00AA1877"/>
    <w:rsid w:val="00AA1B75"/>
    <w:rsid w:val="00AA1D48"/>
    <w:rsid w:val="00AA1D73"/>
    <w:rsid w:val="00AA1E87"/>
    <w:rsid w:val="00AA2440"/>
    <w:rsid w:val="00AA2CB3"/>
    <w:rsid w:val="00AA2D60"/>
    <w:rsid w:val="00AA2FFC"/>
    <w:rsid w:val="00AA32C1"/>
    <w:rsid w:val="00AA331E"/>
    <w:rsid w:val="00AA37F7"/>
    <w:rsid w:val="00AA3C86"/>
    <w:rsid w:val="00AA4069"/>
    <w:rsid w:val="00AA44E7"/>
    <w:rsid w:val="00AA4CB9"/>
    <w:rsid w:val="00AA50ED"/>
    <w:rsid w:val="00AA5123"/>
    <w:rsid w:val="00AA5605"/>
    <w:rsid w:val="00AA5704"/>
    <w:rsid w:val="00AA5957"/>
    <w:rsid w:val="00AA5A5E"/>
    <w:rsid w:val="00AA5A7B"/>
    <w:rsid w:val="00AA5DDA"/>
    <w:rsid w:val="00AA5E7B"/>
    <w:rsid w:val="00AA6B35"/>
    <w:rsid w:val="00AA6E21"/>
    <w:rsid w:val="00AA7167"/>
    <w:rsid w:val="00AA76CD"/>
    <w:rsid w:val="00AA7855"/>
    <w:rsid w:val="00AA79EC"/>
    <w:rsid w:val="00AA7A48"/>
    <w:rsid w:val="00AA7AEF"/>
    <w:rsid w:val="00AA7C48"/>
    <w:rsid w:val="00AA7DEF"/>
    <w:rsid w:val="00AA7EC6"/>
    <w:rsid w:val="00AA7F88"/>
    <w:rsid w:val="00AB0CF1"/>
    <w:rsid w:val="00AB1121"/>
    <w:rsid w:val="00AB1420"/>
    <w:rsid w:val="00AB1745"/>
    <w:rsid w:val="00AB17D0"/>
    <w:rsid w:val="00AB1905"/>
    <w:rsid w:val="00AB19CF"/>
    <w:rsid w:val="00AB1CC2"/>
    <w:rsid w:val="00AB2003"/>
    <w:rsid w:val="00AB204A"/>
    <w:rsid w:val="00AB2418"/>
    <w:rsid w:val="00AB260E"/>
    <w:rsid w:val="00AB296E"/>
    <w:rsid w:val="00AB2D61"/>
    <w:rsid w:val="00AB2D63"/>
    <w:rsid w:val="00AB3015"/>
    <w:rsid w:val="00AB30BF"/>
    <w:rsid w:val="00AB3224"/>
    <w:rsid w:val="00AB4332"/>
    <w:rsid w:val="00AB4790"/>
    <w:rsid w:val="00AB4C55"/>
    <w:rsid w:val="00AB4D68"/>
    <w:rsid w:val="00AB5258"/>
    <w:rsid w:val="00AB5417"/>
    <w:rsid w:val="00AB5FF5"/>
    <w:rsid w:val="00AB6DC0"/>
    <w:rsid w:val="00AB7541"/>
    <w:rsid w:val="00AB7676"/>
    <w:rsid w:val="00AB7683"/>
    <w:rsid w:val="00AB7EAF"/>
    <w:rsid w:val="00AB7FE2"/>
    <w:rsid w:val="00AC019B"/>
    <w:rsid w:val="00AC05E4"/>
    <w:rsid w:val="00AC0B2D"/>
    <w:rsid w:val="00AC0C8A"/>
    <w:rsid w:val="00AC164A"/>
    <w:rsid w:val="00AC1708"/>
    <w:rsid w:val="00AC1822"/>
    <w:rsid w:val="00AC1FC0"/>
    <w:rsid w:val="00AC2799"/>
    <w:rsid w:val="00AC2CFE"/>
    <w:rsid w:val="00AC32C8"/>
    <w:rsid w:val="00AC356E"/>
    <w:rsid w:val="00AC402B"/>
    <w:rsid w:val="00AC45D2"/>
    <w:rsid w:val="00AC4886"/>
    <w:rsid w:val="00AC4B52"/>
    <w:rsid w:val="00AC4F23"/>
    <w:rsid w:val="00AC53FA"/>
    <w:rsid w:val="00AC5E9E"/>
    <w:rsid w:val="00AC5F3C"/>
    <w:rsid w:val="00AC5F5D"/>
    <w:rsid w:val="00AC6192"/>
    <w:rsid w:val="00AC6E0F"/>
    <w:rsid w:val="00AC7065"/>
    <w:rsid w:val="00AC7324"/>
    <w:rsid w:val="00AC775B"/>
    <w:rsid w:val="00AC7A7E"/>
    <w:rsid w:val="00AD0150"/>
    <w:rsid w:val="00AD0506"/>
    <w:rsid w:val="00AD0CEC"/>
    <w:rsid w:val="00AD181B"/>
    <w:rsid w:val="00AD1A46"/>
    <w:rsid w:val="00AD1C4D"/>
    <w:rsid w:val="00AD27D2"/>
    <w:rsid w:val="00AD28A0"/>
    <w:rsid w:val="00AD2C5D"/>
    <w:rsid w:val="00AD2CA6"/>
    <w:rsid w:val="00AD2D7D"/>
    <w:rsid w:val="00AD3224"/>
    <w:rsid w:val="00AD33C7"/>
    <w:rsid w:val="00AD3532"/>
    <w:rsid w:val="00AD389A"/>
    <w:rsid w:val="00AD3B1A"/>
    <w:rsid w:val="00AD3C12"/>
    <w:rsid w:val="00AD3CC1"/>
    <w:rsid w:val="00AD40A7"/>
    <w:rsid w:val="00AD442F"/>
    <w:rsid w:val="00AD4590"/>
    <w:rsid w:val="00AD468B"/>
    <w:rsid w:val="00AD49C2"/>
    <w:rsid w:val="00AD4B07"/>
    <w:rsid w:val="00AD4D8B"/>
    <w:rsid w:val="00AD5849"/>
    <w:rsid w:val="00AD5F0F"/>
    <w:rsid w:val="00AD61E3"/>
    <w:rsid w:val="00AD6868"/>
    <w:rsid w:val="00AD6C9A"/>
    <w:rsid w:val="00AD72A9"/>
    <w:rsid w:val="00AD761C"/>
    <w:rsid w:val="00AD7779"/>
    <w:rsid w:val="00AE0218"/>
    <w:rsid w:val="00AE025F"/>
    <w:rsid w:val="00AE0872"/>
    <w:rsid w:val="00AE0D55"/>
    <w:rsid w:val="00AE15FE"/>
    <w:rsid w:val="00AE16DE"/>
    <w:rsid w:val="00AE1792"/>
    <w:rsid w:val="00AE1C23"/>
    <w:rsid w:val="00AE1D34"/>
    <w:rsid w:val="00AE1DAD"/>
    <w:rsid w:val="00AE2AEB"/>
    <w:rsid w:val="00AE2E8C"/>
    <w:rsid w:val="00AE2F47"/>
    <w:rsid w:val="00AE3636"/>
    <w:rsid w:val="00AE4883"/>
    <w:rsid w:val="00AE4B57"/>
    <w:rsid w:val="00AE4F91"/>
    <w:rsid w:val="00AE5D3E"/>
    <w:rsid w:val="00AE5DB4"/>
    <w:rsid w:val="00AE5ED8"/>
    <w:rsid w:val="00AE60D0"/>
    <w:rsid w:val="00AE63CA"/>
    <w:rsid w:val="00AE67BA"/>
    <w:rsid w:val="00AE6A69"/>
    <w:rsid w:val="00AE6B81"/>
    <w:rsid w:val="00AE6CAA"/>
    <w:rsid w:val="00AE6EBC"/>
    <w:rsid w:val="00AE79CF"/>
    <w:rsid w:val="00AE79D6"/>
    <w:rsid w:val="00AE7FC9"/>
    <w:rsid w:val="00AF0447"/>
    <w:rsid w:val="00AF0679"/>
    <w:rsid w:val="00AF0727"/>
    <w:rsid w:val="00AF1A18"/>
    <w:rsid w:val="00AF1A4F"/>
    <w:rsid w:val="00AF1A86"/>
    <w:rsid w:val="00AF1EC0"/>
    <w:rsid w:val="00AF1FFB"/>
    <w:rsid w:val="00AF2050"/>
    <w:rsid w:val="00AF20E5"/>
    <w:rsid w:val="00AF25F2"/>
    <w:rsid w:val="00AF2E06"/>
    <w:rsid w:val="00AF3009"/>
    <w:rsid w:val="00AF3133"/>
    <w:rsid w:val="00AF3BE5"/>
    <w:rsid w:val="00AF4240"/>
    <w:rsid w:val="00AF4330"/>
    <w:rsid w:val="00AF47BD"/>
    <w:rsid w:val="00AF4F50"/>
    <w:rsid w:val="00AF5766"/>
    <w:rsid w:val="00AF582E"/>
    <w:rsid w:val="00AF5F91"/>
    <w:rsid w:val="00AF6AC4"/>
    <w:rsid w:val="00AF6BAB"/>
    <w:rsid w:val="00AF6BB3"/>
    <w:rsid w:val="00AF7284"/>
    <w:rsid w:val="00AF749B"/>
    <w:rsid w:val="00AF74BE"/>
    <w:rsid w:val="00AF7620"/>
    <w:rsid w:val="00AF7AB1"/>
    <w:rsid w:val="00AF7B09"/>
    <w:rsid w:val="00B00396"/>
    <w:rsid w:val="00B00721"/>
    <w:rsid w:val="00B01FAC"/>
    <w:rsid w:val="00B02E97"/>
    <w:rsid w:val="00B02F7F"/>
    <w:rsid w:val="00B02F80"/>
    <w:rsid w:val="00B04B03"/>
    <w:rsid w:val="00B04FC8"/>
    <w:rsid w:val="00B05672"/>
    <w:rsid w:val="00B05988"/>
    <w:rsid w:val="00B05AC9"/>
    <w:rsid w:val="00B06390"/>
    <w:rsid w:val="00B063A7"/>
    <w:rsid w:val="00B06442"/>
    <w:rsid w:val="00B066EC"/>
    <w:rsid w:val="00B067CB"/>
    <w:rsid w:val="00B0680E"/>
    <w:rsid w:val="00B06B0D"/>
    <w:rsid w:val="00B070E0"/>
    <w:rsid w:val="00B0737C"/>
    <w:rsid w:val="00B073E6"/>
    <w:rsid w:val="00B10114"/>
    <w:rsid w:val="00B109CF"/>
    <w:rsid w:val="00B10AA9"/>
    <w:rsid w:val="00B112A5"/>
    <w:rsid w:val="00B114E2"/>
    <w:rsid w:val="00B11749"/>
    <w:rsid w:val="00B1181B"/>
    <w:rsid w:val="00B119CE"/>
    <w:rsid w:val="00B11B6E"/>
    <w:rsid w:val="00B11CF6"/>
    <w:rsid w:val="00B121DF"/>
    <w:rsid w:val="00B12291"/>
    <w:rsid w:val="00B12364"/>
    <w:rsid w:val="00B12A77"/>
    <w:rsid w:val="00B13934"/>
    <w:rsid w:val="00B13ABF"/>
    <w:rsid w:val="00B13FEC"/>
    <w:rsid w:val="00B14418"/>
    <w:rsid w:val="00B1452B"/>
    <w:rsid w:val="00B14E2C"/>
    <w:rsid w:val="00B153F6"/>
    <w:rsid w:val="00B15A59"/>
    <w:rsid w:val="00B15F20"/>
    <w:rsid w:val="00B15F4F"/>
    <w:rsid w:val="00B1636A"/>
    <w:rsid w:val="00B16668"/>
    <w:rsid w:val="00B16BE6"/>
    <w:rsid w:val="00B16C5E"/>
    <w:rsid w:val="00B16D40"/>
    <w:rsid w:val="00B16E91"/>
    <w:rsid w:val="00B1704B"/>
    <w:rsid w:val="00B17130"/>
    <w:rsid w:val="00B17EB6"/>
    <w:rsid w:val="00B200D2"/>
    <w:rsid w:val="00B205E8"/>
    <w:rsid w:val="00B207A1"/>
    <w:rsid w:val="00B20801"/>
    <w:rsid w:val="00B20E77"/>
    <w:rsid w:val="00B20E78"/>
    <w:rsid w:val="00B20F81"/>
    <w:rsid w:val="00B21B5A"/>
    <w:rsid w:val="00B21F76"/>
    <w:rsid w:val="00B22C87"/>
    <w:rsid w:val="00B22E53"/>
    <w:rsid w:val="00B22EC3"/>
    <w:rsid w:val="00B2310F"/>
    <w:rsid w:val="00B2363E"/>
    <w:rsid w:val="00B2380C"/>
    <w:rsid w:val="00B23DD8"/>
    <w:rsid w:val="00B2453C"/>
    <w:rsid w:val="00B24C3D"/>
    <w:rsid w:val="00B24E30"/>
    <w:rsid w:val="00B24FC2"/>
    <w:rsid w:val="00B250D3"/>
    <w:rsid w:val="00B253C3"/>
    <w:rsid w:val="00B254BA"/>
    <w:rsid w:val="00B25A33"/>
    <w:rsid w:val="00B25E89"/>
    <w:rsid w:val="00B25E9E"/>
    <w:rsid w:val="00B26D91"/>
    <w:rsid w:val="00B2710C"/>
    <w:rsid w:val="00B27328"/>
    <w:rsid w:val="00B2742A"/>
    <w:rsid w:val="00B27691"/>
    <w:rsid w:val="00B2797F"/>
    <w:rsid w:val="00B30679"/>
    <w:rsid w:val="00B30721"/>
    <w:rsid w:val="00B31078"/>
    <w:rsid w:val="00B31167"/>
    <w:rsid w:val="00B3139B"/>
    <w:rsid w:val="00B314FA"/>
    <w:rsid w:val="00B31589"/>
    <w:rsid w:val="00B318ED"/>
    <w:rsid w:val="00B319C8"/>
    <w:rsid w:val="00B31ED0"/>
    <w:rsid w:val="00B31FE4"/>
    <w:rsid w:val="00B320BF"/>
    <w:rsid w:val="00B3253E"/>
    <w:rsid w:val="00B335BF"/>
    <w:rsid w:val="00B33B53"/>
    <w:rsid w:val="00B33BB2"/>
    <w:rsid w:val="00B33E3F"/>
    <w:rsid w:val="00B3440C"/>
    <w:rsid w:val="00B346E1"/>
    <w:rsid w:val="00B347D6"/>
    <w:rsid w:val="00B34C22"/>
    <w:rsid w:val="00B34C3B"/>
    <w:rsid w:val="00B34CC3"/>
    <w:rsid w:val="00B35386"/>
    <w:rsid w:val="00B35431"/>
    <w:rsid w:val="00B35C17"/>
    <w:rsid w:val="00B35E49"/>
    <w:rsid w:val="00B36727"/>
    <w:rsid w:val="00B36B07"/>
    <w:rsid w:val="00B36C66"/>
    <w:rsid w:val="00B36E3F"/>
    <w:rsid w:val="00B37218"/>
    <w:rsid w:val="00B37817"/>
    <w:rsid w:val="00B37849"/>
    <w:rsid w:val="00B37DFB"/>
    <w:rsid w:val="00B37DFC"/>
    <w:rsid w:val="00B4059B"/>
    <w:rsid w:val="00B406E3"/>
    <w:rsid w:val="00B408D3"/>
    <w:rsid w:val="00B408D8"/>
    <w:rsid w:val="00B40B6A"/>
    <w:rsid w:val="00B40F1D"/>
    <w:rsid w:val="00B41092"/>
    <w:rsid w:val="00B4159A"/>
    <w:rsid w:val="00B415C2"/>
    <w:rsid w:val="00B4180C"/>
    <w:rsid w:val="00B4196D"/>
    <w:rsid w:val="00B41C46"/>
    <w:rsid w:val="00B42301"/>
    <w:rsid w:val="00B42725"/>
    <w:rsid w:val="00B4293E"/>
    <w:rsid w:val="00B42B30"/>
    <w:rsid w:val="00B43030"/>
    <w:rsid w:val="00B43EDB"/>
    <w:rsid w:val="00B4424B"/>
    <w:rsid w:val="00B44C83"/>
    <w:rsid w:val="00B44C85"/>
    <w:rsid w:val="00B45277"/>
    <w:rsid w:val="00B4578C"/>
    <w:rsid w:val="00B45945"/>
    <w:rsid w:val="00B45DD3"/>
    <w:rsid w:val="00B45FBA"/>
    <w:rsid w:val="00B46230"/>
    <w:rsid w:val="00B46CD3"/>
    <w:rsid w:val="00B4799C"/>
    <w:rsid w:val="00B479CB"/>
    <w:rsid w:val="00B47AE8"/>
    <w:rsid w:val="00B47AEF"/>
    <w:rsid w:val="00B50502"/>
    <w:rsid w:val="00B5083E"/>
    <w:rsid w:val="00B50921"/>
    <w:rsid w:val="00B50A61"/>
    <w:rsid w:val="00B50DCC"/>
    <w:rsid w:val="00B50DD7"/>
    <w:rsid w:val="00B50E0D"/>
    <w:rsid w:val="00B50E22"/>
    <w:rsid w:val="00B51040"/>
    <w:rsid w:val="00B51280"/>
    <w:rsid w:val="00B51C43"/>
    <w:rsid w:val="00B51CD3"/>
    <w:rsid w:val="00B521A9"/>
    <w:rsid w:val="00B523B2"/>
    <w:rsid w:val="00B52832"/>
    <w:rsid w:val="00B52E6D"/>
    <w:rsid w:val="00B53160"/>
    <w:rsid w:val="00B536DF"/>
    <w:rsid w:val="00B54029"/>
    <w:rsid w:val="00B54712"/>
    <w:rsid w:val="00B54FB3"/>
    <w:rsid w:val="00B551F4"/>
    <w:rsid w:val="00B5535A"/>
    <w:rsid w:val="00B55434"/>
    <w:rsid w:val="00B55AE2"/>
    <w:rsid w:val="00B55B83"/>
    <w:rsid w:val="00B55CF6"/>
    <w:rsid w:val="00B55D34"/>
    <w:rsid w:val="00B55F94"/>
    <w:rsid w:val="00B56367"/>
    <w:rsid w:val="00B56C54"/>
    <w:rsid w:val="00B5756A"/>
    <w:rsid w:val="00B57C52"/>
    <w:rsid w:val="00B57CBB"/>
    <w:rsid w:val="00B60352"/>
    <w:rsid w:val="00B60A22"/>
    <w:rsid w:val="00B60A85"/>
    <w:rsid w:val="00B60C2F"/>
    <w:rsid w:val="00B6148C"/>
    <w:rsid w:val="00B617DF"/>
    <w:rsid w:val="00B61B30"/>
    <w:rsid w:val="00B621EC"/>
    <w:rsid w:val="00B62511"/>
    <w:rsid w:val="00B625B7"/>
    <w:rsid w:val="00B62A2C"/>
    <w:rsid w:val="00B62EC8"/>
    <w:rsid w:val="00B63125"/>
    <w:rsid w:val="00B6312C"/>
    <w:rsid w:val="00B6344D"/>
    <w:rsid w:val="00B63560"/>
    <w:rsid w:val="00B63BFA"/>
    <w:rsid w:val="00B63CF1"/>
    <w:rsid w:val="00B64258"/>
    <w:rsid w:val="00B64C25"/>
    <w:rsid w:val="00B64D20"/>
    <w:rsid w:val="00B652BC"/>
    <w:rsid w:val="00B660F2"/>
    <w:rsid w:val="00B66E73"/>
    <w:rsid w:val="00B66FC9"/>
    <w:rsid w:val="00B6704F"/>
    <w:rsid w:val="00B674D7"/>
    <w:rsid w:val="00B6759C"/>
    <w:rsid w:val="00B67E1B"/>
    <w:rsid w:val="00B67EEB"/>
    <w:rsid w:val="00B70075"/>
    <w:rsid w:val="00B7038B"/>
    <w:rsid w:val="00B70B7F"/>
    <w:rsid w:val="00B70E53"/>
    <w:rsid w:val="00B7120C"/>
    <w:rsid w:val="00B71287"/>
    <w:rsid w:val="00B71309"/>
    <w:rsid w:val="00B7186B"/>
    <w:rsid w:val="00B71FA9"/>
    <w:rsid w:val="00B7270D"/>
    <w:rsid w:val="00B72C35"/>
    <w:rsid w:val="00B72C81"/>
    <w:rsid w:val="00B72CD8"/>
    <w:rsid w:val="00B72FB3"/>
    <w:rsid w:val="00B7314B"/>
    <w:rsid w:val="00B732AB"/>
    <w:rsid w:val="00B734C4"/>
    <w:rsid w:val="00B736D5"/>
    <w:rsid w:val="00B736E8"/>
    <w:rsid w:val="00B74299"/>
    <w:rsid w:val="00B74837"/>
    <w:rsid w:val="00B750D7"/>
    <w:rsid w:val="00B751D1"/>
    <w:rsid w:val="00B7557F"/>
    <w:rsid w:val="00B75AB9"/>
    <w:rsid w:val="00B75FE9"/>
    <w:rsid w:val="00B75FFA"/>
    <w:rsid w:val="00B76189"/>
    <w:rsid w:val="00B76446"/>
    <w:rsid w:val="00B764E0"/>
    <w:rsid w:val="00B76B5D"/>
    <w:rsid w:val="00B7723E"/>
    <w:rsid w:val="00B7730B"/>
    <w:rsid w:val="00B773A1"/>
    <w:rsid w:val="00B777B8"/>
    <w:rsid w:val="00B77EA8"/>
    <w:rsid w:val="00B8003B"/>
    <w:rsid w:val="00B8090B"/>
    <w:rsid w:val="00B8143C"/>
    <w:rsid w:val="00B814E6"/>
    <w:rsid w:val="00B81540"/>
    <w:rsid w:val="00B821DC"/>
    <w:rsid w:val="00B82247"/>
    <w:rsid w:val="00B822AD"/>
    <w:rsid w:val="00B82C70"/>
    <w:rsid w:val="00B834C8"/>
    <w:rsid w:val="00B83588"/>
    <w:rsid w:val="00B8407F"/>
    <w:rsid w:val="00B84630"/>
    <w:rsid w:val="00B84896"/>
    <w:rsid w:val="00B84E62"/>
    <w:rsid w:val="00B85473"/>
    <w:rsid w:val="00B856C9"/>
    <w:rsid w:val="00B862D7"/>
    <w:rsid w:val="00B862FC"/>
    <w:rsid w:val="00B8636B"/>
    <w:rsid w:val="00B8638E"/>
    <w:rsid w:val="00B868ED"/>
    <w:rsid w:val="00B86C58"/>
    <w:rsid w:val="00B906E9"/>
    <w:rsid w:val="00B907EC"/>
    <w:rsid w:val="00B90863"/>
    <w:rsid w:val="00B90874"/>
    <w:rsid w:val="00B90A66"/>
    <w:rsid w:val="00B90A80"/>
    <w:rsid w:val="00B90B9F"/>
    <w:rsid w:val="00B90F1E"/>
    <w:rsid w:val="00B90FCA"/>
    <w:rsid w:val="00B911BE"/>
    <w:rsid w:val="00B9122D"/>
    <w:rsid w:val="00B92345"/>
    <w:rsid w:val="00B92832"/>
    <w:rsid w:val="00B92B3A"/>
    <w:rsid w:val="00B93155"/>
    <w:rsid w:val="00B932FB"/>
    <w:rsid w:val="00B93754"/>
    <w:rsid w:val="00B94A5D"/>
    <w:rsid w:val="00B94C0F"/>
    <w:rsid w:val="00B95147"/>
    <w:rsid w:val="00B955DB"/>
    <w:rsid w:val="00B96166"/>
    <w:rsid w:val="00B9628A"/>
    <w:rsid w:val="00B968DC"/>
    <w:rsid w:val="00B96C2B"/>
    <w:rsid w:val="00B96F5E"/>
    <w:rsid w:val="00B97391"/>
    <w:rsid w:val="00B97396"/>
    <w:rsid w:val="00B9769E"/>
    <w:rsid w:val="00B9777D"/>
    <w:rsid w:val="00B97B84"/>
    <w:rsid w:val="00B97C55"/>
    <w:rsid w:val="00B97D40"/>
    <w:rsid w:val="00B97DAD"/>
    <w:rsid w:val="00BA0039"/>
    <w:rsid w:val="00BA0046"/>
    <w:rsid w:val="00BA0579"/>
    <w:rsid w:val="00BA08B0"/>
    <w:rsid w:val="00BA0E58"/>
    <w:rsid w:val="00BA0F82"/>
    <w:rsid w:val="00BA1542"/>
    <w:rsid w:val="00BA155F"/>
    <w:rsid w:val="00BA18DD"/>
    <w:rsid w:val="00BA18F5"/>
    <w:rsid w:val="00BA1FF7"/>
    <w:rsid w:val="00BA2416"/>
    <w:rsid w:val="00BA24B2"/>
    <w:rsid w:val="00BA2956"/>
    <w:rsid w:val="00BA345B"/>
    <w:rsid w:val="00BA3D28"/>
    <w:rsid w:val="00BA3F1E"/>
    <w:rsid w:val="00BA3F5F"/>
    <w:rsid w:val="00BA40B6"/>
    <w:rsid w:val="00BA44E5"/>
    <w:rsid w:val="00BA482B"/>
    <w:rsid w:val="00BA486D"/>
    <w:rsid w:val="00BA4899"/>
    <w:rsid w:val="00BA4A3D"/>
    <w:rsid w:val="00BA4CF3"/>
    <w:rsid w:val="00BA5034"/>
    <w:rsid w:val="00BA51F3"/>
    <w:rsid w:val="00BA54CF"/>
    <w:rsid w:val="00BA57A1"/>
    <w:rsid w:val="00BA59F0"/>
    <w:rsid w:val="00BA5D81"/>
    <w:rsid w:val="00BA5EE8"/>
    <w:rsid w:val="00BA68BE"/>
    <w:rsid w:val="00BA6DFB"/>
    <w:rsid w:val="00BA6F4E"/>
    <w:rsid w:val="00BA72AE"/>
    <w:rsid w:val="00BA755C"/>
    <w:rsid w:val="00BA7756"/>
    <w:rsid w:val="00BA785C"/>
    <w:rsid w:val="00BA7B6F"/>
    <w:rsid w:val="00BA7EF7"/>
    <w:rsid w:val="00BA7F11"/>
    <w:rsid w:val="00BA7F68"/>
    <w:rsid w:val="00BB0042"/>
    <w:rsid w:val="00BB006B"/>
    <w:rsid w:val="00BB05A1"/>
    <w:rsid w:val="00BB0775"/>
    <w:rsid w:val="00BB0CB3"/>
    <w:rsid w:val="00BB1875"/>
    <w:rsid w:val="00BB22D2"/>
    <w:rsid w:val="00BB26C5"/>
    <w:rsid w:val="00BB2CCC"/>
    <w:rsid w:val="00BB2E1B"/>
    <w:rsid w:val="00BB3761"/>
    <w:rsid w:val="00BB3871"/>
    <w:rsid w:val="00BB3995"/>
    <w:rsid w:val="00BB3A9C"/>
    <w:rsid w:val="00BB3DDB"/>
    <w:rsid w:val="00BB3E5E"/>
    <w:rsid w:val="00BB3F08"/>
    <w:rsid w:val="00BB4251"/>
    <w:rsid w:val="00BB4E62"/>
    <w:rsid w:val="00BB4F50"/>
    <w:rsid w:val="00BB54A5"/>
    <w:rsid w:val="00BB5857"/>
    <w:rsid w:val="00BB5AB3"/>
    <w:rsid w:val="00BB5B78"/>
    <w:rsid w:val="00BB6124"/>
    <w:rsid w:val="00BB61EE"/>
    <w:rsid w:val="00BB635F"/>
    <w:rsid w:val="00BB6427"/>
    <w:rsid w:val="00BB6432"/>
    <w:rsid w:val="00BB6B5E"/>
    <w:rsid w:val="00BB6D66"/>
    <w:rsid w:val="00BB6D95"/>
    <w:rsid w:val="00BB6F9C"/>
    <w:rsid w:val="00BB7257"/>
    <w:rsid w:val="00BB7A05"/>
    <w:rsid w:val="00BB7DFA"/>
    <w:rsid w:val="00BC0200"/>
    <w:rsid w:val="00BC0386"/>
    <w:rsid w:val="00BC04B2"/>
    <w:rsid w:val="00BC0625"/>
    <w:rsid w:val="00BC0731"/>
    <w:rsid w:val="00BC077F"/>
    <w:rsid w:val="00BC09E0"/>
    <w:rsid w:val="00BC0DB5"/>
    <w:rsid w:val="00BC16DC"/>
    <w:rsid w:val="00BC18D1"/>
    <w:rsid w:val="00BC18D2"/>
    <w:rsid w:val="00BC1EFB"/>
    <w:rsid w:val="00BC29AB"/>
    <w:rsid w:val="00BC364B"/>
    <w:rsid w:val="00BC3A4C"/>
    <w:rsid w:val="00BC3BC8"/>
    <w:rsid w:val="00BC3FB2"/>
    <w:rsid w:val="00BC3FF3"/>
    <w:rsid w:val="00BC41DF"/>
    <w:rsid w:val="00BC46E7"/>
    <w:rsid w:val="00BC4A7B"/>
    <w:rsid w:val="00BC4D71"/>
    <w:rsid w:val="00BC4EF0"/>
    <w:rsid w:val="00BC527A"/>
    <w:rsid w:val="00BC52DC"/>
    <w:rsid w:val="00BC53F8"/>
    <w:rsid w:val="00BC611F"/>
    <w:rsid w:val="00BC665A"/>
    <w:rsid w:val="00BC66D6"/>
    <w:rsid w:val="00BC6A80"/>
    <w:rsid w:val="00BC6CBB"/>
    <w:rsid w:val="00BC6E67"/>
    <w:rsid w:val="00BC6F7F"/>
    <w:rsid w:val="00BC76CC"/>
    <w:rsid w:val="00BC79A9"/>
    <w:rsid w:val="00BC7D6A"/>
    <w:rsid w:val="00BD02A1"/>
    <w:rsid w:val="00BD0DA3"/>
    <w:rsid w:val="00BD0DFB"/>
    <w:rsid w:val="00BD10E0"/>
    <w:rsid w:val="00BD1148"/>
    <w:rsid w:val="00BD119F"/>
    <w:rsid w:val="00BD12EE"/>
    <w:rsid w:val="00BD134D"/>
    <w:rsid w:val="00BD1A15"/>
    <w:rsid w:val="00BD1BD3"/>
    <w:rsid w:val="00BD2583"/>
    <w:rsid w:val="00BD2CFD"/>
    <w:rsid w:val="00BD2F97"/>
    <w:rsid w:val="00BD3033"/>
    <w:rsid w:val="00BD355E"/>
    <w:rsid w:val="00BD36DA"/>
    <w:rsid w:val="00BD3A6D"/>
    <w:rsid w:val="00BD4B4C"/>
    <w:rsid w:val="00BD4C59"/>
    <w:rsid w:val="00BD4CA9"/>
    <w:rsid w:val="00BD4CCE"/>
    <w:rsid w:val="00BD51B0"/>
    <w:rsid w:val="00BD5561"/>
    <w:rsid w:val="00BD560A"/>
    <w:rsid w:val="00BD575A"/>
    <w:rsid w:val="00BD57F1"/>
    <w:rsid w:val="00BD5E33"/>
    <w:rsid w:val="00BD618C"/>
    <w:rsid w:val="00BD6313"/>
    <w:rsid w:val="00BD6421"/>
    <w:rsid w:val="00BD6530"/>
    <w:rsid w:val="00BD6A3C"/>
    <w:rsid w:val="00BD6E96"/>
    <w:rsid w:val="00BD72EC"/>
    <w:rsid w:val="00BD76C5"/>
    <w:rsid w:val="00BE026B"/>
    <w:rsid w:val="00BE0696"/>
    <w:rsid w:val="00BE070B"/>
    <w:rsid w:val="00BE096B"/>
    <w:rsid w:val="00BE0EE2"/>
    <w:rsid w:val="00BE164B"/>
    <w:rsid w:val="00BE17E3"/>
    <w:rsid w:val="00BE1A77"/>
    <w:rsid w:val="00BE1C61"/>
    <w:rsid w:val="00BE1D7E"/>
    <w:rsid w:val="00BE20C0"/>
    <w:rsid w:val="00BE2153"/>
    <w:rsid w:val="00BE221E"/>
    <w:rsid w:val="00BE2509"/>
    <w:rsid w:val="00BE27D0"/>
    <w:rsid w:val="00BE29A1"/>
    <w:rsid w:val="00BE2B32"/>
    <w:rsid w:val="00BE2C4E"/>
    <w:rsid w:val="00BE2DDA"/>
    <w:rsid w:val="00BE2DF4"/>
    <w:rsid w:val="00BE2F56"/>
    <w:rsid w:val="00BE3244"/>
    <w:rsid w:val="00BE329A"/>
    <w:rsid w:val="00BE3B03"/>
    <w:rsid w:val="00BE3F43"/>
    <w:rsid w:val="00BE4298"/>
    <w:rsid w:val="00BE45C2"/>
    <w:rsid w:val="00BE47FD"/>
    <w:rsid w:val="00BE4C2E"/>
    <w:rsid w:val="00BE4E59"/>
    <w:rsid w:val="00BE4E86"/>
    <w:rsid w:val="00BE53FF"/>
    <w:rsid w:val="00BE54C7"/>
    <w:rsid w:val="00BE5545"/>
    <w:rsid w:val="00BE5C7A"/>
    <w:rsid w:val="00BE5F8C"/>
    <w:rsid w:val="00BE62B0"/>
    <w:rsid w:val="00BE62B2"/>
    <w:rsid w:val="00BE67BA"/>
    <w:rsid w:val="00BE6E16"/>
    <w:rsid w:val="00BE6EBC"/>
    <w:rsid w:val="00BE73F1"/>
    <w:rsid w:val="00BE75E8"/>
    <w:rsid w:val="00BE7DAC"/>
    <w:rsid w:val="00BF0029"/>
    <w:rsid w:val="00BF002E"/>
    <w:rsid w:val="00BF03D6"/>
    <w:rsid w:val="00BF03D7"/>
    <w:rsid w:val="00BF03F3"/>
    <w:rsid w:val="00BF050C"/>
    <w:rsid w:val="00BF0E22"/>
    <w:rsid w:val="00BF0E30"/>
    <w:rsid w:val="00BF12A8"/>
    <w:rsid w:val="00BF1423"/>
    <w:rsid w:val="00BF16CE"/>
    <w:rsid w:val="00BF1BF6"/>
    <w:rsid w:val="00BF1CA6"/>
    <w:rsid w:val="00BF1E71"/>
    <w:rsid w:val="00BF228C"/>
    <w:rsid w:val="00BF2B4B"/>
    <w:rsid w:val="00BF2C6A"/>
    <w:rsid w:val="00BF3BB2"/>
    <w:rsid w:val="00BF4428"/>
    <w:rsid w:val="00BF4554"/>
    <w:rsid w:val="00BF4A20"/>
    <w:rsid w:val="00BF4B0A"/>
    <w:rsid w:val="00BF4DE6"/>
    <w:rsid w:val="00BF501A"/>
    <w:rsid w:val="00BF54D3"/>
    <w:rsid w:val="00BF653C"/>
    <w:rsid w:val="00BF6D88"/>
    <w:rsid w:val="00BF7007"/>
    <w:rsid w:val="00BF7A2D"/>
    <w:rsid w:val="00C007B1"/>
    <w:rsid w:val="00C00CF2"/>
    <w:rsid w:val="00C01050"/>
    <w:rsid w:val="00C01A79"/>
    <w:rsid w:val="00C01C74"/>
    <w:rsid w:val="00C01EF5"/>
    <w:rsid w:val="00C02070"/>
    <w:rsid w:val="00C020A4"/>
    <w:rsid w:val="00C02307"/>
    <w:rsid w:val="00C025DF"/>
    <w:rsid w:val="00C02B4E"/>
    <w:rsid w:val="00C02EA9"/>
    <w:rsid w:val="00C03287"/>
    <w:rsid w:val="00C035DB"/>
    <w:rsid w:val="00C03798"/>
    <w:rsid w:val="00C040E5"/>
    <w:rsid w:val="00C048FF"/>
    <w:rsid w:val="00C04CAF"/>
    <w:rsid w:val="00C04D8A"/>
    <w:rsid w:val="00C04F5D"/>
    <w:rsid w:val="00C05753"/>
    <w:rsid w:val="00C05BD0"/>
    <w:rsid w:val="00C05BE1"/>
    <w:rsid w:val="00C0613E"/>
    <w:rsid w:val="00C069F8"/>
    <w:rsid w:val="00C07297"/>
    <w:rsid w:val="00C072FC"/>
    <w:rsid w:val="00C0782C"/>
    <w:rsid w:val="00C079E1"/>
    <w:rsid w:val="00C07FC8"/>
    <w:rsid w:val="00C10D9F"/>
    <w:rsid w:val="00C11487"/>
    <w:rsid w:val="00C11607"/>
    <w:rsid w:val="00C119E0"/>
    <w:rsid w:val="00C11E6E"/>
    <w:rsid w:val="00C11F50"/>
    <w:rsid w:val="00C122FB"/>
    <w:rsid w:val="00C1241A"/>
    <w:rsid w:val="00C126E5"/>
    <w:rsid w:val="00C12D90"/>
    <w:rsid w:val="00C12DE2"/>
    <w:rsid w:val="00C131E7"/>
    <w:rsid w:val="00C1336E"/>
    <w:rsid w:val="00C139E4"/>
    <w:rsid w:val="00C13DA6"/>
    <w:rsid w:val="00C146FF"/>
    <w:rsid w:val="00C14A6F"/>
    <w:rsid w:val="00C14BEE"/>
    <w:rsid w:val="00C14C83"/>
    <w:rsid w:val="00C150A8"/>
    <w:rsid w:val="00C156BE"/>
    <w:rsid w:val="00C15CCF"/>
    <w:rsid w:val="00C15CE9"/>
    <w:rsid w:val="00C166F1"/>
    <w:rsid w:val="00C1673C"/>
    <w:rsid w:val="00C16749"/>
    <w:rsid w:val="00C168D8"/>
    <w:rsid w:val="00C1692B"/>
    <w:rsid w:val="00C169A7"/>
    <w:rsid w:val="00C16CC9"/>
    <w:rsid w:val="00C16E56"/>
    <w:rsid w:val="00C16ECF"/>
    <w:rsid w:val="00C1760E"/>
    <w:rsid w:val="00C17713"/>
    <w:rsid w:val="00C17A41"/>
    <w:rsid w:val="00C17AF7"/>
    <w:rsid w:val="00C17E43"/>
    <w:rsid w:val="00C20601"/>
    <w:rsid w:val="00C206FE"/>
    <w:rsid w:val="00C20907"/>
    <w:rsid w:val="00C217FE"/>
    <w:rsid w:val="00C21F08"/>
    <w:rsid w:val="00C22265"/>
    <w:rsid w:val="00C22626"/>
    <w:rsid w:val="00C22660"/>
    <w:rsid w:val="00C2266F"/>
    <w:rsid w:val="00C22FC1"/>
    <w:rsid w:val="00C233F0"/>
    <w:rsid w:val="00C23619"/>
    <w:rsid w:val="00C239EC"/>
    <w:rsid w:val="00C23A91"/>
    <w:rsid w:val="00C24420"/>
    <w:rsid w:val="00C24B99"/>
    <w:rsid w:val="00C24BEF"/>
    <w:rsid w:val="00C24D0B"/>
    <w:rsid w:val="00C24ECF"/>
    <w:rsid w:val="00C2510C"/>
    <w:rsid w:val="00C25B7D"/>
    <w:rsid w:val="00C25C15"/>
    <w:rsid w:val="00C25C7D"/>
    <w:rsid w:val="00C25CF4"/>
    <w:rsid w:val="00C25DD3"/>
    <w:rsid w:val="00C26008"/>
    <w:rsid w:val="00C263A7"/>
    <w:rsid w:val="00C2643D"/>
    <w:rsid w:val="00C2649B"/>
    <w:rsid w:val="00C26572"/>
    <w:rsid w:val="00C267B9"/>
    <w:rsid w:val="00C268D6"/>
    <w:rsid w:val="00C27638"/>
    <w:rsid w:val="00C27A7B"/>
    <w:rsid w:val="00C27B65"/>
    <w:rsid w:val="00C27C04"/>
    <w:rsid w:val="00C3013C"/>
    <w:rsid w:val="00C30359"/>
    <w:rsid w:val="00C30413"/>
    <w:rsid w:val="00C30557"/>
    <w:rsid w:val="00C306AE"/>
    <w:rsid w:val="00C30A81"/>
    <w:rsid w:val="00C30BDE"/>
    <w:rsid w:val="00C30EAB"/>
    <w:rsid w:val="00C3106B"/>
    <w:rsid w:val="00C3123E"/>
    <w:rsid w:val="00C31380"/>
    <w:rsid w:val="00C31383"/>
    <w:rsid w:val="00C31595"/>
    <w:rsid w:val="00C31D60"/>
    <w:rsid w:val="00C31DF0"/>
    <w:rsid w:val="00C3212D"/>
    <w:rsid w:val="00C3235F"/>
    <w:rsid w:val="00C32482"/>
    <w:rsid w:val="00C32992"/>
    <w:rsid w:val="00C32EB7"/>
    <w:rsid w:val="00C3375B"/>
    <w:rsid w:val="00C33EDD"/>
    <w:rsid w:val="00C342F1"/>
    <w:rsid w:val="00C3437B"/>
    <w:rsid w:val="00C34C44"/>
    <w:rsid w:val="00C35786"/>
    <w:rsid w:val="00C35991"/>
    <w:rsid w:val="00C35ADE"/>
    <w:rsid w:val="00C35E20"/>
    <w:rsid w:val="00C36058"/>
    <w:rsid w:val="00C3661E"/>
    <w:rsid w:val="00C369D2"/>
    <w:rsid w:val="00C36F63"/>
    <w:rsid w:val="00C36FA2"/>
    <w:rsid w:val="00C36FC3"/>
    <w:rsid w:val="00C37129"/>
    <w:rsid w:val="00C37364"/>
    <w:rsid w:val="00C37D7C"/>
    <w:rsid w:val="00C37DD6"/>
    <w:rsid w:val="00C37E1C"/>
    <w:rsid w:val="00C4022F"/>
    <w:rsid w:val="00C40973"/>
    <w:rsid w:val="00C40D7B"/>
    <w:rsid w:val="00C41459"/>
    <w:rsid w:val="00C4150B"/>
    <w:rsid w:val="00C42321"/>
    <w:rsid w:val="00C42CDE"/>
    <w:rsid w:val="00C42E5E"/>
    <w:rsid w:val="00C4337D"/>
    <w:rsid w:val="00C44591"/>
    <w:rsid w:val="00C44A8E"/>
    <w:rsid w:val="00C44BC3"/>
    <w:rsid w:val="00C44E50"/>
    <w:rsid w:val="00C450B9"/>
    <w:rsid w:val="00C45247"/>
    <w:rsid w:val="00C454D7"/>
    <w:rsid w:val="00C45914"/>
    <w:rsid w:val="00C46302"/>
    <w:rsid w:val="00C464C0"/>
    <w:rsid w:val="00C4658D"/>
    <w:rsid w:val="00C46907"/>
    <w:rsid w:val="00C46962"/>
    <w:rsid w:val="00C46AA3"/>
    <w:rsid w:val="00C46D0C"/>
    <w:rsid w:val="00C47129"/>
    <w:rsid w:val="00C47485"/>
    <w:rsid w:val="00C4760C"/>
    <w:rsid w:val="00C47E1C"/>
    <w:rsid w:val="00C5070F"/>
    <w:rsid w:val="00C5084B"/>
    <w:rsid w:val="00C5085B"/>
    <w:rsid w:val="00C50BA6"/>
    <w:rsid w:val="00C50DB3"/>
    <w:rsid w:val="00C50DBC"/>
    <w:rsid w:val="00C50EB6"/>
    <w:rsid w:val="00C51B23"/>
    <w:rsid w:val="00C51BA2"/>
    <w:rsid w:val="00C51F56"/>
    <w:rsid w:val="00C52205"/>
    <w:rsid w:val="00C52591"/>
    <w:rsid w:val="00C5272D"/>
    <w:rsid w:val="00C52819"/>
    <w:rsid w:val="00C52FE8"/>
    <w:rsid w:val="00C53216"/>
    <w:rsid w:val="00C53299"/>
    <w:rsid w:val="00C53942"/>
    <w:rsid w:val="00C544E4"/>
    <w:rsid w:val="00C550F4"/>
    <w:rsid w:val="00C55548"/>
    <w:rsid w:val="00C555EF"/>
    <w:rsid w:val="00C55787"/>
    <w:rsid w:val="00C55C03"/>
    <w:rsid w:val="00C55C94"/>
    <w:rsid w:val="00C56900"/>
    <w:rsid w:val="00C56C16"/>
    <w:rsid w:val="00C57088"/>
    <w:rsid w:val="00C57417"/>
    <w:rsid w:val="00C57487"/>
    <w:rsid w:val="00C57BDD"/>
    <w:rsid w:val="00C57C26"/>
    <w:rsid w:val="00C60095"/>
    <w:rsid w:val="00C60712"/>
    <w:rsid w:val="00C6083B"/>
    <w:rsid w:val="00C6094C"/>
    <w:rsid w:val="00C60AF0"/>
    <w:rsid w:val="00C60F22"/>
    <w:rsid w:val="00C60FA7"/>
    <w:rsid w:val="00C611D7"/>
    <w:rsid w:val="00C61BE2"/>
    <w:rsid w:val="00C62196"/>
    <w:rsid w:val="00C62416"/>
    <w:rsid w:val="00C62FFC"/>
    <w:rsid w:val="00C63370"/>
    <w:rsid w:val="00C646AC"/>
    <w:rsid w:val="00C649B5"/>
    <w:rsid w:val="00C649D3"/>
    <w:rsid w:val="00C64A1A"/>
    <w:rsid w:val="00C64BB4"/>
    <w:rsid w:val="00C64DEB"/>
    <w:rsid w:val="00C64FF5"/>
    <w:rsid w:val="00C65686"/>
    <w:rsid w:val="00C6591B"/>
    <w:rsid w:val="00C65CDD"/>
    <w:rsid w:val="00C66263"/>
    <w:rsid w:val="00C663FB"/>
    <w:rsid w:val="00C665EF"/>
    <w:rsid w:val="00C666A3"/>
    <w:rsid w:val="00C666AC"/>
    <w:rsid w:val="00C66A7D"/>
    <w:rsid w:val="00C66D08"/>
    <w:rsid w:val="00C673C3"/>
    <w:rsid w:val="00C67C4D"/>
    <w:rsid w:val="00C67CB1"/>
    <w:rsid w:val="00C67CCC"/>
    <w:rsid w:val="00C67E2A"/>
    <w:rsid w:val="00C67EA2"/>
    <w:rsid w:val="00C710E9"/>
    <w:rsid w:val="00C710EE"/>
    <w:rsid w:val="00C711EE"/>
    <w:rsid w:val="00C713EF"/>
    <w:rsid w:val="00C715DE"/>
    <w:rsid w:val="00C717B3"/>
    <w:rsid w:val="00C71CFD"/>
    <w:rsid w:val="00C71EEE"/>
    <w:rsid w:val="00C727B3"/>
    <w:rsid w:val="00C72997"/>
    <w:rsid w:val="00C729D5"/>
    <w:rsid w:val="00C72A5A"/>
    <w:rsid w:val="00C72D21"/>
    <w:rsid w:val="00C72EFB"/>
    <w:rsid w:val="00C73B4C"/>
    <w:rsid w:val="00C73E2E"/>
    <w:rsid w:val="00C74448"/>
    <w:rsid w:val="00C74EA1"/>
    <w:rsid w:val="00C7511D"/>
    <w:rsid w:val="00C754B9"/>
    <w:rsid w:val="00C75597"/>
    <w:rsid w:val="00C7575C"/>
    <w:rsid w:val="00C75784"/>
    <w:rsid w:val="00C7582D"/>
    <w:rsid w:val="00C75ADC"/>
    <w:rsid w:val="00C75F96"/>
    <w:rsid w:val="00C76158"/>
    <w:rsid w:val="00C76801"/>
    <w:rsid w:val="00C7690B"/>
    <w:rsid w:val="00C76B7E"/>
    <w:rsid w:val="00C76C62"/>
    <w:rsid w:val="00C770CB"/>
    <w:rsid w:val="00C772FC"/>
    <w:rsid w:val="00C77992"/>
    <w:rsid w:val="00C779C7"/>
    <w:rsid w:val="00C779E6"/>
    <w:rsid w:val="00C800DD"/>
    <w:rsid w:val="00C80192"/>
    <w:rsid w:val="00C8034A"/>
    <w:rsid w:val="00C80395"/>
    <w:rsid w:val="00C80525"/>
    <w:rsid w:val="00C80ACB"/>
    <w:rsid w:val="00C80C10"/>
    <w:rsid w:val="00C812B6"/>
    <w:rsid w:val="00C81B61"/>
    <w:rsid w:val="00C81D9C"/>
    <w:rsid w:val="00C81E5D"/>
    <w:rsid w:val="00C820B2"/>
    <w:rsid w:val="00C82252"/>
    <w:rsid w:val="00C823A1"/>
    <w:rsid w:val="00C824B9"/>
    <w:rsid w:val="00C8284D"/>
    <w:rsid w:val="00C82FD9"/>
    <w:rsid w:val="00C83660"/>
    <w:rsid w:val="00C83851"/>
    <w:rsid w:val="00C83A20"/>
    <w:rsid w:val="00C83F48"/>
    <w:rsid w:val="00C8436D"/>
    <w:rsid w:val="00C84C6C"/>
    <w:rsid w:val="00C858EB"/>
    <w:rsid w:val="00C859AB"/>
    <w:rsid w:val="00C85BC4"/>
    <w:rsid w:val="00C85BF2"/>
    <w:rsid w:val="00C85EB3"/>
    <w:rsid w:val="00C85F95"/>
    <w:rsid w:val="00C860BA"/>
    <w:rsid w:val="00C861A0"/>
    <w:rsid w:val="00C86217"/>
    <w:rsid w:val="00C865B3"/>
    <w:rsid w:val="00C867B0"/>
    <w:rsid w:val="00C870EF"/>
    <w:rsid w:val="00C876EA"/>
    <w:rsid w:val="00C87A78"/>
    <w:rsid w:val="00C87C67"/>
    <w:rsid w:val="00C87EDC"/>
    <w:rsid w:val="00C87F33"/>
    <w:rsid w:val="00C90120"/>
    <w:rsid w:val="00C90222"/>
    <w:rsid w:val="00C902E6"/>
    <w:rsid w:val="00C9030F"/>
    <w:rsid w:val="00C903B0"/>
    <w:rsid w:val="00C90453"/>
    <w:rsid w:val="00C90976"/>
    <w:rsid w:val="00C90B23"/>
    <w:rsid w:val="00C90E71"/>
    <w:rsid w:val="00C90E97"/>
    <w:rsid w:val="00C9120E"/>
    <w:rsid w:val="00C913FA"/>
    <w:rsid w:val="00C92117"/>
    <w:rsid w:val="00C922AA"/>
    <w:rsid w:val="00C92ACF"/>
    <w:rsid w:val="00C93217"/>
    <w:rsid w:val="00C934AD"/>
    <w:rsid w:val="00C939AD"/>
    <w:rsid w:val="00C93FC2"/>
    <w:rsid w:val="00C94336"/>
    <w:rsid w:val="00C9477B"/>
    <w:rsid w:val="00C948F0"/>
    <w:rsid w:val="00C94A85"/>
    <w:rsid w:val="00C94CAD"/>
    <w:rsid w:val="00C95407"/>
    <w:rsid w:val="00C95AF1"/>
    <w:rsid w:val="00C95E09"/>
    <w:rsid w:val="00C96091"/>
    <w:rsid w:val="00C971AB"/>
    <w:rsid w:val="00C9754A"/>
    <w:rsid w:val="00C97569"/>
    <w:rsid w:val="00C975E5"/>
    <w:rsid w:val="00C975E7"/>
    <w:rsid w:val="00C97750"/>
    <w:rsid w:val="00C97A09"/>
    <w:rsid w:val="00C97A1D"/>
    <w:rsid w:val="00C97C79"/>
    <w:rsid w:val="00C97DCC"/>
    <w:rsid w:val="00C97DF3"/>
    <w:rsid w:val="00CA0030"/>
    <w:rsid w:val="00CA0202"/>
    <w:rsid w:val="00CA0593"/>
    <w:rsid w:val="00CA0B04"/>
    <w:rsid w:val="00CA0E46"/>
    <w:rsid w:val="00CA110A"/>
    <w:rsid w:val="00CA1347"/>
    <w:rsid w:val="00CA19B9"/>
    <w:rsid w:val="00CA25EF"/>
    <w:rsid w:val="00CA28EA"/>
    <w:rsid w:val="00CA2BB0"/>
    <w:rsid w:val="00CA2BD3"/>
    <w:rsid w:val="00CA2D5F"/>
    <w:rsid w:val="00CA3039"/>
    <w:rsid w:val="00CA3301"/>
    <w:rsid w:val="00CA3404"/>
    <w:rsid w:val="00CA36B1"/>
    <w:rsid w:val="00CA3725"/>
    <w:rsid w:val="00CA37B1"/>
    <w:rsid w:val="00CA398C"/>
    <w:rsid w:val="00CA3C5F"/>
    <w:rsid w:val="00CA3CAF"/>
    <w:rsid w:val="00CA4271"/>
    <w:rsid w:val="00CA44DE"/>
    <w:rsid w:val="00CA491C"/>
    <w:rsid w:val="00CA4D1E"/>
    <w:rsid w:val="00CA4D61"/>
    <w:rsid w:val="00CA50D9"/>
    <w:rsid w:val="00CA569A"/>
    <w:rsid w:val="00CA6389"/>
    <w:rsid w:val="00CA66F6"/>
    <w:rsid w:val="00CA6EC4"/>
    <w:rsid w:val="00CA731A"/>
    <w:rsid w:val="00CA7465"/>
    <w:rsid w:val="00CA7CE4"/>
    <w:rsid w:val="00CA7F89"/>
    <w:rsid w:val="00CB050D"/>
    <w:rsid w:val="00CB0C1B"/>
    <w:rsid w:val="00CB0EE0"/>
    <w:rsid w:val="00CB14F7"/>
    <w:rsid w:val="00CB1535"/>
    <w:rsid w:val="00CB15C8"/>
    <w:rsid w:val="00CB16D3"/>
    <w:rsid w:val="00CB1959"/>
    <w:rsid w:val="00CB1BAE"/>
    <w:rsid w:val="00CB20AF"/>
    <w:rsid w:val="00CB2504"/>
    <w:rsid w:val="00CB28E3"/>
    <w:rsid w:val="00CB2A3C"/>
    <w:rsid w:val="00CB2A4C"/>
    <w:rsid w:val="00CB2B04"/>
    <w:rsid w:val="00CB2C06"/>
    <w:rsid w:val="00CB2C12"/>
    <w:rsid w:val="00CB2E1E"/>
    <w:rsid w:val="00CB308C"/>
    <w:rsid w:val="00CB36FC"/>
    <w:rsid w:val="00CB372F"/>
    <w:rsid w:val="00CB37D4"/>
    <w:rsid w:val="00CB38C1"/>
    <w:rsid w:val="00CB3E3D"/>
    <w:rsid w:val="00CB3F39"/>
    <w:rsid w:val="00CB4065"/>
    <w:rsid w:val="00CB413C"/>
    <w:rsid w:val="00CB4486"/>
    <w:rsid w:val="00CB4775"/>
    <w:rsid w:val="00CB49F3"/>
    <w:rsid w:val="00CB49F6"/>
    <w:rsid w:val="00CB5120"/>
    <w:rsid w:val="00CB5FCE"/>
    <w:rsid w:val="00CB613D"/>
    <w:rsid w:val="00CB6496"/>
    <w:rsid w:val="00CB69B3"/>
    <w:rsid w:val="00CB6D35"/>
    <w:rsid w:val="00CB6EF2"/>
    <w:rsid w:val="00CB75B2"/>
    <w:rsid w:val="00CB7B28"/>
    <w:rsid w:val="00CB7CC0"/>
    <w:rsid w:val="00CB7D65"/>
    <w:rsid w:val="00CC01B6"/>
    <w:rsid w:val="00CC0203"/>
    <w:rsid w:val="00CC04C0"/>
    <w:rsid w:val="00CC0B0A"/>
    <w:rsid w:val="00CC0EF1"/>
    <w:rsid w:val="00CC107F"/>
    <w:rsid w:val="00CC144A"/>
    <w:rsid w:val="00CC1862"/>
    <w:rsid w:val="00CC1D87"/>
    <w:rsid w:val="00CC2326"/>
    <w:rsid w:val="00CC278E"/>
    <w:rsid w:val="00CC2E53"/>
    <w:rsid w:val="00CC3256"/>
    <w:rsid w:val="00CC34EA"/>
    <w:rsid w:val="00CC3587"/>
    <w:rsid w:val="00CC385A"/>
    <w:rsid w:val="00CC3E18"/>
    <w:rsid w:val="00CC448A"/>
    <w:rsid w:val="00CC4502"/>
    <w:rsid w:val="00CC4D37"/>
    <w:rsid w:val="00CC4EA1"/>
    <w:rsid w:val="00CC50CC"/>
    <w:rsid w:val="00CC5329"/>
    <w:rsid w:val="00CC5564"/>
    <w:rsid w:val="00CC5618"/>
    <w:rsid w:val="00CC57EF"/>
    <w:rsid w:val="00CC5977"/>
    <w:rsid w:val="00CC5AB1"/>
    <w:rsid w:val="00CC5BB0"/>
    <w:rsid w:val="00CC61A0"/>
    <w:rsid w:val="00CC6445"/>
    <w:rsid w:val="00CC6BB0"/>
    <w:rsid w:val="00CC6BB6"/>
    <w:rsid w:val="00CC6C68"/>
    <w:rsid w:val="00CC6D87"/>
    <w:rsid w:val="00CC6FC4"/>
    <w:rsid w:val="00CC7365"/>
    <w:rsid w:val="00CC7625"/>
    <w:rsid w:val="00CC7A69"/>
    <w:rsid w:val="00CC7B2C"/>
    <w:rsid w:val="00CD040C"/>
    <w:rsid w:val="00CD0900"/>
    <w:rsid w:val="00CD0BFA"/>
    <w:rsid w:val="00CD0F3A"/>
    <w:rsid w:val="00CD1430"/>
    <w:rsid w:val="00CD18A1"/>
    <w:rsid w:val="00CD1DD1"/>
    <w:rsid w:val="00CD2628"/>
    <w:rsid w:val="00CD38E1"/>
    <w:rsid w:val="00CD3C63"/>
    <w:rsid w:val="00CD3E53"/>
    <w:rsid w:val="00CD3FD2"/>
    <w:rsid w:val="00CD425D"/>
    <w:rsid w:val="00CD4863"/>
    <w:rsid w:val="00CD498C"/>
    <w:rsid w:val="00CD4B79"/>
    <w:rsid w:val="00CD4B7D"/>
    <w:rsid w:val="00CD5200"/>
    <w:rsid w:val="00CD5348"/>
    <w:rsid w:val="00CD55D0"/>
    <w:rsid w:val="00CD5947"/>
    <w:rsid w:val="00CD5D5F"/>
    <w:rsid w:val="00CD5EC0"/>
    <w:rsid w:val="00CD5F0A"/>
    <w:rsid w:val="00CD6217"/>
    <w:rsid w:val="00CD63EB"/>
    <w:rsid w:val="00CD6C1B"/>
    <w:rsid w:val="00CD7212"/>
    <w:rsid w:val="00CD7617"/>
    <w:rsid w:val="00CD7C43"/>
    <w:rsid w:val="00CD7C8E"/>
    <w:rsid w:val="00CD7EA0"/>
    <w:rsid w:val="00CE0137"/>
    <w:rsid w:val="00CE02B2"/>
    <w:rsid w:val="00CE02EE"/>
    <w:rsid w:val="00CE04ED"/>
    <w:rsid w:val="00CE0964"/>
    <w:rsid w:val="00CE172A"/>
    <w:rsid w:val="00CE1931"/>
    <w:rsid w:val="00CE25D4"/>
    <w:rsid w:val="00CE2614"/>
    <w:rsid w:val="00CE2856"/>
    <w:rsid w:val="00CE2DB5"/>
    <w:rsid w:val="00CE3031"/>
    <w:rsid w:val="00CE3334"/>
    <w:rsid w:val="00CE34A8"/>
    <w:rsid w:val="00CE39BD"/>
    <w:rsid w:val="00CE3CC5"/>
    <w:rsid w:val="00CE43AD"/>
    <w:rsid w:val="00CE456E"/>
    <w:rsid w:val="00CE47DF"/>
    <w:rsid w:val="00CE499F"/>
    <w:rsid w:val="00CE4E65"/>
    <w:rsid w:val="00CE4E97"/>
    <w:rsid w:val="00CE4FE0"/>
    <w:rsid w:val="00CE5034"/>
    <w:rsid w:val="00CE5502"/>
    <w:rsid w:val="00CE6692"/>
    <w:rsid w:val="00CE6848"/>
    <w:rsid w:val="00CE6B32"/>
    <w:rsid w:val="00CE6E7C"/>
    <w:rsid w:val="00CE7381"/>
    <w:rsid w:val="00CF0ACA"/>
    <w:rsid w:val="00CF0DFB"/>
    <w:rsid w:val="00CF12FF"/>
    <w:rsid w:val="00CF1553"/>
    <w:rsid w:val="00CF1806"/>
    <w:rsid w:val="00CF1ABB"/>
    <w:rsid w:val="00CF1E52"/>
    <w:rsid w:val="00CF266C"/>
    <w:rsid w:val="00CF269C"/>
    <w:rsid w:val="00CF2D10"/>
    <w:rsid w:val="00CF3056"/>
    <w:rsid w:val="00CF3858"/>
    <w:rsid w:val="00CF3AFF"/>
    <w:rsid w:val="00CF3D08"/>
    <w:rsid w:val="00CF3D84"/>
    <w:rsid w:val="00CF41D9"/>
    <w:rsid w:val="00CF4325"/>
    <w:rsid w:val="00CF4547"/>
    <w:rsid w:val="00CF47FC"/>
    <w:rsid w:val="00CF50AD"/>
    <w:rsid w:val="00CF662F"/>
    <w:rsid w:val="00CF6BE7"/>
    <w:rsid w:val="00CF6C7A"/>
    <w:rsid w:val="00CF6DF3"/>
    <w:rsid w:val="00CF7CDC"/>
    <w:rsid w:val="00D00140"/>
    <w:rsid w:val="00D0017A"/>
    <w:rsid w:val="00D00240"/>
    <w:rsid w:val="00D006E9"/>
    <w:rsid w:val="00D008E6"/>
    <w:rsid w:val="00D00A28"/>
    <w:rsid w:val="00D00E17"/>
    <w:rsid w:val="00D014EA"/>
    <w:rsid w:val="00D017C7"/>
    <w:rsid w:val="00D018F5"/>
    <w:rsid w:val="00D01F3E"/>
    <w:rsid w:val="00D0240D"/>
    <w:rsid w:val="00D0296C"/>
    <w:rsid w:val="00D02E5C"/>
    <w:rsid w:val="00D02E80"/>
    <w:rsid w:val="00D03723"/>
    <w:rsid w:val="00D03A1D"/>
    <w:rsid w:val="00D03A45"/>
    <w:rsid w:val="00D03C94"/>
    <w:rsid w:val="00D03E3B"/>
    <w:rsid w:val="00D03E8A"/>
    <w:rsid w:val="00D04135"/>
    <w:rsid w:val="00D04B5D"/>
    <w:rsid w:val="00D04BDF"/>
    <w:rsid w:val="00D04FDB"/>
    <w:rsid w:val="00D05530"/>
    <w:rsid w:val="00D05587"/>
    <w:rsid w:val="00D05C40"/>
    <w:rsid w:val="00D05F85"/>
    <w:rsid w:val="00D06060"/>
    <w:rsid w:val="00D06563"/>
    <w:rsid w:val="00D06868"/>
    <w:rsid w:val="00D06C47"/>
    <w:rsid w:val="00D06F41"/>
    <w:rsid w:val="00D0729E"/>
    <w:rsid w:val="00D07AE4"/>
    <w:rsid w:val="00D07CC2"/>
    <w:rsid w:val="00D07FDE"/>
    <w:rsid w:val="00D10028"/>
    <w:rsid w:val="00D1023F"/>
    <w:rsid w:val="00D102ED"/>
    <w:rsid w:val="00D1035F"/>
    <w:rsid w:val="00D1038A"/>
    <w:rsid w:val="00D10947"/>
    <w:rsid w:val="00D10AAF"/>
    <w:rsid w:val="00D10C43"/>
    <w:rsid w:val="00D113A8"/>
    <w:rsid w:val="00D116C6"/>
    <w:rsid w:val="00D116F5"/>
    <w:rsid w:val="00D11F64"/>
    <w:rsid w:val="00D1206C"/>
    <w:rsid w:val="00D127E0"/>
    <w:rsid w:val="00D12F8D"/>
    <w:rsid w:val="00D1322E"/>
    <w:rsid w:val="00D132E4"/>
    <w:rsid w:val="00D13382"/>
    <w:rsid w:val="00D134C2"/>
    <w:rsid w:val="00D1423C"/>
    <w:rsid w:val="00D1432F"/>
    <w:rsid w:val="00D14656"/>
    <w:rsid w:val="00D14759"/>
    <w:rsid w:val="00D1486D"/>
    <w:rsid w:val="00D14B6B"/>
    <w:rsid w:val="00D14E1A"/>
    <w:rsid w:val="00D15314"/>
    <w:rsid w:val="00D15319"/>
    <w:rsid w:val="00D157AC"/>
    <w:rsid w:val="00D158FF"/>
    <w:rsid w:val="00D15DC6"/>
    <w:rsid w:val="00D1624D"/>
    <w:rsid w:val="00D16CA8"/>
    <w:rsid w:val="00D16E93"/>
    <w:rsid w:val="00D16F86"/>
    <w:rsid w:val="00D17137"/>
    <w:rsid w:val="00D172B8"/>
    <w:rsid w:val="00D1731B"/>
    <w:rsid w:val="00D17652"/>
    <w:rsid w:val="00D176CF"/>
    <w:rsid w:val="00D17B92"/>
    <w:rsid w:val="00D17C25"/>
    <w:rsid w:val="00D17DE7"/>
    <w:rsid w:val="00D17E5F"/>
    <w:rsid w:val="00D20692"/>
    <w:rsid w:val="00D20A5F"/>
    <w:rsid w:val="00D20D84"/>
    <w:rsid w:val="00D211E8"/>
    <w:rsid w:val="00D22869"/>
    <w:rsid w:val="00D2396D"/>
    <w:rsid w:val="00D23A5F"/>
    <w:rsid w:val="00D23ACF"/>
    <w:rsid w:val="00D23DF5"/>
    <w:rsid w:val="00D2417F"/>
    <w:rsid w:val="00D2446C"/>
    <w:rsid w:val="00D24A14"/>
    <w:rsid w:val="00D252D9"/>
    <w:rsid w:val="00D25BFD"/>
    <w:rsid w:val="00D26098"/>
    <w:rsid w:val="00D260B2"/>
    <w:rsid w:val="00D262BA"/>
    <w:rsid w:val="00D263E1"/>
    <w:rsid w:val="00D27054"/>
    <w:rsid w:val="00D27315"/>
    <w:rsid w:val="00D2735C"/>
    <w:rsid w:val="00D27F46"/>
    <w:rsid w:val="00D3007B"/>
    <w:rsid w:val="00D300DD"/>
    <w:rsid w:val="00D3045E"/>
    <w:rsid w:val="00D30B40"/>
    <w:rsid w:val="00D3159A"/>
    <w:rsid w:val="00D31A09"/>
    <w:rsid w:val="00D31A9C"/>
    <w:rsid w:val="00D322D1"/>
    <w:rsid w:val="00D324C1"/>
    <w:rsid w:val="00D32AEC"/>
    <w:rsid w:val="00D3358D"/>
    <w:rsid w:val="00D337A0"/>
    <w:rsid w:val="00D33A43"/>
    <w:rsid w:val="00D33B8E"/>
    <w:rsid w:val="00D33E17"/>
    <w:rsid w:val="00D34350"/>
    <w:rsid w:val="00D34468"/>
    <w:rsid w:val="00D34BFA"/>
    <w:rsid w:val="00D34C15"/>
    <w:rsid w:val="00D350F5"/>
    <w:rsid w:val="00D35D60"/>
    <w:rsid w:val="00D35F67"/>
    <w:rsid w:val="00D36072"/>
    <w:rsid w:val="00D3668F"/>
    <w:rsid w:val="00D367E1"/>
    <w:rsid w:val="00D36E0D"/>
    <w:rsid w:val="00D36E42"/>
    <w:rsid w:val="00D370A7"/>
    <w:rsid w:val="00D37114"/>
    <w:rsid w:val="00D373D9"/>
    <w:rsid w:val="00D376EE"/>
    <w:rsid w:val="00D37CEC"/>
    <w:rsid w:val="00D4043F"/>
    <w:rsid w:val="00D40689"/>
    <w:rsid w:val="00D4068C"/>
    <w:rsid w:val="00D40745"/>
    <w:rsid w:val="00D40BA1"/>
    <w:rsid w:val="00D40DE4"/>
    <w:rsid w:val="00D4140B"/>
    <w:rsid w:val="00D419C8"/>
    <w:rsid w:val="00D4245E"/>
    <w:rsid w:val="00D428B6"/>
    <w:rsid w:val="00D432CE"/>
    <w:rsid w:val="00D4342C"/>
    <w:rsid w:val="00D43480"/>
    <w:rsid w:val="00D43990"/>
    <w:rsid w:val="00D43D7C"/>
    <w:rsid w:val="00D43D83"/>
    <w:rsid w:val="00D447AF"/>
    <w:rsid w:val="00D4487F"/>
    <w:rsid w:val="00D448AE"/>
    <w:rsid w:val="00D44BCC"/>
    <w:rsid w:val="00D44DBC"/>
    <w:rsid w:val="00D4524C"/>
    <w:rsid w:val="00D4537D"/>
    <w:rsid w:val="00D45389"/>
    <w:rsid w:val="00D45B38"/>
    <w:rsid w:val="00D46118"/>
    <w:rsid w:val="00D46149"/>
    <w:rsid w:val="00D467B5"/>
    <w:rsid w:val="00D46D82"/>
    <w:rsid w:val="00D46D9E"/>
    <w:rsid w:val="00D46FFE"/>
    <w:rsid w:val="00D47314"/>
    <w:rsid w:val="00D473C1"/>
    <w:rsid w:val="00D47BA8"/>
    <w:rsid w:val="00D5041C"/>
    <w:rsid w:val="00D50864"/>
    <w:rsid w:val="00D50DBB"/>
    <w:rsid w:val="00D510DA"/>
    <w:rsid w:val="00D517C0"/>
    <w:rsid w:val="00D51BFD"/>
    <w:rsid w:val="00D51CF9"/>
    <w:rsid w:val="00D5204B"/>
    <w:rsid w:val="00D52281"/>
    <w:rsid w:val="00D52446"/>
    <w:rsid w:val="00D52901"/>
    <w:rsid w:val="00D52B1D"/>
    <w:rsid w:val="00D530B7"/>
    <w:rsid w:val="00D530ED"/>
    <w:rsid w:val="00D53304"/>
    <w:rsid w:val="00D53965"/>
    <w:rsid w:val="00D53990"/>
    <w:rsid w:val="00D54203"/>
    <w:rsid w:val="00D54379"/>
    <w:rsid w:val="00D5562D"/>
    <w:rsid w:val="00D5591E"/>
    <w:rsid w:val="00D55A04"/>
    <w:rsid w:val="00D55B5D"/>
    <w:rsid w:val="00D5667D"/>
    <w:rsid w:val="00D5682E"/>
    <w:rsid w:val="00D568F4"/>
    <w:rsid w:val="00D56F59"/>
    <w:rsid w:val="00D56FC8"/>
    <w:rsid w:val="00D57087"/>
    <w:rsid w:val="00D57142"/>
    <w:rsid w:val="00D5739D"/>
    <w:rsid w:val="00D573EB"/>
    <w:rsid w:val="00D5769C"/>
    <w:rsid w:val="00D57743"/>
    <w:rsid w:val="00D577E0"/>
    <w:rsid w:val="00D57AB9"/>
    <w:rsid w:val="00D57BEB"/>
    <w:rsid w:val="00D57DE1"/>
    <w:rsid w:val="00D57E63"/>
    <w:rsid w:val="00D6003F"/>
    <w:rsid w:val="00D60847"/>
    <w:rsid w:val="00D60FAA"/>
    <w:rsid w:val="00D6111F"/>
    <w:rsid w:val="00D616B1"/>
    <w:rsid w:val="00D62138"/>
    <w:rsid w:val="00D62FC7"/>
    <w:rsid w:val="00D63A26"/>
    <w:rsid w:val="00D63B56"/>
    <w:rsid w:val="00D63C80"/>
    <w:rsid w:val="00D63E25"/>
    <w:rsid w:val="00D64774"/>
    <w:rsid w:val="00D64873"/>
    <w:rsid w:val="00D64A51"/>
    <w:rsid w:val="00D64CB3"/>
    <w:rsid w:val="00D64CEA"/>
    <w:rsid w:val="00D64D63"/>
    <w:rsid w:val="00D655A8"/>
    <w:rsid w:val="00D65BBA"/>
    <w:rsid w:val="00D65C76"/>
    <w:rsid w:val="00D65C98"/>
    <w:rsid w:val="00D65E6C"/>
    <w:rsid w:val="00D65EAA"/>
    <w:rsid w:val="00D660D6"/>
    <w:rsid w:val="00D66324"/>
    <w:rsid w:val="00D67005"/>
    <w:rsid w:val="00D67291"/>
    <w:rsid w:val="00D678E9"/>
    <w:rsid w:val="00D67B0A"/>
    <w:rsid w:val="00D70B89"/>
    <w:rsid w:val="00D70D14"/>
    <w:rsid w:val="00D71867"/>
    <w:rsid w:val="00D71DAA"/>
    <w:rsid w:val="00D7217C"/>
    <w:rsid w:val="00D72382"/>
    <w:rsid w:val="00D7275E"/>
    <w:rsid w:val="00D73760"/>
    <w:rsid w:val="00D73C1F"/>
    <w:rsid w:val="00D73C72"/>
    <w:rsid w:val="00D73FEB"/>
    <w:rsid w:val="00D74282"/>
    <w:rsid w:val="00D74888"/>
    <w:rsid w:val="00D753E7"/>
    <w:rsid w:val="00D7558A"/>
    <w:rsid w:val="00D759D9"/>
    <w:rsid w:val="00D75CF6"/>
    <w:rsid w:val="00D75D60"/>
    <w:rsid w:val="00D75E68"/>
    <w:rsid w:val="00D76148"/>
    <w:rsid w:val="00D76AF8"/>
    <w:rsid w:val="00D76CD8"/>
    <w:rsid w:val="00D76FE3"/>
    <w:rsid w:val="00D77482"/>
    <w:rsid w:val="00D774D6"/>
    <w:rsid w:val="00D775DB"/>
    <w:rsid w:val="00D77823"/>
    <w:rsid w:val="00D77B8C"/>
    <w:rsid w:val="00D77E92"/>
    <w:rsid w:val="00D80663"/>
    <w:rsid w:val="00D8068A"/>
    <w:rsid w:val="00D80BD3"/>
    <w:rsid w:val="00D8106A"/>
    <w:rsid w:val="00D8106B"/>
    <w:rsid w:val="00D81522"/>
    <w:rsid w:val="00D815CA"/>
    <w:rsid w:val="00D81AFF"/>
    <w:rsid w:val="00D81DBD"/>
    <w:rsid w:val="00D81DFB"/>
    <w:rsid w:val="00D8202F"/>
    <w:rsid w:val="00D82201"/>
    <w:rsid w:val="00D824FC"/>
    <w:rsid w:val="00D8290E"/>
    <w:rsid w:val="00D829EC"/>
    <w:rsid w:val="00D8361E"/>
    <w:rsid w:val="00D8395D"/>
    <w:rsid w:val="00D84440"/>
    <w:rsid w:val="00D84634"/>
    <w:rsid w:val="00D84A2B"/>
    <w:rsid w:val="00D84B26"/>
    <w:rsid w:val="00D84CCE"/>
    <w:rsid w:val="00D84F26"/>
    <w:rsid w:val="00D84F59"/>
    <w:rsid w:val="00D85993"/>
    <w:rsid w:val="00D85D66"/>
    <w:rsid w:val="00D86A11"/>
    <w:rsid w:val="00D86B67"/>
    <w:rsid w:val="00D86CE7"/>
    <w:rsid w:val="00D86F9E"/>
    <w:rsid w:val="00D870F6"/>
    <w:rsid w:val="00D8727A"/>
    <w:rsid w:val="00D87546"/>
    <w:rsid w:val="00D87784"/>
    <w:rsid w:val="00D879CF"/>
    <w:rsid w:val="00D87CD3"/>
    <w:rsid w:val="00D87F7C"/>
    <w:rsid w:val="00D90240"/>
    <w:rsid w:val="00D903D8"/>
    <w:rsid w:val="00D9046D"/>
    <w:rsid w:val="00D9079B"/>
    <w:rsid w:val="00D918AD"/>
    <w:rsid w:val="00D921B6"/>
    <w:rsid w:val="00D92C47"/>
    <w:rsid w:val="00D93073"/>
    <w:rsid w:val="00D94802"/>
    <w:rsid w:val="00D94D75"/>
    <w:rsid w:val="00D950C5"/>
    <w:rsid w:val="00D950E6"/>
    <w:rsid w:val="00D95AD1"/>
    <w:rsid w:val="00D95B36"/>
    <w:rsid w:val="00D95C0E"/>
    <w:rsid w:val="00D961F4"/>
    <w:rsid w:val="00D965DA"/>
    <w:rsid w:val="00D96C23"/>
    <w:rsid w:val="00D976AA"/>
    <w:rsid w:val="00D978EA"/>
    <w:rsid w:val="00D97C7F"/>
    <w:rsid w:val="00D97EBB"/>
    <w:rsid w:val="00DA0C20"/>
    <w:rsid w:val="00DA0E66"/>
    <w:rsid w:val="00DA0EBC"/>
    <w:rsid w:val="00DA1188"/>
    <w:rsid w:val="00DA12E2"/>
    <w:rsid w:val="00DA160E"/>
    <w:rsid w:val="00DA25E5"/>
    <w:rsid w:val="00DA2906"/>
    <w:rsid w:val="00DA2C51"/>
    <w:rsid w:val="00DA3033"/>
    <w:rsid w:val="00DA329B"/>
    <w:rsid w:val="00DA3338"/>
    <w:rsid w:val="00DA3611"/>
    <w:rsid w:val="00DA3FBD"/>
    <w:rsid w:val="00DA3FE2"/>
    <w:rsid w:val="00DA41C4"/>
    <w:rsid w:val="00DA442A"/>
    <w:rsid w:val="00DA485B"/>
    <w:rsid w:val="00DA4A69"/>
    <w:rsid w:val="00DA502E"/>
    <w:rsid w:val="00DA5178"/>
    <w:rsid w:val="00DA5517"/>
    <w:rsid w:val="00DA5B58"/>
    <w:rsid w:val="00DA5C2D"/>
    <w:rsid w:val="00DA5FC6"/>
    <w:rsid w:val="00DA6776"/>
    <w:rsid w:val="00DA68F7"/>
    <w:rsid w:val="00DA6A50"/>
    <w:rsid w:val="00DA6B24"/>
    <w:rsid w:val="00DA6B8A"/>
    <w:rsid w:val="00DA6D15"/>
    <w:rsid w:val="00DA71F8"/>
    <w:rsid w:val="00DA7309"/>
    <w:rsid w:val="00DA73DA"/>
    <w:rsid w:val="00DA7E54"/>
    <w:rsid w:val="00DA7F16"/>
    <w:rsid w:val="00DB0943"/>
    <w:rsid w:val="00DB09E1"/>
    <w:rsid w:val="00DB1048"/>
    <w:rsid w:val="00DB10AD"/>
    <w:rsid w:val="00DB1369"/>
    <w:rsid w:val="00DB177C"/>
    <w:rsid w:val="00DB1AC6"/>
    <w:rsid w:val="00DB1CCA"/>
    <w:rsid w:val="00DB1D7D"/>
    <w:rsid w:val="00DB1E75"/>
    <w:rsid w:val="00DB26B8"/>
    <w:rsid w:val="00DB2870"/>
    <w:rsid w:val="00DB2BA5"/>
    <w:rsid w:val="00DB2DF9"/>
    <w:rsid w:val="00DB305C"/>
    <w:rsid w:val="00DB312F"/>
    <w:rsid w:val="00DB31BA"/>
    <w:rsid w:val="00DB33F6"/>
    <w:rsid w:val="00DB4781"/>
    <w:rsid w:val="00DB4B4E"/>
    <w:rsid w:val="00DB4C6E"/>
    <w:rsid w:val="00DB5090"/>
    <w:rsid w:val="00DB5436"/>
    <w:rsid w:val="00DB5574"/>
    <w:rsid w:val="00DB5935"/>
    <w:rsid w:val="00DB59A2"/>
    <w:rsid w:val="00DB5A55"/>
    <w:rsid w:val="00DB5AF6"/>
    <w:rsid w:val="00DB5F5A"/>
    <w:rsid w:val="00DB6086"/>
    <w:rsid w:val="00DB60CC"/>
    <w:rsid w:val="00DB6424"/>
    <w:rsid w:val="00DB65E9"/>
    <w:rsid w:val="00DB6CAE"/>
    <w:rsid w:val="00DB6D69"/>
    <w:rsid w:val="00DB6DDE"/>
    <w:rsid w:val="00DB70C4"/>
    <w:rsid w:val="00DB70D2"/>
    <w:rsid w:val="00DB7808"/>
    <w:rsid w:val="00DB782A"/>
    <w:rsid w:val="00DB7A5E"/>
    <w:rsid w:val="00DC039C"/>
    <w:rsid w:val="00DC0477"/>
    <w:rsid w:val="00DC0B97"/>
    <w:rsid w:val="00DC0CD9"/>
    <w:rsid w:val="00DC1D6E"/>
    <w:rsid w:val="00DC2750"/>
    <w:rsid w:val="00DC2C3C"/>
    <w:rsid w:val="00DC3090"/>
    <w:rsid w:val="00DC3143"/>
    <w:rsid w:val="00DC3377"/>
    <w:rsid w:val="00DC3445"/>
    <w:rsid w:val="00DC3961"/>
    <w:rsid w:val="00DC430B"/>
    <w:rsid w:val="00DC4618"/>
    <w:rsid w:val="00DC4947"/>
    <w:rsid w:val="00DC4959"/>
    <w:rsid w:val="00DC4D1A"/>
    <w:rsid w:val="00DC508D"/>
    <w:rsid w:val="00DC5A2D"/>
    <w:rsid w:val="00DC5AB1"/>
    <w:rsid w:val="00DC6078"/>
    <w:rsid w:val="00DC6164"/>
    <w:rsid w:val="00DC6534"/>
    <w:rsid w:val="00DC66B8"/>
    <w:rsid w:val="00DC6777"/>
    <w:rsid w:val="00DC6ACC"/>
    <w:rsid w:val="00DC717B"/>
    <w:rsid w:val="00DC7289"/>
    <w:rsid w:val="00DC73F9"/>
    <w:rsid w:val="00DC7A19"/>
    <w:rsid w:val="00DC7DE0"/>
    <w:rsid w:val="00DD0072"/>
    <w:rsid w:val="00DD07AA"/>
    <w:rsid w:val="00DD08DD"/>
    <w:rsid w:val="00DD0FB4"/>
    <w:rsid w:val="00DD1241"/>
    <w:rsid w:val="00DD132C"/>
    <w:rsid w:val="00DD1D1D"/>
    <w:rsid w:val="00DD1F22"/>
    <w:rsid w:val="00DD3020"/>
    <w:rsid w:val="00DD311E"/>
    <w:rsid w:val="00DD32D0"/>
    <w:rsid w:val="00DD390B"/>
    <w:rsid w:val="00DD3BF6"/>
    <w:rsid w:val="00DD4138"/>
    <w:rsid w:val="00DD46C0"/>
    <w:rsid w:val="00DD477A"/>
    <w:rsid w:val="00DD4892"/>
    <w:rsid w:val="00DD49DB"/>
    <w:rsid w:val="00DD4B57"/>
    <w:rsid w:val="00DD58EF"/>
    <w:rsid w:val="00DD5A3E"/>
    <w:rsid w:val="00DD6010"/>
    <w:rsid w:val="00DD6704"/>
    <w:rsid w:val="00DD6709"/>
    <w:rsid w:val="00DD6BAF"/>
    <w:rsid w:val="00DD6D5D"/>
    <w:rsid w:val="00DD6DE3"/>
    <w:rsid w:val="00DD6FFF"/>
    <w:rsid w:val="00DD717A"/>
    <w:rsid w:val="00DD71E6"/>
    <w:rsid w:val="00DD72ED"/>
    <w:rsid w:val="00DD768A"/>
    <w:rsid w:val="00DD7AAE"/>
    <w:rsid w:val="00DD7B32"/>
    <w:rsid w:val="00DD7EC4"/>
    <w:rsid w:val="00DE0165"/>
    <w:rsid w:val="00DE0EBB"/>
    <w:rsid w:val="00DE0FBD"/>
    <w:rsid w:val="00DE134D"/>
    <w:rsid w:val="00DE14D6"/>
    <w:rsid w:val="00DE2146"/>
    <w:rsid w:val="00DE2934"/>
    <w:rsid w:val="00DE2F55"/>
    <w:rsid w:val="00DE35EF"/>
    <w:rsid w:val="00DE38EB"/>
    <w:rsid w:val="00DE4026"/>
    <w:rsid w:val="00DE427E"/>
    <w:rsid w:val="00DE448F"/>
    <w:rsid w:val="00DE4CCB"/>
    <w:rsid w:val="00DE5042"/>
    <w:rsid w:val="00DE5324"/>
    <w:rsid w:val="00DE5471"/>
    <w:rsid w:val="00DE547D"/>
    <w:rsid w:val="00DE5763"/>
    <w:rsid w:val="00DE5B94"/>
    <w:rsid w:val="00DE5C35"/>
    <w:rsid w:val="00DE5F50"/>
    <w:rsid w:val="00DE63E0"/>
    <w:rsid w:val="00DE63E7"/>
    <w:rsid w:val="00DE674F"/>
    <w:rsid w:val="00DE6B05"/>
    <w:rsid w:val="00DE7074"/>
    <w:rsid w:val="00DE7264"/>
    <w:rsid w:val="00DE7319"/>
    <w:rsid w:val="00DE731D"/>
    <w:rsid w:val="00DE7F5E"/>
    <w:rsid w:val="00DF03EB"/>
    <w:rsid w:val="00DF083A"/>
    <w:rsid w:val="00DF0B07"/>
    <w:rsid w:val="00DF10D5"/>
    <w:rsid w:val="00DF1385"/>
    <w:rsid w:val="00DF1500"/>
    <w:rsid w:val="00DF1828"/>
    <w:rsid w:val="00DF1963"/>
    <w:rsid w:val="00DF25F7"/>
    <w:rsid w:val="00DF2697"/>
    <w:rsid w:val="00DF293F"/>
    <w:rsid w:val="00DF32A1"/>
    <w:rsid w:val="00DF35A1"/>
    <w:rsid w:val="00DF38CB"/>
    <w:rsid w:val="00DF438D"/>
    <w:rsid w:val="00DF463D"/>
    <w:rsid w:val="00DF4B7F"/>
    <w:rsid w:val="00DF4CBD"/>
    <w:rsid w:val="00DF4F1E"/>
    <w:rsid w:val="00DF4F95"/>
    <w:rsid w:val="00DF51F2"/>
    <w:rsid w:val="00DF5A68"/>
    <w:rsid w:val="00DF5C9A"/>
    <w:rsid w:val="00DF6104"/>
    <w:rsid w:val="00DF63DF"/>
    <w:rsid w:val="00DF64AB"/>
    <w:rsid w:val="00DF64D5"/>
    <w:rsid w:val="00DF65D5"/>
    <w:rsid w:val="00DF675F"/>
    <w:rsid w:val="00DF6845"/>
    <w:rsid w:val="00DF688E"/>
    <w:rsid w:val="00DF6C3D"/>
    <w:rsid w:val="00DF72E9"/>
    <w:rsid w:val="00DF73E9"/>
    <w:rsid w:val="00DF7559"/>
    <w:rsid w:val="00DF794E"/>
    <w:rsid w:val="00DF7D78"/>
    <w:rsid w:val="00E002C1"/>
    <w:rsid w:val="00E00844"/>
    <w:rsid w:val="00E0116F"/>
    <w:rsid w:val="00E011DC"/>
    <w:rsid w:val="00E0151E"/>
    <w:rsid w:val="00E01DF9"/>
    <w:rsid w:val="00E02420"/>
    <w:rsid w:val="00E02C97"/>
    <w:rsid w:val="00E03276"/>
    <w:rsid w:val="00E032D2"/>
    <w:rsid w:val="00E03440"/>
    <w:rsid w:val="00E034E6"/>
    <w:rsid w:val="00E0379F"/>
    <w:rsid w:val="00E03FD9"/>
    <w:rsid w:val="00E0406C"/>
    <w:rsid w:val="00E041BD"/>
    <w:rsid w:val="00E042C7"/>
    <w:rsid w:val="00E043B5"/>
    <w:rsid w:val="00E0488C"/>
    <w:rsid w:val="00E04E81"/>
    <w:rsid w:val="00E04EBD"/>
    <w:rsid w:val="00E051D9"/>
    <w:rsid w:val="00E05993"/>
    <w:rsid w:val="00E05FB8"/>
    <w:rsid w:val="00E0607E"/>
    <w:rsid w:val="00E0633F"/>
    <w:rsid w:val="00E0636D"/>
    <w:rsid w:val="00E063DF"/>
    <w:rsid w:val="00E06477"/>
    <w:rsid w:val="00E064F4"/>
    <w:rsid w:val="00E0687F"/>
    <w:rsid w:val="00E071D4"/>
    <w:rsid w:val="00E072AD"/>
    <w:rsid w:val="00E07711"/>
    <w:rsid w:val="00E077B3"/>
    <w:rsid w:val="00E07A4F"/>
    <w:rsid w:val="00E07B04"/>
    <w:rsid w:val="00E07B2F"/>
    <w:rsid w:val="00E07D3B"/>
    <w:rsid w:val="00E100CA"/>
    <w:rsid w:val="00E10524"/>
    <w:rsid w:val="00E10C81"/>
    <w:rsid w:val="00E10C89"/>
    <w:rsid w:val="00E112F3"/>
    <w:rsid w:val="00E116A2"/>
    <w:rsid w:val="00E119C6"/>
    <w:rsid w:val="00E11D82"/>
    <w:rsid w:val="00E122F4"/>
    <w:rsid w:val="00E124AE"/>
    <w:rsid w:val="00E127AF"/>
    <w:rsid w:val="00E129B7"/>
    <w:rsid w:val="00E12F5E"/>
    <w:rsid w:val="00E14CC5"/>
    <w:rsid w:val="00E14D7B"/>
    <w:rsid w:val="00E14D83"/>
    <w:rsid w:val="00E15164"/>
    <w:rsid w:val="00E152B1"/>
    <w:rsid w:val="00E15D15"/>
    <w:rsid w:val="00E161D1"/>
    <w:rsid w:val="00E16297"/>
    <w:rsid w:val="00E1633A"/>
    <w:rsid w:val="00E16519"/>
    <w:rsid w:val="00E16DF7"/>
    <w:rsid w:val="00E17101"/>
    <w:rsid w:val="00E1734F"/>
    <w:rsid w:val="00E1794A"/>
    <w:rsid w:val="00E17AB2"/>
    <w:rsid w:val="00E17F75"/>
    <w:rsid w:val="00E20B9D"/>
    <w:rsid w:val="00E2134A"/>
    <w:rsid w:val="00E2176E"/>
    <w:rsid w:val="00E219D4"/>
    <w:rsid w:val="00E21D42"/>
    <w:rsid w:val="00E22943"/>
    <w:rsid w:val="00E23112"/>
    <w:rsid w:val="00E2342C"/>
    <w:rsid w:val="00E2392F"/>
    <w:rsid w:val="00E23D4B"/>
    <w:rsid w:val="00E243D9"/>
    <w:rsid w:val="00E24A4E"/>
    <w:rsid w:val="00E24B91"/>
    <w:rsid w:val="00E25144"/>
    <w:rsid w:val="00E257D4"/>
    <w:rsid w:val="00E25CF2"/>
    <w:rsid w:val="00E26986"/>
    <w:rsid w:val="00E26D25"/>
    <w:rsid w:val="00E27081"/>
    <w:rsid w:val="00E27339"/>
    <w:rsid w:val="00E27A9D"/>
    <w:rsid w:val="00E27EE1"/>
    <w:rsid w:val="00E302FC"/>
    <w:rsid w:val="00E3053B"/>
    <w:rsid w:val="00E30668"/>
    <w:rsid w:val="00E3083F"/>
    <w:rsid w:val="00E30C08"/>
    <w:rsid w:val="00E3115E"/>
    <w:rsid w:val="00E31683"/>
    <w:rsid w:val="00E31B89"/>
    <w:rsid w:val="00E32121"/>
    <w:rsid w:val="00E32817"/>
    <w:rsid w:val="00E3295B"/>
    <w:rsid w:val="00E32D85"/>
    <w:rsid w:val="00E333C6"/>
    <w:rsid w:val="00E33471"/>
    <w:rsid w:val="00E33504"/>
    <w:rsid w:val="00E33EAE"/>
    <w:rsid w:val="00E3491A"/>
    <w:rsid w:val="00E34979"/>
    <w:rsid w:val="00E34E62"/>
    <w:rsid w:val="00E3505E"/>
    <w:rsid w:val="00E3549B"/>
    <w:rsid w:val="00E355E4"/>
    <w:rsid w:val="00E356B4"/>
    <w:rsid w:val="00E357B7"/>
    <w:rsid w:val="00E3581B"/>
    <w:rsid w:val="00E35A22"/>
    <w:rsid w:val="00E35B7E"/>
    <w:rsid w:val="00E35BF0"/>
    <w:rsid w:val="00E35EC5"/>
    <w:rsid w:val="00E36197"/>
    <w:rsid w:val="00E36D0F"/>
    <w:rsid w:val="00E36D1F"/>
    <w:rsid w:val="00E37A38"/>
    <w:rsid w:val="00E40256"/>
    <w:rsid w:val="00E4111B"/>
    <w:rsid w:val="00E41AFF"/>
    <w:rsid w:val="00E424CA"/>
    <w:rsid w:val="00E425BE"/>
    <w:rsid w:val="00E4291E"/>
    <w:rsid w:val="00E4296A"/>
    <w:rsid w:val="00E42EE1"/>
    <w:rsid w:val="00E43123"/>
    <w:rsid w:val="00E432ED"/>
    <w:rsid w:val="00E43670"/>
    <w:rsid w:val="00E43B6E"/>
    <w:rsid w:val="00E43E06"/>
    <w:rsid w:val="00E44795"/>
    <w:rsid w:val="00E4495C"/>
    <w:rsid w:val="00E44D53"/>
    <w:rsid w:val="00E44D5D"/>
    <w:rsid w:val="00E45217"/>
    <w:rsid w:val="00E45548"/>
    <w:rsid w:val="00E46158"/>
    <w:rsid w:val="00E46291"/>
    <w:rsid w:val="00E468DA"/>
    <w:rsid w:val="00E46A6C"/>
    <w:rsid w:val="00E479CD"/>
    <w:rsid w:val="00E47E07"/>
    <w:rsid w:val="00E47F62"/>
    <w:rsid w:val="00E509AB"/>
    <w:rsid w:val="00E50F0E"/>
    <w:rsid w:val="00E51021"/>
    <w:rsid w:val="00E515BF"/>
    <w:rsid w:val="00E51938"/>
    <w:rsid w:val="00E52D1E"/>
    <w:rsid w:val="00E52E5A"/>
    <w:rsid w:val="00E52EA7"/>
    <w:rsid w:val="00E53310"/>
    <w:rsid w:val="00E534DC"/>
    <w:rsid w:val="00E53800"/>
    <w:rsid w:val="00E548A0"/>
    <w:rsid w:val="00E54BC2"/>
    <w:rsid w:val="00E54E71"/>
    <w:rsid w:val="00E54EF4"/>
    <w:rsid w:val="00E551A7"/>
    <w:rsid w:val="00E5574C"/>
    <w:rsid w:val="00E55926"/>
    <w:rsid w:val="00E55D4F"/>
    <w:rsid w:val="00E55E31"/>
    <w:rsid w:val="00E55E35"/>
    <w:rsid w:val="00E55E8D"/>
    <w:rsid w:val="00E56119"/>
    <w:rsid w:val="00E56623"/>
    <w:rsid w:val="00E567CD"/>
    <w:rsid w:val="00E56918"/>
    <w:rsid w:val="00E569F4"/>
    <w:rsid w:val="00E56C14"/>
    <w:rsid w:val="00E571D2"/>
    <w:rsid w:val="00E57630"/>
    <w:rsid w:val="00E57AEC"/>
    <w:rsid w:val="00E57C3A"/>
    <w:rsid w:val="00E6025C"/>
    <w:rsid w:val="00E6081F"/>
    <w:rsid w:val="00E60942"/>
    <w:rsid w:val="00E60DEE"/>
    <w:rsid w:val="00E60EF1"/>
    <w:rsid w:val="00E6182A"/>
    <w:rsid w:val="00E622A2"/>
    <w:rsid w:val="00E6232A"/>
    <w:rsid w:val="00E62493"/>
    <w:rsid w:val="00E62524"/>
    <w:rsid w:val="00E62947"/>
    <w:rsid w:val="00E63188"/>
    <w:rsid w:val="00E633CF"/>
    <w:rsid w:val="00E638FF"/>
    <w:rsid w:val="00E63D61"/>
    <w:rsid w:val="00E63F81"/>
    <w:rsid w:val="00E64125"/>
    <w:rsid w:val="00E6430B"/>
    <w:rsid w:val="00E644B6"/>
    <w:rsid w:val="00E645C9"/>
    <w:rsid w:val="00E65096"/>
    <w:rsid w:val="00E654A7"/>
    <w:rsid w:val="00E66432"/>
    <w:rsid w:val="00E66751"/>
    <w:rsid w:val="00E66DB6"/>
    <w:rsid w:val="00E67163"/>
    <w:rsid w:val="00E6753C"/>
    <w:rsid w:val="00E6775E"/>
    <w:rsid w:val="00E67854"/>
    <w:rsid w:val="00E67D07"/>
    <w:rsid w:val="00E70395"/>
    <w:rsid w:val="00E7045C"/>
    <w:rsid w:val="00E70580"/>
    <w:rsid w:val="00E706C3"/>
    <w:rsid w:val="00E706DB"/>
    <w:rsid w:val="00E70AC2"/>
    <w:rsid w:val="00E70B24"/>
    <w:rsid w:val="00E70B8F"/>
    <w:rsid w:val="00E70BBD"/>
    <w:rsid w:val="00E71B72"/>
    <w:rsid w:val="00E71F12"/>
    <w:rsid w:val="00E722E0"/>
    <w:rsid w:val="00E72765"/>
    <w:rsid w:val="00E7290C"/>
    <w:rsid w:val="00E7295E"/>
    <w:rsid w:val="00E7329D"/>
    <w:rsid w:val="00E73420"/>
    <w:rsid w:val="00E737A4"/>
    <w:rsid w:val="00E73976"/>
    <w:rsid w:val="00E73B97"/>
    <w:rsid w:val="00E73C37"/>
    <w:rsid w:val="00E73D1C"/>
    <w:rsid w:val="00E73E0E"/>
    <w:rsid w:val="00E7449F"/>
    <w:rsid w:val="00E747D3"/>
    <w:rsid w:val="00E747D5"/>
    <w:rsid w:val="00E74949"/>
    <w:rsid w:val="00E754C4"/>
    <w:rsid w:val="00E754E5"/>
    <w:rsid w:val="00E7590E"/>
    <w:rsid w:val="00E75981"/>
    <w:rsid w:val="00E76239"/>
    <w:rsid w:val="00E76623"/>
    <w:rsid w:val="00E76835"/>
    <w:rsid w:val="00E76D4F"/>
    <w:rsid w:val="00E7710D"/>
    <w:rsid w:val="00E771E6"/>
    <w:rsid w:val="00E777E2"/>
    <w:rsid w:val="00E77DF5"/>
    <w:rsid w:val="00E77E51"/>
    <w:rsid w:val="00E801A6"/>
    <w:rsid w:val="00E80E77"/>
    <w:rsid w:val="00E80FD5"/>
    <w:rsid w:val="00E81F8E"/>
    <w:rsid w:val="00E820ED"/>
    <w:rsid w:val="00E821E3"/>
    <w:rsid w:val="00E82604"/>
    <w:rsid w:val="00E82784"/>
    <w:rsid w:val="00E82C09"/>
    <w:rsid w:val="00E82F9D"/>
    <w:rsid w:val="00E839FC"/>
    <w:rsid w:val="00E83C3F"/>
    <w:rsid w:val="00E83D7E"/>
    <w:rsid w:val="00E8403D"/>
    <w:rsid w:val="00E843FF"/>
    <w:rsid w:val="00E84538"/>
    <w:rsid w:val="00E84938"/>
    <w:rsid w:val="00E84DD0"/>
    <w:rsid w:val="00E854C2"/>
    <w:rsid w:val="00E85811"/>
    <w:rsid w:val="00E86807"/>
    <w:rsid w:val="00E86D01"/>
    <w:rsid w:val="00E86EC8"/>
    <w:rsid w:val="00E86F15"/>
    <w:rsid w:val="00E86FFC"/>
    <w:rsid w:val="00E87939"/>
    <w:rsid w:val="00E87ACD"/>
    <w:rsid w:val="00E87C23"/>
    <w:rsid w:val="00E87C54"/>
    <w:rsid w:val="00E9068A"/>
    <w:rsid w:val="00E90D07"/>
    <w:rsid w:val="00E90D47"/>
    <w:rsid w:val="00E90FB5"/>
    <w:rsid w:val="00E9139B"/>
    <w:rsid w:val="00E91E33"/>
    <w:rsid w:val="00E92230"/>
    <w:rsid w:val="00E92AF9"/>
    <w:rsid w:val="00E92E75"/>
    <w:rsid w:val="00E93124"/>
    <w:rsid w:val="00E93406"/>
    <w:rsid w:val="00E93DB4"/>
    <w:rsid w:val="00E941ED"/>
    <w:rsid w:val="00E943C6"/>
    <w:rsid w:val="00E9446C"/>
    <w:rsid w:val="00E944F4"/>
    <w:rsid w:val="00E94997"/>
    <w:rsid w:val="00E94ADE"/>
    <w:rsid w:val="00E94DC3"/>
    <w:rsid w:val="00E94F06"/>
    <w:rsid w:val="00E95151"/>
    <w:rsid w:val="00E957CF"/>
    <w:rsid w:val="00E9616B"/>
    <w:rsid w:val="00E96931"/>
    <w:rsid w:val="00E969B0"/>
    <w:rsid w:val="00E969CB"/>
    <w:rsid w:val="00E96B6E"/>
    <w:rsid w:val="00E96E44"/>
    <w:rsid w:val="00E96F2A"/>
    <w:rsid w:val="00E97117"/>
    <w:rsid w:val="00E972BB"/>
    <w:rsid w:val="00E97731"/>
    <w:rsid w:val="00E97A8B"/>
    <w:rsid w:val="00E97AB3"/>
    <w:rsid w:val="00E97D58"/>
    <w:rsid w:val="00E97E20"/>
    <w:rsid w:val="00E97FAB"/>
    <w:rsid w:val="00EA0132"/>
    <w:rsid w:val="00EA0334"/>
    <w:rsid w:val="00EA03F8"/>
    <w:rsid w:val="00EA04B2"/>
    <w:rsid w:val="00EA0885"/>
    <w:rsid w:val="00EA0F0C"/>
    <w:rsid w:val="00EA13D9"/>
    <w:rsid w:val="00EA1831"/>
    <w:rsid w:val="00EA1839"/>
    <w:rsid w:val="00EA20F3"/>
    <w:rsid w:val="00EA2462"/>
    <w:rsid w:val="00EA2531"/>
    <w:rsid w:val="00EA253F"/>
    <w:rsid w:val="00EA2A38"/>
    <w:rsid w:val="00EA2B51"/>
    <w:rsid w:val="00EA2BFF"/>
    <w:rsid w:val="00EA2C25"/>
    <w:rsid w:val="00EA2F11"/>
    <w:rsid w:val="00EA2FD1"/>
    <w:rsid w:val="00EA39C8"/>
    <w:rsid w:val="00EA3A64"/>
    <w:rsid w:val="00EA3E26"/>
    <w:rsid w:val="00EA442C"/>
    <w:rsid w:val="00EA462B"/>
    <w:rsid w:val="00EA4FD2"/>
    <w:rsid w:val="00EA5028"/>
    <w:rsid w:val="00EA5456"/>
    <w:rsid w:val="00EA555A"/>
    <w:rsid w:val="00EA5EAA"/>
    <w:rsid w:val="00EA610D"/>
    <w:rsid w:val="00EA65DC"/>
    <w:rsid w:val="00EA6821"/>
    <w:rsid w:val="00EA6A14"/>
    <w:rsid w:val="00EA6B3E"/>
    <w:rsid w:val="00EA76E8"/>
    <w:rsid w:val="00EA77CE"/>
    <w:rsid w:val="00EA7987"/>
    <w:rsid w:val="00EA7B1B"/>
    <w:rsid w:val="00EA7B74"/>
    <w:rsid w:val="00EB033D"/>
    <w:rsid w:val="00EB0526"/>
    <w:rsid w:val="00EB07B3"/>
    <w:rsid w:val="00EB0814"/>
    <w:rsid w:val="00EB0BFE"/>
    <w:rsid w:val="00EB0D71"/>
    <w:rsid w:val="00EB0E11"/>
    <w:rsid w:val="00EB128B"/>
    <w:rsid w:val="00EB1DD4"/>
    <w:rsid w:val="00EB1E6D"/>
    <w:rsid w:val="00EB213D"/>
    <w:rsid w:val="00EB2611"/>
    <w:rsid w:val="00EB2760"/>
    <w:rsid w:val="00EB2C47"/>
    <w:rsid w:val="00EB2C63"/>
    <w:rsid w:val="00EB2D80"/>
    <w:rsid w:val="00EB2E04"/>
    <w:rsid w:val="00EB2F4A"/>
    <w:rsid w:val="00EB30F3"/>
    <w:rsid w:val="00EB3192"/>
    <w:rsid w:val="00EB3388"/>
    <w:rsid w:val="00EB356C"/>
    <w:rsid w:val="00EB3A9F"/>
    <w:rsid w:val="00EB3B1C"/>
    <w:rsid w:val="00EB3B5B"/>
    <w:rsid w:val="00EB3DAC"/>
    <w:rsid w:val="00EB3EFC"/>
    <w:rsid w:val="00EB40C9"/>
    <w:rsid w:val="00EB4453"/>
    <w:rsid w:val="00EB4B69"/>
    <w:rsid w:val="00EB4CB3"/>
    <w:rsid w:val="00EB4FDA"/>
    <w:rsid w:val="00EB5490"/>
    <w:rsid w:val="00EB5A41"/>
    <w:rsid w:val="00EB5A81"/>
    <w:rsid w:val="00EB5D94"/>
    <w:rsid w:val="00EB5F0C"/>
    <w:rsid w:val="00EB5FB2"/>
    <w:rsid w:val="00EB5FC7"/>
    <w:rsid w:val="00EB69C4"/>
    <w:rsid w:val="00EB6C4E"/>
    <w:rsid w:val="00EB6D61"/>
    <w:rsid w:val="00EB72DA"/>
    <w:rsid w:val="00EB7710"/>
    <w:rsid w:val="00EB78EE"/>
    <w:rsid w:val="00EB7A03"/>
    <w:rsid w:val="00EB7C6F"/>
    <w:rsid w:val="00EB7CA3"/>
    <w:rsid w:val="00EB7E2A"/>
    <w:rsid w:val="00EC050D"/>
    <w:rsid w:val="00EC0829"/>
    <w:rsid w:val="00EC086D"/>
    <w:rsid w:val="00EC0BC3"/>
    <w:rsid w:val="00EC0BF8"/>
    <w:rsid w:val="00EC147F"/>
    <w:rsid w:val="00EC1712"/>
    <w:rsid w:val="00EC18ED"/>
    <w:rsid w:val="00EC2029"/>
    <w:rsid w:val="00EC20CC"/>
    <w:rsid w:val="00EC234B"/>
    <w:rsid w:val="00EC2567"/>
    <w:rsid w:val="00EC27D8"/>
    <w:rsid w:val="00EC2A8D"/>
    <w:rsid w:val="00EC2AD1"/>
    <w:rsid w:val="00EC3AA9"/>
    <w:rsid w:val="00EC3E1B"/>
    <w:rsid w:val="00EC46AD"/>
    <w:rsid w:val="00EC5320"/>
    <w:rsid w:val="00EC5CCC"/>
    <w:rsid w:val="00EC62D9"/>
    <w:rsid w:val="00EC6C34"/>
    <w:rsid w:val="00EC6C73"/>
    <w:rsid w:val="00EC6C7C"/>
    <w:rsid w:val="00EC7046"/>
    <w:rsid w:val="00EC71D5"/>
    <w:rsid w:val="00EC7473"/>
    <w:rsid w:val="00EC7945"/>
    <w:rsid w:val="00EC7BEA"/>
    <w:rsid w:val="00EC7CB7"/>
    <w:rsid w:val="00ED033B"/>
    <w:rsid w:val="00ED0664"/>
    <w:rsid w:val="00ED0860"/>
    <w:rsid w:val="00ED0B88"/>
    <w:rsid w:val="00ED0E72"/>
    <w:rsid w:val="00ED165A"/>
    <w:rsid w:val="00ED1B92"/>
    <w:rsid w:val="00ED1C5A"/>
    <w:rsid w:val="00ED1D96"/>
    <w:rsid w:val="00ED1E63"/>
    <w:rsid w:val="00ED1F88"/>
    <w:rsid w:val="00ED2D44"/>
    <w:rsid w:val="00ED32FA"/>
    <w:rsid w:val="00ED3520"/>
    <w:rsid w:val="00ED375A"/>
    <w:rsid w:val="00ED3AC8"/>
    <w:rsid w:val="00ED3CB2"/>
    <w:rsid w:val="00ED43D1"/>
    <w:rsid w:val="00ED49C1"/>
    <w:rsid w:val="00ED53B0"/>
    <w:rsid w:val="00ED57F3"/>
    <w:rsid w:val="00ED5839"/>
    <w:rsid w:val="00ED5883"/>
    <w:rsid w:val="00ED598B"/>
    <w:rsid w:val="00ED5AF3"/>
    <w:rsid w:val="00ED5DE8"/>
    <w:rsid w:val="00ED63B7"/>
    <w:rsid w:val="00ED6B8D"/>
    <w:rsid w:val="00ED6BD9"/>
    <w:rsid w:val="00ED6CA3"/>
    <w:rsid w:val="00ED6FA4"/>
    <w:rsid w:val="00ED7F99"/>
    <w:rsid w:val="00EE0149"/>
    <w:rsid w:val="00EE035A"/>
    <w:rsid w:val="00EE162F"/>
    <w:rsid w:val="00EE1655"/>
    <w:rsid w:val="00EE1683"/>
    <w:rsid w:val="00EE16D9"/>
    <w:rsid w:val="00EE1A76"/>
    <w:rsid w:val="00EE20DF"/>
    <w:rsid w:val="00EE26E2"/>
    <w:rsid w:val="00EE2F74"/>
    <w:rsid w:val="00EE3171"/>
    <w:rsid w:val="00EE33B1"/>
    <w:rsid w:val="00EE342A"/>
    <w:rsid w:val="00EE363D"/>
    <w:rsid w:val="00EE3AC8"/>
    <w:rsid w:val="00EE41D7"/>
    <w:rsid w:val="00EE45A3"/>
    <w:rsid w:val="00EE4A9C"/>
    <w:rsid w:val="00EE4AE2"/>
    <w:rsid w:val="00EE4C78"/>
    <w:rsid w:val="00EE4D9E"/>
    <w:rsid w:val="00EE4EE1"/>
    <w:rsid w:val="00EE503C"/>
    <w:rsid w:val="00EE50A7"/>
    <w:rsid w:val="00EE530E"/>
    <w:rsid w:val="00EE538F"/>
    <w:rsid w:val="00EE5458"/>
    <w:rsid w:val="00EE54F7"/>
    <w:rsid w:val="00EE5614"/>
    <w:rsid w:val="00EE5864"/>
    <w:rsid w:val="00EE5A17"/>
    <w:rsid w:val="00EE5A28"/>
    <w:rsid w:val="00EE61A1"/>
    <w:rsid w:val="00EE6353"/>
    <w:rsid w:val="00EE6F1F"/>
    <w:rsid w:val="00EE75C9"/>
    <w:rsid w:val="00EE7E09"/>
    <w:rsid w:val="00EE7FD8"/>
    <w:rsid w:val="00EF0595"/>
    <w:rsid w:val="00EF0707"/>
    <w:rsid w:val="00EF0C37"/>
    <w:rsid w:val="00EF1444"/>
    <w:rsid w:val="00EF153E"/>
    <w:rsid w:val="00EF165F"/>
    <w:rsid w:val="00EF179A"/>
    <w:rsid w:val="00EF1916"/>
    <w:rsid w:val="00EF1AE8"/>
    <w:rsid w:val="00EF1B10"/>
    <w:rsid w:val="00EF1BD3"/>
    <w:rsid w:val="00EF27CC"/>
    <w:rsid w:val="00EF30BE"/>
    <w:rsid w:val="00EF30DB"/>
    <w:rsid w:val="00EF3EAD"/>
    <w:rsid w:val="00EF4031"/>
    <w:rsid w:val="00EF42A4"/>
    <w:rsid w:val="00EF4574"/>
    <w:rsid w:val="00EF474E"/>
    <w:rsid w:val="00EF4959"/>
    <w:rsid w:val="00EF4C44"/>
    <w:rsid w:val="00EF4D8C"/>
    <w:rsid w:val="00EF4F50"/>
    <w:rsid w:val="00EF4FBA"/>
    <w:rsid w:val="00EF55AE"/>
    <w:rsid w:val="00EF5629"/>
    <w:rsid w:val="00EF5B10"/>
    <w:rsid w:val="00EF5BC5"/>
    <w:rsid w:val="00EF5C9D"/>
    <w:rsid w:val="00EF6ACB"/>
    <w:rsid w:val="00EF6F26"/>
    <w:rsid w:val="00EF7414"/>
    <w:rsid w:val="00EF7A90"/>
    <w:rsid w:val="00EF7B6D"/>
    <w:rsid w:val="00EF7E28"/>
    <w:rsid w:val="00EF7F49"/>
    <w:rsid w:val="00F000D3"/>
    <w:rsid w:val="00F0044A"/>
    <w:rsid w:val="00F00A90"/>
    <w:rsid w:val="00F00BA4"/>
    <w:rsid w:val="00F00CD3"/>
    <w:rsid w:val="00F00D8E"/>
    <w:rsid w:val="00F01345"/>
    <w:rsid w:val="00F0165C"/>
    <w:rsid w:val="00F02BBA"/>
    <w:rsid w:val="00F02CDE"/>
    <w:rsid w:val="00F02F32"/>
    <w:rsid w:val="00F03039"/>
    <w:rsid w:val="00F0313B"/>
    <w:rsid w:val="00F03794"/>
    <w:rsid w:val="00F03D41"/>
    <w:rsid w:val="00F041F6"/>
    <w:rsid w:val="00F045F2"/>
    <w:rsid w:val="00F04D47"/>
    <w:rsid w:val="00F04D76"/>
    <w:rsid w:val="00F04DED"/>
    <w:rsid w:val="00F04E9F"/>
    <w:rsid w:val="00F04EA0"/>
    <w:rsid w:val="00F05175"/>
    <w:rsid w:val="00F053A0"/>
    <w:rsid w:val="00F05A27"/>
    <w:rsid w:val="00F05DB2"/>
    <w:rsid w:val="00F05ECA"/>
    <w:rsid w:val="00F0631A"/>
    <w:rsid w:val="00F06F6F"/>
    <w:rsid w:val="00F0706E"/>
    <w:rsid w:val="00F0726B"/>
    <w:rsid w:val="00F0763F"/>
    <w:rsid w:val="00F078D1"/>
    <w:rsid w:val="00F0790E"/>
    <w:rsid w:val="00F103EE"/>
    <w:rsid w:val="00F10602"/>
    <w:rsid w:val="00F107F6"/>
    <w:rsid w:val="00F10863"/>
    <w:rsid w:val="00F10C66"/>
    <w:rsid w:val="00F1118A"/>
    <w:rsid w:val="00F1136F"/>
    <w:rsid w:val="00F11718"/>
    <w:rsid w:val="00F11A78"/>
    <w:rsid w:val="00F11B2B"/>
    <w:rsid w:val="00F11F79"/>
    <w:rsid w:val="00F11F85"/>
    <w:rsid w:val="00F122BD"/>
    <w:rsid w:val="00F12342"/>
    <w:rsid w:val="00F1268C"/>
    <w:rsid w:val="00F13390"/>
    <w:rsid w:val="00F13710"/>
    <w:rsid w:val="00F13B49"/>
    <w:rsid w:val="00F140D2"/>
    <w:rsid w:val="00F14A6E"/>
    <w:rsid w:val="00F14BCB"/>
    <w:rsid w:val="00F14ED9"/>
    <w:rsid w:val="00F155E4"/>
    <w:rsid w:val="00F157DF"/>
    <w:rsid w:val="00F160AC"/>
    <w:rsid w:val="00F1623A"/>
    <w:rsid w:val="00F17049"/>
    <w:rsid w:val="00F17DB8"/>
    <w:rsid w:val="00F17FA6"/>
    <w:rsid w:val="00F20077"/>
    <w:rsid w:val="00F20126"/>
    <w:rsid w:val="00F20545"/>
    <w:rsid w:val="00F20741"/>
    <w:rsid w:val="00F20A92"/>
    <w:rsid w:val="00F21522"/>
    <w:rsid w:val="00F2184E"/>
    <w:rsid w:val="00F2203C"/>
    <w:rsid w:val="00F22D59"/>
    <w:rsid w:val="00F22F1B"/>
    <w:rsid w:val="00F23020"/>
    <w:rsid w:val="00F23383"/>
    <w:rsid w:val="00F23704"/>
    <w:rsid w:val="00F23AA3"/>
    <w:rsid w:val="00F23BD6"/>
    <w:rsid w:val="00F23F8F"/>
    <w:rsid w:val="00F245A2"/>
    <w:rsid w:val="00F2465E"/>
    <w:rsid w:val="00F24ABB"/>
    <w:rsid w:val="00F24C2D"/>
    <w:rsid w:val="00F25C75"/>
    <w:rsid w:val="00F25E57"/>
    <w:rsid w:val="00F2647E"/>
    <w:rsid w:val="00F2684E"/>
    <w:rsid w:val="00F26877"/>
    <w:rsid w:val="00F2729D"/>
    <w:rsid w:val="00F27CAB"/>
    <w:rsid w:val="00F27E62"/>
    <w:rsid w:val="00F301F1"/>
    <w:rsid w:val="00F308EC"/>
    <w:rsid w:val="00F31489"/>
    <w:rsid w:val="00F31AB0"/>
    <w:rsid w:val="00F322E0"/>
    <w:rsid w:val="00F32859"/>
    <w:rsid w:val="00F328AB"/>
    <w:rsid w:val="00F32D31"/>
    <w:rsid w:val="00F32DF9"/>
    <w:rsid w:val="00F33150"/>
    <w:rsid w:val="00F33352"/>
    <w:rsid w:val="00F34652"/>
    <w:rsid w:val="00F347A2"/>
    <w:rsid w:val="00F34AD3"/>
    <w:rsid w:val="00F34E86"/>
    <w:rsid w:val="00F35384"/>
    <w:rsid w:val="00F3538A"/>
    <w:rsid w:val="00F353EA"/>
    <w:rsid w:val="00F35BAB"/>
    <w:rsid w:val="00F35CDC"/>
    <w:rsid w:val="00F3663E"/>
    <w:rsid w:val="00F36CCF"/>
    <w:rsid w:val="00F36EA4"/>
    <w:rsid w:val="00F36FFE"/>
    <w:rsid w:val="00F37141"/>
    <w:rsid w:val="00F37151"/>
    <w:rsid w:val="00F37308"/>
    <w:rsid w:val="00F37526"/>
    <w:rsid w:val="00F3789C"/>
    <w:rsid w:val="00F37F72"/>
    <w:rsid w:val="00F404CB"/>
    <w:rsid w:val="00F40BC4"/>
    <w:rsid w:val="00F40BD2"/>
    <w:rsid w:val="00F40E06"/>
    <w:rsid w:val="00F415C5"/>
    <w:rsid w:val="00F41E07"/>
    <w:rsid w:val="00F42A2E"/>
    <w:rsid w:val="00F42B1A"/>
    <w:rsid w:val="00F43010"/>
    <w:rsid w:val="00F430C1"/>
    <w:rsid w:val="00F43137"/>
    <w:rsid w:val="00F43169"/>
    <w:rsid w:val="00F43A27"/>
    <w:rsid w:val="00F43A9A"/>
    <w:rsid w:val="00F43B1E"/>
    <w:rsid w:val="00F43B3B"/>
    <w:rsid w:val="00F43B50"/>
    <w:rsid w:val="00F44094"/>
    <w:rsid w:val="00F44626"/>
    <w:rsid w:val="00F4480A"/>
    <w:rsid w:val="00F451C1"/>
    <w:rsid w:val="00F456B1"/>
    <w:rsid w:val="00F456EC"/>
    <w:rsid w:val="00F45BAB"/>
    <w:rsid w:val="00F4609A"/>
    <w:rsid w:val="00F466B8"/>
    <w:rsid w:val="00F46D29"/>
    <w:rsid w:val="00F46EAD"/>
    <w:rsid w:val="00F472D8"/>
    <w:rsid w:val="00F472F2"/>
    <w:rsid w:val="00F4782A"/>
    <w:rsid w:val="00F479AB"/>
    <w:rsid w:val="00F47C68"/>
    <w:rsid w:val="00F47EB6"/>
    <w:rsid w:val="00F50C7B"/>
    <w:rsid w:val="00F50FD3"/>
    <w:rsid w:val="00F51195"/>
    <w:rsid w:val="00F5145E"/>
    <w:rsid w:val="00F52B5D"/>
    <w:rsid w:val="00F53B86"/>
    <w:rsid w:val="00F54528"/>
    <w:rsid w:val="00F547D5"/>
    <w:rsid w:val="00F54F4C"/>
    <w:rsid w:val="00F55069"/>
    <w:rsid w:val="00F5530F"/>
    <w:rsid w:val="00F55B14"/>
    <w:rsid w:val="00F56063"/>
    <w:rsid w:val="00F563F9"/>
    <w:rsid w:val="00F5640B"/>
    <w:rsid w:val="00F564E6"/>
    <w:rsid w:val="00F56A12"/>
    <w:rsid w:val="00F56FAC"/>
    <w:rsid w:val="00F57013"/>
    <w:rsid w:val="00F57650"/>
    <w:rsid w:val="00F576DF"/>
    <w:rsid w:val="00F57EDA"/>
    <w:rsid w:val="00F600D3"/>
    <w:rsid w:val="00F60CA4"/>
    <w:rsid w:val="00F6101D"/>
    <w:rsid w:val="00F610D5"/>
    <w:rsid w:val="00F611EB"/>
    <w:rsid w:val="00F6147C"/>
    <w:rsid w:val="00F61D99"/>
    <w:rsid w:val="00F6204A"/>
    <w:rsid w:val="00F62339"/>
    <w:rsid w:val="00F6269F"/>
    <w:rsid w:val="00F62D77"/>
    <w:rsid w:val="00F62D83"/>
    <w:rsid w:val="00F6320B"/>
    <w:rsid w:val="00F633E3"/>
    <w:rsid w:val="00F63400"/>
    <w:rsid w:val="00F636FE"/>
    <w:rsid w:val="00F63755"/>
    <w:rsid w:val="00F63F82"/>
    <w:rsid w:val="00F64209"/>
    <w:rsid w:val="00F64396"/>
    <w:rsid w:val="00F646B6"/>
    <w:rsid w:val="00F649ED"/>
    <w:rsid w:val="00F64ABE"/>
    <w:rsid w:val="00F64ADC"/>
    <w:rsid w:val="00F64D8D"/>
    <w:rsid w:val="00F6538F"/>
    <w:rsid w:val="00F65556"/>
    <w:rsid w:val="00F655E7"/>
    <w:rsid w:val="00F65E0B"/>
    <w:rsid w:val="00F661D5"/>
    <w:rsid w:val="00F66642"/>
    <w:rsid w:val="00F667A0"/>
    <w:rsid w:val="00F6777B"/>
    <w:rsid w:val="00F67C2B"/>
    <w:rsid w:val="00F67EC7"/>
    <w:rsid w:val="00F70346"/>
    <w:rsid w:val="00F70951"/>
    <w:rsid w:val="00F70CF8"/>
    <w:rsid w:val="00F70E9C"/>
    <w:rsid w:val="00F715C9"/>
    <w:rsid w:val="00F721CA"/>
    <w:rsid w:val="00F7257B"/>
    <w:rsid w:val="00F729EF"/>
    <w:rsid w:val="00F72C01"/>
    <w:rsid w:val="00F7302D"/>
    <w:rsid w:val="00F731D5"/>
    <w:rsid w:val="00F73210"/>
    <w:rsid w:val="00F73711"/>
    <w:rsid w:val="00F73EE6"/>
    <w:rsid w:val="00F73EEC"/>
    <w:rsid w:val="00F74160"/>
    <w:rsid w:val="00F74FAD"/>
    <w:rsid w:val="00F75E90"/>
    <w:rsid w:val="00F75EA0"/>
    <w:rsid w:val="00F763A7"/>
    <w:rsid w:val="00F764C7"/>
    <w:rsid w:val="00F766E5"/>
    <w:rsid w:val="00F76750"/>
    <w:rsid w:val="00F76819"/>
    <w:rsid w:val="00F76BD0"/>
    <w:rsid w:val="00F76CD9"/>
    <w:rsid w:val="00F77275"/>
    <w:rsid w:val="00F773A3"/>
    <w:rsid w:val="00F77CAE"/>
    <w:rsid w:val="00F800AE"/>
    <w:rsid w:val="00F800F3"/>
    <w:rsid w:val="00F80475"/>
    <w:rsid w:val="00F806F4"/>
    <w:rsid w:val="00F80E1D"/>
    <w:rsid w:val="00F80EA6"/>
    <w:rsid w:val="00F80FFA"/>
    <w:rsid w:val="00F811F5"/>
    <w:rsid w:val="00F81224"/>
    <w:rsid w:val="00F81693"/>
    <w:rsid w:val="00F81743"/>
    <w:rsid w:val="00F81990"/>
    <w:rsid w:val="00F81C00"/>
    <w:rsid w:val="00F81F6F"/>
    <w:rsid w:val="00F82227"/>
    <w:rsid w:val="00F822F3"/>
    <w:rsid w:val="00F82768"/>
    <w:rsid w:val="00F82E00"/>
    <w:rsid w:val="00F83095"/>
    <w:rsid w:val="00F831F8"/>
    <w:rsid w:val="00F847F2"/>
    <w:rsid w:val="00F85507"/>
    <w:rsid w:val="00F857FD"/>
    <w:rsid w:val="00F85CE6"/>
    <w:rsid w:val="00F85F1A"/>
    <w:rsid w:val="00F872DE"/>
    <w:rsid w:val="00F87521"/>
    <w:rsid w:val="00F879C0"/>
    <w:rsid w:val="00F87AD1"/>
    <w:rsid w:val="00F87C21"/>
    <w:rsid w:val="00F905FE"/>
    <w:rsid w:val="00F90603"/>
    <w:rsid w:val="00F91061"/>
    <w:rsid w:val="00F91122"/>
    <w:rsid w:val="00F91621"/>
    <w:rsid w:val="00F92065"/>
    <w:rsid w:val="00F92AD8"/>
    <w:rsid w:val="00F934B9"/>
    <w:rsid w:val="00F93B1A"/>
    <w:rsid w:val="00F93D41"/>
    <w:rsid w:val="00F93F89"/>
    <w:rsid w:val="00F94118"/>
    <w:rsid w:val="00F94D06"/>
    <w:rsid w:val="00F94D3B"/>
    <w:rsid w:val="00F95184"/>
    <w:rsid w:val="00F951D0"/>
    <w:rsid w:val="00F9595A"/>
    <w:rsid w:val="00F95CFC"/>
    <w:rsid w:val="00F96330"/>
    <w:rsid w:val="00F965A3"/>
    <w:rsid w:val="00F96BB9"/>
    <w:rsid w:val="00F970CF"/>
    <w:rsid w:val="00F9758B"/>
    <w:rsid w:val="00F979EA"/>
    <w:rsid w:val="00F97CDF"/>
    <w:rsid w:val="00F97D58"/>
    <w:rsid w:val="00F97DC1"/>
    <w:rsid w:val="00FA00EC"/>
    <w:rsid w:val="00FA0945"/>
    <w:rsid w:val="00FA0B4D"/>
    <w:rsid w:val="00FA1373"/>
    <w:rsid w:val="00FA143B"/>
    <w:rsid w:val="00FA1F32"/>
    <w:rsid w:val="00FA2118"/>
    <w:rsid w:val="00FA2922"/>
    <w:rsid w:val="00FA2A91"/>
    <w:rsid w:val="00FA2DF2"/>
    <w:rsid w:val="00FA2E80"/>
    <w:rsid w:val="00FA2F94"/>
    <w:rsid w:val="00FA41F2"/>
    <w:rsid w:val="00FA465A"/>
    <w:rsid w:val="00FA4C38"/>
    <w:rsid w:val="00FA512B"/>
    <w:rsid w:val="00FA515F"/>
    <w:rsid w:val="00FA5552"/>
    <w:rsid w:val="00FA58F3"/>
    <w:rsid w:val="00FA5DC8"/>
    <w:rsid w:val="00FA5F4A"/>
    <w:rsid w:val="00FA5F5F"/>
    <w:rsid w:val="00FA6AB2"/>
    <w:rsid w:val="00FA6DC7"/>
    <w:rsid w:val="00FA76C9"/>
    <w:rsid w:val="00FA76EA"/>
    <w:rsid w:val="00FA7DCB"/>
    <w:rsid w:val="00FA7F4D"/>
    <w:rsid w:val="00FA7FE6"/>
    <w:rsid w:val="00FB03A4"/>
    <w:rsid w:val="00FB041F"/>
    <w:rsid w:val="00FB07E3"/>
    <w:rsid w:val="00FB0A91"/>
    <w:rsid w:val="00FB0E11"/>
    <w:rsid w:val="00FB0F26"/>
    <w:rsid w:val="00FB1558"/>
    <w:rsid w:val="00FB16C1"/>
    <w:rsid w:val="00FB199D"/>
    <w:rsid w:val="00FB1A93"/>
    <w:rsid w:val="00FB1AD6"/>
    <w:rsid w:val="00FB1CB0"/>
    <w:rsid w:val="00FB22F2"/>
    <w:rsid w:val="00FB2313"/>
    <w:rsid w:val="00FB237A"/>
    <w:rsid w:val="00FB325B"/>
    <w:rsid w:val="00FB392E"/>
    <w:rsid w:val="00FB3A70"/>
    <w:rsid w:val="00FB3C66"/>
    <w:rsid w:val="00FB40D6"/>
    <w:rsid w:val="00FB44AA"/>
    <w:rsid w:val="00FB4AE5"/>
    <w:rsid w:val="00FB575D"/>
    <w:rsid w:val="00FB5A64"/>
    <w:rsid w:val="00FB5E3B"/>
    <w:rsid w:val="00FB63DA"/>
    <w:rsid w:val="00FB6644"/>
    <w:rsid w:val="00FB6ABD"/>
    <w:rsid w:val="00FB6D1D"/>
    <w:rsid w:val="00FB71B6"/>
    <w:rsid w:val="00FB720E"/>
    <w:rsid w:val="00FB7211"/>
    <w:rsid w:val="00FB7853"/>
    <w:rsid w:val="00FB7D38"/>
    <w:rsid w:val="00FC042C"/>
    <w:rsid w:val="00FC07C1"/>
    <w:rsid w:val="00FC0A36"/>
    <w:rsid w:val="00FC0AF4"/>
    <w:rsid w:val="00FC0BC2"/>
    <w:rsid w:val="00FC1061"/>
    <w:rsid w:val="00FC135D"/>
    <w:rsid w:val="00FC1674"/>
    <w:rsid w:val="00FC1DDF"/>
    <w:rsid w:val="00FC2999"/>
    <w:rsid w:val="00FC3069"/>
    <w:rsid w:val="00FC320D"/>
    <w:rsid w:val="00FC34B5"/>
    <w:rsid w:val="00FC36FE"/>
    <w:rsid w:val="00FC3963"/>
    <w:rsid w:val="00FC3A97"/>
    <w:rsid w:val="00FC3B35"/>
    <w:rsid w:val="00FC4144"/>
    <w:rsid w:val="00FC4375"/>
    <w:rsid w:val="00FC4C9C"/>
    <w:rsid w:val="00FC4F21"/>
    <w:rsid w:val="00FC5758"/>
    <w:rsid w:val="00FC5A74"/>
    <w:rsid w:val="00FC5BE1"/>
    <w:rsid w:val="00FC5C6D"/>
    <w:rsid w:val="00FC5FF9"/>
    <w:rsid w:val="00FC637C"/>
    <w:rsid w:val="00FC63E4"/>
    <w:rsid w:val="00FC718D"/>
    <w:rsid w:val="00FC72AF"/>
    <w:rsid w:val="00FC7334"/>
    <w:rsid w:val="00FC75AD"/>
    <w:rsid w:val="00FC79F5"/>
    <w:rsid w:val="00FC7C09"/>
    <w:rsid w:val="00FC7C4E"/>
    <w:rsid w:val="00FC7F1D"/>
    <w:rsid w:val="00FD0029"/>
    <w:rsid w:val="00FD04EF"/>
    <w:rsid w:val="00FD0565"/>
    <w:rsid w:val="00FD064D"/>
    <w:rsid w:val="00FD0A7F"/>
    <w:rsid w:val="00FD0C8F"/>
    <w:rsid w:val="00FD124B"/>
    <w:rsid w:val="00FD1825"/>
    <w:rsid w:val="00FD1AF7"/>
    <w:rsid w:val="00FD1D04"/>
    <w:rsid w:val="00FD1E69"/>
    <w:rsid w:val="00FD2265"/>
    <w:rsid w:val="00FD2427"/>
    <w:rsid w:val="00FD2C64"/>
    <w:rsid w:val="00FD2D5B"/>
    <w:rsid w:val="00FD2E7C"/>
    <w:rsid w:val="00FD2F43"/>
    <w:rsid w:val="00FD357F"/>
    <w:rsid w:val="00FD3ED7"/>
    <w:rsid w:val="00FD3FA9"/>
    <w:rsid w:val="00FD46C3"/>
    <w:rsid w:val="00FD472D"/>
    <w:rsid w:val="00FD4996"/>
    <w:rsid w:val="00FD4AE4"/>
    <w:rsid w:val="00FD4BA3"/>
    <w:rsid w:val="00FD4C2C"/>
    <w:rsid w:val="00FD5721"/>
    <w:rsid w:val="00FD590C"/>
    <w:rsid w:val="00FD602E"/>
    <w:rsid w:val="00FD6035"/>
    <w:rsid w:val="00FD629C"/>
    <w:rsid w:val="00FD6311"/>
    <w:rsid w:val="00FD66BD"/>
    <w:rsid w:val="00FD6B15"/>
    <w:rsid w:val="00FD6DC6"/>
    <w:rsid w:val="00FD6F89"/>
    <w:rsid w:val="00FD7217"/>
    <w:rsid w:val="00FD7659"/>
    <w:rsid w:val="00FD76E6"/>
    <w:rsid w:val="00FE0562"/>
    <w:rsid w:val="00FE063B"/>
    <w:rsid w:val="00FE068B"/>
    <w:rsid w:val="00FE073D"/>
    <w:rsid w:val="00FE0CEB"/>
    <w:rsid w:val="00FE0EB5"/>
    <w:rsid w:val="00FE1001"/>
    <w:rsid w:val="00FE100A"/>
    <w:rsid w:val="00FE12C4"/>
    <w:rsid w:val="00FE1A4F"/>
    <w:rsid w:val="00FE1BC4"/>
    <w:rsid w:val="00FE2128"/>
    <w:rsid w:val="00FE2509"/>
    <w:rsid w:val="00FE252A"/>
    <w:rsid w:val="00FE2542"/>
    <w:rsid w:val="00FE26B7"/>
    <w:rsid w:val="00FE2FD9"/>
    <w:rsid w:val="00FE3983"/>
    <w:rsid w:val="00FE3B3A"/>
    <w:rsid w:val="00FE3DFF"/>
    <w:rsid w:val="00FE406D"/>
    <w:rsid w:val="00FE42E2"/>
    <w:rsid w:val="00FE449B"/>
    <w:rsid w:val="00FE4ED9"/>
    <w:rsid w:val="00FE5249"/>
    <w:rsid w:val="00FE534B"/>
    <w:rsid w:val="00FE5B53"/>
    <w:rsid w:val="00FE5CCB"/>
    <w:rsid w:val="00FE5D3A"/>
    <w:rsid w:val="00FE64BF"/>
    <w:rsid w:val="00FE65BE"/>
    <w:rsid w:val="00FE67B4"/>
    <w:rsid w:val="00FE6D51"/>
    <w:rsid w:val="00FE6DEF"/>
    <w:rsid w:val="00FE7293"/>
    <w:rsid w:val="00FE729B"/>
    <w:rsid w:val="00FE738B"/>
    <w:rsid w:val="00FE767B"/>
    <w:rsid w:val="00FE768E"/>
    <w:rsid w:val="00FE797A"/>
    <w:rsid w:val="00FF00C5"/>
    <w:rsid w:val="00FF026D"/>
    <w:rsid w:val="00FF0572"/>
    <w:rsid w:val="00FF0CCC"/>
    <w:rsid w:val="00FF0D42"/>
    <w:rsid w:val="00FF0DC7"/>
    <w:rsid w:val="00FF276F"/>
    <w:rsid w:val="00FF2823"/>
    <w:rsid w:val="00FF2A91"/>
    <w:rsid w:val="00FF33AB"/>
    <w:rsid w:val="00FF381D"/>
    <w:rsid w:val="00FF39D1"/>
    <w:rsid w:val="00FF41EF"/>
    <w:rsid w:val="00FF4357"/>
    <w:rsid w:val="00FF449E"/>
    <w:rsid w:val="00FF48F6"/>
    <w:rsid w:val="00FF4B85"/>
    <w:rsid w:val="00FF4DC0"/>
    <w:rsid w:val="00FF571B"/>
    <w:rsid w:val="00FF5850"/>
    <w:rsid w:val="00FF5B29"/>
    <w:rsid w:val="00FF5E6C"/>
    <w:rsid w:val="00FF6AF2"/>
    <w:rsid w:val="00FF72DF"/>
    <w:rsid w:val="00FF738C"/>
    <w:rsid w:val="00FF7D39"/>
    <w:rsid w:val="00FF7E84"/>
    <w:rsid w:val="025B3BC9"/>
    <w:rsid w:val="04B123B9"/>
    <w:rsid w:val="057F983F"/>
    <w:rsid w:val="05C6B7AF"/>
    <w:rsid w:val="05E6E7EB"/>
    <w:rsid w:val="06E63A09"/>
    <w:rsid w:val="06EE9E4E"/>
    <w:rsid w:val="073FCEEC"/>
    <w:rsid w:val="07451EFB"/>
    <w:rsid w:val="07A2E525"/>
    <w:rsid w:val="07EF22A7"/>
    <w:rsid w:val="08BCB717"/>
    <w:rsid w:val="08C0669E"/>
    <w:rsid w:val="09287BC3"/>
    <w:rsid w:val="0A259505"/>
    <w:rsid w:val="0A3115C5"/>
    <w:rsid w:val="0AA2444C"/>
    <w:rsid w:val="0AEBF3BC"/>
    <w:rsid w:val="0B082705"/>
    <w:rsid w:val="0B1344FB"/>
    <w:rsid w:val="0B523973"/>
    <w:rsid w:val="0B7BD284"/>
    <w:rsid w:val="0B7FF040"/>
    <w:rsid w:val="0C47E1FD"/>
    <w:rsid w:val="0DACA9BF"/>
    <w:rsid w:val="0DAED895"/>
    <w:rsid w:val="0DD4C532"/>
    <w:rsid w:val="0DE67E0E"/>
    <w:rsid w:val="0E400D66"/>
    <w:rsid w:val="0E6F0014"/>
    <w:rsid w:val="100BDD76"/>
    <w:rsid w:val="104EA879"/>
    <w:rsid w:val="1080CC80"/>
    <w:rsid w:val="10A2E70A"/>
    <w:rsid w:val="10ECC63E"/>
    <w:rsid w:val="10F7DA54"/>
    <w:rsid w:val="1105C86F"/>
    <w:rsid w:val="1155C301"/>
    <w:rsid w:val="11771A3D"/>
    <w:rsid w:val="125D76D1"/>
    <w:rsid w:val="1292E770"/>
    <w:rsid w:val="12F5D9CA"/>
    <w:rsid w:val="132B1A63"/>
    <w:rsid w:val="1346EF59"/>
    <w:rsid w:val="13D38828"/>
    <w:rsid w:val="141F1102"/>
    <w:rsid w:val="14FFBCDD"/>
    <w:rsid w:val="154E1B4B"/>
    <w:rsid w:val="157A32BF"/>
    <w:rsid w:val="161ACCE7"/>
    <w:rsid w:val="16699EB9"/>
    <w:rsid w:val="167A3264"/>
    <w:rsid w:val="1771C08F"/>
    <w:rsid w:val="17DB648C"/>
    <w:rsid w:val="183BFD0A"/>
    <w:rsid w:val="186A4094"/>
    <w:rsid w:val="18EEA513"/>
    <w:rsid w:val="191D572E"/>
    <w:rsid w:val="198ED958"/>
    <w:rsid w:val="19A563E2"/>
    <w:rsid w:val="1A3C1C80"/>
    <w:rsid w:val="1AB832D4"/>
    <w:rsid w:val="1AD341E6"/>
    <w:rsid w:val="1AF94B16"/>
    <w:rsid w:val="1B5BA54D"/>
    <w:rsid w:val="1C972C08"/>
    <w:rsid w:val="1D0F4797"/>
    <w:rsid w:val="1D72703A"/>
    <w:rsid w:val="1DF69C40"/>
    <w:rsid w:val="1E0A2CBB"/>
    <w:rsid w:val="1E7340E5"/>
    <w:rsid w:val="1F9F109E"/>
    <w:rsid w:val="2124563C"/>
    <w:rsid w:val="2245FF53"/>
    <w:rsid w:val="2275A358"/>
    <w:rsid w:val="22812B04"/>
    <w:rsid w:val="22BCD4EE"/>
    <w:rsid w:val="235D69CB"/>
    <w:rsid w:val="24B0988F"/>
    <w:rsid w:val="251279B2"/>
    <w:rsid w:val="25EEBBA6"/>
    <w:rsid w:val="25F79511"/>
    <w:rsid w:val="260627E5"/>
    <w:rsid w:val="2673F7B6"/>
    <w:rsid w:val="26757C2F"/>
    <w:rsid w:val="268D560C"/>
    <w:rsid w:val="27639E8A"/>
    <w:rsid w:val="27A9DE08"/>
    <w:rsid w:val="27CD8085"/>
    <w:rsid w:val="27D424E7"/>
    <w:rsid w:val="27FBD6A7"/>
    <w:rsid w:val="28681CA0"/>
    <w:rsid w:val="2868E674"/>
    <w:rsid w:val="28D9C528"/>
    <w:rsid w:val="28DF2489"/>
    <w:rsid w:val="2912F2CA"/>
    <w:rsid w:val="2948DAA4"/>
    <w:rsid w:val="299E7BF6"/>
    <w:rsid w:val="29F56BA9"/>
    <w:rsid w:val="2A46CE91"/>
    <w:rsid w:val="2B339B10"/>
    <w:rsid w:val="2B69CECA"/>
    <w:rsid w:val="2C32A8C7"/>
    <w:rsid w:val="2D125F7A"/>
    <w:rsid w:val="2D16D21E"/>
    <w:rsid w:val="2E26E531"/>
    <w:rsid w:val="2E84B2BB"/>
    <w:rsid w:val="2FA6E382"/>
    <w:rsid w:val="2FC75B3B"/>
    <w:rsid w:val="3024BCCA"/>
    <w:rsid w:val="304CCD6B"/>
    <w:rsid w:val="30A3164E"/>
    <w:rsid w:val="30B59CBF"/>
    <w:rsid w:val="30B870EF"/>
    <w:rsid w:val="30BDB272"/>
    <w:rsid w:val="30DFEE84"/>
    <w:rsid w:val="31244495"/>
    <w:rsid w:val="31F56C6F"/>
    <w:rsid w:val="320A4167"/>
    <w:rsid w:val="33827BC2"/>
    <w:rsid w:val="33A2D7AF"/>
    <w:rsid w:val="33AA13E5"/>
    <w:rsid w:val="33B779BE"/>
    <w:rsid w:val="33FABCA9"/>
    <w:rsid w:val="34B86A41"/>
    <w:rsid w:val="34D8E6DB"/>
    <w:rsid w:val="356B6943"/>
    <w:rsid w:val="3575B322"/>
    <w:rsid w:val="35A4DAD2"/>
    <w:rsid w:val="35AE5E95"/>
    <w:rsid w:val="362F9F8A"/>
    <w:rsid w:val="3682C0ED"/>
    <w:rsid w:val="36E6D434"/>
    <w:rsid w:val="382C6146"/>
    <w:rsid w:val="382F0CCC"/>
    <w:rsid w:val="383E8449"/>
    <w:rsid w:val="3843A20C"/>
    <w:rsid w:val="3846EB81"/>
    <w:rsid w:val="3878A00B"/>
    <w:rsid w:val="38CA2D61"/>
    <w:rsid w:val="394F754E"/>
    <w:rsid w:val="395BCB11"/>
    <w:rsid w:val="3A7EF80C"/>
    <w:rsid w:val="3AF54B61"/>
    <w:rsid w:val="3B2E6985"/>
    <w:rsid w:val="3BAB3D53"/>
    <w:rsid w:val="3BC123A8"/>
    <w:rsid w:val="3C2CAB9D"/>
    <w:rsid w:val="3C9B5CF9"/>
    <w:rsid w:val="3D6234BD"/>
    <w:rsid w:val="3D6955A0"/>
    <w:rsid w:val="3D75658A"/>
    <w:rsid w:val="3EAB873F"/>
    <w:rsid w:val="3F2D2297"/>
    <w:rsid w:val="3F4386F4"/>
    <w:rsid w:val="3F4C29F2"/>
    <w:rsid w:val="3FD0CED0"/>
    <w:rsid w:val="40284683"/>
    <w:rsid w:val="402D50A9"/>
    <w:rsid w:val="40CD7E07"/>
    <w:rsid w:val="4276078F"/>
    <w:rsid w:val="42894B37"/>
    <w:rsid w:val="435BA441"/>
    <w:rsid w:val="4360380C"/>
    <w:rsid w:val="43E2C61C"/>
    <w:rsid w:val="43FCDC71"/>
    <w:rsid w:val="4404C999"/>
    <w:rsid w:val="446CAA68"/>
    <w:rsid w:val="456DAF4F"/>
    <w:rsid w:val="45F29586"/>
    <w:rsid w:val="4648A7C6"/>
    <w:rsid w:val="46C105EC"/>
    <w:rsid w:val="470181B8"/>
    <w:rsid w:val="47CCF202"/>
    <w:rsid w:val="482A169D"/>
    <w:rsid w:val="4855C273"/>
    <w:rsid w:val="48C9E894"/>
    <w:rsid w:val="48EDF820"/>
    <w:rsid w:val="4A2F0A81"/>
    <w:rsid w:val="4AF595D2"/>
    <w:rsid w:val="4B0D6E5E"/>
    <w:rsid w:val="4B52E471"/>
    <w:rsid w:val="4B6639AF"/>
    <w:rsid w:val="4D62C495"/>
    <w:rsid w:val="4E3984E4"/>
    <w:rsid w:val="4E89B87F"/>
    <w:rsid w:val="4E92EA9B"/>
    <w:rsid w:val="4EA3F926"/>
    <w:rsid w:val="4ECE3C8A"/>
    <w:rsid w:val="4ED2005A"/>
    <w:rsid w:val="4F032580"/>
    <w:rsid w:val="4F671B34"/>
    <w:rsid w:val="4FCD6095"/>
    <w:rsid w:val="506A0CEB"/>
    <w:rsid w:val="50C135DD"/>
    <w:rsid w:val="512BD746"/>
    <w:rsid w:val="5214D8E8"/>
    <w:rsid w:val="5347AA40"/>
    <w:rsid w:val="53BF0693"/>
    <w:rsid w:val="54E452A3"/>
    <w:rsid w:val="550B194C"/>
    <w:rsid w:val="55E759D3"/>
    <w:rsid w:val="570661C0"/>
    <w:rsid w:val="57088723"/>
    <w:rsid w:val="5765F7CC"/>
    <w:rsid w:val="57A54723"/>
    <w:rsid w:val="57B5C53C"/>
    <w:rsid w:val="57FF3D58"/>
    <w:rsid w:val="5810D8D7"/>
    <w:rsid w:val="5857BE23"/>
    <w:rsid w:val="58CA5B04"/>
    <w:rsid w:val="5922DC64"/>
    <w:rsid w:val="59AAFCFF"/>
    <w:rsid w:val="59FEDEA2"/>
    <w:rsid w:val="5A3C47F3"/>
    <w:rsid w:val="5BBC79DF"/>
    <w:rsid w:val="5C0FD798"/>
    <w:rsid w:val="5C252B4A"/>
    <w:rsid w:val="5C58ACE0"/>
    <w:rsid w:val="5CF4566B"/>
    <w:rsid w:val="5DA11FC6"/>
    <w:rsid w:val="5DA8F047"/>
    <w:rsid w:val="5DD3473E"/>
    <w:rsid w:val="5DF5C78A"/>
    <w:rsid w:val="5E13AC9D"/>
    <w:rsid w:val="5EF12607"/>
    <w:rsid w:val="5F06D3B5"/>
    <w:rsid w:val="5FADDFE3"/>
    <w:rsid w:val="5FF9B224"/>
    <w:rsid w:val="605B89A9"/>
    <w:rsid w:val="60A519C4"/>
    <w:rsid w:val="60D41E93"/>
    <w:rsid w:val="60E0486C"/>
    <w:rsid w:val="6148C20E"/>
    <w:rsid w:val="618B8CD1"/>
    <w:rsid w:val="61F14B71"/>
    <w:rsid w:val="62793CC7"/>
    <w:rsid w:val="62D1F6D2"/>
    <w:rsid w:val="636A0146"/>
    <w:rsid w:val="638EE17B"/>
    <w:rsid w:val="63906D98"/>
    <w:rsid w:val="64BA1D76"/>
    <w:rsid w:val="64CD8B64"/>
    <w:rsid w:val="64DCD69B"/>
    <w:rsid w:val="65AC33CB"/>
    <w:rsid w:val="65C64A3C"/>
    <w:rsid w:val="65EF63DA"/>
    <w:rsid w:val="66B40E1C"/>
    <w:rsid w:val="66C1264F"/>
    <w:rsid w:val="670085A2"/>
    <w:rsid w:val="674B40AC"/>
    <w:rsid w:val="6811A681"/>
    <w:rsid w:val="68795EF6"/>
    <w:rsid w:val="69537140"/>
    <w:rsid w:val="6961A4E0"/>
    <w:rsid w:val="69758470"/>
    <w:rsid w:val="69C5EDFC"/>
    <w:rsid w:val="6A9C2EE3"/>
    <w:rsid w:val="6ABA4547"/>
    <w:rsid w:val="6B6EE5C4"/>
    <w:rsid w:val="6CABCA8D"/>
    <w:rsid w:val="6CDDC644"/>
    <w:rsid w:val="6CDDD2A3"/>
    <w:rsid w:val="6D09183F"/>
    <w:rsid w:val="6E783F86"/>
    <w:rsid w:val="6EC789E6"/>
    <w:rsid w:val="6F0C0939"/>
    <w:rsid w:val="6F3A592B"/>
    <w:rsid w:val="6F6AA0D1"/>
    <w:rsid w:val="6F8CBDB5"/>
    <w:rsid w:val="6FA48983"/>
    <w:rsid w:val="6FE10EC4"/>
    <w:rsid w:val="7002993F"/>
    <w:rsid w:val="7129F99C"/>
    <w:rsid w:val="7185AFE5"/>
    <w:rsid w:val="71C81559"/>
    <w:rsid w:val="72135FC2"/>
    <w:rsid w:val="72EF5EC9"/>
    <w:rsid w:val="72F2B8C8"/>
    <w:rsid w:val="7301834B"/>
    <w:rsid w:val="73F94F36"/>
    <w:rsid w:val="740307B4"/>
    <w:rsid w:val="752567CA"/>
    <w:rsid w:val="75951194"/>
    <w:rsid w:val="760B0B0A"/>
    <w:rsid w:val="77577F0A"/>
    <w:rsid w:val="77F9B534"/>
    <w:rsid w:val="78ACCABF"/>
    <w:rsid w:val="790A0521"/>
    <w:rsid w:val="79687F0D"/>
    <w:rsid w:val="79EC989C"/>
    <w:rsid w:val="7A3F7B5C"/>
    <w:rsid w:val="7AA5BFE7"/>
    <w:rsid w:val="7AA82F52"/>
    <w:rsid w:val="7B372A1D"/>
    <w:rsid w:val="7B7A3FEE"/>
    <w:rsid w:val="7C0F4889"/>
    <w:rsid w:val="7DAE3182"/>
    <w:rsid w:val="7DE39B12"/>
    <w:rsid w:val="7DF0E676"/>
    <w:rsid w:val="7E138997"/>
    <w:rsid w:val="7F0F13FE"/>
    <w:rsid w:val="7F14F72F"/>
    <w:rsid w:val="7F647119"/>
    <w:rsid w:val="7F694761"/>
    <w:rsid w:val="7FFAA0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A930"/>
  <w15:docId w15:val="{F06E6468-1277-451D-A5D3-EE23C91B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B84"/>
    <w:pPr>
      <w:suppressAutoHyphens/>
      <w:spacing w:before="140" w:after="60" w:line="280" w:lineRule="atLeast"/>
    </w:pPr>
    <w:rPr>
      <w:rFonts w:ascii="Calibri" w:hAnsi="Calibri"/>
      <w:szCs w:val="28"/>
    </w:rPr>
  </w:style>
  <w:style w:type="paragraph" w:styleId="Heading1">
    <w:name w:val="heading 1"/>
    <w:basedOn w:val="Normal"/>
    <w:next w:val="Normal"/>
    <w:link w:val="Heading1Char"/>
    <w:uiPriority w:val="9"/>
    <w:qFormat/>
    <w:rsid w:val="00166A5E"/>
    <w:pPr>
      <w:keepNext/>
      <w:keepLines/>
      <w:numPr>
        <w:numId w:val="41"/>
      </w:numPr>
      <w:spacing w:before="360" w:after="120" w:line="460" w:lineRule="atLeast"/>
      <w:ind w:left="1134" w:hanging="1134"/>
      <w:contextualSpacing/>
      <w:outlineLvl w:val="0"/>
    </w:pPr>
    <w:rPr>
      <w:rFonts w:asciiTheme="majorHAnsi" w:eastAsiaTheme="majorEastAsia" w:hAnsiTheme="majorHAnsi" w:cstheme="majorBidi"/>
      <w:bCs/>
      <w:color w:val="1C1C1C" w:themeColor="text2"/>
      <w:sz w:val="40"/>
    </w:rPr>
  </w:style>
  <w:style w:type="paragraph" w:styleId="Heading2">
    <w:name w:val="heading 2"/>
    <w:basedOn w:val="Heading1"/>
    <w:next w:val="Normal"/>
    <w:link w:val="Heading2Char"/>
    <w:uiPriority w:val="9"/>
    <w:unhideWhenUsed/>
    <w:rsid w:val="00166A5E"/>
    <w:pPr>
      <w:numPr>
        <w:ilvl w:val="1"/>
      </w:numPr>
      <w:spacing w:line="400" w:lineRule="atLeast"/>
      <w:ind w:left="1134" w:hanging="1134"/>
      <w:outlineLvl w:val="1"/>
    </w:pPr>
    <w:rPr>
      <w:bCs w:val="0"/>
      <w:sz w:val="34"/>
      <w:szCs w:val="26"/>
    </w:rPr>
  </w:style>
  <w:style w:type="paragraph" w:styleId="Heading3">
    <w:name w:val="heading 3"/>
    <w:basedOn w:val="Heading2"/>
    <w:next w:val="Normal"/>
    <w:link w:val="Heading3Char"/>
    <w:uiPriority w:val="9"/>
    <w:unhideWhenUsed/>
    <w:qFormat/>
    <w:rsid w:val="00166A5E"/>
    <w:pPr>
      <w:numPr>
        <w:ilvl w:val="2"/>
      </w:numPr>
      <w:spacing w:line="340" w:lineRule="atLeast"/>
      <w:ind w:left="1134" w:hanging="1134"/>
      <w:contextualSpacing w:val="0"/>
      <w:outlineLvl w:val="2"/>
    </w:pPr>
    <w:rPr>
      <w:rFonts w:cs="Calibri"/>
      <w:bCs/>
      <w:sz w:val="30"/>
    </w:rPr>
  </w:style>
  <w:style w:type="paragraph" w:styleId="Heading4">
    <w:name w:val="heading 4"/>
    <w:basedOn w:val="Heading2"/>
    <w:next w:val="Normal"/>
    <w:link w:val="Heading4Char"/>
    <w:uiPriority w:val="9"/>
    <w:unhideWhenUsed/>
    <w:rsid w:val="00C00CF2"/>
    <w:pPr>
      <w:numPr>
        <w:ilvl w:val="3"/>
      </w:numPr>
      <w:outlineLvl w:val="3"/>
    </w:pPr>
    <w:rPr>
      <w:sz w:val="28"/>
      <w:szCs w:val="28"/>
    </w:rPr>
  </w:style>
  <w:style w:type="paragraph" w:styleId="Heading5">
    <w:name w:val="heading 5"/>
    <w:basedOn w:val="Heading4"/>
    <w:next w:val="Normal"/>
    <w:link w:val="Heading5Char"/>
    <w:uiPriority w:val="9"/>
    <w:unhideWhenUsed/>
    <w:qFormat/>
    <w:rsid w:val="00BC18D2"/>
    <w:pPr>
      <w:numPr>
        <w:ilvl w:val="4"/>
      </w:numPr>
      <w:outlineLvl w:val="4"/>
    </w:pPr>
    <w:rPr>
      <w:i/>
      <w:color w:val="77B6BD" w:themeColor="accent1" w:themeShade="BF"/>
      <w:sz w:val="22"/>
      <w:szCs w:val="26"/>
    </w:rPr>
  </w:style>
  <w:style w:type="paragraph" w:styleId="Heading6">
    <w:name w:val="heading 6"/>
    <w:basedOn w:val="Heading5"/>
    <w:next w:val="Normal"/>
    <w:link w:val="Heading6Char"/>
    <w:uiPriority w:val="9"/>
    <w:unhideWhenUsed/>
    <w:qFormat/>
    <w:rsid w:val="00BC18D2"/>
    <w:pPr>
      <w:numPr>
        <w:ilvl w:val="5"/>
      </w:numPr>
      <w:spacing w:before="40"/>
      <w:outlineLvl w:val="5"/>
    </w:pPr>
    <w:rPr>
      <w:color w:val="43838A" w:themeColor="accent1" w:themeShade="7F"/>
    </w:rPr>
  </w:style>
  <w:style w:type="paragraph" w:styleId="Heading7">
    <w:name w:val="heading 7"/>
    <w:basedOn w:val="Heading6"/>
    <w:next w:val="Normal"/>
    <w:link w:val="Heading7Char"/>
    <w:uiPriority w:val="9"/>
    <w:semiHidden/>
    <w:unhideWhenUsed/>
    <w:qFormat/>
    <w:rsid w:val="00BC18D2"/>
    <w:pPr>
      <w:numPr>
        <w:ilvl w:val="6"/>
      </w:numPr>
      <w:outlineLvl w:val="6"/>
    </w:pPr>
    <w:rPr>
      <w:i w:val="0"/>
      <w:iCs/>
    </w:rPr>
  </w:style>
  <w:style w:type="paragraph" w:styleId="Heading8">
    <w:name w:val="heading 8"/>
    <w:basedOn w:val="Heading7"/>
    <w:next w:val="Normal"/>
    <w:link w:val="Heading8Char"/>
    <w:uiPriority w:val="9"/>
    <w:semiHidden/>
    <w:unhideWhenUsed/>
    <w:qFormat/>
    <w:rsid w:val="00BC18D2"/>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C18D2"/>
    <w:pPr>
      <w:numPr>
        <w:ilvl w:val="8"/>
      </w:numPr>
      <w:outlineLvl w:val="8"/>
    </w:pPr>
    <w:rPr>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A5E"/>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6A5E"/>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166A5E"/>
    <w:rPr>
      <w:rFonts w:asciiTheme="majorHAnsi" w:eastAsiaTheme="majorEastAsia" w:hAnsiTheme="majorHAnsi" w:cs="Calibr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2"/>
    <w:qFormat/>
    <w:rsid w:val="00DB6D69"/>
    <w:pPr>
      <w:spacing w:before="360" w:line="260" w:lineRule="atLeast"/>
      <w:ind w:left="576" w:hanging="576"/>
    </w:pPr>
    <w:rPr>
      <w:b/>
      <w:iCs/>
      <w:sz w:val="20"/>
      <w:szCs w:val="24"/>
    </w:rPr>
  </w:style>
  <w:style w:type="character" w:customStyle="1" w:styleId="SubtitleChar">
    <w:name w:val="Subtitle Char"/>
    <w:basedOn w:val="DefaultParagraphFont"/>
    <w:link w:val="Subtitle"/>
    <w:uiPriority w:val="2"/>
    <w:rsid w:val="00DB6D69"/>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link w:val="Bullet1Char"/>
    <w:qFormat/>
    <w:rsid w:val="00FD064D"/>
    <w:pPr>
      <w:numPr>
        <w:numId w:val="6"/>
      </w:numPr>
      <w:suppressAutoHyphens w:val="0"/>
      <w:spacing w:before="100" w:after="100" w:line="264" w:lineRule="auto"/>
    </w:pPr>
    <w:rPr>
      <w:rFonts w:eastAsia="Cambria" w:cs="Calibri"/>
    </w:rPr>
  </w:style>
  <w:style w:type="paragraph" w:customStyle="1" w:styleId="Bullet4">
    <w:name w:val="Bullet 4"/>
    <w:basedOn w:val="BodyText"/>
    <w:qFormat/>
    <w:rsid w:val="00D2417F"/>
    <w:pPr>
      <w:numPr>
        <w:ilvl w:val="2"/>
        <w:numId w:val="16"/>
      </w:numPr>
      <w:ind w:left="1701" w:right="0" w:hanging="425"/>
    </w:pPr>
  </w:style>
  <w:style w:type="paragraph" w:customStyle="1" w:styleId="Bullet2">
    <w:name w:val="Bullet 2"/>
    <w:basedOn w:val="ListBullet"/>
    <w:qFormat/>
    <w:rsid w:val="003A4B20"/>
    <w:pPr>
      <w:numPr>
        <w:numId w:val="12"/>
      </w:numPr>
      <w:spacing w:before="80" w:after="80"/>
      <w:ind w:right="272"/>
      <w:contextualSpacing w:val="0"/>
    </w:pPr>
    <w:rPr>
      <w:rFonts w:ascii="Calibri" w:hAnsi="Calibri" w:cs="Calibri"/>
    </w:rPr>
  </w:style>
  <w:style w:type="paragraph" w:customStyle="1" w:styleId="NumberedList1">
    <w:name w:val="Numbered List 1"/>
    <w:basedOn w:val="Normal"/>
    <w:link w:val="NumberedList1Char"/>
    <w:autoRedefine/>
    <w:qFormat/>
    <w:rsid w:val="00FE449B"/>
    <w:pPr>
      <w:widowControl w:val="0"/>
      <w:spacing w:before="80" w:after="80" w:line="240" w:lineRule="auto"/>
    </w:pPr>
    <w:rPr>
      <w:color w:val="FF0000"/>
      <w:u w:val="single"/>
    </w:rPr>
  </w:style>
  <w:style w:type="paragraph" w:customStyle="1" w:styleId="NumberedList2">
    <w:name w:val="Numbered List 2"/>
    <w:basedOn w:val="NumberedList1"/>
    <w:link w:val="NumberedList2Char"/>
    <w:qFormat/>
    <w:rsid w:val="00A87BD4"/>
    <w:pPr>
      <w:numPr>
        <w:ilvl w:val="1"/>
        <w:numId w:val="13"/>
      </w:numPr>
      <w:ind w:left="284"/>
    </w:pPr>
  </w:style>
  <w:style w:type="paragraph" w:customStyle="1" w:styleId="NumberedList3">
    <w:name w:val="Numbered List 3"/>
    <w:basedOn w:val="NumberedList2"/>
    <w:qFormat/>
    <w:rsid w:val="00576566"/>
    <w:pPr>
      <w:numPr>
        <w:ilvl w:val="2"/>
      </w:numPr>
      <w:ind w:left="964" w:hanging="397"/>
    </w:pPr>
  </w:style>
  <w:style w:type="character" w:customStyle="1" w:styleId="UnresolvedMention1">
    <w:name w:val="Unresolved Mention1"/>
    <w:basedOn w:val="DefaultParagraphFont"/>
    <w:uiPriority w:val="99"/>
    <w:semiHidden/>
    <w:unhideWhenUsed/>
    <w:rsid w:val="00BE4298"/>
    <w:rPr>
      <w:color w:val="605E5C"/>
      <w:shd w:val="clear" w:color="auto" w:fill="E1DFDD"/>
    </w:rPr>
  </w:style>
  <w:style w:type="paragraph" w:customStyle="1" w:styleId="Bullet3">
    <w:name w:val="Bullet 3"/>
    <w:basedOn w:val="Bullet2"/>
    <w:qFormat/>
    <w:rsid w:val="00074797"/>
    <w:pPr>
      <w:numPr>
        <w:numId w:val="36"/>
      </w:numPr>
      <w:ind w:left="1276" w:right="0" w:hanging="425"/>
    </w:p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outlineLvl w:val="9"/>
    </w:pPr>
    <w:rPr>
      <w:bCs w:val="0"/>
      <w:szCs w:val="32"/>
      <w:lang w:val="en-US"/>
    </w:rPr>
  </w:style>
  <w:style w:type="character" w:customStyle="1" w:styleId="Heading4Char">
    <w:name w:val="Heading 4 Char"/>
    <w:basedOn w:val="DefaultParagraphFont"/>
    <w:link w:val="Heading4"/>
    <w:uiPriority w:val="9"/>
    <w:rsid w:val="00C00CF2"/>
    <w:rPr>
      <w:rFonts w:asciiTheme="majorHAnsi" w:eastAsiaTheme="majorEastAsia" w:hAnsiTheme="majorHAnsi" w:cstheme="majorBidi"/>
      <w:color w:val="1C1C1C" w:themeColor="text2"/>
      <w:sz w:val="28"/>
      <w:szCs w:val="28"/>
    </w:rPr>
  </w:style>
  <w:style w:type="paragraph" w:styleId="TOC1">
    <w:name w:val="toc 1"/>
    <w:basedOn w:val="Normal"/>
    <w:next w:val="Normal"/>
    <w:autoRedefine/>
    <w:uiPriority w:val="39"/>
    <w:unhideWhenUsed/>
    <w:qFormat/>
    <w:rsid w:val="00C666A3"/>
    <w:pPr>
      <w:tabs>
        <w:tab w:val="left" w:pos="567"/>
        <w:tab w:val="right" w:pos="9072"/>
      </w:tabs>
      <w:spacing w:after="180" w:line="230" w:lineRule="atLeast"/>
      <w:ind w:left="567" w:right="425" w:hanging="567"/>
    </w:pPr>
    <w:rPr>
      <w:noProof/>
      <w:sz w:val="24"/>
    </w:rPr>
  </w:style>
  <w:style w:type="paragraph" w:styleId="TOC2">
    <w:name w:val="toc 2"/>
    <w:basedOn w:val="Normal"/>
    <w:next w:val="Normal"/>
    <w:autoRedefine/>
    <w:uiPriority w:val="39"/>
    <w:unhideWhenUsed/>
    <w:qFormat/>
    <w:rsid w:val="00E754C4"/>
    <w:pPr>
      <w:tabs>
        <w:tab w:val="left" w:pos="1134"/>
        <w:tab w:val="right" w:pos="9072"/>
      </w:tabs>
      <w:spacing w:before="100" w:after="100" w:line="230" w:lineRule="atLeast"/>
      <w:ind w:left="1985" w:hanging="1418"/>
    </w:pPr>
    <w:rPr>
      <w:noProof/>
    </w:rPr>
  </w:style>
  <w:style w:type="paragraph" w:styleId="TOC3">
    <w:name w:val="toc 3"/>
    <w:basedOn w:val="Normal"/>
    <w:next w:val="Normal"/>
    <w:autoRedefine/>
    <w:uiPriority w:val="39"/>
    <w:unhideWhenUsed/>
    <w:qFormat/>
    <w:rsid w:val="0097206B"/>
    <w:pPr>
      <w:tabs>
        <w:tab w:val="left" w:pos="1843"/>
        <w:tab w:val="right" w:pos="9072"/>
      </w:tabs>
      <w:spacing w:before="60" w:line="220" w:lineRule="atLeast"/>
      <w:ind w:left="2268" w:hanging="1134"/>
    </w:pPr>
    <w:rPr>
      <w:noProof/>
    </w:rPr>
  </w:style>
  <w:style w:type="paragraph" w:styleId="Header">
    <w:name w:val="header"/>
    <w:basedOn w:val="Normal"/>
    <w:link w:val="HeaderChar"/>
    <w:uiPriority w:val="99"/>
    <w:unhideWhenUsed/>
    <w:rsid w:val="00CB050D"/>
    <w:pPr>
      <w:tabs>
        <w:tab w:val="left" w:pos="4253"/>
        <w:tab w:val="left" w:pos="7655"/>
      </w:tabs>
      <w:spacing w:before="0" w:after="0" w:line="180" w:lineRule="atLeast"/>
      <w:ind w:right="-6" w:firstLine="4253"/>
      <w:jc w:val="center"/>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4"/>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Reports1">
    <w:name w:val="Reports 1"/>
    <w:basedOn w:val="BodyText"/>
    <w:qFormat/>
    <w:rsid w:val="00F97CDF"/>
    <w:pPr>
      <w:numPr>
        <w:numId w:val="34"/>
      </w:numPr>
    </w:pPr>
    <w:rPr>
      <w:i/>
      <w:color w:val="0070C0"/>
    </w:rPr>
  </w:style>
  <w:style w:type="table" w:styleId="TableGrid">
    <w:name w:val="Table Grid"/>
    <w:basedOn w:val="TableNormal"/>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B050D"/>
    <w:rPr>
      <w:rFonts w:ascii="Calibri" w:hAnsi="Calibri"/>
      <w:sz w:val="14"/>
      <w:szCs w:val="28"/>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qFormat/>
    <w:rsid w:val="007914A0"/>
    <w:rPr>
      <w:rFonts w:ascii="Calibri" w:hAnsi="Calibri" w:cs="MuseoSans-500"/>
      <w:color w:val="auto"/>
      <w:sz w:val="22"/>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BC18D2"/>
    <w:rPr>
      <w:rFonts w:asciiTheme="majorHAnsi" w:eastAsiaTheme="majorEastAsia" w:hAnsiTheme="majorHAnsi" w:cstheme="majorBidi"/>
      <w:i/>
      <w:color w:val="77B6BD"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rsid w:val="00BC18D2"/>
    <w:rPr>
      <w:rFonts w:asciiTheme="majorHAnsi" w:eastAsiaTheme="majorEastAsia" w:hAnsiTheme="majorHAnsi" w:cstheme="majorBidi"/>
      <w:i/>
      <w:color w:val="43838A" w:themeColor="accent1" w:themeShade="7F"/>
      <w:szCs w:val="26"/>
    </w:rPr>
  </w:style>
  <w:style w:type="character" w:customStyle="1" w:styleId="Heading7Char">
    <w:name w:val="Heading 7 Char"/>
    <w:basedOn w:val="DefaultParagraphFont"/>
    <w:link w:val="Heading7"/>
    <w:uiPriority w:val="9"/>
    <w:semiHidden/>
    <w:rsid w:val="00BC18D2"/>
    <w:rPr>
      <w:rFonts w:asciiTheme="majorHAnsi" w:eastAsiaTheme="majorEastAsia" w:hAnsiTheme="majorHAnsi" w:cstheme="majorBidi"/>
      <w:iCs/>
      <w:color w:val="43838A" w:themeColor="accent1" w:themeShade="7F"/>
      <w:szCs w:val="26"/>
    </w:rPr>
  </w:style>
  <w:style w:type="character" w:customStyle="1" w:styleId="Heading8Char">
    <w:name w:val="Heading 8 Char"/>
    <w:basedOn w:val="DefaultParagraphFont"/>
    <w:link w:val="Heading8"/>
    <w:uiPriority w:val="9"/>
    <w:semiHidden/>
    <w:rsid w:val="00BC18D2"/>
    <w:rPr>
      <w:rFonts w:asciiTheme="majorHAnsi" w:eastAsiaTheme="majorEastAsia" w:hAnsiTheme="majorHAnsi" w:cstheme="majorBidi"/>
      <w:iCs/>
      <w:color w:val="272727" w:themeColor="text1" w:themeTint="D8"/>
      <w:sz w:val="21"/>
      <w:szCs w:val="21"/>
    </w:rPr>
  </w:style>
  <w:style w:type="character" w:customStyle="1" w:styleId="Heading9Char">
    <w:name w:val="Heading 9 Char"/>
    <w:basedOn w:val="DefaultParagraphFont"/>
    <w:link w:val="Heading9"/>
    <w:uiPriority w:val="9"/>
    <w:semiHidden/>
    <w:rsid w:val="00BC18D2"/>
    <w:rPr>
      <w:rFonts w:asciiTheme="majorHAnsi" w:eastAsiaTheme="majorEastAsia" w:hAnsiTheme="majorHAnsi" w:cstheme="majorBidi"/>
      <w:i/>
      <w:color w:val="272727" w:themeColor="text1" w:themeTint="D8"/>
      <w:sz w:val="21"/>
      <w:szCs w:val="21"/>
    </w:rPr>
  </w:style>
  <w:style w:type="paragraph" w:customStyle="1" w:styleId="Reports2">
    <w:name w:val="Reports 2"/>
    <w:basedOn w:val="Bullet1"/>
    <w:qFormat/>
    <w:rsid w:val="001E7A6E"/>
    <w:pPr>
      <w:numPr>
        <w:numId w:val="30"/>
      </w:numPr>
      <w:ind w:left="850" w:hanging="425"/>
    </w:pPr>
    <w:rPr>
      <w:i/>
      <w:color w:val="0070C0"/>
    </w:rPr>
  </w:style>
  <w:style w:type="paragraph" w:customStyle="1" w:styleId="Reports3">
    <w:name w:val="Reports 3"/>
    <w:basedOn w:val="Reports2"/>
    <w:qFormat/>
    <w:rsid w:val="001A4BB6"/>
    <w:pPr>
      <w:numPr>
        <w:numId w:val="14"/>
      </w:numPr>
    </w:pPr>
  </w:style>
  <w:style w:type="paragraph" w:customStyle="1" w:styleId="IndentBlueText">
    <w:name w:val="Indent Blue Text"/>
    <w:basedOn w:val="ListBullet"/>
    <w:qFormat/>
    <w:rsid w:val="0003645A"/>
    <w:pPr>
      <w:spacing w:before="120" w:after="120" w:line="280" w:lineRule="exact"/>
      <w:ind w:left="425" w:right="284" w:firstLine="0"/>
    </w:pPr>
    <w:rPr>
      <w:rFonts w:ascii="Calibri" w:hAnsi="Calibri" w:cs="Calibri"/>
      <w:color w:val="0070C0"/>
    </w:rPr>
  </w:style>
  <w:style w:type="paragraph" w:customStyle="1" w:styleId="MeasuresExampleText">
    <w:name w:val="Measures Example Text"/>
    <w:basedOn w:val="Normal"/>
    <w:qFormat/>
    <w:rsid w:val="000C302A"/>
    <w:pPr>
      <w:spacing w:before="0" w:after="0" w:line="240" w:lineRule="auto"/>
    </w:pPr>
    <w:rPr>
      <w:rFonts w:ascii="Arial" w:eastAsia="Times New Roman" w:hAnsi="Arial" w:cs="Arial"/>
      <w:b/>
      <w:bCs/>
      <w:sz w:val="16"/>
      <w:szCs w:val="16"/>
      <w:lang w:eastAsia="en-AU"/>
    </w:rPr>
  </w:style>
  <w:style w:type="character" w:styleId="PageNumber">
    <w:name w:val="page number"/>
    <w:basedOn w:val="DefaultParagraphFont"/>
    <w:uiPriority w:val="99"/>
    <w:unhideWhenUsed/>
    <w:qFormat/>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unhideWhenUsed/>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PortfolioNumberingText">
    <w:name w:val="Portfolio Numbering Text"/>
    <w:basedOn w:val="Normal"/>
    <w:qFormat/>
    <w:rsid w:val="00FE534B"/>
    <w:pPr>
      <w:spacing w:before="60"/>
      <w:ind w:left="1169" w:hanging="851"/>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customStyle="1" w:styleId="BodyText1">
    <w:name w:val="Body Text1"/>
    <w:link w:val="BodyText1Char"/>
    <w:semiHidden/>
    <w:rsid w:val="00FA0945"/>
    <w:pPr>
      <w:spacing w:after="113" w:line="260" w:lineRule="atLeast"/>
    </w:pPr>
    <w:rPr>
      <w:rFonts w:ascii="Cambria" w:eastAsia="Times New Roman" w:hAnsi="Cambria" w:cs="Times New Roman"/>
      <w:szCs w:val="24"/>
    </w:rPr>
  </w:style>
  <w:style w:type="numbering" w:customStyle="1" w:styleId="Bullets">
    <w:name w:val="Bullets"/>
    <w:basedOn w:val="NoList"/>
    <w:uiPriority w:val="99"/>
    <w:rsid w:val="00FA0945"/>
    <w:pPr>
      <w:numPr>
        <w:numId w:val="9"/>
      </w:numPr>
    </w:pPr>
  </w:style>
  <w:style w:type="paragraph" w:customStyle="1" w:styleId="Footertext">
    <w:name w:val="Footer text"/>
    <w:semiHidden/>
    <w:rsid w:val="00FA0945"/>
    <w:pPr>
      <w:framePr w:hSpace="181" w:wrap="around" w:vAnchor="text" w:hAnchor="page" w:x="11228" w:y="1"/>
      <w:spacing w:after="0" w:line="200" w:lineRule="atLeast"/>
      <w:ind w:right="113"/>
      <w:suppressOverlap/>
    </w:pPr>
    <w:rPr>
      <w:rFonts w:ascii="Arial" w:eastAsia="Times New Roman" w:hAnsi="Arial" w:cs="Arial"/>
      <w:sz w:val="16"/>
      <w:szCs w:val="24"/>
    </w:rPr>
  </w:style>
  <w:style w:type="paragraph" w:customStyle="1" w:styleId="Sourcenotetext">
    <w:name w:val="Source/note text"/>
    <w:qFormat/>
    <w:rsid w:val="00FA0945"/>
    <w:pPr>
      <w:spacing w:before="85" w:after="85" w:line="240" w:lineRule="auto"/>
    </w:pPr>
    <w:rPr>
      <w:rFonts w:ascii="Arial" w:eastAsia="Times New Roman" w:hAnsi="Arial" w:cs="Arial"/>
      <w:i/>
      <w:sz w:val="12"/>
      <w:szCs w:val="12"/>
    </w:rPr>
  </w:style>
  <w:style w:type="numbering" w:customStyle="1" w:styleId="Numbers">
    <w:name w:val="Numbers"/>
    <w:basedOn w:val="NoList"/>
    <w:rsid w:val="00FA0945"/>
    <w:pPr>
      <w:numPr>
        <w:numId w:val="8"/>
      </w:numPr>
    </w:pPr>
  </w:style>
  <w:style w:type="paragraph" w:customStyle="1" w:styleId="Tablebodytext">
    <w:name w:val="Table body text"/>
    <w:qFormat/>
    <w:rsid w:val="00FA0945"/>
    <w:pPr>
      <w:spacing w:before="57" w:after="57" w:line="240" w:lineRule="auto"/>
      <w:ind w:left="96" w:right="96"/>
    </w:pPr>
    <w:rPr>
      <w:rFonts w:ascii="Arial" w:eastAsia="Times New Roman" w:hAnsi="Arial" w:cs="Times New Roman"/>
      <w:sz w:val="18"/>
      <w:szCs w:val="24"/>
    </w:rPr>
  </w:style>
  <w:style w:type="paragraph" w:customStyle="1" w:styleId="Tablebullets2ndindent">
    <w:name w:val="Table bullets (2nd indent)"/>
    <w:basedOn w:val="Tablebodytext"/>
    <w:qFormat/>
    <w:rsid w:val="00FA0945"/>
    <w:pPr>
      <w:numPr>
        <w:ilvl w:val="6"/>
        <w:numId w:val="9"/>
      </w:numPr>
    </w:pPr>
  </w:style>
  <w:style w:type="paragraph" w:customStyle="1" w:styleId="Tablebullets1stindent">
    <w:name w:val="Table bullets (1st indent)"/>
    <w:basedOn w:val="Tablebodytext"/>
    <w:qFormat/>
    <w:rsid w:val="00FA0945"/>
    <w:pPr>
      <w:numPr>
        <w:ilvl w:val="5"/>
        <w:numId w:val="9"/>
      </w:numPr>
    </w:pPr>
  </w:style>
  <w:style w:type="paragraph" w:customStyle="1" w:styleId="Tablecolumnheading">
    <w:name w:val="Table column heading"/>
    <w:basedOn w:val="Tablebodytext"/>
    <w:qFormat/>
    <w:rsid w:val="00FA0945"/>
    <w:pPr>
      <w:keepNext/>
    </w:pPr>
    <w:rPr>
      <w:b/>
      <w:szCs w:val="18"/>
    </w:rPr>
  </w:style>
  <w:style w:type="paragraph" w:customStyle="1" w:styleId="Tabletitle">
    <w:name w:val="Table title"/>
    <w:next w:val="BodyText1"/>
    <w:qFormat/>
    <w:rsid w:val="00FA0945"/>
    <w:pPr>
      <w:keepNext/>
      <w:spacing w:before="340" w:after="170" w:line="240" w:lineRule="auto"/>
    </w:pPr>
    <w:rPr>
      <w:rFonts w:ascii="Arial" w:eastAsia="Times New Roman" w:hAnsi="Arial" w:cs="Times New Roman"/>
      <w:b/>
      <w:color w:val="005A77"/>
      <w:spacing w:val="-6"/>
      <w:sz w:val="24"/>
      <w:szCs w:val="24"/>
      <w:lang w:val="en-US"/>
    </w:rPr>
  </w:style>
  <w:style w:type="paragraph" w:customStyle="1" w:styleId="Simpletableheading">
    <w:name w:val="Simple table heading"/>
    <w:next w:val="BodyText1"/>
    <w:uiPriority w:val="1"/>
    <w:rsid w:val="00FA0945"/>
    <w:pPr>
      <w:spacing w:after="0" w:line="240" w:lineRule="atLeast"/>
    </w:pPr>
    <w:rPr>
      <w:rFonts w:ascii="Arial" w:eastAsia="Times New Roman" w:hAnsi="Arial" w:cs="Times New Roman"/>
      <w:b/>
      <w:color w:val="37424A"/>
      <w:szCs w:val="24"/>
    </w:rPr>
  </w:style>
  <w:style w:type="paragraph" w:styleId="BalloonText">
    <w:name w:val="Balloon Text"/>
    <w:basedOn w:val="Normal"/>
    <w:link w:val="BalloonTextChar"/>
    <w:uiPriority w:val="99"/>
    <w:semiHidden/>
    <w:rsid w:val="00FA0945"/>
    <w:pPr>
      <w:suppressAutoHyphens w:val="0"/>
      <w:spacing w:before="0" w:after="200" w:line="240" w:lineRule="auto"/>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FA0945"/>
    <w:rPr>
      <w:rFonts w:ascii="Tahoma" w:eastAsia="Cambria" w:hAnsi="Tahoma" w:cs="Tahoma"/>
      <w:sz w:val="16"/>
      <w:szCs w:val="16"/>
    </w:rPr>
  </w:style>
  <w:style w:type="paragraph" w:customStyle="1" w:styleId="Subtitle2">
    <w:name w:val="Subtitle 2"/>
    <w:uiPriority w:val="2"/>
    <w:semiHidden/>
    <w:rsid w:val="00FA0945"/>
    <w:pPr>
      <w:spacing w:before="200" w:after="0" w:line="240" w:lineRule="auto"/>
      <w:contextualSpacing/>
    </w:pPr>
    <w:rPr>
      <w:rFonts w:ascii="Arial" w:eastAsia="Times New Roman" w:hAnsi="Arial" w:cs="Times New Roman"/>
      <w:caps/>
      <w:color w:val="1C2735"/>
      <w:kern w:val="28"/>
      <w:szCs w:val="32"/>
    </w:rPr>
  </w:style>
  <w:style w:type="paragraph" w:styleId="Quote">
    <w:name w:val="Quote"/>
    <w:link w:val="QuoteChar"/>
    <w:qFormat/>
    <w:rsid w:val="00FA0945"/>
    <w:pPr>
      <w:spacing w:before="170" w:after="170" w:line="240" w:lineRule="auto"/>
      <w:ind w:left="284" w:right="284"/>
    </w:pPr>
    <w:rPr>
      <w:rFonts w:ascii="Cambria" w:eastAsia="Times New Roman" w:hAnsi="Cambria" w:cs="Times New Roman"/>
      <w:i/>
      <w:iCs/>
      <w:color w:val="000000"/>
      <w:spacing w:val="-2"/>
      <w:szCs w:val="24"/>
    </w:rPr>
  </w:style>
  <w:style w:type="character" w:customStyle="1" w:styleId="QuoteChar">
    <w:name w:val="Quote Char"/>
    <w:basedOn w:val="DefaultParagraphFont"/>
    <w:link w:val="Quote"/>
    <w:rsid w:val="00FA0945"/>
    <w:rPr>
      <w:rFonts w:ascii="Cambria" w:eastAsia="Times New Roman" w:hAnsi="Cambria" w:cs="Times New Roman"/>
      <w:i/>
      <w:iCs/>
      <w:color w:val="000000"/>
      <w:spacing w:val="-2"/>
      <w:szCs w:val="24"/>
    </w:rPr>
  </w:style>
  <w:style w:type="table" w:customStyle="1" w:styleId="DOFDwithheader">
    <w:name w:val="DOFD with header"/>
    <w:basedOn w:val="TableNormal"/>
    <w:uiPriority w:val="99"/>
    <w:qFormat/>
    <w:rsid w:val="00FA0945"/>
    <w:pPr>
      <w:spacing w:before="57" w:after="0" w:line="220" w:lineRule="atLeast"/>
      <w:ind w:left="96" w:right="96"/>
    </w:pPr>
    <w:rPr>
      <w:rFonts w:ascii="Arial" w:eastAsia="Times New Roman" w:hAnsi="Arial" w:cs="Times New Roman"/>
      <w:sz w:val="20"/>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b w:val="0"/>
      </w:rPr>
      <w:tblPr/>
      <w:tcPr>
        <w:shd w:val="clear" w:color="auto" w:fill="DDF3FA"/>
      </w:tcPr>
    </w:tblStylePr>
  </w:style>
  <w:style w:type="character" w:customStyle="1" w:styleId="ArialBlackBlue">
    <w:name w:val="Arial Black Blue"/>
    <w:uiPriority w:val="1"/>
    <w:semiHidden/>
    <w:qFormat/>
    <w:rsid w:val="00FA0945"/>
    <w:rPr>
      <w:rFonts w:ascii="Arial Black" w:hAnsi="Arial Black"/>
      <w:color w:val="005A77"/>
    </w:rPr>
  </w:style>
  <w:style w:type="paragraph" w:customStyle="1" w:styleId="Notetitle">
    <w:name w:val="Note title"/>
    <w:qFormat/>
    <w:rsid w:val="00FA0945"/>
    <w:pPr>
      <w:keepNext/>
      <w:spacing w:before="340" w:after="170" w:line="240" w:lineRule="auto"/>
    </w:pPr>
    <w:rPr>
      <w:rFonts w:ascii="Arial" w:eastAsia="MS Gothic" w:hAnsi="Arial" w:cs="Times New Roman"/>
      <w:b/>
      <w:bCs/>
      <w:iCs/>
      <w:color w:val="005A77"/>
      <w:spacing w:val="-6"/>
      <w:sz w:val="24"/>
      <w:szCs w:val="28"/>
      <w:lang w:val="en-US"/>
    </w:rPr>
  </w:style>
  <w:style w:type="character" w:customStyle="1" w:styleId="Black">
    <w:name w:val="Black"/>
    <w:uiPriority w:val="1"/>
    <w:semiHidden/>
    <w:qFormat/>
    <w:rsid w:val="00FA0945"/>
    <w:rPr>
      <w:color w:val="1C2735"/>
      <w:lang w:val="en-AU"/>
    </w:rPr>
  </w:style>
  <w:style w:type="paragraph" w:customStyle="1" w:styleId="Boxed2Text-Bullet1">
    <w:name w:val="Boxed 2 Text - Bullet 1"/>
    <w:basedOn w:val="Boxed2Text"/>
    <w:qFormat/>
    <w:rsid w:val="00C1760E"/>
    <w:pPr>
      <w:numPr>
        <w:numId w:val="19"/>
      </w:numPr>
      <w:spacing w:before="0"/>
      <w:ind w:left="709" w:hanging="425"/>
    </w:pPr>
  </w:style>
  <w:style w:type="paragraph" w:customStyle="1" w:styleId="Boxtitle">
    <w:name w:val="Box title"/>
    <w:basedOn w:val="Normal"/>
    <w:uiPriority w:val="1"/>
    <w:unhideWhenUsed/>
    <w:rsid w:val="00846B1F"/>
    <w:pPr>
      <w:suppressAutoHyphens w:val="0"/>
      <w:spacing w:before="113" w:after="113" w:line="240" w:lineRule="atLeast"/>
    </w:pPr>
    <w:rPr>
      <w:rFonts w:ascii="Arial" w:eastAsia="Times New Roman" w:hAnsi="Arial" w:cs="Times New Roman"/>
      <w:b/>
      <w:color w:val="005A77"/>
      <w:szCs w:val="24"/>
    </w:rPr>
  </w:style>
  <w:style w:type="table" w:customStyle="1" w:styleId="DOFDplain">
    <w:name w:val="DOFD plain"/>
    <w:basedOn w:val="TableNormal"/>
    <w:uiPriority w:val="99"/>
    <w:qFormat/>
    <w:rsid w:val="00FA0945"/>
    <w:pPr>
      <w:spacing w:before="57" w:after="0" w:line="220" w:lineRule="atLeast"/>
      <w:ind w:left="96" w:right="96"/>
    </w:pPr>
    <w:rPr>
      <w:rFonts w:ascii="Arial" w:eastAsia="Times New Roman" w:hAnsi="Arial" w:cs="Times New Roman"/>
      <w:sz w:val="17"/>
      <w:szCs w:val="20"/>
      <w:lang w:eastAsia="en-AU"/>
    </w:rPr>
    <w:tblPr>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wordWrap/>
      </w:pPr>
      <w:rPr>
        <w:rFonts w:ascii="Arial" w:hAnsi="Arial"/>
        <w:b w:val="0"/>
      </w:rPr>
      <w:tblPr/>
      <w:trPr>
        <w:tblHeader/>
      </w:trPr>
    </w:tblStylePr>
  </w:style>
  <w:style w:type="table" w:customStyle="1" w:styleId="DOFDbanded">
    <w:name w:val="DOFD banded"/>
    <w:basedOn w:val="TableNormal"/>
    <w:uiPriority w:val="99"/>
    <w:qFormat/>
    <w:rsid w:val="00FA0945"/>
    <w:pPr>
      <w:spacing w:before="57" w:after="0" w:line="220" w:lineRule="atLeast"/>
      <w:ind w:left="96" w:right="96"/>
    </w:pPr>
    <w:rPr>
      <w:rFonts w:ascii="Arial" w:eastAsia="Times New Roman" w:hAnsi="Arial" w:cs="Times New Roman"/>
      <w:sz w:val="17"/>
      <w:szCs w:val="20"/>
      <w:lang w:eastAsia="en-AU"/>
    </w:rPr>
    <w:tblPr>
      <w:tblStyleRowBandSize w:val="1"/>
      <w:tblBorders>
        <w:top w:val="single" w:sz="2" w:space="0" w:color="A7B4BE"/>
        <w:bottom w:val="single" w:sz="2" w:space="0" w:color="A7B4BE"/>
        <w:insideH w:val="single" w:sz="2" w:space="0" w:color="A7B4BE"/>
        <w:insideV w:val="single" w:sz="2" w:space="0" w:color="A7B4BE"/>
      </w:tblBorders>
      <w:tblCellMar>
        <w:left w:w="0" w:type="dxa"/>
        <w:right w:w="0" w:type="dxa"/>
      </w:tblCellMar>
    </w:tblPr>
    <w:tblStylePr w:type="firstRow">
      <w:pPr>
        <w:keepNext/>
        <w:keepLines w:val="0"/>
        <w:wordWrap/>
      </w:pPr>
      <w:rPr>
        <w:b w:val="0"/>
      </w:rPr>
      <w:tblPr/>
      <w:trPr>
        <w:tblHeader/>
      </w:trPr>
    </w:tblStylePr>
    <w:tblStylePr w:type="band1Horz">
      <w:tblPr/>
      <w:tcPr>
        <w:tcBorders>
          <w:top w:val="single" w:sz="2" w:space="0" w:color="A7B4BE"/>
          <w:left w:val="nil"/>
          <w:bottom w:val="single" w:sz="2" w:space="0" w:color="A7B4BE"/>
          <w:right w:val="nil"/>
          <w:insideH w:val="single" w:sz="2" w:space="0" w:color="A7B4BE"/>
          <w:insideV w:val="single" w:sz="2" w:space="0" w:color="A7B4BE"/>
          <w:tl2br w:val="nil"/>
          <w:tr2bl w:val="nil"/>
        </w:tcBorders>
        <w:shd w:val="clear" w:color="auto" w:fill="DDF3FA"/>
      </w:tcPr>
    </w:tblStylePr>
  </w:style>
  <w:style w:type="paragraph" w:styleId="BodyText">
    <w:name w:val="Body Text"/>
    <w:basedOn w:val="Normal"/>
    <w:link w:val="BodyTextChar"/>
    <w:uiPriority w:val="1"/>
    <w:qFormat/>
    <w:rsid w:val="0055235A"/>
    <w:pPr>
      <w:suppressAutoHyphens w:val="0"/>
      <w:spacing w:before="120" w:after="120" w:line="264" w:lineRule="auto"/>
      <w:ind w:right="272"/>
    </w:pPr>
    <w:rPr>
      <w:rFonts w:eastAsia="Cambria" w:cs="Times New Roman"/>
    </w:rPr>
  </w:style>
  <w:style w:type="character" w:customStyle="1" w:styleId="BodyTextChar">
    <w:name w:val="Body Text Char"/>
    <w:basedOn w:val="DefaultParagraphFont"/>
    <w:link w:val="BodyText"/>
    <w:uiPriority w:val="1"/>
    <w:rsid w:val="0055235A"/>
    <w:rPr>
      <w:rFonts w:eastAsia="Cambria" w:cs="Times New Roman"/>
    </w:rPr>
  </w:style>
  <w:style w:type="character" w:customStyle="1" w:styleId="BodyText1Char">
    <w:name w:val="Body Text1 Char"/>
    <w:link w:val="BodyText1"/>
    <w:semiHidden/>
    <w:rsid w:val="00FA0945"/>
    <w:rPr>
      <w:rFonts w:ascii="Cambria" w:eastAsia="Times New Roman" w:hAnsi="Cambria" w:cs="Times New Roman"/>
      <w:szCs w:val="24"/>
    </w:rPr>
  </w:style>
  <w:style w:type="character" w:styleId="CommentReference">
    <w:name w:val="annotation reference"/>
    <w:semiHidden/>
    <w:rsid w:val="00FA0945"/>
    <w:rPr>
      <w:sz w:val="16"/>
      <w:szCs w:val="16"/>
    </w:rPr>
  </w:style>
  <w:style w:type="paragraph" w:styleId="CommentText">
    <w:name w:val="annotation text"/>
    <w:basedOn w:val="Normal"/>
    <w:link w:val="CommentTextChar"/>
    <w:qFormat/>
    <w:rsid w:val="007B5237"/>
    <w:pPr>
      <w:suppressAutoHyphens w:val="0"/>
      <w:spacing w:before="0" w:after="200" w:line="240" w:lineRule="auto"/>
    </w:pPr>
    <w:rPr>
      <w:rFonts w:eastAsia="Cambria" w:cs="Times New Roman"/>
      <w:sz w:val="14"/>
      <w:szCs w:val="20"/>
    </w:rPr>
  </w:style>
  <w:style w:type="character" w:customStyle="1" w:styleId="CommentTextChar">
    <w:name w:val="Comment Text Char"/>
    <w:basedOn w:val="DefaultParagraphFont"/>
    <w:link w:val="CommentText"/>
    <w:rsid w:val="007B5237"/>
    <w:rPr>
      <w:rFonts w:ascii="Calibri" w:eastAsia="Cambria" w:hAnsi="Calibri" w:cs="Times New Roman"/>
      <w:sz w:val="14"/>
      <w:szCs w:val="20"/>
    </w:rPr>
  </w:style>
  <w:style w:type="paragraph" w:styleId="ListNumber">
    <w:name w:val="List Number"/>
    <w:basedOn w:val="Normal"/>
    <w:qFormat/>
    <w:rsid w:val="00FA0945"/>
    <w:pPr>
      <w:tabs>
        <w:tab w:val="num" w:pos="360"/>
      </w:tabs>
      <w:suppressAutoHyphens w:val="0"/>
      <w:spacing w:before="0" w:after="240" w:line="240" w:lineRule="auto"/>
      <w:ind w:left="360" w:hanging="360"/>
      <w:contextualSpacing/>
    </w:pPr>
    <w:rPr>
      <w:rFonts w:ascii="Cambria" w:eastAsia="Cambria" w:hAnsi="Cambria" w:cs="Times New Roman"/>
    </w:rPr>
  </w:style>
  <w:style w:type="paragraph" w:styleId="ListNumber2">
    <w:name w:val="List Number 2"/>
    <w:basedOn w:val="Normal"/>
    <w:uiPriority w:val="99"/>
    <w:rsid w:val="00FA0945"/>
    <w:pPr>
      <w:tabs>
        <w:tab w:val="num" w:pos="643"/>
      </w:tabs>
      <w:suppressAutoHyphens w:val="0"/>
      <w:spacing w:before="0" w:after="200" w:line="240" w:lineRule="auto"/>
      <w:ind w:left="643" w:hanging="360"/>
      <w:contextualSpacing/>
    </w:pPr>
    <w:rPr>
      <w:rFonts w:ascii="Cambria" w:eastAsia="Cambria" w:hAnsi="Cambria" w:cs="Times New Roman"/>
    </w:rPr>
  </w:style>
  <w:style w:type="paragraph" w:styleId="ListBullet">
    <w:name w:val="List Bullet"/>
    <w:basedOn w:val="Normal"/>
    <w:qFormat/>
    <w:rsid w:val="00E86EC8"/>
    <w:pPr>
      <w:suppressAutoHyphens w:val="0"/>
      <w:spacing w:before="0" w:after="240" w:line="240" w:lineRule="auto"/>
      <w:ind w:left="360" w:hanging="360"/>
      <w:contextualSpacing/>
    </w:pPr>
    <w:rPr>
      <w:rFonts w:ascii="Arial" w:eastAsia="Cambria" w:hAnsi="Arial" w:cs="Times New Roman"/>
    </w:rPr>
  </w:style>
  <w:style w:type="table" w:customStyle="1" w:styleId="DOFDtexttable">
    <w:name w:val="DOFD_text table"/>
    <w:basedOn w:val="TableNormal"/>
    <w:uiPriority w:val="99"/>
    <w:qFormat/>
    <w:rsid w:val="00FA0945"/>
    <w:pPr>
      <w:spacing w:before="57" w:after="0" w:line="240" w:lineRule="auto"/>
    </w:pPr>
    <w:rPr>
      <w:rFonts w:ascii="Cambria" w:eastAsia="Times New Roman" w:hAnsi="Cambria" w:cs="Times New Roman"/>
      <w:sz w:val="20"/>
      <w:szCs w:val="20"/>
      <w:lang w:eastAsia="en-AU"/>
    </w:rPr>
    <w:tblPr>
      <w:tblBorders>
        <w:top w:val="single" w:sz="2" w:space="0" w:color="37424A"/>
        <w:left w:val="single" w:sz="2" w:space="0" w:color="37424A"/>
        <w:bottom w:val="single" w:sz="2" w:space="0" w:color="37424A"/>
        <w:right w:val="single" w:sz="2" w:space="0" w:color="37424A"/>
        <w:insideH w:val="single" w:sz="2" w:space="0" w:color="37424A"/>
        <w:insideV w:val="single" w:sz="2" w:space="0" w:color="37424A"/>
      </w:tblBorders>
      <w:tblCellMar>
        <w:top w:w="170" w:type="dxa"/>
        <w:left w:w="227" w:type="dxa"/>
        <w:bottom w:w="113" w:type="dxa"/>
        <w:right w:w="227" w:type="dxa"/>
      </w:tblCellMar>
    </w:tblPr>
    <w:trPr>
      <w:cantSplit/>
    </w:trPr>
    <w:tblStylePr w:type="firstRow">
      <w:rPr>
        <w:rFonts w:ascii="Arial" w:hAnsi="Arial"/>
        <w:b w:val="0"/>
        <w:color w:val="37424A"/>
        <w:sz w:val="22"/>
      </w:rPr>
      <w:tblPr/>
      <w:trPr>
        <w:tblHeader/>
      </w:trPr>
      <w:tcPr>
        <w:tcBorders>
          <w:top w:val="nil"/>
          <w:left w:val="nil"/>
          <w:bottom w:val="nil"/>
          <w:right w:val="nil"/>
          <w:insideH w:val="nil"/>
          <w:insideV w:val="nil"/>
          <w:tl2br w:val="nil"/>
          <w:tr2bl w:val="nil"/>
        </w:tcBorders>
        <w:shd w:val="clear" w:color="auto" w:fill="72CE9B"/>
        <w:tcMar>
          <w:top w:w="113" w:type="dxa"/>
          <w:left w:w="0" w:type="nil"/>
          <w:bottom w:w="113" w:type="dxa"/>
          <w:right w:w="0" w:type="nil"/>
        </w:tcMar>
      </w:tcPr>
    </w:tblStylePr>
  </w:style>
  <w:style w:type="paragraph" w:styleId="EndnoteText">
    <w:name w:val="endnote text"/>
    <w:basedOn w:val="Normal"/>
    <w:link w:val="EndnoteTextChar"/>
    <w:uiPriority w:val="99"/>
    <w:semiHidden/>
    <w:rsid w:val="00FA0945"/>
    <w:pPr>
      <w:suppressAutoHyphens w:val="0"/>
      <w:spacing w:before="0" w:after="200" w:line="240" w:lineRule="auto"/>
    </w:pPr>
    <w:rPr>
      <w:rFonts w:ascii="Cambria" w:eastAsia="Cambria" w:hAnsi="Cambria" w:cs="Times New Roman"/>
      <w:szCs w:val="20"/>
    </w:rPr>
  </w:style>
  <w:style w:type="character" w:customStyle="1" w:styleId="EndnoteTextChar">
    <w:name w:val="Endnote Text Char"/>
    <w:basedOn w:val="DefaultParagraphFont"/>
    <w:link w:val="EndnoteText"/>
    <w:uiPriority w:val="99"/>
    <w:semiHidden/>
    <w:rsid w:val="00FA0945"/>
    <w:rPr>
      <w:rFonts w:ascii="Cambria" w:eastAsia="Cambria" w:hAnsi="Cambria" w:cs="Times New Roman"/>
      <w:szCs w:val="20"/>
    </w:rPr>
  </w:style>
  <w:style w:type="character" w:styleId="EndnoteReference">
    <w:name w:val="endnote reference"/>
    <w:uiPriority w:val="99"/>
    <w:semiHidden/>
    <w:rsid w:val="00FA0945"/>
    <w:rPr>
      <w:vertAlign w:val="superscript"/>
    </w:rPr>
  </w:style>
  <w:style w:type="paragraph" w:styleId="List3">
    <w:name w:val="List 3"/>
    <w:basedOn w:val="Normal"/>
    <w:qFormat/>
    <w:rsid w:val="00846B1F"/>
    <w:pPr>
      <w:numPr>
        <w:ilvl w:val="5"/>
      </w:numPr>
      <w:suppressAutoHyphens w:val="0"/>
      <w:spacing w:before="0" w:after="0" w:line="240" w:lineRule="auto"/>
      <w:ind w:left="1135" w:hanging="284"/>
    </w:pPr>
    <w:rPr>
      <w:rFonts w:ascii="Cambria" w:eastAsia="Times New Roman" w:hAnsi="Cambria" w:cs="Times New Roman"/>
      <w:szCs w:val="24"/>
    </w:rPr>
  </w:style>
  <w:style w:type="character" w:styleId="FollowedHyperlink">
    <w:name w:val="FollowedHyperlink"/>
    <w:uiPriority w:val="99"/>
    <w:semiHidden/>
    <w:rsid w:val="00FA0945"/>
    <w:rPr>
      <w:color w:val="800080"/>
      <w:u w:val="single"/>
    </w:rPr>
  </w:style>
  <w:style w:type="paragraph" w:styleId="Revision">
    <w:name w:val="Revision"/>
    <w:hidden/>
    <w:uiPriority w:val="99"/>
    <w:semiHidden/>
    <w:rsid w:val="00FA0945"/>
    <w:pPr>
      <w:spacing w:after="0" w:line="240" w:lineRule="auto"/>
    </w:pPr>
    <w:rPr>
      <w:rFonts w:ascii="Cambria" w:eastAsia="Cambria" w:hAnsi="Cambria" w:cs="Times New Roman"/>
    </w:rPr>
  </w:style>
  <w:style w:type="numbering" w:styleId="111111">
    <w:name w:val="Outline List 2"/>
    <w:basedOn w:val="NoList"/>
    <w:semiHidden/>
    <w:unhideWhenUsed/>
    <w:rsid w:val="00FA0945"/>
    <w:pPr>
      <w:numPr>
        <w:numId w:val="10"/>
      </w:numPr>
    </w:pPr>
  </w:style>
  <w:style w:type="paragraph" w:customStyle="1" w:styleId="OutlineNumbered1">
    <w:name w:val="Outline Numbered 1"/>
    <w:basedOn w:val="Normal"/>
    <w:rsid w:val="00FA0945"/>
    <w:pPr>
      <w:numPr>
        <w:numId w:val="11"/>
      </w:numPr>
      <w:suppressAutoHyphens w:val="0"/>
      <w:spacing w:before="80" w:after="0" w:line="240" w:lineRule="auto"/>
    </w:pPr>
    <w:rPr>
      <w:rFonts w:ascii="Arial" w:eastAsia="Times New Roman" w:hAnsi="Arial" w:cs="Times New Roman"/>
      <w:sz w:val="18"/>
      <w:szCs w:val="20"/>
      <w:lang w:eastAsia="en-AU"/>
    </w:rPr>
  </w:style>
  <w:style w:type="paragraph" w:customStyle="1" w:styleId="OutlineNumbered2">
    <w:name w:val="Outline Numbered 2"/>
    <w:basedOn w:val="Normal"/>
    <w:rsid w:val="00FA0945"/>
    <w:pPr>
      <w:numPr>
        <w:ilvl w:val="1"/>
        <w:numId w:val="11"/>
      </w:numPr>
      <w:suppressAutoHyphens w:val="0"/>
      <w:spacing w:before="80" w:after="0" w:line="240" w:lineRule="auto"/>
    </w:pPr>
    <w:rPr>
      <w:rFonts w:ascii="Arial" w:eastAsia="Times New Roman" w:hAnsi="Arial" w:cs="Times New Roman"/>
      <w:sz w:val="18"/>
      <w:szCs w:val="20"/>
      <w:lang w:eastAsia="en-AU"/>
    </w:rPr>
  </w:style>
  <w:style w:type="paragraph" w:customStyle="1" w:styleId="OutlineNumbered3">
    <w:name w:val="Outline Numbered 3"/>
    <w:basedOn w:val="Normal"/>
    <w:rsid w:val="00FA0945"/>
    <w:pPr>
      <w:numPr>
        <w:ilvl w:val="2"/>
        <w:numId w:val="11"/>
      </w:numPr>
      <w:suppressAutoHyphens w:val="0"/>
      <w:spacing w:before="80" w:after="0" w:line="240" w:lineRule="auto"/>
    </w:pPr>
    <w:rPr>
      <w:rFonts w:ascii="Arial" w:eastAsia="Times New Roman" w:hAnsi="Arial" w:cs="Times New Roman"/>
      <w:sz w:val="18"/>
      <w:szCs w:val="20"/>
      <w:lang w:eastAsia="en-AU"/>
    </w:rPr>
  </w:style>
  <w:style w:type="paragraph" w:styleId="CommentSubject">
    <w:name w:val="annotation subject"/>
    <w:basedOn w:val="CommentText"/>
    <w:next w:val="CommentText"/>
    <w:link w:val="CommentSubjectChar"/>
    <w:uiPriority w:val="99"/>
    <w:semiHidden/>
    <w:rsid w:val="00FA0945"/>
    <w:rPr>
      <w:b/>
      <w:bCs/>
      <w:sz w:val="20"/>
    </w:rPr>
  </w:style>
  <w:style w:type="character" w:customStyle="1" w:styleId="CommentSubjectChar">
    <w:name w:val="Comment Subject Char"/>
    <w:basedOn w:val="CommentTextChar"/>
    <w:link w:val="CommentSubject"/>
    <w:uiPriority w:val="99"/>
    <w:semiHidden/>
    <w:rsid w:val="00FA0945"/>
    <w:rPr>
      <w:rFonts w:ascii="Cambria" w:eastAsia="Cambria" w:hAnsi="Cambria" w:cs="Times New Roman"/>
      <w:b/>
      <w:bCs/>
      <w:sz w:val="20"/>
      <w:szCs w:val="20"/>
    </w:rPr>
  </w:style>
  <w:style w:type="paragraph" w:customStyle="1" w:styleId="Exampletext">
    <w:name w:val="Example text"/>
    <w:basedOn w:val="Normal"/>
    <w:link w:val="ExampletextCharChar"/>
    <w:rsid w:val="00FA0945"/>
    <w:pPr>
      <w:suppressAutoHyphens w:val="0"/>
      <w:spacing w:before="0" w:after="240" w:line="260" w:lineRule="exact"/>
      <w:jc w:val="both"/>
    </w:pPr>
    <w:rPr>
      <w:rFonts w:ascii="Book Antiqua" w:eastAsia="Times New Roman" w:hAnsi="Book Antiqua" w:cs="Times New Roman"/>
      <w:i/>
      <w:color w:val="FF0000"/>
      <w:szCs w:val="20"/>
      <w:lang w:val="x-none" w:eastAsia="x-none"/>
    </w:rPr>
  </w:style>
  <w:style w:type="character" w:customStyle="1" w:styleId="ExampletextCharChar">
    <w:name w:val="Example text Char Char"/>
    <w:link w:val="Exampletext"/>
    <w:rsid w:val="00FA0945"/>
    <w:rPr>
      <w:rFonts w:ascii="Book Antiqua" w:eastAsia="Times New Roman" w:hAnsi="Book Antiqua" w:cs="Times New Roman"/>
      <w:i/>
      <w:color w:val="FF0000"/>
      <w:sz w:val="20"/>
      <w:szCs w:val="20"/>
      <w:lang w:val="x-none" w:eastAsia="x-none"/>
    </w:rPr>
  </w:style>
  <w:style w:type="paragraph" w:customStyle="1" w:styleId="ChartandTableFootnote">
    <w:name w:val="Chart and Table Footnote"/>
    <w:basedOn w:val="Normal"/>
    <w:next w:val="Normal"/>
    <w:link w:val="ChartandTableFootnoteChar"/>
    <w:rsid w:val="00FA0945"/>
    <w:pPr>
      <w:keepNext/>
      <w:tabs>
        <w:tab w:val="left" w:pos="284"/>
      </w:tabs>
      <w:suppressAutoHyphens w:val="0"/>
      <w:spacing w:before="0" w:after="0" w:line="240" w:lineRule="auto"/>
      <w:ind w:left="284" w:hanging="284"/>
      <w:jc w:val="both"/>
    </w:pPr>
    <w:rPr>
      <w:rFonts w:ascii="Arial" w:eastAsia="Times New Roman" w:hAnsi="Arial" w:cs="Times New Roman"/>
      <w:sz w:val="16"/>
      <w:szCs w:val="20"/>
      <w:lang w:val="x-none" w:eastAsia="x-none"/>
    </w:rPr>
  </w:style>
  <w:style w:type="character" w:customStyle="1" w:styleId="ChartandTableFootnoteChar">
    <w:name w:val="Chart and Table Footnote Char"/>
    <w:link w:val="ChartandTableFootnote"/>
    <w:rsid w:val="00FA0945"/>
    <w:rPr>
      <w:rFonts w:ascii="Arial" w:eastAsia="Times New Roman" w:hAnsi="Arial" w:cs="Times New Roman"/>
      <w:sz w:val="16"/>
      <w:szCs w:val="20"/>
      <w:lang w:val="x-none" w:eastAsia="x-none"/>
    </w:rPr>
  </w:style>
  <w:style w:type="paragraph" w:styleId="ListParagraph">
    <w:name w:val="List Paragraph"/>
    <w:basedOn w:val="Normal"/>
    <w:link w:val="ListParagraphChar"/>
    <w:uiPriority w:val="34"/>
    <w:qFormat/>
    <w:rsid w:val="00B751D1"/>
    <w:pPr>
      <w:widowControl w:val="0"/>
      <w:suppressAutoHyphens w:val="0"/>
      <w:autoSpaceDE w:val="0"/>
      <w:autoSpaceDN w:val="0"/>
      <w:spacing w:before="118" w:after="0" w:line="240" w:lineRule="auto"/>
      <w:ind w:left="664" w:hanging="360"/>
    </w:pPr>
    <w:rPr>
      <w:rFonts w:ascii="Cambria" w:eastAsia="Cambria" w:hAnsi="Cambria" w:cs="Cambria"/>
      <w:lang w:val="en-US"/>
    </w:rPr>
  </w:style>
  <w:style w:type="paragraph" w:customStyle="1" w:styleId="TableParagraph">
    <w:name w:val="Table Paragraph"/>
    <w:basedOn w:val="Normal"/>
    <w:uiPriority w:val="1"/>
    <w:qFormat/>
    <w:rsid w:val="00A27EA7"/>
    <w:pPr>
      <w:widowControl w:val="0"/>
      <w:suppressAutoHyphens w:val="0"/>
      <w:autoSpaceDE w:val="0"/>
      <w:autoSpaceDN w:val="0"/>
      <w:spacing w:before="0" w:after="0" w:line="240" w:lineRule="auto"/>
    </w:pPr>
    <w:rPr>
      <w:rFonts w:ascii="Cambria" w:eastAsia="Cambria" w:hAnsi="Cambria" w:cs="Cambria"/>
      <w:lang w:val="en-US"/>
    </w:rPr>
  </w:style>
  <w:style w:type="table" w:styleId="PlainTable4">
    <w:name w:val="Plain Table 4"/>
    <w:basedOn w:val="TableNormal"/>
    <w:uiPriority w:val="44"/>
    <w:rsid w:val="00334C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BSCoverText">
    <w:name w:val="PBS Cover Text"/>
    <w:basedOn w:val="Title"/>
    <w:qFormat/>
    <w:rsid w:val="00D018F5"/>
  </w:style>
  <w:style w:type="paragraph" w:customStyle="1" w:styleId="CoverPage">
    <w:name w:val="Cover Page"/>
    <w:basedOn w:val="Normal"/>
    <w:qFormat/>
    <w:rsid w:val="00A10310"/>
    <w:pPr>
      <w:jc w:val="center"/>
    </w:pPr>
    <w:rPr>
      <w:sz w:val="44"/>
      <w:szCs w:val="40"/>
    </w:rPr>
  </w:style>
  <w:style w:type="paragraph" w:customStyle="1" w:styleId="TableText-Normal">
    <w:name w:val="Table Text - Normal"/>
    <w:basedOn w:val="BodyText"/>
    <w:qFormat/>
    <w:rsid w:val="006F5B7C"/>
    <w:pPr>
      <w:spacing w:before="40" w:after="40" w:line="240" w:lineRule="auto"/>
      <w:ind w:left="130" w:right="96"/>
    </w:pPr>
  </w:style>
  <w:style w:type="paragraph" w:customStyle="1" w:styleId="TableText-NormalIndented">
    <w:name w:val="Table Text - Normal Indented"/>
    <w:basedOn w:val="TableText-Normal"/>
    <w:qFormat/>
    <w:rsid w:val="00BD02A1"/>
    <w:pPr>
      <w:spacing w:after="60"/>
      <w:ind w:left="720"/>
    </w:pPr>
    <w:rPr>
      <w:szCs w:val="20"/>
    </w:rPr>
  </w:style>
  <w:style w:type="paragraph" w:customStyle="1" w:styleId="NormalTextRed">
    <w:name w:val="Normal Text Red"/>
    <w:basedOn w:val="Normal"/>
    <w:qFormat/>
    <w:rsid w:val="00DB6DDE"/>
    <w:rPr>
      <w:color w:val="FF0000"/>
    </w:rPr>
  </w:style>
  <w:style w:type="paragraph" w:customStyle="1" w:styleId="IndentRedText">
    <w:name w:val="Indent Red Text"/>
    <w:basedOn w:val="IndentBlueText"/>
    <w:qFormat/>
    <w:rsid w:val="00117EF6"/>
    <w:rPr>
      <w:color w:val="FF0000"/>
    </w:rPr>
  </w:style>
  <w:style w:type="paragraph" w:styleId="ListBullet2">
    <w:name w:val="List Bullet 2"/>
    <w:basedOn w:val="Normal"/>
    <w:uiPriority w:val="99"/>
    <w:unhideWhenUsed/>
    <w:rsid w:val="00052ECD"/>
    <w:pPr>
      <w:numPr>
        <w:numId w:val="7"/>
      </w:numPr>
      <w:contextualSpacing/>
    </w:pPr>
  </w:style>
  <w:style w:type="paragraph" w:customStyle="1" w:styleId="CBMSReportPath">
    <w:name w:val="CBMS Report Path"/>
    <w:basedOn w:val="Normal"/>
    <w:uiPriority w:val="1"/>
    <w:qFormat/>
    <w:rsid w:val="00052ECD"/>
    <w:pPr>
      <w:spacing w:before="240" w:after="240"/>
    </w:pPr>
    <w:rPr>
      <w:i/>
      <w:color w:val="0070C0"/>
    </w:rPr>
  </w:style>
  <w:style w:type="paragraph" w:customStyle="1" w:styleId="TableText-Small">
    <w:name w:val="Table Text - Small"/>
    <w:basedOn w:val="TableText-Normal"/>
    <w:qFormat/>
    <w:rsid w:val="00B56367"/>
    <w:rPr>
      <w:sz w:val="18"/>
      <w:szCs w:val="18"/>
    </w:rPr>
  </w:style>
  <w:style w:type="paragraph" w:customStyle="1" w:styleId="LeasingProgTableText">
    <w:name w:val="Leasing Prog Table Text"/>
    <w:basedOn w:val="Normal"/>
    <w:qFormat/>
    <w:rsid w:val="001C70F1"/>
    <w:pPr>
      <w:spacing w:before="0" w:after="0"/>
    </w:pPr>
    <w:rPr>
      <w:sz w:val="19"/>
      <w:lang w:eastAsia="en-AU"/>
    </w:rPr>
  </w:style>
  <w:style w:type="paragraph" w:customStyle="1" w:styleId="TableText-SuperSmallBold">
    <w:name w:val="Table Text - Super Small Bold"/>
    <w:basedOn w:val="TableText-Small"/>
    <w:qFormat/>
    <w:rsid w:val="00B45DD3"/>
    <w:rPr>
      <w:b/>
      <w:sz w:val="16"/>
      <w:szCs w:val="16"/>
    </w:rPr>
  </w:style>
  <w:style w:type="paragraph" w:customStyle="1" w:styleId="Bullet5">
    <w:name w:val="Bullet 5"/>
    <w:basedOn w:val="BodyText"/>
    <w:qFormat/>
    <w:rsid w:val="00D2417F"/>
    <w:pPr>
      <w:numPr>
        <w:ilvl w:val="3"/>
        <w:numId w:val="17"/>
      </w:numPr>
      <w:ind w:left="2126" w:right="0" w:hanging="425"/>
    </w:pPr>
  </w:style>
  <w:style w:type="paragraph" w:customStyle="1" w:styleId="TableText-NormalRed">
    <w:name w:val="Table Text - Normal Red"/>
    <w:basedOn w:val="NormalTextRed"/>
    <w:qFormat/>
    <w:rsid w:val="00314AE9"/>
  </w:style>
  <w:style w:type="paragraph" w:customStyle="1" w:styleId="TableText-Normal-DotPoint">
    <w:name w:val="Table Text - Normal - Dot Point"/>
    <w:basedOn w:val="TableText-Normal"/>
    <w:qFormat/>
    <w:rsid w:val="0065254A"/>
    <w:pPr>
      <w:numPr>
        <w:numId w:val="18"/>
      </w:numPr>
    </w:pPr>
  </w:style>
  <w:style w:type="paragraph" w:customStyle="1" w:styleId="IndentText1">
    <w:name w:val="Indent Text 1"/>
    <w:basedOn w:val="Bullet1"/>
    <w:qFormat/>
    <w:rsid w:val="00B200D2"/>
    <w:pPr>
      <w:numPr>
        <w:numId w:val="0"/>
      </w:numPr>
      <w:ind w:left="425"/>
    </w:pPr>
  </w:style>
  <w:style w:type="paragraph" w:customStyle="1" w:styleId="Boxed1Text">
    <w:name w:val="Boxed 1 Text"/>
    <w:basedOn w:val="Normal"/>
    <w:qFormat/>
    <w:rsid w:val="00BC18D2"/>
    <w:pPr>
      <w:pBdr>
        <w:top w:val="single" w:sz="4" w:space="14" w:color="F1F8F8" w:themeColor="accent1" w:themeTint="33"/>
        <w:left w:val="single" w:sz="4" w:space="14" w:color="F1F8F8" w:themeColor="accent1" w:themeTint="33"/>
        <w:bottom w:val="single" w:sz="4" w:space="14" w:color="F1F8F8" w:themeColor="accent1" w:themeTint="33"/>
        <w:right w:val="single" w:sz="4" w:space="14" w:color="F1F8F8" w:themeColor="accent1" w:themeTint="33"/>
      </w:pBdr>
      <w:shd w:val="clear" w:color="auto" w:fill="F1F8F8" w:themeFill="accent1" w:themeFillTint="33"/>
      <w:spacing w:before="180"/>
      <w:ind w:left="284" w:right="284"/>
    </w:pPr>
    <w:rPr>
      <w:szCs w:val="22"/>
    </w:rPr>
  </w:style>
  <w:style w:type="paragraph" w:customStyle="1" w:styleId="Boxed1Heading">
    <w:name w:val="Boxed 1 Heading"/>
    <w:basedOn w:val="Boxed1Text"/>
    <w:qFormat/>
    <w:rsid w:val="00BC18D2"/>
    <w:rPr>
      <w:b/>
      <w:sz w:val="24"/>
    </w:rPr>
  </w:style>
  <w:style w:type="paragraph" w:customStyle="1" w:styleId="Boxed2Text">
    <w:name w:val="Boxed 2 Text"/>
    <w:basedOn w:val="Boxed1Text"/>
    <w:link w:val="Boxed2TextChar"/>
    <w:qFormat/>
    <w:rsid w:val="00B02F7F"/>
    <w:pPr>
      <w:pBdr>
        <w:top w:val="single" w:sz="4" w:space="14" w:color="BDDCDF" w:themeColor="accent1"/>
        <w:left w:val="single" w:sz="4" w:space="14" w:color="BDDCDF" w:themeColor="accent1"/>
        <w:bottom w:val="single" w:sz="4" w:space="14" w:color="BDDCDF" w:themeColor="accent1"/>
        <w:right w:val="single" w:sz="4" w:space="14" w:color="BDDCDF" w:themeColor="accent1"/>
      </w:pBdr>
      <w:shd w:val="clear" w:color="auto" w:fill="BDDCDF" w:themeFill="accent1"/>
      <w:spacing w:before="160" w:line="260" w:lineRule="atLeast"/>
    </w:pPr>
  </w:style>
  <w:style w:type="paragraph" w:customStyle="1" w:styleId="Boxed2Heading">
    <w:name w:val="Boxed 2 Heading"/>
    <w:basedOn w:val="Boxed2Text"/>
    <w:qFormat/>
    <w:rsid w:val="00BC18D2"/>
    <w:rPr>
      <w:b/>
      <w:sz w:val="24"/>
    </w:rPr>
  </w:style>
  <w:style w:type="paragraph" w:customStyle="1" w:styleId="TableText-Bullets">
    <w:name w:val="Table Text - Bullets"/>
    <w:basedOn w:val="TableText"/>
    <w:rsid w:val="008A3568"/>
    <w:pPr>
      <w:numPr>
        <w:numId w:val="20"/>
      </w:numPr>
    </w:pPr>
  </w:style>
  <w:style w:type="paragraph" w:styleId="ListNumber3">
    <w:name w:val="List Number 3"/>
    <w:basedOn w:val="Bullet2"/>
    <w:uiPriority w:val="99"/>
    <w:unhideWhenUsed/>
    <w:rsid w:val="007433FC"/>
    <w:rPr>
      <w:color w:val="0070C0"/>
    </w:rPr>
  </w:style>
  <w:style w:type="paragraph" w:customStyle="1" w:styleId="TableText-Bullets-Compact">
    <w:name w:val="Table Text - Bullets - Compact"/>
    <w:basedOn w:val="TableText-Normal-DotPoint"/>
    <w:rsid w:val="00A250B5"/>
    <w:rPr>
      <w:sz w:val="18"/>
      <w:szCs w:val="18"/>
    </w:rPr>
  </w:style>
  <w:style w:type="paragraph" w:customStyle="1" w:styleId="CrossReference">
    <w:name w:val="Cross Reference"/>
    <w:next w:val="Normal"/>
    <w:link w:val="CrossReferenceChar"/>
    <w:qFormat/>
    <w:rsid w:val="00CA36B1"/>
    <w:rPr>
      <w:rFonts w:ascii="Calibri" w:hAnsi="Calibri" w:cs="Cambria"/>
      <w:color w:val="000000" w:themeColor="text1"/>
      <w:szCs w:val="24"/>
      <w:u w:val="single" w:color="0070C0"/>
    </w:rPr>
  </w:style>
  <w:style w:type="paragraph" w:customStyle="1" w:styleId="Bullets1stindent">
    <w:name w:val="Bullets (1st indent)"/>
    <w:basedOn w:val="Normal"/>
    <w:qFormat/>
    <w:rsid w:val="000457F9"/>
    <w:pPr>
      <w:suppressAutoHyphens w:val="0"/>
      <w:spacing w:before="0" w:after="120" w:line="276" w:lineRule="auto"/>
      <w:ind w:left="360" w:hanging="360"/>
    </w:pPr>
    <w:rPr>
      <w:szCs w:val="22"/>
    </w:rPr>
  </w:style>
  <w:style w:type="paragraph" w:customStyle="1" w:styleId="Bullets2ndindent">
    <w:name w:val="Bullets (2nd indent)"/>
    <w:basedOn w:val="Normal"/>
    <w:qFormat/>
    <w:rsid w:val="000457F9"/>
    <w:pPr>
      <w:tabs>
        <w:tab w:val="num" w:pos="567"/>
      </w:tabs>
      <w:suppressAutoHyphens w:val="0"/>
      <w:spacing w:before="0" w:after="120" w:line="276" w:lineRule="auto"/>
      <w:ind w:left="567" w:hanging="283"/>
    </w:pPr>
    <w:rPr>
      <w:szCs w:val="22"/>
    </w:rPr>
  </w:style>
  <w:style w:type="paragraph" w:customStyle="1" w:styleId="Bulletslast1stindent">
    <w:name w:val="Bullets last (1st indent)"/>
    <w:basedOn w:val="Normal"/>
    <w:rsid w:val="000457F9"/>
    <w:pPr>
      <w:tabs>
        <w:tab w:val="num" w:pos="284"/>
      </w:tabs>
      <w:suppressAutoHyphens w:val="0"/>
      <w:spacing w:before="0" w:after="200" w:line="276" w:lineRule="auto"/>
      <w:ind w:left="284" w:hanging="284"/>
    </w:pPr>
    <w:rPr>
      <w:szCs w:val="22"/>
    </w:rPr>
  </w:style>
  <w:style w:type="paragraph" w:customStyle="1" w:styleId="Bulletslast2ndindent">
    <w:name w:val="Bullets last (2nd indent)"/>
    <w:basedOn w:val="Normal"/>
    <w:rsid w:val="000457F9"/>
    <w:pPr>
      <w:tabs>
        <w:tab w:val="num" w:pos="567"/>
      </w:tabs>
      <w:suppressAutoHyphens w:val="0"/>
      <w:spacing w:before="0" w:after="57" w:line="276" w:lineRule="auto"/>
      <w:ind w:left="567" w:hanging="283"/>
    </w:pPr>
    <w:rPr>
      <w:szCs w:val="22"/>
    </w:rPr>
  </w:style>
  <w:style w:type="paragraph" w:customStyle="1" w:styleId="BulletsTable1">
    <w:name w:val="Bullets Table 1"/>
    <w:basedOn w:val="Bullets1stindent"/>
    <w:qFormat/>
    <w:rsid w:val="000457F9"/>
    <w:pPr>
      <w:spacing w:after="60"/>
      <w:ind w:left="357" w:hanging="357"/>
      <w:contextualSpacing/>
    </w:pPr>
  </w:style>
  <w:style w:type="paragraph" w:customStyle="1" w:styleId="TableText-Medium">
    <w:name w:val="Table Text - Medium"/>
    <w:basedOn w:val="TableText-Normal"/>
    <w:qFormat/>
    <w:rsid w:val="0057047B"/>
    <w:pPr>
      <w:spacing w:before="60" w:after="60"/>
    </w:pPr>
    <w:rPr>
      <w:sz w:val="20"/>
      <w:szCs w:val="20"/>
    </w:rPr>
  </w:style>
  <w:style w:type="paragraph" w:customStyle="1" w:styleId="TableText-Medium-DotPoints">
    <w:name w:val="Table Text - Medium - Dot Points"/>
    <w:basedOn w:val="TableText-Normal-DotPoint"/>
    <w:qFormat/>
    <w:rsid w:val="0057047B"/>
    <w:rPr>
      <w:sz w:val="20"/>
      <w:szCs w:val="20"/>
    </w:rPr>
  </w:style>
  <w:style w:type="paragraph" w:customStyle="1" w:styleId="Default">
    <w:name w:val="Default"/>
    <w:rsid w:val="00DD311E"/>
    <w:pPr>
      <w:autoSpaceDE w:val="0"/>
      <w:autoSpaceDN w:val="0"/>
      <w:adjustRightInd w:val="0"/>
      <w:spacing w:after="0" w:line="240" w:lineRule="auto"/>
    </w:pPr>
    <w:rPr>
      <w:rFonts w:ascii="Cambria" w:hAnsi="Cambria" w:cs="Cambria"/>
      <w:color w:val="000000"/>
      <w:sz w:val="24"/>
      <w:szCs w:val="24"/>
    </w:rPr>
  </w:style>
  <w:style w:type="paragraph" w:customStyle="1" w:styleId="Numbered">
    <w:name w:val="Numbered"/>
    <w:basedOn w:val="ListParagraph"/>
    <w:qFormat/>
    <w:rsid w:val="00157BAB"/>
    <w:pPr>
      <w:numPr>
        <w:numId w:val="45"/>
      </w:numPr>
      <w:tabs>
        <w:tab w:val="left" w:pos="425"/>
      </w:tabs>
      <w:spacing w:before="160"/>
    </w:pPr>
    <w:rPr>
      <w:rFonts w:ascii="Calibri" w:hAnsi="Calibri" w:cstheme="minorHAnsi"/>
      <w:lang w:val="en-AU"/>
    </w:rPr>
  </w:style>
  <w:style w:type="character" w:customStyle="1" w:styleId="ListParagraphChar">
    <w:name w:val="List Paragraph Char"/>
    <w:basedOn w:val="DefaultParagraphFont"/>
    <w:link w:val="ListParagraph"/>
    <w:uiPriority w:val="34"/>
    <w:locked/>
    <w:rsid w:val="007A0E16"/>
    <w:rPr>
      <w:rFonts w:ascii="Cambria" w:eastAsia="Cambria" w:hAnsi="Cambria" w:cs="Cambria"/>
      <w:szCs w:val="28"/>
      <w:lang w:val="en-US"/>
    </w:rPr>
  </w:style>
  <w:style w:type="paragraph" w:customStyle="1" w:styleId="ListParagraph2">
    <w:name w:val="List Paragraph 2"/>
    <w:basedOn w:val="ListParagraph"/>
    <w:qFormat/>
    <w:rsid w:val="007A0E16"/>
    <w:pPr>
      <w:widowControl/>
      <w:tabs>
        <w:tab w:val="num" w:pos="360"/>
      </w:tabs>
      <w:autoSpaceDE/>
      <w:autoSpaceDN/>
      <w:spacing w:before="0" w:after="120" w:line="22" w:lineRule="atLeast"/>
      <w:ind w:left="1111" w:hanging="357"/>
      <w:contextualSpacing/>
    </w:pPr>
    <w:rPr>
      <w:rFonts w:asciiTheme="minorHAnsi" w:eastAsiaTheme="minorHAnsi" w:hAnsiTheme="minorHAnsi" w:cstheme="minorBidi"/>
      <w:sz w:val="24"/>
      <w:szCs w:val="24"/>
      <w:lang w:val="en-AU"/>
    </w:rPr>
  </w:style>
  <w:style w:type="paragraph" w:customStyle="1" w:styleId="LetteredList">
    <w:name w:val="Lettered List"/>
    <w:basedOn w:val="ListParagraph2"/>
    <w:qFormat/>
    <w:rsid w:val="00823FE7"/>
    <w:pPr>
      <w:numPr>
        <w:numId w:val="29"/>
      </w:numPr>
      <w:spacing w:before="120"/>
      <w:ind w:left="850" w:hanging="425"/>
      <w:contextualSpacing w:val="0"/>
    </w:pPr>
    <w:rPr>
      <w:rFonts w:ascii="Calibri" w:hAnsi="Calibri"/>
      <w:sz w:val="22"/>
      <w:szCs w:val="22"/>
    </w:rPr>
  </w:style>
  <w:style w:type="paragraph" w:customStyle="1" w:styleId="Bullet">
    <w:name w:val="Bullet"/>
    <w:basedOn w:val="Normal"/>
    <w:link w:val="BulletChar"/>
    <w:qFormat/>
    <w:rsid w:val="00D419C8"/>
    <w:pPr>
      <w:tabs>
        <w:tab w:val="num" w:pos="520"/>
      </w:tabs>
      <w:suppressAutoHyphens w:val="0"/>
      <w:spacing w:before="0" w:after="240" w:line="260" w:lineRule="exact"/>
      <w:ind w:left="520" w:hanging="520"/>
      <w:jc w:val="both"/>
    </w:pPr>
    <w:rPr>
      <w:rFonts w:ascii="Book Antiqua" w:eastAsia="Times New Roman" w:hAnsi="Book Antiqua" w:cs="Times New Roman"/>
      <w:sz w:val="20"/>
      <w:szCs w:val="20"/>
      <w:lang w:val="x-none" w:eastAsia="x-none"/>
    </w:rPr>
  </w:style>
  <w:style w:type="paragraph" w:customStyle="1" w:styleId="Dash">
    <w:name w:val="Dash"/>
    <w:basedOn w:val="Normal"/>
    <w:rsid w:val="00D419C8"/>
    <w:pPr>
      <w:tabs>
        <w:tab w:val="num" w:pos="992"/>
      </w:tabs>
      <w:suppressAutoHyphens w:val="0"/>
      <w:spacing w:before="0" w:after="240" w:line="260" w:lineRule="exact"/>
      <w:ind w:left="992" w:hanging="472"/>
      <w:jc w:val="both"/>
    </w:pPr>
    <w:rPr>
      <w:rFonts w:ascii="Book Antiqua" w:eastAsia="Times New Roman" w:hAnsi="Book Antiqua" w:cs="Times New Roman"/>
      <w:sz w:val="20"/>
      <w:szCs w:val="20"/>
      <w:lang w:eastAsia="en-AU"/>
    </w:rPr>
  </w:style>
  <w:style w:type="paragraph" w:customStyle="1" w:styleId="DoubleDot">
    <w:name w:val="Double Dot"/>
    <w:basedOn w:val="Normal"/>
    <w:rsid w:val="00D419C8"/>
    <w:pPr>
      <w:tabs>
        <w:tab w:val="num" w:pos="1464"/>
      </w:tabs>
      <w:suppressAutoHyphens w:val="0"/>
      <w:spacing w:before="0" w:after="240" w:line="260" w:lineRule="exact"/>
      <w:ind w:left="1464" w:hanging="472"/>
      <w:jc w:val="both"/>
    </w:pPr>
    <w:rPr>
      <w:rFonts w:ascii="Book Antiqua" w:eastAsia="Times New Roman" w:hAnsi="Book Antiqua" w:cs="Times New Roman"/>
      <w:sz w:val="20"/>
      <w:szCs w:val="20"/>
      <w:lang w:eastAsia="en-AU"/>
    </w:rPr>
  </w:style>
  <w:style w:type="character" w:customStyle="1" w:styleId="NumberedList1Char">
    <w:name w:val="Numbered List 1 Char"/>
    <w:basedOn w:val="DefaultParagraphFont"/>
    <w:link w:val="NumberedList1"/>
    <w:rsid w:val="00922DA3"/>
    <w:rPr>
      <w:color w:val="FF0000"/>
      <w:szCs w:val="28"/>
      <w:u w:val="single"/>
    </w:rPr>
  </w:style>
  <w:style w:type="character" w:customStyle="1" w:styleId="NumberedList2Char">
    <w:name w:val="Numbered List 2 Char"/>
    <w:basedOn w:val="NumberedList1Char"/>
    <w:link w:val="NumberedList2"/>
    <w:rsid w:val="00922DA3"/>
    <w:rPr>
      <w:rFonts w:ascii="Calibri" w:hAnsi="Calibri"/>
      <w:color w:val="FF0000"/>
      <w:szCs w:val="28"/>
      <w:u w:val="single"/>
    </w:rPr>
  </w:style>
  <w:style w:type="character" w:customStyle="1" w:styleId="CrossReferenceChar">
    <w:name w:val="Cross Reference Char"/>
    <w:basedOn w:val="NumberedList2Char"/>
    <w:link w:val="CrossReference"/>
    <w:rsid w:val="00CA36B1"/>
    <w:rPr>
      <w:rFonts w:ascii="Calibri" w:hAnsi="Calibri" w:cs="Cambria"/>
      <w:color w:val="000000" w:themeColor="text1"/>
      <w:szCs w:val="24"/>
      <w:u w:val="single" w:color="0070C0"/>
    </w:rPr>
  </w:style>
  <w:style w:type="paragraph" w:styleId="ListBullet5">
    <w:name w:val="List Bullet 5"/>
    <w:basedOn w:val="Normal"/>
    <w:uiPriority w:val="99"/>
    <w:unhideWhenUsed/>
    <w:rsid w:val="00090962"/>
    <w:pPr>
      <w:numPr>
        <w:numId w:val="31"/>
      </w:numPr>
      <w:contextualSpacing/>
    </w:pPr>
  </w:style>
  <w:style w:type="paragraph" w:customStyle="1" w:styleId="TableHeading">
    <w:name w:val="Table Heading"/>
    <w:basedOn w:val="Normal"/>
    <w:next w:val="Normal"/>
    <w:link w:val="TableHeadingChar"/>
    <w:qFormat/>
    <w:rsid w:val="00611899"/>
    <w:pPr>
      <w:keepNext/>
      <w:suppressAutoHyphens w:val="0"/>
      <w:spacing w:before="0" w:after="20" w:line="240" w:lineRule="auto"/>
    </w:pPr>
    <w:rPr>
      <w:rFonts w:ascii="Arial" w:eastAsia="Times New Roman" w:hAnsi="Arial" w:cs="Times New Roman"/>
      <w:b/>
      <w:color w:val="000000"/>
      <w:sz w:val="20"/>
      <w:szCs w:val="20"/>
      <w:lang w:val="x-none" w:eastAsia="x-none"/>
    </w:rPr>
  </w:style>
  <w:style w:type="character" w:customStyle="1" w:styleId="TableHeadingChar">
    <w:name w:val="Table Heading Char"/>
    <w:link w:val="TableHeading"/>
    <w:rsid w:val="00611899"/>
    <w:rPr>
      <w:rFonts w:ascii="Arial" w:eastAsia="Times New Roman" w:hAnsi="Arial" w:cs="Times New Roman"/>
      <w:b/>
      <w:color w:val="000000"/>
      <w:sz w:val="20"/>
      <w:szCs w:val="20"/>
      <w:lang w:val="x-none" w:eastAsia="x-none"/>
    </w:rPr>
  </w:style>
  <w:style w:type="paragraph" w:customStyle="1" w:styleId="TableColumnHeadingLeft">
    <w:name w:val="Table Column Heading Left"/>
    <w:basedOn w:val="Normal"/>
    <w:next w:val="Normal"/>
    <w:rsid w:val="00611899"/>
    <w:pPr>
      <w:suppressAutoHyphens w:val="0"/>
      <w:spacing w:before="60" w:line="240" w:lineRule="auto"/>
    </w:pPr>
    <w:rPr>
      <w:rFonts w:ascii="Arial" w:eastAsia="Times New Roman" w:hAnsi="Arial" w:cs="Times New Roman"/>
      <w:b/>
      <w:sz w:val="20"/>
      <w:szCs w:val="20"/>
      <w:lang w:eastAsia="en-AU"/>
    </w:rPr>
  </w:style>
  <w:style w:type="character" w:customStyle="1" w:styleId="Bullet1Char">
    <w:name w:val="Bullet 1 Char"/>
    <w:basedOn w:val="DefaultParagraphFont"/>
    <w:link w:val="Bullet1"/>
    <w:rsid w:val="0003645A"/>
    <w:rPr>
      <w:rFonts w:ascii="Calibri" w:eastAsia="Cambria" w:hAnsi="Calibri" w:cs="Calibri"/>
      <w:szCs w:val="28"/>
    </w:rPr>
  </w:style>
  <w:style w:type="paragraph" w:customStyle="1" w:styleId="TableTextBase">
    <w:name w:val="Table Text Base"/>
    <w:basedOn w:val="Normal"/>
    <w:link w:val="TableTextBaseChar"/>
    <w:rsid w:val="00FF6AF2"/>
    <w:pPr>
      <w:suppressAutoHyphens w:val="0"/>
      <w:spacing w:before="60" w:line="240" w:lineRule="auto"/>
    </w:pPr>
    <w:rPr>
      <w:rFonts w:ascii="Arial" w:eastAsia="Times New Roman" w:hAnsi="Arial" w:cs="Times New Roman"/>
      <w:sz w:val="18"/>
      <w:szCs w:val="20"/>
      <w:lang w:eastAsia="en-AU"/>
    </w:rPr>
  </w:style>
  <w:style w:type="paragraph" w:customStyle="1" w:styleId="TableTextLeft">
    <w:name w:val="Table Text Left"/>
    <w:basedOn w:val="TableTextBase"/>
    <w:link w:val="TableTextLeftChar"/>
    <w:rsid w:val="00FF6AF2"/>
  </w:style>
  <w:style w:type="character" w:customStyle="1" w:styleId="TableTextBaseChar">
    <w:name w:val="Table Text Base Char"/>
    <w:link w:val="TableTextBase"/>
    <w:rsid w:val="00FF6AF2"/>
    <w:rPr>
      <w:rFonts w:ascii="Arial" w:eastAsia="Times New Roman" w:hAnsi="Arial" w:cs="Times New Roman"/>
      <w:sz w:val="18"/>
      <w:szCs w:val="20"/>
      <w:lang w:eastAsia="en-AU"/>
    </w:rPr>
  </w:style>
  <w:style w:type="character" w:customStyle="1" w:styleId="TableTextLeftChar">
    <w:name w:val="Table Text Left Char"/>
    <w:link w:val="TableTextLeft"/>
    <w:rsid w:val="00FF6AF2"/>
    <w:rPr>
      <w:rFonts w:ascii="Arial" w:eastAsia="Times New Roman" w:hAnsi="Arial" w:cs="Times New Roman"/>
      <w:sz w:val="18"/>
      <w:szCs w:val="20"/>
      <w:lang w:eastAsia="en-AU"/>
    </w:rPr>
  </w:style>
  <w:style w:type="paragraph" w:customStyle="1" w:styleId="ChartandTableFootnoteAlpha">
    <w:name w:val="Chart and Table Footnote Alpha"/>
    <w:basedOn w:val="Normal"/>
    <w:next w:val="Normal"/>
    <w:rsid w:val="00FF6AF2"/>
    <w:pPr>
      <w:numPr>
        <w:numId w:val="32"/>
      </w:numPr>
      <w:suppressAutoHyphens w:val="0"/>
      <w:spacing w:before="0" w:after="0" w:line="240" w:lineRule="auto"/>
      <w:jc w:val="both"/>
    </w:pPr>
    <w:rPr>
      <w:rFonts w:ascii="Arial" w:eastAsia="Times New Roman" w:hAnsi="Arial" w:cs="Times New Roman"/>
      <w:sz w:val="16"/>
      <w:szCs w:val="20"/>
      <w:lang w:eastAsia="en-AU"/>
    </w:rPr>
  </w:style>
  <w:style w:type="character" w:customStyle="1" w:styleId="UnresolvedMention2">
    <w:name w:val="Unresolved Mention2"/>
    <w:basedOn w:val="DefaultParagraphFont"/>
    <w:uiPriority w:val="99"/>
    <w:semiHidden/>
    <w:unhideWhenUsed/>
    <w:rsid w:val="00AE2AEB"/>
    <w:rPr>
      <w:color w:val="605E5C"/>
      <w:shd w:val="clear" w:color="auto" w:fill="E1DFDD"/>
    </w:rPr>
  </w:style>
  <w:style w:type="character" w:customStyle="1" w:styleId="UnresolvedMention3">
    <w:name w:val="Unresolved Mention3"/>
    <w:basedOn w:val="DefaultParagraphFont"/>
    <w:uiPriority w:val="99"/>
    <w:semiHidden/>
    <w:unhideWhenUsed/>
    <w:rsid w:val="00FC07C1"/>
    <w:rPr>
      <w:color w:val="605E5C"/>
      <w:shd w:val="clear" w:color="auto" w:fill="E1DFDD"/>
    </w:rPr>
  </w:style>
  <w:style w:type="character" w:customStyle="1" w:styleId="UnresolvedMention4">
    <w:name w:val="Unresolved Mention4"/>
    <w:basedOn w:val="DefaultParagraphFont"/>
    <w:uiPriority w:val="99"/>
    <w:semiHidden/>
    <w:unhideWhenUsed/>
    <w:rsid w:val="00007CC7"/>
    <w:rPr>
      <w:color w:val="605E5C"/>
      <w:shd w:val="clear" w:color="auto" w:fill="E1DFDD"/>
    </w:rPr>
  </w:style>
  <w:style w:type="character" w:styleId="UnresolvedMention">
    <w:name w:val="Unresolved Mention"/>
    <w:basedOn w:val="DefaultParagraphFont"/>
    <w:uiPriority w:val="99"/>
    <w:semiHidden/>
    <w:unhideWhenUsed/>
    <w:rsid w:val="00B750D7"/>
    <w:rPr>
      <w:color w:val="605E5C"/>
      <w:shd w:val="clear" w:color="auto" w:fill="E1DFDD"/>
    </w:rPr>
  </w:style>
  <w:style w:type="paragraph" w:customStyle="1" w:styleId="Bullet1ForContactsOnly">
    <w:name w:val="Bullet 1 For Contacts Only"/>
    <w:basedOn w:val="Bullet1"/>
    <w:qFormat/>
    <w:rsid w:val="00387AC1"/>
    <w:pPr>
      <w:tabs>
        <w:tab w:val="center" w:pos="4253"/>
        <w:tab w:val="right" w:pos="9639"/>
      </w:tabs>
      <w:ind w:left="357" w:hanging="357"/>
    </w:pPr>
  </w:style>
  <w:style w:type="character" w:styleId="Mention">
    <w:name w:val="Mention"/>
    <w:basedOn w:val="DefaultParagraphFont"/>
    <w:uiPriority w:val="99"/>
    <w:unhideWhenUsed/>
    <w:rsid w:val="00CD3C63"/>
    <w:rPr>
      <w:color w:val="2B579A"/>
      <w:shd w:val="clear" w:color="auto" w:fill="E1DFDD"/>
    </w:rPr>
  </w:style>
  <w:style w:type="character" w:customStyle="1" w:styleId="Boxed2TextChar">
    <w:name w:val="Boxed 2 Text Char"/>
    <w:basedOn w:val="DefaultParagraphFont"/>
    <w:link w:val="Boxed2Text"/>
    <w:rsid w:val="00E66DB6"/>
    <w:rPr>
      <w:rFonts w:ascii="Calibri" w:hAnsi="Calibri"/>
      <w:shd w:val="clear" w:color="auto" w:fill="BDDCDF" w:themeFill="accent1"/>
    </w:rPr>
  </w:style>
  <w:style w:type="character" w:customStyle="1" w:styleId="normaltextrun">
    <w:name w:val="normaltextrun"/>
    <w:basedOn w:val="DefaultParagraphFont"/>
    <w:rsid w:val="00E73C37"/>
  </w:style>
  <w:style w:type="character" w:customStyle="1" w:styleId="eop">
    <w:name w:val="eop"/>
    <w:basedOn w:val="DefaultParagraphFont"/>
    <w:rsid w:val="00E73C37"/>
  </w:style>
  <w:style w:type="paragraph" w:customStyle="1" w:styleId="CBMSReportParamater">
    <w:name w:val="CBMS Report Paramater"/>
    <w:basedOn w:val="Normal"/>
    <w:qFormat/>
    <w:rsid w:val="00C9120E"/>
    <w:rPr>
      <w:color w:val="125F51" w:themeColor="accent3" w:themeShade="BF"/>
    </w:rPr>
  </w:style>
  <w:style w:type="paragraph" w:customStyle="1" w:styleId="Headling3">
    <w:name w:val="Headling 3"/>
    <w:basedOn w:val="Heading3"/>
    <w:rsid w:val="00C9120E"/>
    <w:pPr>
      <w:ind w:left="0" w:firstLine="0"/>
    </w:pPr>
  </w:style>
  <w:style w:type="paragraph" w:customStyle="1" w:styleId="TableText-NumberofBooks">
    <w:name w:val="Table Text - Number of Books"/>
    <w:basedOn w:val="TableText-Normal"/>
    <w:qFormat/>
    <w:rsid w:val="00C9120E"/>
    <w:rPr>
      <w:rFonts w:cs="Calibri"/>
    </w:rPr>
  </w:style>
  <w:style w:type="paragraph" w:customStyle="1" w:styleId="BoxText">
    <w:name w:val="Box Text"/>
    <w:basedOn w:val="Normal"/>
    <w:qFormat/>
    <w:rsid w:val="00C9120E"/>
    <w:pPr>
      <w:suppressAutoHyphens w:val="0"/>
      <w:spacing w:before="120" w:after="120" w:line="240" w:lineRule="auto"/>
    </w:pPr>
    <w:rPr>
      <w:rFonts w:ascii="Book Antiqua" w:eastAsia="Times New Roman" w:hAnsi="Book Antiqua" w:cs="Times New Roman"/>
      <w:sz w:val="19"/>
      <w:szCs w:val="20"/>
      <w:lang w:eastAsia="en-AU"/>
    </w:rPr>
  </w:style>
  <w:style w:type="paragraph" w:customStyle="1" w:styleId="BoxHeading">
    <w:name w:val="Box Heading"/>
    <w:basedOn w:val="Normal"/>
    <w:next w:val="BoxText"/>
    <w:rsid w:val="00C9120E"/>
    <w:pPr>
      <w:keepNext/>
      <w:suppressAutoHyphens w:val="0"/>
      <w:spacing w:before="120" w:after="120" w:line="240" w:lineRule="auto"/>
    </w:pPr>
    <w:rPr>
      <w:rFonts w:ascii="Arial" w:eastAsia="Times New Roman" w:hAnsi="Arial" w:cs="Times New Roman"/>
      <w:b/>
      <w:sz w:val="20"/>
      <w:szCs w:val="20"/>
      <w:lang w:eastAsia="en-AU"/>
    </w:rPr>
  </w:style>
  <w:style w:type="paragraph" w:customStyle="1" w:styleId="BoxBullet">
    <w:name w:val="Box Bullet"/>
    <w:basedOn w:val="BoxText"/>
    <w:rsid w:val="00C9120E"/>
    <w:pPr>
      <w:numPr>
        <w:numId w:val="39"/>
      </w:numPr>
    </w:pPr>
  </w:style>
  <w:style w:type="paragraph" w:customStyle="1" w:styleId="ExampleText0">
    <w:name w:val="Example Text"/>
    <w:basedOn w:val="Normal"/>
    <w:semiHidden/>
    <w:rsid w:val="00C9120E"/>
    <w:pPr>
      <w:suppressAutoHyphens w:val="0"/>
      <w:spacing w:before="240" w:after="240" w:line="240" w:lineRule="exact"/>
    </w:pPr>
    <w:rPr>
      <w:rFonts w:ascii="Book Antiqua" w:eastAsia="Times New Roman" w:hAnsi="Book Antiqua" w:cs="Times New Roman"/>
      <w:i/>
      <w:color w:val="FF0000"/>
      <w:sz w:val="19"/>
      <w:szCs w:val="20"/>
      <w:lang w:eastAsia="en-AU"/>
    </w:rPr>
  </w:style>
  <w:style w:type="character" w:customStyle="1" w:styleId="BulletChar">
    <w:name w:val="Bullet Char"/>
    <w:basedOn w:val="Bullet1Char"/>
    <w:link w:val="Bullet"/>
    <w:rsid w:val="00C9120E"/>
    <w:rPr>
      <w:rFonts w:ascii="Book Antiqua" w:eastAsia="Times New Roman" w:hAnsi="Book Antiqua" w:cs="Times New Roman"/>
      <w:sz w:val="20"/>
      <w:szCs w:val="20"/>
      <w:lang w:val="x-none" w:eastAsia="x-none"/>
    </w:rPr>
  </w:style>
  <w:style w:type="character" w:customStyle="1" w:styleId="ui-provider">
    <w:name w:val="ui-provider"/>
    <w:basedOn w:val="DefaultParagraphFont"/>
    <w:rsid w:val="00B7730B"/>
  </w:style>
  <w:style w:type="paragraph" w:customStyle="1" w:styleId="Lettered">
    <w:name w:val="Lettered"/>
    <w:basedOn w:val="Numbered"/>
    <w:qFormat/>
    <w:rsid w:val="00157BAB"/>
    <w:pPr>
      <w:numPr>
        <w:numId w:val="22"/>
      </w:numPr>
    </w:pPr>
  </w:style>
  <w:style w:type="paragraph" w:customStyle="1" w:styleId="Heading1Numbered">
    <w:name w:val="Heading 1 Numbered"/>
    <w:basedOn w:val="Heading1"/>
    <w:next w:val="Normal"/>
    <w:qFormat/>
    <w:rsid w:val="008F2996"/>
    <w:pPr>
      <w:numPr>
        <w:numId w:val="0"/>
      </w:numPr>
      <w:ind w:left="567" w:hanging="567"/>
    </w:pPr>
  </w:style>
  <w:style w:type="paragraph" w:customStyle="1" w:styleId="Heading2Numbered">
    <w:name w:val="Heading 2 Numbered"/>
    <w:basedOn w:val="Heading2"/>
    <w:next w:val="Normal"/>
    <w:qFormat/>
    <w:rsid w:val="008F2996"/>
    <w:pPr>
      <w:numPr>
        <w:ilvl w:val="0"/>
        <w:numId w:val="0"/>
      </w:numPr>
      <w:ind w:left="851" w:hanging="851"/>
    </w:pPr>
    <w:rPr>
      <w:bCs/>
    </w:rPr>
  </w:style>
  <w:style w:type="paragraph" w:customStyle="1" w:styleId="Heading3Numbered">
    <w:name w:val="Heading 3 Numbered"/>
    <w:basedOn w:val="Heading3"/>
    <w:next w:val="Normal"/>
    <w:qFormat/>
    <w:rsid w:val="008F2996"/>
    <w:pPr>
      <w:numPr>
        <w:ilvl w:val="0"/>
        <w:numId w:val="0"/>
      </w:numPr>
      <w:ind w:left="851" w:hanging="851"/>
      <w:contextualSpacing/>
    </w:pPr>
    <w:rPr>
      <w:rFonts w:cstheme="majorBidi"/>
      <w:szCs w:val="22"/>
    </w:rPr>
  </w:style>
  <w:style w:type="paragraph" w:customStyle="1" w:styleId="IntroPara">
    <w:name w:val="Intro Para"/>
    <w:basedOn w:val="Normal"/>
    <w:qFormat/>
    <w:rsid w:val="008F2996"/>
    <w:pPr>
      <w:pBdr>
        <w:bottom w:val="single" w:sz="4" w:space="6" w:color="92C5C5" w:themeColor="accent2"/>
      </w:pBdr>
      <w:spacing w:before="180"/>
    </w:pPr>
    <w:rPr>
      <w:rFonts w:asciiTheme="minorHAnsi" w:hAnsiTheme="minorHAns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5091">
      <w:bodyDiv w:val="1"/>
      <w:marLeft w:val="0"/>
      <w:marRight w:val="0"/>
      <w:marTop w:val="0"/>
      <w:marBottom w:val="0"/>
      <w:divBdr>
        <w:top w:val="none" w:sz="0" w:space="0" w:color="auto"/>
        <w:left w:val="none" w:sz="0" w:space="0" w:color="auto"/>
        <w:bottom w:val="none" w:sz="0" w:space="0" w:color="auto"/>
        <w:right w:val="none" w:sz="0" w:space="0" w:color="auto"/>
      </w:divBdr>
    </w:div>
    <w:div w:id="141892203">
      <w:bodyDiv w:val="1"/>
      <w:marLeft w:val="0"/>
      <w:marRight w:val="0"/>
      <w:marTop w:val="0"/>
      <w:marBottom w:val="0"/>
      <w:divBdr>
        <w:top w:val="none" w:sz="0" w:space="0" w:color="auto"/>
        <w:left w:val="none" w:sz="0" w:space="0" w:color="auto"/>
        <w:bottom w:val="none" w:sz="0" w:space="0" w:color="auto"/>
        <w:right w:val="none" w:sz="0" w:space="0" w:color="auto"/>
      </w:divBdr>
    </w:div>
    <w:div w:id="175928732">
      <w:bodyDiv w:val="1"/>
      <w:marLeft w:val="0"/>
      <w:marRight w:val="0"/>
      <w:marTop w:val="0"/>
      <w:marBottom w:val="0"/>
      <w:divBdr>
        <w:top w:val="none" w:sz="0" w:space="0" w:color="auto"/>
        <w:left w:val="none" w:sz="0" w:space="0" w:color="auto"/>
        <w:bottom w:val="none" w:sz="0" w:space="0" w:color="auto"/>
        <w:right w:val="none" w:sz="0" w:space="0" w:color="auto"/>
      </w:divBdr>
    </w:div>
    <w:div w:id="238708576">
      <w:bodyDiv w:val="1"/>
      <w:marLeft w:val="0"/>
      <w:marRight w:val="0"/>
      <w:marTop w:val="0"/>
      <w:marBottom w:val="0"/>
      <w:divBdr>
        <w:top w:val="none" w:sz="0" w:space="0" w:color="auto"/>
        <w:left w:val="none" w:sz="0" w:space="0" w:color="auto"/>
        <w:bottom w:val="none" w:sz="0" w:space="0" w:color="auto"/>
        <w:right w:val="none" w:sz="0" w:space="0" w:color="auto"/>
      </w:divBdr>
    </w:div>
    <w:div w:id="283389318">
      <w:bodyDiv w:val="1"/>
      <w:marLeft w:val="0"/>
      <w:marRight w:val="0"/>
      <w:marTop w:val="0"/>
      <w:marBottom w:val="0"/>
      <w:divBdr>
        <w:top w:val="none" w:sz="0" w:space="0" w:color="auto"/>
        <w:left w:val="none" w:sz="0" w:space="0" w:color="auto"/>
        <w:bottom w:val="none" w:sz="0" w:space="0" w:color="auto"/>
        <w:right w:val="none" w:sz="0" w:space="0" w:color="auto"/>
      </w:divBdr>
    </w:div>
    <w:div w:id="308830489">
      <w:bodyDiv w:val="1"/>
      <w:marLeft w:val="0"/>
      <w:marRight w:val="0"/>
      <w:marTop w:val="0"/>
      <w:marBottom w:val="0"/>
      <w:divBdr>
        <w:top w:val="none" w:sz="0" w:space="0" w:color="auto"/>
        <w:left w:val="none" w:sz="0" w:space="0" w:color="auto"/>
        <w:bottom w:val="none" w:sz="0" w:space="0" w:color="auto"/>
        <w:right w:val="none" w:sz="0" w:space="0" w:color="auto"/>
      </w:divBdr>
    </w:div>
    <w:div w:id="349065017">
      <w:bodyDiv w:val="1"/>
      <w:marLeft w:val="0"/>
      <w:marRight w:val="0"/>
      <w:marTop w:val="0"/>
      <w:marBottom w:val="0"/>
      <w:divBdr>
        <w:top w:val="none" w:sz="0" w:space="0" w:color="auto"/>
        <w:left w:val="none" w:sz="0" w:space="0" w:color="auto"/>
        <w:bottom w:val="none" w:sz="0" w:space="0" w:color="auto"/>
        <w:right w:val="none" w:sz="0" w:space="0" w:color="auto"/>
      </w:divBdr>
    </w:div>
    <w:div w:id="707947981">
      <w:bodyDiv w:val="1"/>
      <w:marLeft w:val="0"/>
      <w:marRight w:val="0"/>
      <w:marTop w:val="0"/>
      <w:marBottom w:val="0"/>
      <w:divBdr>
        <w:top w:val="none" w:sz="0" w:space="0" w:color="auto"/>
        <w:left w:val="none" w:sz="0" w:space="0" w:color="auto"/>
        <w:bottom w:val="none" w:sz="0" w:space="0" w:color="auto"/>
        <w:right w:val="none" w:sz="0" w:space="0" w:color="auto"/>
      </w:divBdr>
    </w:div>
    <w:div w:id="742795211">
      <w:bodyDiv w:val="1"/>
      <w:marLeft w:val="0"/>
      <w:marRight w:val="0"/>
      <w:marTop w:val="0"/>
      <w:marBottom w:val="0"/>
      <w:divBdr>
        <w:top w:val="none" w:sz="0" w:space="0" w:color="auto"/>
        <w:left w:val="none" w:sz="0" w:space="0" w:color="auto"/>
        <w:bottom w:val="none" w:sz="0" w:space="0" w:color="auto"/>
        <w:right w:val="none" w:sz="0" w:space="0" w:color="auto"/>
      </w:divBdr>
    </w:div>
    <w:div w:id="795175638">
      <w:bodyDiv w:val="1"/>
      <w:marLeft w:val="0"/>
      <w:marRight w:val="0"/>
      <w:marTop w:val="0"/>
      <w:marBottom w:val="0"/>
      <w:divBdr>
        <w:top w:val="none" w:sz="0" w:space="0" w:color="auto"/>
        <w:left w:val="none" w:sz="0" w:space="0" w:color="auto"/>
        <w:bottom w:val="none" w:sz="0" w:space="0" w:color="auto"/>
        <w:right w:val="none" w:sz="0" w:space="0" w:color="auto"/>
      </w:divBdr>
    </w:div>
    <w:div w:id="918759163">
      <w:bodyDiv w:val="1"/>
      <w:marLeft w:val="0"/>
      <w:marRight w:val="0"/>
      <w:marTop w:val="0"/>
      <w:marBottom w:val="0"/>
      <w:divBdr>
        <w:top w:val="none" w:sz="0" w:space="0" w:color="auto"/>
        <w:left w:val="none" w:sz="0" w:space="0" w:color="auto"/>
        <w:bottom w:val="none" w:sz="0" w:space="0" w:color="auto"/>
        <w:right w:val="none" w:sz="0" w:space="0" w:color="auto"/>
      </w:divBdr>
    </w:div>
    <w:div w:id="928005346">
      <w:bodyDiv w:val="1"/>
      <w:marLeft w:val="0"/>
      <w:marRight w:val="0"/>
      <w:marTop w:val="0"/>
      <w:marBottom w:val="0"/>
      <w:divBdr>
        <w:top w:val="none" w:sz="0" w:space="0" w:color="auto"/>
        <w:left w:val="none" w:sz="0" w:space="0" w:color="auto"/>
        <w:bottom w:val="none" w:sz="0" w:space="0" w:color="auto"/>
        <w:right w:val="none" w:sz="0" w:space="0" w:color="auto"/>
      </w:divBdr>
    </w:div>
    <w:div w:id="1012756431">
      <w:bodyDiv w:val="1"/>
      <w:marLeft w:val="0"/>
      <w:marRight w:val="0"/>
      <w:marTop w:val="0"/>
      <w:marBottom w:val="0"/>
      <w:divBdr>
        <w:top w:val="none" w:sz="0" w:space="0" w:color="auto"/>
        <w:left w:val="none" w:sz="0" w:space="0" w:color="auto"/>
        <w:bottom w:val="none" w:sz="0" w:space="0" w:color="auto"/>
        <w:right w:val="none" w:sz="0" w:space="0" w:color="auto"/>
      </w:divBdr>
    </w:div>
    <w:div w:id="1087000178">
      <w:bodyDiv w:val="1"/>
      <w:marLeft w:val="0"/>
      <w:marRight w:val="0"/>
      <w:marTop w:val="0"/>
      <w:marBottom w:val="0"/>
      <w:divBdr>
        <w:top w:val="none" w:sz="0" w:space="0" w:color="auto"/>
        <w:left w:val="none" w:sz="0" w:space="0" w:color="auto"/>
        <w:bottom w:val="none" w:sz="0" w:space="0" w:color="auto"/>
        <w:right w:val="none" w:sz="0" w:space="0" w:color="auto"/>
      </w:divBdr>
    </w:div>
    <w:div w:id="1154568125">
      <w:bodyDiv w:val="1"/>
      <w:marLeft w:val="0"/>
      <w:marRight w:val="0"/>
      <w:marTop w:val="0"/>
      <w:marBottom w:val="0"/>
      <w:divBdr>
        <w:top w:val="none" w:sz="0" w:space="0" w:color="auto"/>
        <w:left w:val="none" w:sz="0" w:space="0" w:color="auto"/>
        <w:bottom w:val="none" w:sz="0" w:space="0" w:color="auto"/>
        <w:right w:val="none" w:sz="0" w:space="0" w:color="auto"/>
      </w:divBdr>
    </w:div>
    <w:div w:id="1450200152">
      <w:bodyDiv w:val="1"/>
      <w:marLeft w:val="0"/>
      <w:marRight w:val="0"/>
      <w:marTop w:val="0"/>
      <w:marBottom w:val="0"/>
      <w:divBdr>
        <w:top w:val="none" w:sz="0" w:space="0" w:color="auto"/>
        <w:left w:val="none" w:sz="0" w:space="0" w:color="auto"/>
        <w:bottom w:val="none" w:sz="0" w:space="0" w:color="auto"/>
        <w:right w:val="none" w:sz="0" w:space="0" w:color="auto"/>
      </w:divBdr>
    </w:div>
    <w:div w:id="1786607975">
      <w:bodyDiv w:val="1"/>
      <w:marLeft w:val="0"/>
      <w:marRight w:val="0"/>
      <w:marTop w:val="0"/>
      <w:marBottom w:val="0"/>
      <w:divBdr>
        <w:top w:val="none" w:sz="0" w:space="0" w:color="auto"/>
        <w:left w:val="none" w:sz="0" w:space="0" w:color="auto"/>
        <w:bottom w:val="none" w:sz="0" w:space="0" w:color="auto"/>
        <w:right w:val="none" w:sz="0" w:space="0" w:color="auto"/>
      </w:divBdr>
    </w:div>
    <w:div w:id="1823964256">
      <w:bodyDiv w:val="1"/>
      <w:marLeft w:val="0"/>
      <w:marRight w:val="0"/>
      <w:marTop w:val="0"/>
      <w:marBottom w:val="0"/>
      <w:divBdr>
        <w:top w:val="none" w:sz="0" w:space="0" w:color="auto"/>
        <w:left w:val="none" w:sz="0" w:space="0" w:color="auto"/>
        <w:bottom w:val="none" w:sz="0" w:space="0" w:color="auto"/>
        <w:right w:val="none" w:sz="0" w:space="0" w:color="auto"/>
      </w:divBdr>
    </w:div>
    <w:div w:id="1957784254">
      <w:bodyDiv w:val="1"/>
      <w:marLeft w:val="0"/>
      <w:marRight w:val="0"/>
      <w:marTop w:val="0"/>
      <w:marBottom w:val="0"/>
      <w:divBdr>
        <w:top w:val="none" w:sz="0" w:space="0" w:color="auto"/>
        <w:left w:val="none" w:sz="0" w:space="0" w:color="auto"/>
        <w:bottom w:val="none" w:sz="0" w:space="0" w:color="auto"/>
        <w:right w:val="none" w:sz="0" w:space="0" w:color="auto"/>
      </w:divBdr>
    </w:div>
    <w:div w:id="19670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microsoft.com/office/2007/relationships/diagramDrawing" Target="diagrams/drawing9.xml"/><Relationship Id="rId21" Type="http://schemas.openxmlformats.org/officeDocument/2006/relationships/hyperlink" Target="mailto:budget_framework@finance.gov.au" TargetMode="External"/><Relationship Id="rId42" Type="http://schemas.openxmlformats.org/officeDocument/2006/relationships/hyperlink" Target="mailto:legcon.sen@aph.gov.au" TargetMode="External"/><Relationship Id="rId63" Type="http://schemas.openxmlformats.org/officeDocument/2006/relationships/hyperlink" Target="https://data.gov.au/" TargetMode="External"/><Relationship Id="rId84" Type="http://schemas.openxmlformats.org/officeDocument/2006/relationships/diagramLayout" Target="diagrams/layout3.xml"/><Relationship Id="rId138" Type="http://schemas.openxmlformats.org/officeDocument/2006/relationships/diagramLayout" Target="diagrams/layout12.xml"/><Relationship Id="rId159" Type="http://schemas.openxmlformats.org/officeDocument/2006/relationships/diagramColors" Target="diagrams/colors15.xml"/><Relationship Id="rId170" Type="http://schemas.openxmlformats.org/officeDocument/2006/relationships/hyperlink" Target="https://www.finance.gov.au/government/managing-commonwealth-resources/commonwealth-entities-financial-statements-guide-rmg-125" TargetMode="External"/><Relationship Id="rId191" Type="http://schemas.openxmlformats.org/officeDocument/2006/relationships/diagramData" Target="diagrams/data21.xml"/><Relationship Id="rId205" Type="http://schemas.openxmlformats.org/officeDocument/2006/relationships/hyperlink" Target="https://www.finance.gov.au/publications/resource-management-guides/reporting-requirements-following-machinery-government-changes-rmg-119" TargetMode="External"/><Relationship Id="rId226" Type="http://schemas.openxmlformats.org/officeDocument/2006/relationships/hyperlink" Target="mailto:PGPA@finance.gov.au" TargetMode="External"/><Relationship Id="rId107" Type="http://schemas.microsoft.com/office/2007/relationships/diagramDrawing" Target="diagrams/drawing7.xml"/><Relationship Id="rId11" Type="http://schemas.openxmlformats.org/officeDocument/2006/relationships/footnotes" Target="footnotes.xml"/><Relationship Id="rId32" Type="http://schemas.openxmlformats.org/officeDocument/2006/relationships/header" Target="header6.xml"/><Relationship Id="rId53" Type="http://schemas.openxmlformats.org/officeDocument/2006/relationships/hyperlink" Target="https://data.gov.au/" TargetMode="External"/><Relationship Id="rId74" Type="http://schemas.openxmlformats.org/officeDocument/2006/relationships/diagramData" Target="diagrams/data2.xml"/><Relationship Id="rId128" Type="http://schemas.openxmlformats.org/officeDocument/2006/relationships/diagramLayout" Target="diagrams/layout11.xml"/><Relationship Id="rId149" Type="http://schemas.openxmlformats.org/officeDocument/2006/relationships/diagramLayout" Target="diagrams/layout14.xml"/><Relationship Id="rId5" Type="http://schemas.openxmlformats.org/officeDocument/2006/relationships/customXml" Target="../customXml/item5.xml"/><Relationship Id="rId95" Type="http://schemas.openxmlformats.org/officeDocument/2006/relationships/diagramQuickStyle" Target="diagrams/quickStyle5.xml"/><Relationship Id="rId160" Type="http://schemas.microsoft.com/office/2007/relationships/diagramDrawing" Target="diagrams/drawing15.xml"/><Relationship Id="rId181" Type="http://schemas.openxmlformats.org/officeDocument/2006/relationships/diagramData" Target="diagrams/data19.xml"/><Relationship Id="rId216" Type="http://schemas.openxmlformats.org/officeDocument/2006/relationships/image" Target="media/image5.png"/><Relationship Id="rId237" Type="http://schemas.openxmlformats.org/officeDocument/2006/relationships/hyperlink" Target="https://www.legislation.gov.au/F2015L00131/latest/text" TargetMode="External"/><Relationship Id="rId22" Type="http://schemas.openxmlformats.org/officeDocument/2006/relationships/hyperlink" Target="https://data.gov.au/" TargetMode="External"/><Relationship Id="rId43" Type="http://schemas.openxmlformats.org/officeDocument/2006/relationships/hyperlink" Target="mailto:rrat.sen@aph.gov.au" TargetMode="External"/><Relationship Id="rId64" Type="http://schemas.openxmlformats.org/officeDocument/2006/relationships/hyperlink" Target="mailto:budget_framework@finance.gov.au" TargetMode="External"/><Relationship Id="rId118" Type="http://schemas.openxmlformats.org/officeDocument/2006/relationships/hyperlink" Target="https://www.finance.gov.au/publications/resource-management-guides/guide-appropriations-rmg-100" TargetMode="External"/><Relationship Id="rId139" Type="http://schemas.openxmlformats.org/officeDocument/2006/relationships/diagramQuickStyle" Target="diagrams/quickStyle12.xml"/><Relationship Id="rId85" Type="http://schemas.openxmlformats.org/officeDocument/2006/relationships/diagramQuickStyle" Target="diagrams/quickStyle3.xml"/><Relationship Id="rId150" Type="http://schemas.openxmlformats.org/officeDocument/2006/relationships/diagramQuickStyle" Target="diagrams/quickStyle14.xml"/><Relationship Id="rId171" Type="http://schemas.openxmlformats.org/officeDocument/2006/relationships/diagramData" Target="diagrams/data17.xml"/><Relationship Id="rId192" Type="http://schemas.openxmlformats.org/officeDocument/2006/relationships/diagramLayout" Target="diagrams/layout21.xml"/><Relationship Id="rId206" Type="http://schemas.openxmlformats.org/officeDocument/2006/relationships/hyperlink" Target="https://www.finance.gov.au/publications/resource-management-guides/commonwealth-entities-financial-statements-guide-rmg-125" TargetMode="External"/><Relationship Id="rId227" Type="http://schemas.openxmlformats.org/officeDocument/2006/relationships/hyperlink" Target="annual.appropriations@finance.gov.au" TargetMode="External"/><Relationship Id="rId12" Type="http://schemas.openxmlformats.org/officeDocument/2006/relationships/endnotes" Target="endnotes.xml"/><Relationship Id="rId33" Type="http://schemas.openxmlformats.org/officeDocument/2006/relationships/header" Target="header7.xml"/><Relationship Id="rId108" Type="http://schemas.openxmlformats.org/officeDocument/2006/relationships/diagramData" Target="diagrams/data8.xml"/><Relationship Id="rId129" Type="http://schemas.openxmlformats.org/officeDocument/2006/relationships/diagramQuickStyle" Target="diagrams/quickStyle11.xml"/><Relationship Id="rId54" Type="http://schemas.openxmlformats.org/officeDocument/2006/relationships/hyperlink" Target="mailto:budget_framework@finance.gov.au" TargetMode="External"/><Relationship Id="rId75" Type="http://schemas.openxmlformats.org/officeDocument/2006/relationships/diagramLayout" Target="diagrams/layout2.xml"/><Relationship Id="rId96" Type="http://schemas.openxmlformats.org/officeDocument/2006/relationships/diagramColors" Target="diagrams/colors5.xml"/><Relationship Id="rId140" Type="http://schemas.openxmlformats.org/officeDocument/2006/relationships/diagramColors" Target="diagrams/colors12.xml"/><Relationship Id="rId161" Type="http://schemas.openxmlformats.org/officeDocument/2006/relationships/hyperlink" Target="https://www.legislation.gov.au/F2015L00131/latest/text" TargetMode="External"/><Relationship Id="rId182" Type="http://schemas.openxmlformats.org/officeDocument/2006/relationships/diagramLayout" Target="diagrams/layout19.xml"/><Relationship Id="rId217" Type="http://schemas.openxmlformats.org/officeDocument/2006/relationships/image" Target="media/image6.png"/><Relationship Id="rId6" Type="http://schemas.openxmlformats.org/officeDocument/2006/relationships/customXml" Target="../customXml/item6.xml"/><Relationship Id="rId238" Type="http://schemas.openxmlformats.org/officeDocument/2006/relationships/hyperlink" Target="http://www.legislation.gov.au/" TargetMode="External"/><Relationship Id="rId23" Type="http://schemas.openxmlformats.org/officeDocument/2006/relationships/hyperlink" Target="mailto:budget_framework@finance.gov.au" TargetMode="External"/><Relationship Id="rId119" Type="http://schemas.openxmlformats.org/officeDocument/2006/relationships/hyperlink" Target="https://www.finance.gov.au/government/managing-commonwealth-resources/commonwealth-entities-financial-statements-guide-rmg-125" TargetMode="External"/><Relationship Id="rId44" Type="http://schemas.openxmlformats.org/officeDocument/2006/relationships/hyperlink" Target="mailto:info@dta.gov.au" TargetMode="External"/><Relationship Id="rId65" Type="http://schemas.openxmlformats.org/officeDocument/2006/relationships/diagramData" Target="diagrams/data1.xml"/><Relationship Id="rId86" Type="http://schemas.openxmlformats.org/officeDocument/2006/relationships/diagramColors" Target="diagrams/colors3.xml"/><Relationship Id="rId130" Type="http://schemas.openxmlformats.org/officeDocument/2006/relationships/diagramColors" Target="diagrams/colors11.xml"/><Relationship Id="rId151" Type="http://schemas.openxmlformats.org/officeDocument/2006/relationships/diagramColors" Target="diagrams/colors14.xml"/><Relationship Id="rId172" Type="http://schemas.openxmlformats.org/officeDocument/2006/relationships/diagramLayout" Target="diagrams/layout17.xml"/><Relationship Id="rId193" Type="http://schemas.openxmlformats.org/officeDocument/2006/relationships/diagramQuickStyle" Target="diagrams/quickStyle21.xml"/><Relationship Id="rId207" Type="http://schemas.openxmlformats.org/officeDocument/2006/relationships/hyperlink" Target="https://www.finance.gov.au/publications/resource-management-guides/reporting-requirements-following-machinery-government-changes-rmg-119" TargetMode="External"/><Relationship Id="rId228" Type="http://schemas.openxmlformats.org/officeDocument/2006/relationships/hyperlink" Target="https://www.finance.gov.au/publications/resource-management-guides/reporting-requirements-following-machinery-government-changes-rmg-119" TargetMode="External"/><Relationship Id="rId13" Type="http://schemas.openxmlformats.org/officeDocument/2006/relationships/header" Target="header1.xml"/><Relationship Id="rId109" Type="http://schemas.openxmlformats.org/officeDocument/2006/relationships/diagramLayout" Target="diagrams/layout8.xml"/><Relationship Id="rId34" Type="http://schemas.openxmlformats.org/officeDocument/2006/relationships/footer" Target="footer4.xml"/><Relationship Id="rId55" Type="http://schemas.openxmlformats.org/officeDocument/2006/relationships/hyperlink" Target="https://data.gov.au/" TargetMode="External"/><Relationship Id="rId76" Type="http://schemas.openxmlformats.org/officeDocument/2006/relationships/diagramQuickStyle" Target="diagrams/quickStyle2.xml"/><Relationship Id="rId97" Type="http://schemas.microsoft.com/office/2007/relationships/diagramDrawing" Target="diagrams/drawing5.xml"/><Relationship Id="rId120" Type="http://schemas.openxmlformats.org/officeDocument/2006/relationships/diagramData" Target="diagrams/data10.xml"/><Relationship Id="rId141" Type="http://schemas.microsoft.com/office/2007/relationships/diagramDrawing" Target="diagrams/drawing12.xml"/><Relationship Id="rId7" Type="http://schemas.openxmlformats.org/officeDocument/2006/relationships/numbering" Target="numbering.xml"/><Relationship Id="rId162" Type="http://schemas.openxmlformats.org/officeDocument/2006/relationships/hyperlink" Target="https://www.finance.gov.au/government/financial-reporting-and-accounting-policy/financial-reporting-commonwealth-entities" TargetMode="External"/><Relationship Id="rId183" Type="http://schemas.openxmlformats.org/officeDocument/2006/relationships/diagramQuickStyle" Target="diagrams/quickStyle19.xml"/><Relationship Id="rId218" Type="http://schemas.openxmlformats.org/officeDocument/2006/relationships/image" Target="media/image7.png"/><Relationship Id="rId239" Type="http://schemas.openxmlformats.org/officeDocument/2006/relationships/hyperlink" Target="https://www.finance.gov.au/government/managing-commonwealth-resources/corporate-plans-commonwealth-entities-rmg-132" TargetMode="External"/><Relationship Id="rId24" Type="http://schemas.openxmlformats.org/officeDocument/2006/relationships/hyperlink" Target="ttps://www.aasb.gov.au/pronouncements/accounting-standards/" TargetMode="External"/><Relationship Id="rId45" Type="http://schemas.openxmlformats.org/officeDocument/2006/relationships/hyperlink" Target="http://www.dta.gov.au/help-and-advice/guides-and-tools/commonwealth-library-deposit-and-free-issue-schemes" TargetMode="External"/><Relationship Id="rId66" Type="http://schemas.openxmlformats.org/officeDocument/2006/relationships/diagramLayout" Target="diagrams/layout1.xml"/><Relationship Id="rId87" Type="http://schemas.microsoft.com/office/2007/relationships/diagramDrawing" Target="diagrams/drawing3.xml"/><Relationship Id="rId110" Type="http://schemas.openxmlformats.org/officeDocument/2006/relationships/diagramQuickStyle" Target="diagrams/quickStyle8.xml"/><Relationship Id="rId131" Type="http://schemas.microsoft.com/office/2007/relationships/diagramDrawing" Target="diagrams/drawing11.xml"/><Relationship Id="rId152" Type="http://schemas.microsoft.com/office/2007/relationships/diagramDrawing" Target="diagrams/drawing14.xml"/><Relationship Id="rId173" Type="http://schemas.openxmlformats.org/officeDocument/2006/relationships/diagramQuickStyle" Target="diagrams/quickStyle17.xml"/><Relationship Id="rId194" Type="http://schemas.openxmlformats.org/officeDocument/2006/relationships/diagramColors" Target="diagrams/colors21.xml"/><Relationship Id="rId208" Type="http://schemas.openxmlformats.org/officeDocument/2006/relationships/hyperlink" Target="https://www.finance.gov.au/publications/resource-management-guides/accounting-machinery-government-changes-rmg-118" TargetMode="External"/><Relationship Id="rId229" Type="http://schemas.openxmlformats.org/officeDocument/2006/relationships/hyperlink" Target="mailto:budgetcommunications@treasury.gov.au" TargetMode="External"/><Relationship Id="rId240" Type="http://schemas.openxmlformats.org/officeDocument/2006/relationships/hyperlink" Target="https://www.aasb.gov.au/pronouncements/accounting-standards/" TargetMode="External"/><Relationship Id="rId14" Type="http://schemas.openxmlformats.org/officeDocument/2006/relationships/footer" Target="footer1.xml"/><Relationship Id="rId35" Type="http://schemas.openxmlformats.org/officeDocument/2006/relationships/header" Target="header8.xml"/><Relationship Id="rId56" Type="http://schemas.openxmlformats.org/officeDocument/2006/relationships/hyperlink" Target="https://data.gov.au/" TargetMode="External"/><Relationship Id="rId77" Type="http://schemas.openxmlformats.org/officeDocument/2006/relationships/diagramColors" Target="diagrams/colors2.xml"/><Relationship Id="rId100" Type="http://schemas.openxmlformats.org/officeDocument/2006/relationships/diagramQuickStyle" Target="diagrams/quickStyle6.xml"/><Relationship Id="rId8" Type="http://schemas.openxmlformats.org/officeDocument/2006/relationships/styles" Target="styles.xml"/><Relationship Id="rId98" Type="http://schemas.openxmlformats.org/officeDocument/2006/relationships/diagramData" Target="diagrams/data6.xml"/><Relationship Id="rId121" Type="http://schemas.openxmlformats.org/officeDocument/2006/relationships/diagramLayout" Target="diagrams/layout10.xml"/><Relationship Id="rId142" Type="http://schemas.openxmlformats.org/officeDocument/2006/relationships/hyperlink" Target="https://www.aasb.gov.au/pronouncements/accounting-standards/" TargetMode="External"/><Relationship Id="rId163" Type="http://schemas.openxmlformats.org/officeDocument/2006/relationships/hyperlink" Target="https://www.legislation.gov.au/F2015L00131/latest/text" TargetMode="External"/><Relationship Id="rId184" Type="http://schemas.openxmlformats.org/officeDocument/2006/relationships/diagramColors" Target="diagrams/colors19.xml"/><Relationship Id="rId219" Type="http://schemas.openxmlformats.org/officeDocument/2006/relationships/image" Target="media/image8.png"/><Relationship Id="rId230" Type="http://schemas.openxmlformats.org/officeDocument/2006/relationships/hyperlink" Target="mailto:creativeservices@treasury.gov.au" TargetMode="External"/><Relationship Id="rId25" Type="http://schemas.openxmlformats.org/officeDocument/2006/relationships/hyperlink" Target="https://www.pmc.gov.au/resource-centre/government/ministry-list" TargetMode="External"/><Relationship Id="rId46" Type="http://schemas.openxmlformats.org/officeDocument/2006/relationships/hyperlink" Target="http://www.budget.gov.au" TargetMode="External"/><Relationship Id="rId67" Type="http://schemas.openxmlformats.org/officeDocument/2006/relationships/diagramQuickStyle" Target="diagrams/quickStyle1.xml"/><Relationship Id="rId88" Type="http://schemas.openxmlformats.org/officeDocument/2006/relationships/diagramData" Target="diagrams/data4.xml"/><Relationship Id="rId111" Type="http://schemas.openxmlformats.org/officeDocument/2006/relationships/diagramColors" Target="diagrams/colors8.xml"/><Relationship Id="rId132" Type="http://schemas.openxmlformats.org/officeDocument/2006/relationships/hyperlink" Target="https://www.finance.gov.au/government/managing-commonwealth-resources/reporting-performance-information-portfolio-budget-statements-rmg-129" TargetMode="External"/><Relationship Id="rId153" Type="http://schemas.openxmlformats.org/officeDocument/2006/relationships/image" Target="media/image3.png"/><Relationship Id="rId174" Type="http://schemas.openxmlformats.org/officeDocument/2006/relationships/diagramColors" Target="diagrams/colors17.xml"/><Relationship Id="rId195" Type="http://schemas.microsoft.com/office/2007/relationships/diagramDrawing" Target="diagrams/drawing21.xml"/><Relationship Id="rId209" Type="http://schemas.openxmlformats.org/officeDocument/2006/relationships/header" Target="header9.xml"/><Relationship Id="rId220" Type="http://schemas.openxmlformats.org/officeDocument/2006/relationships/image" Target="media/image9.png"/><Relationship Id="rId241" Type="http://schemas.openxmlformats.org/officeDocument/2006/relationships/hyperlink" Target="https://www.finance.gov.au/government/managing-commonwealth-resources/accounting-leases-rmg-110" TargetMode="External"/><Relationship Id="rId15" Type="http://schemas.openxmlformats.org/officeDocument/2006/relationships/header" Target="header2.xml"/><Relationship Id="rId36" Type="http://schemas.openxmlformats.org/officeDocument/2006/relationships/hyperlink" Target="mailto:community.affairs.sen@aph.gov.au" TargetMode="External"/><Relationship Id="rId57" Type="http://schemas.openxmlformats.org/officeDocument/2006/relationships/hyperlink" Target="https://data.gov.au/" TargetMode="External"/><Relationship Id="rId106" Type="http://schemas.openxmlformats.org/officeDocument/2006/relationships/diagramColors" Target="diagrams/colors7.xml"/><Relationship Id="rId127" Type="http://schemas.openxmlformats.org/officeDocument/2006/relationships/diagramData" Target="diagrams/data11.xml"/><Relationship Id="rId10" Type="http://schemas.openxmlformats.org/officeDocument/2006/relationships/webSettings" Target="webSettings.xml"/><Relationship Id="rId31" Type="http://schemas.openxmlformats.org/officeDocument/2006/relationships/hyperlink" Target="mailto:Budget_Framework@finance.gov.au" TargetMode="External"/><Relationship Id="rId52" Type="http://schemas.openxmlformats.org/officeDocument/2006/relationships/hyperlink" Target="https://data.gov.au/" TargetMode="External"/><Relationship Id="rId73" Type="http://schemas.openxmlformats.org/officeDocument/2006/relationships/hyperlink" Target="https://www.finance.gov.au/government/managing-commonwealth-resources/structure-australian-government-public-sector/pgpa-act-flipchart-and-list" TargetMode="External"/><Relationship Id="rId78" Type="http://schemas.microsoft.com/office/2007/relationships/diagramDrawing" Target="diagrams/drawing2.xml"/><Relationship Id="rId94" Type="http://schemas.openxmlformats.org/officeDocument/2006/relationships/diagramLayout" Target="diagrams/layout5.xml"/><Relationship Id="rId99" Type="http://schemas.openxmlformats.org/officeDocument/2006/relationships/diagramLayout" Target="diagrams/layout6.xml"/><Relationship Id="rId101" Type="http://schemas.openxmlformats.org/officeDocument/2006/relationships/diagramColors" Target="diagrams/colors6.xml"/><Relationship Id="rId122" Type="http://schemas.openxmlformats.org/officeDocument/2006/relationships/diagramQuickStyle" Target="diagrams/quickStyle10.xml"/><Relationship Id="rId143" Type="http://schemas.openxmlformats.org/officeDocument/2006/relationships/diagramData" Target="diagrams/data13.xml"/><Relationship Id="rId148" Type="http://schemas.openxmlformats.org/officeDocument/2006/relationships/diagramData" Target="diagrams/data14.xml"/><Relationship Id="rId164" Type="http://schemas.openxmlformats.org/officeDocument/2006/relationships/hyperlink" Target="https://www.aasb.gov.au/pronouncements/accounting-standards/" TargetMode="External"/><Relationship Id="rId169" Type="http://schemas.microsoft.com/office/2007/relationships/diagramDrawing" Target="diagrams/drawing16.xml"/><Relationship Id="rId185" Type="http://schemas.microsoft.com/office/2007/relationships/diagramDrawing" Target="diagrams/drawing19.xml"/><Relationship Id="rId4" Type="http://schemas.openxmlformats.org/officeDocument/2006/relationships/customXml" Target="../customXml/item4.xml"/><Relationship Id="rId9" Type="http://schemas.openxmlformats.org/officeDocument/2006/relationships/settings" Target="settings.xml"/><Relationship Id="rId180" Type="http://schemas.microsoft.com/office/2007/relationships/diagramDrawing" Target="diagrams/drawing18.xml"/><Relationship Id="rId210" Type="http://schemas.openxmlformats.org/officeDocument/2006/relationships/header" Target="header10.xml"/><Relationship Id="rId215" Type="http://schemas.openxmlformats.org/officeDocument/2006/relationships/image" Target="media/image4.png"/><Relationship Id="rId236" Type="http://schemas.openxmlformats.org/officeDocument/2006/relationships/hyperlink" Target="https://www.legislation.gov.au/C2004A05333/latest/text" TargetMode="External"/><Relationship Id="rId26" Type="http://schemas.openxmlformats.org/officeDocument/2006/relationships/hyperlink" Target="https://www.protectivesecurity.gov.au/" TargetMode="External"/><Relationship Id="rId231" Type="http://schemas.openxmlformats.org/officeDocument/2006/relationships/hyperlink" Target="mailto:budget-website@treasury.gov.au" TargetMode="External"/><Relationship Id="rId47" Type="http://schemas.openxmlformats.org/officeDocument/2006/relationships/hyperlink" Target="http://www.stylemanual.gov.au" TargetMode="External"/><Relationship Id="rId68" Type="http://schemas.openxmlformats.org/officeDocument/2006/relationships/diagramColors" Target="diagrams/colors1.xml"/><Relationship Id="rId89" Type="http://schemas.openxmlformats.org/officeDocument/2006/relationships/diagramLayout" Target="diagrams/layout4.xml"/><Relationship Id="rId112" Type="http://schemas.microsoft.com/office/2007/relationships/diagramDrawing" Target="diagrams/drawing8.xml"/><Relationship Id="rId133" Type="http://schemas.openxmlformats.org/officeDocument/2006/relationships/hyperlink" Target="mailto:PGPA@finance.gov.au" TargetMode="External"/><Relationship Id="rId154" Type="http://schemas.openxmlformats.org/officeDocument/2006/relationships/hyperlink" Target="https://www.finance.gov.au/government/managing-commonwealth-resources/corporate-plans-commonwealth-entities-rmg-132" TargetMode="External"/><Relationship Id="rId175" Type="http://schemas.microsoft.com/office/2007/relationships/diagramDrawing" Target="diagrams/drawing17.xml"/><Relationship Id="rId196" Type="http://schemas.openxmlformats.org/officeDocument/2006/relationships/hyperlink" Target="https://www.aasb.gov.au/pronouncements/accounting-standards/" TargetMode="External"/><Relationship Id="rId200" Type="http://schemas.openxmlformats.org/officeDocument/2006/relationships/diagramColors" Target="diagrams/colors22.xml"/><Relationship Id="rId16" Type="http://schemas.openxmlformats.org/officeDocument/2006/relationships/footer" Target="footer2.xml"/><Relationship Id="rId221" Type="http://schemas.openxmlformats.org/officeDocument/2006/relationships/hyperlink" Target="https://www.stylemanual.gov.au/accessible-and-inclusive-content/make-content-accessible" TargetMode="External"/><Relationship Id="rId242" Type="http://schemas.openxmlformats.org/officeDocument/2006/relationships/hyperlink" Target="https://www.aph.gov.au/Parliamentary_Business/Senate_estimates" TargetMode="External"/><Relationship Id="rId37" Type="http://schemas.openxmlformats.org/officeDocument/2006/relationships/hyperlink" Target="mailto:economics.sen@aph.gov.au" TargetMode="External"/><Relationship Id="rId58" Type="http://schemas.openxmlformats.org/officeDocument/2006/relationships/hyperlink" Target="mailto:data@digital.gov.au" TargetMode="External"/><Relationship Id="rId79" Type="http://schemas.openxmlformats.org/officeDocument/2006/relationships/hyperlink" Target="https://www.finance.gov.au/government/managing-commonwealth-resources/structure-australian-government-public-sector/pgpa-act-flipchart-and-list" TargetMode="External"/><Relationship Id="rId102" Type="http://schemas.microsoft.com/office/2007/relationships/diagramDrawing" Target="diagrams/drawing6.xml"/><Relationship Id="rId123" Type="http://schemas.openxmlformats.org/officeDocument/2006/relationships/diagramColors" Target="diagrams/colors10.xml"/><Relationship Id="rId144" Type="http://schemas.openxmlformats.org/officeDocument/2006/relationships/diagramLayout" Target="diagrams/layout13.xml"/><Relationship Id="rId90" Type="http://schemas.openxmlformats.org/officeDocument/2006/relationships/diagramQuickStyle" Target="diagrams/quickStyle4.xml"/><Relationship Id="rId165" Type="http://schemas.openxmlformats.org/officeDocument/2006/relationships/diagramData" Target="diagrams/data16.xml"/><Relationship Id="rId186" Type="http://schemas.openxmlformats.org/officeDocument/2006/relationships/diagramData" Target="diagrams/data20.xml"/><Relationship Id="rId211" Type="http://schemas.openxmlformats.org/officeDocument/2006/relationships/footer" Target="footer5.xml"/><Relationship Id="rId232" Type="http://schemas.openxmlformats.org/officeDocument/2006/relationships/hyperlink" Target="mailto:table.docs@aph.gov.au" TargetMode="External"/><Relationship Id="rId27" Type="http://schemas.openxmlformats.org/officeDocument/2006/relationships/hyperlink" Target="mailto:budget_framework@finance.gov.au" TargetMode="External"/><Relationship Id="rId48" Type="http://schemas.openxmlformats.org/officeDocument/2006/relationships/hyperlink" Target="https://parlwork.aph.gov.au/Senate/DynamicRed" TargetMode="External"/><Relationship Id="rId69" Type="http://schemas.microsoft.com/office/2007/relationships/diagramDrawing" Target="diagrams/drawing1.xml"/><Relationship Id="rId113" Type="http://schemas.openxmlformats.org/officeDocument/2006/relationships/diagramData" Target="diagrams/data9.xml"/><Relationship Id="rId134" Type="http://schemas.openxmlformats.org/officeDocument/2006/relationships/hyperlink" Target="https://www.finance.gov.au/government/managing-commonwealth-resources/reporting-performance-information-portfolio-budget-statements-rmg-129/finance-secretary-direction-21-august-2022" TargetMode="External"/><Relationship Id="rId80" Type="http://schemas.openxmlformats.org/officeDocument/2006/relationships/hyperlink" Target="http://www.federalfinancialrelations.gov.au/sites/federalfinancialrelations.gov.au/files/2020-04/nt_remote_aboriginal_investment_np.pdf" TargetMode="External"/><Relationship Id="rId155" Type="http://schemas.openxmlformats.org/officeDocument/2006/relationships/hyperlink" Target="https://www.finance.gov.au/government/managing-commonwealth-resources/developing-performance-measures-rmg-131" TargetMode="External"/><Relationship Id="rId176" Type="http://schemas.openxmlformats.org/officeDocument/2006/relationships/diagramData" Target="diagrams/data18.xml"/><Relationship Id="rId197" Type="http://schemas.openxmlformats.org/officeDocument/2006/relationships/diagramData" Target="diagrams/data22.xml"/><Relationship Id="rId201" Type="http://schemas.microsoft.com/office/2007/relationships/diagramDrawing" Target="diagrams/drawing22.xml"/><Relationship Id="rId222" Type="http://schemas.openxmlformats.org/officeDocument/2006/relationships/image" Target="media/image10.png"/><Relationship Id="rId243" Type="http://schemas.openxmlformats.org/officeDocument/2006/relationships/fontTable" Target="fontTable.xml"/><Relationship Id="rId17" Type="http://schemas.openxmlformats.org/officeDocument/2006/relationships/header" Target="header3.xml"/><Relationship Id="rId38" Type="http://schemas.openxmlformats.org/officeDocument/2006/relationships/hyperlink" Target="mailto:eec.sen@aph.gov.au" TargetMode="External"/><Relationship Id="rId59" Type="http://schemas.openxmlformats.org/officeDocument/2006/relationships/hyperlink" Target="https://www.naa.gov.au/help-your-research/fact-sheets/parliamentary-papers" TargetMode="External"/><Relationship Id="rId103" Type="http://schemas.openxmlformats.org/officeDocument/2006/relationships/diagramData" Target="diagrams/data7.xml"/><Relationship Id="rId124" Type="http://schemas.microsoft.com/office/2007/relationships/diagramDrawing" Target="diagrams/drawing10.xml"/><Relationship Id="rId70" Type="http://schemas.openxmlformats.org/officeDocument/2006/relationships/hyperlink" Target="ttps://www.aasb.gov.au/pronouncements/accounting-standards/" TargetMode="External"/><Relationship Id="rId91" Type="http://schemas.openxmlformats.org/officeDocument/2006/relationships/diagramColors" Target="diagrams/colors4.xml"/><Relationship Id="rId145" Type="http://schemas.openxmlformats.org/officeDocument/2006/relationships/diagramQuickStyle" Target="diagrams/quickStyle13.xml"/><Relationship Id="rId166" Type="http://schemas.openxmlformats.org/officeDocument/2006/relationships/diagramLayout" Target="diagrams/layout16.xml"/><Relationship Id="rId187" Type="http://schemas.openxmlformats.org/officeDocument/2006/relationships/diagramLayout" Target="diagrams/layout20.xml"/><Relationship Id="rId1" Type="http://schemas.openxmlformats.org/officeDocument/2006/relationships/customXml" Target="../customXml/item1.xml"/><Relationship Id="rId212" Type="http://schemas.openxmlformats.org/officeDocument/2006/relationships/header" Target="header11.xml"/><Relationship Id="rId233" Type="http://schemas.openxmlformats.org/officeDocument/2006/relationships/hyperlink" Target="mailto:https://www.directory.gov.au/" TargetMode="External"/><Relationship Id="rId28" Type="http://schemas.openxmlformats.org/officeDocument/2006/relationships/hyperlink" Target="http://govlink.sge.net/home.aspx" TargetMode="External"/><Relationship Id="rId49" Type="http://schemas.openxmlformats.org/officeDocument/2006/relationships/hyperlink" Target="mailto:budget-website@treasury.gov.au" TargetMode="External"/><Relationship Id="rId114" Type="http://schemas.openxmlformats.org/officeDocument/2006/relationships/diagramLayout" Target="diagrams/layout9.xml"/><Relationship Id="rId60" Type="http://schemas.openxmlformats.org/officeDocument/2006/relationships/hyperlink" Target="http://www.pmc.gov.au/resource-centre/government/tabling-guidelines" TargetMode="External"/><Relationship Id="rId81" Type="http://schemas.openxmlformats.org/officeDocument/2006/relationships/hyperlink" Target="https://www.legislation.gov.au/F2015L00131/latest/text" TargetMode="External"/><Relationship Id="rId135" Type="http://schemas.openxmlformats.org/officeDocument/2006/relationships/hyperlink" Target="https://www.finance.gov.au/government/managing-commonwealth-resources/managing-money-property/managing-money/annual-appropriations/outcome-statement-policy-and-approval-process" TargetMode="External"/><Relationship Id="rId156" Type="http://schemas.openxmlformats.org/officeDocument/2006/relationships/diagramData" Target="diagrams/data15.xml"/><Relationship Id="rId177" Type="http://schemas.openxmlformats.org/officeDocument/2006/relationships/diagramLayout" Target="diagrams/layout18.xml"/><Relationship Id="rId198" Type="http://schemas.openxmlformats.org/officeDocument/2006/relationships/diagramLayout" Target="diagrams/layout22.xml"/><Relationship Id="rId202" Type="http://schemas.openxmlformats.org/officeDocument/2006/relationships/hyperlink" Target="https://www.finance.gov.au/government/managing-commonwealth-resources/commonwealth-entities-financial-statements-guide-rmg-125" TargetMode="External"/><Relationship Id="rId223" Type="http://schemas.openxmlformats.org/officeDocument/2006/relationships/hyperlink" Target="http://www.data.gov.au" TargetMode="External"/><Relationship Id="rId244" Type="http://schemas.openxmlformats.org/officeDocument/2006/relationships/theme" Target="theme/theme1.xml"/><Relationship Id="rId18" Type="http://schemas.openxmlformats.org/officeDocument/2006/relationships/header" Target="header4.xml"/><Relationship Id="rId39" Type="http://schemas.openxmlformats.org/officeDocument/2006/relationships/hyperlink" Target="mailto:ec.sen@aph.gov.au" TargetMode="External"/><Relationship Id="rId50" Type="http://schemas.openxmlformats.org/officeDocument/2006/relationships/hyperlink" Target="http://www.budget.gov.au/" TargetMode="External"/><Relationship Id="rId104" Type="http://schemas.openxmlformats.org/officeDocument/2006/relationships/diagramLayout" Target="diagrams/layout7.xml"/><Relationship Id="rId125" Type="http://schemas.openxmlformats.org/officeDocument/2006/relationships/hyperlink" Target="https://www.directory.gov.au/reports/australian-government-organisations-register" TargetMode="External"/><Relationship Id="rId146" Type="http://schemas.openxmlformats.org/officeDocument/2006/relationships/diagramColors" Target="diagrams/colors13.xml"/><Relationship Id="rId167" Type="http://schemas.openxmlformats.org/officeDocument/2006/relationships/diagramQuickStyle" Target="diagrams/quickStyle16.xml"/><Relationship Id="rId188" Type="http://schemas.openxmlformats.org/officeDocument/2006/relationships/diagramQuickStyle" Target="diagrams/quickStyle20.xml"/><Relationship Id="rId71" Type="http://schemas.openxmlformats.org/officeDocument/2006/relationships/hyperlink" Target="https://www.finance.gov.au/government/managing-commonwealth-resources/commonwealth-entities-financial-statements-guide-rmg-125" TargetMode="External"/><Relationship Id="rId92" Type="http://schemas.microsoft.com/office/2007/relationships/diagramDrawing" Target="diagrams/drawing4.xml"/><Relationship Id="rId213" Type="http://schemas.openxmlformats.org/officeDocument/2006/relationships/hyperlink" Target="http://www.finance.gov.au/government/managing-commonwealth-resources/structure-australian-government-public-sector/pgpa-act-flipchart-list" TargetMode="External"/><Relationship Id="rId234" Type="http://schemas.openxmlformats.org/officeDocument/2006/relationships/hyperlink" Target="https://www.directory.gov.au/reports/australian-government-organisations-register" TargetMode="External"/><Relationship Id="rId2" Type="http://schemas.openxmlformats.org/officeDocument/2006/relationships/customXml" Target="../customXml/item2.xml"/><Relationship Id="rId29" Type="http://schemas.openxmlformats.org/officeDocument/2006/relationships/hyperlink" Target="mailto:budget_framework@finance.gov.au" TargetMode="External"/><Relationship Id="rId40" Type="http://schemas.openxmlformats.org/officeDocument/2006/relationships/hyperlink" Target="mailto:fpa.sen@aph.gov.au" TargetMode="External"/><Relationship Id="rId115" Type="http://schemas.openxmlformats.org/officeDocument/2006/relationships/diagramQuickStyle" Target="diagrams/quickStyle9.xml"/><Relationship Id="rId136" Type="http://schemas.openxmlformats.org/officeDocument/2006/relationships/hyperlink" Target="https://www.finance.gov.au/government/managing-commonwealth-resources/managing-money-property/managing-money/annual-appropriations/commonwealth-programs-policy-and-approval-process" TargetMode="External"/><Relationship Id="rId157" Type="http://schemas.openxmlformats.org/officeDocument/2006/relationships/diagramLayout" Target="diagrams/layout15.xml"/><Relationship Id="rId178" Type="http://schemas.openxmlformats.org/officeDocument/2006/relationships/diagramQuickStyle" Target="diagrams/quickStyle18.xml"/><Relationship Id="rId61" Type="http://schemas.openxmlformats.org/officeDocument/2006/relationships/hyperlink" Target="mailto:tabling@pmc.gov.au" TargetMode="External"/><Relationship Id="rId82" Type="http://schemas.openxmlformats.org/officeDocument/2006/relationships/hyperlink" Target="https://www.finance.gov.au/government/managing-commonwealth-resources/accounting-annual-appropriations-rmg-116" TargetMode="External"/><Relationship Id="rId199" Type="http://schemas.openxmlformats.org/officeDocument/2006/relationships/diagramQuickStyle" Target="diagrams/quickStyle22.xml"/><Relationship Id="rId203" Type="http://schemas.openxmlformats.org/officeDocument/2006/relationships/hyperlink" Target="https://www.finance.gov.au/government/managing-commonwealth-resources/machinery-of-government-changes" TargetMode="External"/><Relationship Id="rId19" Type="http://schemas.openxmlformats.org/officeDocument/2006/relationships/footer" Target="footer3.xml"/><Relationship Id="rId224" Type="http://schemas.openxmlformats.org/officeDocument/2006/relationships/hyperlink" Target="https://data.gov.au/" TargetMode="External"/><Relationship Id="rId30" Type="http://schemas.openxmlformats.org/officeDocument/2006/relationships/hyperlink" Target="mailto:budget_framework@finance.gov.au" TargetMode="External"/><Relationship Id="rId105" Type="http://schemas.openxmlformats.org/officeDocument/2006/relationships/diagramQuickStyle" Target="diagrams/quickStyle7.xml"/><Relationship Id="rId126" Type="http://schemas.openxmlformats.org/officeDocument/2006/relationships/hyperlink" Target="https://www.finance.gov.au/government/managing-commonwealth-resources/structure-australian-government-public-sector/pgpa-act-flipchart-and-list" TargetMode="External"/><Relationship Id="rId147" Type="http://schemas.microsoft.com/office/2007/relationships/diagramDrawing" Target="diagrams/drawing13.xml"/><Relationship Id="rId168" Type="http://schemas.openxmlformats.org/officeDocument/2006/relationships/diagramColors" Target="diagrams/colors16.xml"/><Relationship Id="rId51" Type="http://schemas.openxmlformats.org/officeDocument/2006/relationships/hyperlink" Target="http://www.data.gov.au/" TargetMode="External"/><Relationship Id="rId72" Type="http://schemas.openxmlformats.org/officeDocument/2006/relationships/hyperlink" Target="https://www.finance.gov.au/government/financial-reporting-and-accounting-policy/financial-reporting-commonwealth-entities" TargetMode="External"/><Relationship Id="rId93" Type="http://schemas.openxmlformats.org/officeDocument/2006/relationships/diagramData" Target="diagrams/data5.xml"/><Relationship Id="rId189" Type="http://schemas.openxmlformats.org/officeDocument/2006/relationships/diagramColors" Target="diagrams/colors20.xml"/><Relationship Id="rId3" Type="http://schemas.openxmlformats.org/officeDocument/2006/relationships/customXml" Target="../customXml/item3.xml"/><Relationship Id="rId214" Type="http://schemas.openxmlformats.org/officeDocument/2006/relationships/hyperlink" Target="http://www.finance.gov.au/government/governance/australian-government-organisations-register/australian-government-organisations-register-types-bodies" TargetMode="External"/><Relationship Id="rId235" Type="http://schemas.openxmlformats.org/officeDocument/2006/relationships/hyperlink" Target="https://www.finance.gov.au/government/managing-commonwealth-resources/structure-australian-government-public-sector" TargetMode="External"/><Relationship Id="rId116" Type="http://schemas.openxmlformats.org/officeDocument/2006/relationships/diagramColors" Target="diagrams/colors9.xml"/><Relationship Id="rId137" Type="http://schemas.openxmlformats.org/officeDocument/2006/relationships/diagramData" Target="diagrams/data12.xml"/><Relationship Id="rId158" Type="http://schemas.openxmlformats.org/officeDocument/2006/relationships/diagramQuickStyle" Target="diagrams/quickStyle15.xml"/><Relationship Id="rId20" Type="http://schemas.openxmlformats.org/officeDocument/2006/relationships/header" Target="header5.xml"/><Relationship Id="rId41" Type="http://schemas.openxmlformats.org/officeDocument/2006/relationships/hyperlink" Target="mailto:fadt.sen@aph.gov.au" TargetMode="External"/><Relationship Id="rId62" Type="http://schemas.openxmlformats.org/officeDocument/2006/relationships/hyperlink" Target="mailto:budget_framework@finance.gov.au" TargetMode="External"/><Relationship Id="rId83" Type="http://schemas.openxmlformats.org/officeDocument/2006/relationships/diagramData" Target="diagrams/data3.xml"/><Relationship Id="rId179" Type="http://schemas.openxmlformats.org/officeDocument/2006/relationships/diagramColors" Target="diagrams/colors18.xml"/><Relationship Id="rId190" Type="http://schemas.microsoft.com/office/2007/relationships/diagramDrawing" Target="diagrams/drawing20.xml"/><Relationship Id="rId204" Type="http://schemas.openxmlformats.org/officeDocument/2006/relationships/hyperlink" Target="https://www.finance.gov.au/publications/resource-management-guides/accounting-machinery-government-changes-rmg-118" TargetMode="External"/><Relationship Id="rId225" Type="http://schemas.openxmlformats.org/officeDocument/2006/relationships/hyperlink" Target="mailto:budget_framework@financ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_rels/data10.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11.xml.rels><?xml version="1.0" encoding="UTF-8" standalone="yes"?>
<Relationships xmlns="http://schemas.openxmlformats.org/package/2006/relationships"><Relationship Id="rId1" Type="http://schemas.openxmlformats.org/officeDocument/2006/relationships/hyperlink" Target="#_Portfolio_structure_and"/></Relationships>
</file>

<file path=word/diagrams/_rels/data15.xml.rels><?xml version="1.0" encoding="UTF-8" standalone="yes"?>
<Relationships xmlns="http://schemas.openxmlformats.org/package/2006/relationships"><Relationship Id="rId1" Type="http://schemas.openxmlformats.org/officeDocument/2006/relationships/hyperlink" Target="#App1_Budgetedfinsts"/></Relationships>
</file>

<file path=word/diagrams/_rels/data16.xml.rels><?xml version="1.0" encoding="UTF-8" standalone="yes"?>
<Relationships xmlns="http://schemas.openxmlformats.org/package/2006/relationships"><Relationship Id="rId1" Type="http://schemas.openxmlformats.org/officeDocument/2006/relationships/hyperlink" Target="#App1_DeptPL"/></Relationships>
</file>

<file path=word/diagrams/_rels/data17.xml.rels><?xml version="1.0" encoding="UTF-8" standalone="yes"?>
<Relationships xmlns="http://schemas.openxmlformats.org/package/2006/relationships"><Relationship Id="rId1" Type="http://schemas.openxmlformats.org/officeDocument/2006/relationships/hyperlink" Target="#App1_DeptBalSheet"/></Relationships>
</file>

<file path=word/diagrams/_rels/data18.xml.rels><?xml version="1.0" encoding="UTF-8" standalone="yes"?>
<Relationships xmlns="http://schemas.openxmlformats.org/package/2006/relationships"><Relationship Id="rId1" Type="http://schemas.openxmlformats.org/officeDocument/2006/relationships/hyperlink" Target="#App1_DeptStChangesinEquity"/></Relationships>
</file>

<file path=word/diagrams/_rels/data19.xml.rels><?xml version="1.0" encoding="UTF-8" standalone="yes"?>
<Relationships xmlns="http://schemas.openxmlformats.org/package/2006/relationships"><Relationship Id="rId1" Type="http://schemas.openxmlformats.org/officeDocument/2006/relationships/hyperlink" Target="#App1_DeptCFS"/></Relationships>
</file>

<file path=word/diagrams/_rels/data2.xml.rels><?xml version="1.0" encoding="UTF-8" standalone="yes"?>
<Relationships xmlns="http://schemas.openxmlformats.org/package/2006/relationships"><Relationship Id="rId1" Type="http://schemas.openxmlformats.org/officeDocument/2006/relationships/hyperlink" Target="#_Portfolio_structure_and"/></Relationships>
</file>

<file path=word/diagrams/_rels/data20.xml.rels><?xml version="1.0" encoding="UTF-8" standalone="yes"?>
<Relationships xmlns="http://schemas.openxmlformats.org/package/2006/relationships"><Relationship Id="rId1" Type="http://schemas.openxmlformats.org/officeDocument/2006/relationships/hyperlink" Target="#App1_DeptCapBudgetSt"/></Relationships>
</file>

<file path=word/diagrams/_rels/data21.xml.rels><?xml version="1.0" encoding="UTF-8" standalone="yes"?>
<Relationships xmlns="http://schemas.openxmlformats.org/package/2006/relationships"><Relationship Id="rId1" Type="http://schemas.openxmlformats.org/officeDocument/2006/relationships/hyperlink" Target="#App1_DeptStatementAssetMvt"/></Relationships>
</file>

<file path=word/diagrams/_rels/data22.xml.rels><?xml version="1.0" encoding="UTF-8" standalone="yes"?>
<Relationships xmlns="http://schemas.openxmlformats.org/package/2006/relationships"><Relationship Id="rId1" Type="http://schemas.openxmlformats.org/officeDocument/2006/relationships/hyperlink" Target="#App1_AdminFinSts"/></Relationships>
</file>

<file path=word/diagrams/_rels/data4.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5.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6.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7.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8.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_rels/data9.xml.rels><?xml version="1.0" encoding="UTF-8" standalone="yes"?>
<Relationships xmlns="http://schemas.openxmlformats.org/package/2006/relationships"><Relationship Id="rId1" Type="http://schemas.openxmlformats.org/officeDocument/2006/relationships/hyperlink" Target="#App1_ResourceStatemen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5FC5A7-D4C0-4916-84CD-0776D87C2832}"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AU"/>
        </a:p>
      </dgm:t>
    </dgm:pt>
    <dgm:pt modelId="{7651D0B3-D0B4-4201-9E5F-6D1E1E7FADA6}">
      <dgm:prSet phldrT="[Text]" custT="1"/>
      <dgm:spPr/>
      <dgm:t>
        <a:bodyPr/>
        <a:lstStyle/>
        <a:p>
          <a:r>
            <a:rPr lang="en-AU" sz="1000" b="1">
              <a:solidFill>
                <a:sysClr val="windowText" lastClr="000000"/>
              </a:solidFill>
            </a:rPr>
            <a:t>Budget Statements</a:t>
          </a:r>
        </a:p>
        <a:p>
          <a:r>
            <a:rPr lang="en-AU" sz="1000">
              <a:solidFill>
                <a:sysClr val="windowText" lastClr="000000"/>
              </a:solidFill>
            </a:rPr>
            <a:t>[PB Statements, Portfolio Additional Estimates Statements (PAES) and Portfolio Supplementary Additional Estimates Statements (PSAES)]</a:t>
          </a:r>
        </a:p>
        <a:p>
          <a:pPr>
            <a:buFont typeface="Symbol" panose="05050102010706020507" pitchFamily="18" charset="2"/>
            <a:buChar char=""/>
          </a:pPr>
          <a:r>
            <a:rPr lang="en-AU" sz="1000">
              <a:solidFill>
                <a:sysClr val="windowText" lastClr="000000"/>
              </a:solidFill>
            </a:rPr>
            <a:t>Appropriations available/</a:t>
          </a:r>
          <a:r>
            <a:rPr lang="en-AU" sz="1000" baseline="0">
              <a:solidFill>
                <a:sysClr val="windowText" lastClr="000000"/>
              </a:solidFill>
            </a:rPr>
            <a:t>received</a:t>
          </a:r>
          <a:r>
            <a:rPr lang="en-AU" sz="1000">
              <a:solidFill>
                <a:sysClr val="windowText" lastClr="000000"/>
              </a:solidFill>
            </a:rPr>
            <a:t>, budgeted financial information and performance measures</a:t>
          </a:r>
          <a:endParaRPr lang="en-AU" sz="1000" b="1">
            <a:solidFill>
              <a:sysClr val="windowText" lastClr="000000"/>
            </a:solidFill>
          </a:endParaRPr>
        </a:p>
      </dgm:t>
    </dgm:pt>
    <dgm:pt modelId="{4B5B314A-D215-4B62-B4E3-060B5FE79C99}" type="parTrans" cxnId="{8D0FBCAC-65E9-4006-A8E0-6FD26C1EE965}">
      <dgm:prSet/>
      <dgm:spPr/>
      <dgm:t>
        <a:bodyPr/>
        <a:lstStyle/>
        <a:p>
          <a:endParaRPr lang="en-AU"/>
        </a:p>
      </dgm:t>
    </dgm:pt>
    <dgm:pt modelId="{C0C42823-1CA0-434A-AF50-9F4C475D41BD}" type="sibTrans" cxnId="{8D0FBCAC-65E9-4006-A8E0-6FD26C1EE965}">
      <dgm:prSet custT="1"/>
      <dgm:spPr/>
      <dgm:t>
        <a:bodyPr/>
        <a:lstStyle/>
        <a:p>
          <a:endParaRPr lang="en-AU" sz="900" b="1">
            <a:solidFill>
              <a:sysClr val="windowText" lastClr="000000"/>
            </a:solidFill>
          </a:endParaRPr>
        </a:p>
      </dgm:t>
    </dgm:pt>
    <dgm:pt modelId="{395A9799-1A13-48AD-8E88-DF8A43698553}">
      <dgm:prSet custT="1"/>
      <dgm:spPr/>
      <dgm:t>
        <a:bodyPr/>
        <a:lstStyle/>
        <a:p>
          <a:r>
            <a:rPr lang="en-AU" sz="1000" b="1">
              <a:solidFill>
                <a:sysClr val="windowText" lastClr="000000"/>
              </a:solidFill>
            </a:rPr>
            <a:t>Corporate Plan</a:t>
          </a:r>
          <a:endParaRPr lang="en-AU" sz="1000">
            <a:solidFill>
              <a:sysClr val="windowText" lastClr="000000"/>
            </a:solidFill>
          </a:endParaRPr>
        </a:p>
      </dgm:t>
    </dgm:pt>
    <dgm:pt modelId="{36EB89D8-978E-49FE-AC33-0BB98C5AA1FE}" type="parTrans" cxnId="{9EA55072-0C25-46B8-B5BB-46A90104B75E}">
      <dgm:prSet/>
      <dgm:spPr/>
      <dgm:t>
        <a:bodyPr/>
        <a:lstStyle/>
        <a:p>
          <a:endParaRPr lang="en-AU"/>
        </a:p>
      </dgm:t>
    </dgm:pt>
    <dgm:pt modelId="{52642976-16EB-49D4-95FC-C9830E699577}" type="sibTrans" cxnId="{9EA55072-0C25-46B8-B5BB-46A90104B75E}">
      <dgm:prSet/>
      <dgm:spPr/>
      <dgm:t>
        <a:bodyPr/>
        <a:lstStyle/>
        <a:p>
          <a:endParaRPr lang="en-AU"/>
        </a:p>
      </dgm:t>
    </dgm:pt>
    <dgm:pt modelId="{1F2DE806-24ED-47F6-BA03-020CC9575F1E}">
      <dgm:prSet custT="1"/>
      <dgm:spPr/>
      <dgm:t>
        <a:bodyPr/>
        <a:lstStyle/>
        <a:p>
          <a:pPr>
            <a:buFont typeface="Symbol" panose="05050102010706020507" pitchFamily="18" charset="2"/>
            <a:buChar char=""/>
          </a:pPr>
          <a:r>
            <a:rPr lang="en-AU" sz="1000">
              <a:solidFill>
                <a:sysClr val="windowText" lastClr="000000"/>
              </a:solidFill>
            </a:rPr>
            <a:t>Purpose</a:t>
          </a:r>
        </a:p>
      </dgm:t>
    </dgm:pt>
    <dgm:pt modelId="{6E35661F-AF4C-43F3-83FF-E5489E34F2DD}" type="parTrans" cxnId="{F4DD4837-BEB9-47EF-9EBF-F1FAC591B63E}">
      <dgm:prSet/>
      <dgm:spPr/>
      <dgm:t>
        <a:bodyPr/>
        <a:lstStyle/>
        <a:p>
          <a:endParaRPr lang="en-AU"/>
        </a:p>
      </dgm:t>
    </dgm:pt>
    <dgm:pt modelId="{B18C25F4-5C6B-4BCB-BD4E-6AC3D777D26E}" type="sibTrans" cxnId="{F4DD4837-BEB9-47EF-9EBF-F1FAC591B63E}">
      <dgm:prSet/>
      <dgm:spPr/>
      <dgm:t>
        <a:bodyPr/>
        <a:lstStyle/>
        <a:p>
          <a:endParaRPr lang="en-AU"/>
        </a:p>
      </dgm:t>
    </dgm:pt>
    <dgm:pt modelId="{7A144A96-341C-4C4A-B00D-53ECD19371C6}">
      <dgm:prSet custT="1"/>
      <dgm:spPr/>
      <dgm:t>
        <a:bodyPr/>
        <a:lstStyle/>
        <a:p>
          <a:pPr>
            <a:buFont typeface="Symbol" panose="05050102010706020507" pitchFamily="18" charset="2"/>
            <a:buChar char=""/>
          </a:pPr>
          <a:r>
            <a:rPr lang="en-AU" sz="1000">
              <a:solidFill>
                <a:sysClr val="windowText" lastClr="000000"/>
              </a:solidFill>
            </a:rPr>
            <a:t>Performance measures</a:t>
          </a:r>
        </a:p>
      </dgm:t>
    </dgm:pt>
    <dgm:pt modelId="{7E70F6BE-F0EB-4559-82A2-5B73BAF78286}" type="parTrans" cxnId="{3538ABBE-F9C5-4FA0-83AE-EBFC46EB3265}">
      <dgm:prSet/>
      <dgm:spPr/>
      <dgm:t>
        <a:bodyPr/>
        <a:lstStyle/>
        <a:p>
          <a:endParaRPr lang="en-AU"/>
        </a:p>
      </dgm:t>
    </dgm:pt>
    <dgm:pt modelId="{8D034E19-B07E-4EA0-B295-40535CE200E0}" type="sibTrans" cxnId="{3538ABBE-F9C5-4FA0-83AE-EBFC46EB3265}">
      <dgm:prSet/>
      <dgm:spPr/>
      <dgm:t>
        <a:bodyPr/>
        <a:lstStyle/>
        <a:p>
          <a:endParaRPr lang="en-AU"/>
        </a:p>
      </dgm:t>
    </dgm:pt>
    <dgm:pt modelId="{5212CC44-B7B4-4AEC-87D8-C2E5E502E7F2}">
      <dgm:prSet custT="1"/>
      <dgm:spPr/>
      <dgm:t>
        <a:bodyPr/>
        <a:lstStyle/>
        <a:p>
          <a:r>
            <a:rPr lang="en-AU" sz="1000" b="1" baseline="0">
              <a:solidFill>
                <a:sysClr val="windowText" lastClr="000000"/>
              </a:solidFill>
            </a:rPr>
            <a:t>Annual Report</a:t>
          </a:r>
        </a:p>
        <a:p>
          <a:r>
            <a:rPr lang="en-AU" sz="1000" baseline="0">
              <a:solidFill>
                <a:sysClr val="windowText" lastClr="000000"/>
              </a:solidFill>
            </a:rPr>
            <a:t>[Includes annual performance statements]</a:t>
          </a:r>
        </a:p>
        <a:p>
          <a:pPr>
            <a:buFont typeface="Symbol" panose="05050102010706020507" pitchFamily="18" charset="2"/>
            <a:buChar char=""/>
          </a:pPr>
          <a:r>
            <a:rPr lang="en-AU" sz="1000" baseline="0">
              <a:solidFill>
                <a:sysClr val="windowText" lastClr="000000"/>
              </a:solidFill>
            </a:rPr>
            <a:t>Use of appropriations, actual financial information and actual performance against measures</a:t>
          </a:r>
        </a:p>
      </dgm:t>
    </dgm:pt>
    <dgm:pt modelId="{9AA3B31C-4ED9-44DB-9821-CF28B773A0F7}" type="parTrans" cxnId="{D4B08C4B-D246-4AA6-AD9F-F2F2443B09BD}">
      <dgm:prSet/>
      <dgm:spPr/>
      <dgm:t>
        <a:bodyPr/>
        <a:lstStyle/>
        <a:p>
          <a:endParaRPr lang="en-AU"/>
        </a:p>
      </dgm:t>
    </dgm:pt>
    <dgm:pt modelId="{240F613D-4C57-4BBE-8886-ACACB9A2221C}" type="sibTrans" cxnId="{D4B08C4B-D246-4AA6-AD9F-F2F2443B09BD}">
      <dgm:prSet/>
      <dgm:spPr/>
      <dgm:t>
        <a:bodyPr/>
        <a:lstStyle/>
        <a:p>
          <a:endParaRPr lang="en-AU"/>
        </a:p>
      </dgm:t>
    </dgm:pt>
    <dgm:pt modelId="{A554E93C-61E2-4DA0-8EE2-CCB02C83F1DB}">
      <dgm:prSet/>
      <dgm:spPr/>
      <dgm:t>
        <a:bodyPr/>
        <a:lstStyle/>
        <a:p>
          <a:r>
            <a:rPr lang="en-AU" b="1">
              <a:solidFill>
                <a:sysClr val="windowText" lastClr="000000"/>
              </a:solidFill>
            </a:rPr>
            <a:t>Annual Appropriation Acts</a:t>
          </a:r>
          <a:endParaRPr lang="en-AU">
            <a:solidFill>
              <a:sysClr val="windowText" lastClr="000000"/>
            </a:solidFill>
          </a:endParaRPr>
        </a:p>
      </dgm:t>
    </dgm:pt>
    <dgm:pt modelId="{4628B25C-CF95-4E25-9F5D-FB701E3E3DFA}" type="parTrans" cxnId="{FFDE3FFD-71E8-49B5-B232-1ECA0370C101}">
      <dgm:prSet/>
      <dgm:spPr/>
      <dgm:t>
        <a:bodyPr/>
        <a:lstStyle/>
        <a:p>
          <a:endParaRPr lang="en-AU"/>
        </a:p>
      </dgm:t>
    </dgm:pt>
    <dgm:pt modelId="{3FBD4D3F-3B17-4144-92EB-33E660C2890E}" type="sibTrans" cxnId="{FFDE3FFD-71E8-49B5-B232-1ECA0370C101}">
      <dgm:prSet/>
      <dgm:spPr/>
      <dgm:t>
        <a:bodyPr/>
        <a:lstStyle/>
        <a:p>
          <a:endParaRPr lang="en-AU"/>
        </a:p>
      </dgm:t>
    </dgm:pt>
    <dgm:pt modelId="{996A414E-DFF9-4AF4-8DFD-37FC273A8459}">
      <dgm:prSet custT="1"/>
      <dgm:spPr/>
      <dgm:t>
        <a:bodyPr/>
        <a:lstStyle/>
        <a:p>
          <a:pPr>
            <a:buFont typeface="Symbol" panose="05050102010706020507" pitchFamily="18" charset="2"/>
            <a:buChar char=""/>
          </a:pPr>
          <a:r>
            <a:rPr lang="en-AU" sz="1000">
              <a:solidFill>
                <a:sysClr val="windowText" lastClr="000000"/>
              </a:solidFill>
            </a:rPr>
            <a:t>Key activities</a:t>
          </a:r>
        </a:p>
      </dgm:t>
    </dgm:pt>
    <dgm:pt modelId="{E842FA83-B2AF-4BEF-962C-660FCD78C8CF}" type="parTrans" cxnId="{0C27B700-4C4A-40AB-B198-7154D3806A39}">
      <dgm:prSet/>
      <dgm:spPr/>
      <dgm:t>
        <a:bodyPr/>
        <a:lstStyle/>
        <a:p>
          <a:endParaRPr lang="en-AU"/>
        </a:p>
      </dgm:t>
    </dgm:pt>
    <dgm:pt modelId="{C669EC26-E1C1-47E0-A604-4572CBB5A3C1}" type="sibTrans" cxnId="{0C27B700-4C4A-40AB-B198-7154D3806A39}">
      <dgm:prSet/>
      <dgm:spPr/>
      <dgm:t>
        <a:bodyPr/>
        <a:lstStyle/>
        <a:p>
          <a:endParaRPr lang="en-AU"/>
        </a:p>
      </dgm:t>
    </dgm:pt>
    <dgm:pt modelId="{5B1158AB-4995-47A3-AEEE-EE37CFCD8CF8}" type="pres">
      <dgm:prSet presAssocID="{7B5FC5A7-D4C0-4916-84CD-0776D87C2832}" presName="Name0" presStyleCnt="0">
        <dgm:presLayoutVars>
          <dgm:dir/>
          <dgm:resizeHandles val="exact"/>
        </dgm:presLayoutVars>
      </dgm:prSet>
      <dgm:spPr/>
    </dgm:pt>
    <dgm:pt modelId="{DC12FAF4-42F6-4D22-A0A4-55E8D2C9C856}" type="pres">
      <dgm:prSet presAssocID="{7651D0B3-D0B4-4201-9E5F-6D1E1E7FADA6}" presName="node" presStyleLbl="node1" presStyleIdx="0" presStyleCnt="4" custScaleX="166897" custScaleY="195258" custRadScaleRad="117727" custRadScaleInc="-161769">
        <dgm:presLayoutVars>
          <dgm:bulletEnabled val="1"/>
        </dgm:presLayoutVars>
      </dgm:prSet>
      <dgm:spPr/>
    </dgm:pt>
    <dgm:pt modelId="{32B296CF-3F30-4F35-93DF-26BD302FD3D8}" type="pres">
      <dgm:prSet presAssocID="{C0C42823-1CA0-434A-AF50-9F4C475D41BD}" presName="sibTrans" presStyleLbl="sibTrans2D1" presStyleIdx="0" presStyleCnt="4" custAng="28339" custScaleX="442926" custScaleY="119280"/>
      <dgm:spPr/>
    </dgm:pt>
    <dgm:pt modelId="{F63199DE-888D-4F8F-8C77-D6C1521968DC}" type="pres">
      <dgm:prSet presAssocID="{C0C42823-1CA0-434A-AF50-9F4C475D41BD}" presName="connectorText" presStyleLbl="sibTrans2D1" presStyleIdx="0" presStyleCnt="4"/>
      <dgm:spPr/>
    </dgm:pt>
    <dgm:pt modelId="{EC7DF04C-5427-4FE1-9D65-05F5F6929795}" type="pres">
      <dgm:prSet presAssocID="{395A9799-1A13-48AD-8E88-DF8A43698553}" presName="node" presStyleLbl="node1" presStyleIdx="1" presStyleCnt="4" custScaleX="124761" custScaleY="117512" custRadScaleRad="136408" custRadScaleInc="-34549">
        <dgm:presLayoutVars>
          <dgm:bulletEnabled val="1"/>
        </dgm:presLayoutVars>
      </dgm:prSet>
      <dgm:spPr/>
    </dgm:pt>
    <dgm:pt modelId="{655E335E-5305-47E8-AE6B-F67AB58EFE40}" type="pres">
      <dgm:prSet presAssocID="{52642976-16EB-49D4-95FC-C9830E699577}" presName="sibTrans" presStyleLbl="sibTrans2D1" presStyleIdx="1" presStyleCnt="4" custAng="15806483" custScaleX="134568" custScaleY="254040" custLinFactNeighborX="43279" custLinFactNeighborY="9128"/>
      <dgm:spPr>
        <a:prstGeom prst="downArrow">
          <a:avLst/>
        </a:prstGeom>
      </dgm:spPr>
    </dgm:pt>
    <dgm:pt modelId="{9B4E9590-0636-47DD-B36B-E19489E56DA5}" type="pres">
      <dgm:prSet presAssocID="{52642976-16EB-49D4-95FC-C9830E699577}" presName="connectorText" presStyleLbl="sibTrans2D1" presStyleIdx="1" presStyleCnt="4"/>
      <dgm:spPr/>
    </dgm:pt>
    <dgm:pt modelId="{D7488B2F-B706-4F2A-A069-F0D1BB0A53F8}" type="pres">
      <dgm:prSet presAssocID="{5212CC44-B7B4-4AEC-87D8-C2E5E502E7F2}" presName="node" presStyleLbl="node1" presStyleIdx="2" presStyleCnt="4" custScaleX="199247" custScaleY="137220" custRadScaleRad="80170" custRadScaleInc="5768">
        <dgm:presLayoutVars>
          <dgm:bulletEnabled val="1"/>
        </dgm:presLayoutVars>
      </dgm:prSet>
      <dgm:spPr/>
    </dgm:pt>
    <dgm:pt modelId="{8FFE737B-DB3F-4D72-BAE8-2748D20E0F48}" type="pres">
      <dgm:prSet presAssocID="{240F613D-4C57-4BBE-8886-ACACB9A2221C}" presName="sibTrans" presStyleLbl="sibTrans2D1" presStyleIdx="2" presStyleCnt="4" custAng="4009600" custScaleX="117149" custScaleY="188819" custLinFactY="147755" custLinFactNeighborX="27738" custLinFactNeighborY="200000"/>
      <dgm:spPr>
        <a:prstGeom prst="downArrow">
          <a:avLst/>
        </a:prstGeom>
      </dgm:spPr>
    </dgm:pt>
    <dgm:pt modelId="{02363D6F-95A6-4BCF-9B82-389B028C2CFC}" type="pres">
      <dgm:prSet presAssocID="{240F613D-4C57-4BBE-8886-ACACB9A2221C}" presName="connectorText" presStyleLbl="sibTrans2D1" presStyleIdx="2" presStyleCnt="4"/>
      <dgm:spPr/>
    </dgm:pt>
    <dgm:pt modelId="{2E36242C-4968-4EA8-BA07-D5641ED6FB38}" type="pres">
      <dgm:prSet presAssocID="{A554E93C-61E2-4DA0-8EE2-CCB02C83F1DB}" presName="node" presStyleLbl="node1" presStyleIdx="3" presStyleCnt="4" custScaleX="134147" custScaleY="42686" custRadScaleRad="163425" custRadScaleInc="105878">
        <dgm:presLayoutVars>
          <dgm:bulletEnabled val="1"/>
        </dgm:presLayoutVars>
      </dgm:prSet>
      <dgm:spPr/>
    </dgm:pt>
    <dgm:pt modelId="{2104AFA2-0D9F-49F6-A2FC-1583FB52D798}" type="pres">
      <dgm:prSet presAssocID="{3FBD4D3F-3B17-4144-92EB-33E660C2890E}" presName="sibTrans" presStyleLbl="sibTrans2D1" presStyleIdx="3" presStyleCnt="4" custAng="5305756" custFlipVert="1" custScaleX="97251" custScaleY="88001" custLinFactNeighborX="-19120" custLinFactNeighborY="1"/>
      <dgm:spPr>
        <a:prstGeom prst="downArrow">
          <a:avLst/>
        </a:prstGeom>
      </dgm:spPr>
    </dgm:pt>
    <dgm:pt modelId="{BE1CEA2B-835F-4C99-B173-49609E068DE8}" type="pres">
      <dgm:prSet presAssocID="{3FBD4D3F-3B17-4144-92EB-33E660C2890E}" presName="connectorText" presStyleLbl="sibTrans2D1" presStyleIdx="3" presStyleCnt="4"/>
      <dgm:spPr/>
    </dgm:pt>
  </dgm:ptLst>
  <dgm:cxnLst>
    <dgm:cxn modelId="{0C27B700-4C4A-40AB-B198-7154D3806A39}" srcId="{395A9799-1A13-48AD-8E88-DF8A43698553}" destId="{996A414E-DFF9-4AF4-8DFD-37FC273A8459}" srcOrd="1" destOrd="0" parTransId="{E842FA83-B2AF-4BEF-962C-660FCD78C8CF}" sibTransId="{C669EC26-E1C1-47E0-A604-4572CBB5A3C1}"/>
    <dgm:cxn modelId="{32F84907-AF54-435E-B21B-D3C04E729768}" type="presOf" srcId="{C0C42823-1CA0-434A-AF50-9F4C475D41BD}" destId="{32B296CF-3F30-4F35-93DF-26BD302FD3D8}" srcOrd="0" destOrd="0" presId="urn:microsoft.com/office/officeart/2005/8/layout/cycle7"/>
    <dgm:cxn modelId="{15D78522-9D7C-45E1-84D4-B5DA201D7F99}" type="presOf" srcId="{395A9799-1A13-48AD-8E88-DF8A43698553}" destId="{EC7DF04C-5427-4FE1-9D65-05F5F6929795}" srcOrd="0" destOrd="0" presId="urn:microsoft.com/office/officeart/2005/8/layout/cycle7"/>
    <dgm:cxn modelId="{70CFDF2A-06EC-4E04-9C7C-E0642D43A618}" type="presOf" srcId="{52642976-16EB-49D4-95FC-C9830E699577}" destId="{655E335E-5305-47E8-AE6B-F67AB58EFE40}" srcOrd="0" destOrd="0" presId="urn:microsoft.com/office/officeart/2005/8/layout/cycle7"/>
    <dgm:cxn modelId="{F4DD4837-BEB9-47EF-9EBF-F1FAC591B63E}" srcId="{395A9799-1A13-48AD-8E88-DF8A43698553}" destId="{1F2DE806-24ED-47F6-BA03-020CC9575F1E}" srcOrd="0" destOrd="0" parTransId="{6E35661F-AF4C-43F3-83FF-E5489E34F2DD}" sibTransId="{B18C25F4-5C6B-4BCB-BD4E-6AC3D777D26E}"/>
    <dgm:cxn modelId="{9D4D805B-7959-46E1-B0A0-6963F0D2C9E4}" type="presOf" srcId="{7B5FC5A7-D4C0-4916-84CD-0776D87C2832}" destId="{5B1158AB-4995-47A3-AEEE-EE37CFCD8CF8}" srcOrd="0" destOrd="0" presId="urn:microsoft.com/office/officeart/2005/8/layout/cycle7"/>
    <dgm:cxn modelId="{718CA55D-8E7E-45AF-A39F-D75B057F65B4}" type="presOf" srcId="{3FBD4D3F-3B17-4144-92EB-33E660C2890E}" destId="{BE1CEA2B-835F-4C99-B173-49609E068DE8}" srcOrd="1" destOrd="0" presId="urn:microsoft.com/office/officeart/2005/8/layout/cycle7"/>
    <dgm:cxn modelId="{88EBF343-04C4-484A-9DD6-759AA3B713F0}" type="presOf" srcId="{7651D0B3-D0B4-4201-9E5F-6D1E1E7FADA6}" destId="{DC12FAF4-42F6-4D22-A0A4-55E8D2C9C856}" srcOrd="0" destOrd="0" presId="urn:microsoft.com/office/officeart/2005/8/layout/cycle7"/>
    <dgm:cxn modelId="{D4B08C4B-D246-4AA6-AD9F-F2F2443B09BD}" srcId="{7B5FC5A7-D4C0-4916-84CD-0776D87C2832}" destId="{5212CC44-B7B4-4AEC-87D8-C2E5E502E7F2}" srcOrd="2" destOrd="0" parTransId="{9AA3B31C-4ED9-44DB-9821-CF28B773A0F7}" sibTransId="{240F613D-4C57-4BBE-8886-ACACB9A2221C}"/>
    <dgm:cxn modelId="{9EA55072-0C25-46B8-B5BB-46A90104B75E}" srcId="{7B5FC5A7-D4C0-4916-84CD-0776D87C2832}" destId="{395A9799-1A13-48AD-8E88-DF8A43698553}" srcOrd="1" destOrd="0" parTransId="{36EB89D8-978E-49FE-AC33-0BB98C5AA1FE}" sibTransId="{52642976-16EB-49D4-95FC-C9830E699577}"/>
    <dgm:cxn modelId="{6E9BAE53-0AFD-4C0B-A6D7-46C41A36786B}" type="presOf" srcId="{240F613D-4C57-4BBE-8886-ACACB9A2221C}" destId="{02363D6F-95A6-4BCF-9B82-389B028C2CFC}" srcOrd="1" destOrd="0" presId="urn:microsoft.com/office/officeart/2005/8/layout/cycle7"/>
    <dgm:cxn modelId="{C88EBF7B-484E-44C8-B104-97E95EA058C6}" type="presOf" srcId="{996A414E-DFF9-4AF4-8DFD-37FC273A8459}" destId="{EC7DF04C-5427-4FE1-9D65-05F5F6929795}" srcOrd="0" destOrd="2" presId="urn:microsoft.com/office/officeart/2005/8/layout/cycle7"/>
    <dgm:cxn modelId="{C63CD57B-2F1E-43A6-BAF6-21CF761D42E0}" type="presOf" srcId="{7A144A96-341C-4C4A-B00D-53ECD19371C6}" destId="{EC7DF04C-5427-4FE1-9D65-05F5F6929795}" srcOrd="0" destOrd="3" presId="urn:microsoft.com/office/officeart/2005/8/layout/cycle7"/>
    <dgm:cxn modelId="{F2E1F981-0CE6-4785-9F87-B550BC73D258}" type="presOf" srcId="{52642976-16EB-49D4-95FC-C9830E699577}" destId="{9B4E9590-0636-47DD-B36B-E19489E56DA5}" srcOrd="1" destOrd="0" presId="urn:microsoft.com/office/officeart/2005/8/layout/cycle7"/>
    <dgm:cxn modelId="{923CC08B-A88E-4A43-92C8-9D92337D500A}" type="presOf" srcId="{A554E93C-61E2-4DA0-8EE2-CCB02C83F1DB}" destId="{2E36242C-4968-4EA8-BA07-D5641ED6FB38}" srcOrd="0" destOrd="0" presId="urn:microsoft.com/office/officeart/2005/8/layout/cycle7"/>
    <dgm:cxn modelId="{6E0D0AAB-CB47-4FC2-B575-7553876A4E2E}" type="presOf" srcId="{C0C42823-1CA0-434A-AF50-9F4C475D41BD}" destId="{F63199DE-888D-4F8F-8C77-D6C1521968DC}" srcOrd="1" destOrd="0" presId="urn:microsoft.com/office/officeart/2005/8/layout/cycle7"/>
    <dgm:cxn modelId="{8D0FBCAC-65E9-4006-A8E0-6FD26C1EE965}" srcId="{7B5FC5A7-D4C0-4916-84CD-0776D87C2832}" destId="{7651D0B3-D0B4-4201-9E5F-6D1E1E7FADA6}" srcOrd="0" destOrd="0" parTransId="{4B5B314A-D215-4B62-B4E3-060B5FE79C99}" sibTransId="{C0C42823-1CA0-434A-AF50-9F4C475D41BD}"/>
    <dgm:cxn modelId="{3538ABBE-F9C5-4FA0-83AE-EBFC46EB3265}" srcId="{395A9799-1A13-48AD-8E88-DF8A43698553}" destId="{7A144A96-341C-4C4A-B00D-53ECD19371C6}" srcOrd="2" destOrd="0" parTransId="{7E70F6BE-F0EB-4559-82A2-5B73BAF78286}" sibTransId="{8D034E19-B07E-4EA0-B295-40535CE200E0}"/>
    <dgm:cxn modelId="{40A8D3C1-4E83-4B02-A08A-EA1CDC02CD15}" type="presOf" srcId="{240F613D-4C57-4BBE-8886-ACACB9A2221C}" destId="{8FFE737B-DB3F-4D72-BAE8-2748D20E0F48}" srcOrd="0" destOrd="0" presId="urn:microsoft.com/office/officeart/2005/8/layout/cycle7"/>
    <dgm:cxn modelId="{9F6D02DD-A6A5-4ED2-A86C-A82189973AD0}" type="presOf" srcId="{1F2DE806-24ED-47F6-BA03-020CC9575F1E}" destId="{EC7DF04C-5427-4FE1-9D65-05F5F6929795}" srcOrd="0" destOrd="1" presId="urn:microsoft.com/office/officeart/2005/8/layout/cycle7"/>
    <dgm:cxn modelId="{23AB97E9-88A7-44D5-867C-B47E68954706}" type="presOf" srcId="{5212CC44-B7B4-4AEC-87D8-C2E5E502E7F2}" destId="{D7488B2F-B706-4F2A-A069-F0D1BB0A53F8}" srcOrd="0" destOrd="0" presId="urn:microsoft.com/office/officeart/2005/8/layout/cycle7"/>
    <dgm:cxn modelId="{31793BF0-4585-4AB8-A755-4210410A9AC5}" type="presOf" srcId="{3FBD4D3F-3B17-4144-92EB-33E660C2890E}" destId="{2104AFA2-0D9F-49F6-A2FC-1583FB52D798}" srcOrd="0" destOrd="0" presId="urn:microsoft.com/office/officeart/2005/8/layout/cycle7"/>
    <dgm:cxn modelId="{FFDE3FFD-71E8-49B5-B232-1ECA0370C101}" srcId="{7B5FC5A7-D4C0-4916-84CD-0776D87C2832}" destId="{A554E93C-61E2-4DA0-8EE2-CCB02C83F1DB}" srcOrd="3" destOrd="0" parTransId="{4628B25C-CF95-4E25-9F5D-FB701E3E3DFA}" sibTransId="{3FBD4D3F-3B17-4144-92EB-33E660C2890E}"/>
    <dgm:cxn modelId="{770D545D-8159-4022-B7C0-D10BDCE642FB}" type="presParOf" srcId="{5B1158AB-4995-47A3-AEEE-EE37CFCD8CF8}" destId="{DC12FAF4-42F6-4D22-A0A4-55E8D2C9C856}" srcOrd="0" destOrd="0" presId="urn:microsoft.com/office/officeart/2005/8/layout/cycle7"/>
    <dgm:cxn modelId="{C723D0EB-7B6B-492C-861A-8E1CF9C1941C}" type="presParOf" srcId="{5B1158AB-4995-47A3-AEEE-EE37CFCD8CF8}" destId="{32B296CF-3F30-4F35-93DF-26BD302FD3D8}" srcOrd="1" destOrd="0" presId="urn:microsoft.com/office/officeart/2005/8/layout/cycle7"/>
    <dgm:cxn modelId="{F00B5276-E660-4193-B690-F5678D289A23}" type="presParOf" srcId="{32B296CF-3F30-4F35-93DF-26BD302FD3D8}" destId="{F63199DE-888D-4F8F-8C77-D6C1521968DC}" srcOrd="0" destOrd="0" presId="urn:microsoft.com/office/officeart/2005/8/layout/cycle7"/>
    <dgm:cxn modelId="{D00C81B9-2EF1-4CDC-A509-A55919AC488F}" type="presParOf" srcId="{5B1158AB-4995-47A3-AEEE-EE37CFCD8CF8}" destId="{EC7DF04C-5427-4FE1-9D65-05F5F6929795}" srcOrd="2" destOrd="0" presId="urn:microsoft.com/office/officeart/2005/8/layout/cycle7"/>
    <dgm:cxn modelId="{0E072C21-4C93-44EB-963B-7947A8E4ECBB}" type="presParOf" srcId="{5B1158AB-4995-47A3-AEEE-EE37CFCD8CF8}" destId="{655E335E-5305-47E8-AE6B-F67AB58EFE40}" srcOrd="3" destOrd="0" presId="urn:microsoft.com/office/officeart/2005/8/layout/cycle7"/>
    <dgm:cxn modelId="{DF430522-C62D-4510-BE5C-525342F83289}" type="presParOf" srcId="{655E335E-5305-47E8-AE6B-F67AB58EFE40}" destId="{9B4E9590-0636-47DD-B36B-E19489E56DA5}" srcOrd="0" destOrd="0" presId="urn:microsoft.com/office/officeart/2005/8/layout/cycle7"/>
    <dgm:cxn modelId="{C54EE631-5DE0-4BA6-BBD9-8F8F319801A7}" type="presParOf" srcId="{5B1158AB-4995-47A3-AEEE-EE37CFCD8CF8}" destId="{D7488B2F-B706-4F2A-A069-F0D1BB0A53F8}" srcOrd="4" destOrd="0" presId="urn:microsoft.com/office/officeart/2005/8/layout/cycle7"/>
    <dgm:cxn modelId="{FE768F23-275E-40D4-BF72-EAFF052144AA}" type="presParOf" srcId="{5B1158AB-4995-47A3-AEEE-EE37CFCD8CF8}" destId="{8FFE737B-DB3F-4D72-BAE8-2748D20E0F48}" srcOrd="5" destOrd="0" presId="urn:microsoft.com/office/officeart/2005/8/layout/cycle7"/>
    <dgm:cxn modelId="{B3CA6950-D5C8-4236-9BD5-B25D2FBC0B81}" type="presParOf" srcId="{8FFE737B-DB3F-4D72-BAE8-2748D20E0F48}" destId="{02363D6F-95A6-4BCF-9B82-389B028C2CFC}" srcOrd="0" destOrd="0" presId="urn:microsoft.com/office/officeart/2005/8/layout/cycle7"/>
    <dgm:cxn modelId="{28EAEA71-F614-416D-8BCC-F325BE031E89}" type="presParOf" srcId="{5B1158AB-4995-47A3-AEEE-EE37CFCD8CF8}" destId="{2E36242C-4968-4EA8-BA07-D5641ED6FB38}" srcOrd="6" destOrd="0" presId="urn:microsoft.com/office/officeart/2005/8/layout/cycle7"/>
    <dgm:cxn modelId="{D73BA348-B5D1-44C3-BFA0-3DEA0D4C8849}" type="presParOf" srcId="{5B1158AB-4995-47A3-AEEE-EE37CFCD8CF8}" destId="{2104AFA2-0D9F-49F6-A2FC-1583FB52D798}" srcOrd="7" destOrd="0" presId="urn:microsoft.com/office/officeart/2005/8/layout/cycle7"/>
    <dgm:cxn modelId="{4A0C951C-61D7-4DB4-9413-5ADE13BE2304}" type="presParOf" srcId="{2104AFA2-0D9F-49F6-A2FC-1583FB52D798}" destId="{BE1CEA2B-835F-4C99-B173-49609E068DE8}" srcOrd="0" destOrd="0" presId="urn:microsoft.com/office/officeart/2005/8/layout/cycle7"/>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24"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00749"/>
          <a:ext cx="1281907" cy="4164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2690" y="-1851635"/>
          <a:ext cx="360552"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1.2’ tab of the Excel Tables workbook (Attachment B).</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68926"/>
          <a:ext cx="1257118" cy="36664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3370240" y="-1426549"/>
          <a:ext cx="352286"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To confirm the correct amounts for a budget measure, refer to the costing agreement provided by your AAU. Titles of measures are to be confirmed against the final agreed measures list distributed by the relevant AAU to the lead portfolio departments.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B83317B4-7045-4DCD-8F50-B5622AB2D037}">
      <dgm:prSet phldrT="[Text]" custT="1"/>
      <dgm:spPr>
        <a:xfrm rot="5400000">
          <a:off x="3370240" y="-1426549"/>
          <a:ext cx="352286" cy="4357596"/>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Information to be included in this table may also be taken from estimates adjustments for measures (i.e., those entered against the reason code ‘Government decision or measure’) in CBMS.</a:t>
          </a:r>
        </a:p>
      </dgm:t>
    </dgm:pt>
    <dgm:pt modelId="{1C63CA5A-348D-4F32-9B2E-D62394B2069A}" type="parTrans" cxnId="{26323E77-612F-4F7F-BBC9-DFF5DFAB3AE2}">
      <dgm:prSet/>
      <dgm:spPr/>
      <dgm:t>
        <a:bodyPr/>
        <a:lstStyle/>
        <a:p>
          <a:endParaRPr lang="en-AU"/>
        </a:p>
      </dgm:t>
    </dgm:pt>
    <dgm:pt modelId="{CFEB8D02-B29C-4864-A0CA-D6069D5E6899}" type="sibTrans" cxnId="{26323E77-612F-4F7F-BBC9-DFF5DFAB3AE2}">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17995">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21638">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50698">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ScaleX="116675" custScaleY="63373">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26323E77-612F-4F7F-BBC9-DFF5DFAB3AE2}" srcId="{2270194F-3A05-46DD-A0CD-048B97FC2BCB}" destId="{B83317B4-7045-4DCD-8F50-B5622AB2D037}" srcOrd="1" destOrd="0" parTransId="{1C63CA5A-348D-4F32-9B2E-D62394B2069A}" sibTransId="{CFEB8D02-B29C-4864-A0CA-D6069D5E6899}"/>
    <dgm:cxn modelId="{D4C818B5-AC1C-46B5-B22E-265A2347E016}" type="presOf" srcId="{2270194F-3A05-46DD-A0CD-048B97FC2BCB}" destId="{C64DF1C7-D61A-406A-AB60-FF06B2A44245}" srcOrd="0" destOrd="0" presId="urn:microsoft.com/office/officeart/2005/8/layout/vList5"/>
    <dgm:cxn modelId="{5A8B90C2-7E00-4075-8FA1-EF05C9B0ED7D}" type="presOf" srcId="{B83317B4-7045-4DCD-8F50-B5622AB2D037}" destId="{478632EF-AE70-4485-A945-610756A53A74}" srcOrd="0" destOrd="1"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3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224287"/>
          <a:ext cx="1281907" cy="3057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05926" y="-1783447"/>
          <a:ext cx="294081"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2.X.1’ tab of the Excel Tables workbook (Attachment B).</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FDF916DF-6E7B-4F0C-81E3-E76F05443004}">
      <dgm:prSet phldrT="[Text]" custT="1"/>
      <dgm:spPr>
        <a:xfrm rot="5400000">
          <a:off x="3405926" y="-1783447"/>
          <a:ext cx="294081"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r>
            <a:rPr lang="en-AU" sz="900"/>
            <a:t>There is a template for non-corporate Commonwealth entities (coloured green) and a template for corporate Commonwealth entities and Commonwealth companies (coloured red).</a:t>
          </a:r>
          <a:endParaRPr lang="en-AU" sz="900">
            <a:solidFill>
              <a:sysClr val="windowText" lastClr="000000">
                <a:hueOff val="0"/>
                <a:satOff val="0"/>
                <a:lumOff val="0"/>
                <a:alphaOff val="0"/>
              </a:sysClr>
            </a:solidFill>
            <a:latin typeface="Arial" panose="020B0604020202020204"/>
            <a:ea typeface="+mn-ea"/>
            <a:cs typeface="+mn-cs"/>
          </a:endParaRPr>
        </a:p>
      </dgm:t>
    </dgm:pt>
    <dgm:pt modelId="{03B1E1A0-2404-4874-BC51-FFAFE27278B3}" type="parTrans" cxnId="{CB8AFA5F-A2AE-4F20-820F-A6E13E2E52B6}">
      <dgm:prSet/>
      <dgm:spPr/>
      <dgm:t>
        <a:bodyPr/>
        <a:lstStyle/>
        <a:p>
          <a:endParaRPr lang="en-AU"/>
        </a:p>
      </dgm:t>
    </dgm:pt>
    <dgm:pt modelId="{0B05EEF9-0BB3-47B2-BAAF-3BF74DA74C58}" type="sibTrans" cxnId="{CB8AFA5F-A2AE-4F20-820F-A6E13E2E52B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74699">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91507">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CB8AFA5F-A2AE-4F20-820F-A6E13E2E52B6}" srcId="{1A099D44-29DB-4F8B-8425-AD28E172EAD6}" destId="{FDF916DF-6E7B-4F0C-81E3-E76F05443004}" srcOrd="1" destOrd="0" parTransId="{03B1E1A0-2404-4874-BC51-FFAFE27278B3}" sibTransId="{0B05EEF9-0BB3-47B2-BAAF-3BF74DA74C58}"/>
    <dgm:cxn modelId="{AA2CD170-957C-40D7-A75F-65655B24E133}" type="presOf" srcId="{F117F5C2-3138-4759-9BD1-D409123FAC52}" destId="{375D3B99-DEF6-492D-BEEF-42D3B560A4BB}" srcOrd="0" destOrd="0" presId="urn:microsoft.com/office/officeart/2005/8/layout/vList5"/>
    <dgm:cxn modelId="{82D40F9C-3752-4CE9-B5BF-AE76EC7B1480}" type="presOf" srcId="{FDF916DF-6E7B-4F0C-81E3-E76F05443004}" destId="{54E4E918-C8B7-4E9E-9556-171B672104DF}" srcOrd="0" destOrd="1"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4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6279" y="99011"/>
          <a:ext cx="1281907" cy="58239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273404" y="-1770383"/>
          <a:ext cx="570749"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2.X.2’ tab of the Excel Tables workbook (Attachment B). Optional worksheet.</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7814">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61279">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47"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6279" y="136817"/>
          <a:ext cx="1281907" cy="25024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30494" y="-1898653"/>
          <a:ext cx="256569"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‘Table 2.X.3’ tab of the Word templates (Attachment C). </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47814">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5700" custScaleY="61279">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AA2CD170-957C-40D7-A75F-65655B24E133}" type="presOf" srcId="{F117F5C2-3138-4759-9BD1-D409123FAC52}" destId="{375D3B99-DEF6-492D-BEEF-42D3B560A4BB}" srcOrd="0" destOrd="0"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152"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224287"/>
          <a:ext cx="1281907" cy="3057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405926" y="-1783447"/>
          <a:ext cx="294081"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templates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614946"/>
          <a:ext cx="1257118" cy="86129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3115734" y="-1133205"/>
          <a:ext cx="861299"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6573">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2462">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25025">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60"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5712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5224" y="-1814079"/>
          <a:ext cx="355485"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3.1 tab template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83607"/>
          <a:ext cx="1257118" cy="214311"/>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50877" y="-1488035"/>
          <a:ext cx="191012"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Comprehensive income statement (showing net cost of services)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44556">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52642">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69"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75224" y="-1843198"/>
          <a:ext cx="355485"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3.2 tab template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Budgeted departmental balance sheet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75"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3.3 tab template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Departmental statement of changes in equity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80"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3.4 tab template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Budgeted departmental statement of cash flows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8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dgm:t>
        <a:bodyPr/>
        <a:lstStyle/>
        <a:p>
          <a:r>
            <a:rPr lang="en-AU">
              <a:solidFill>
                <a:sysClr val="windowText" lastClr="000000"/>
              </a:solidFill>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dgm:t>
        <a:bodyPr/>
        <a:lstStyle/>
        <a:p>
          <a:r>
            <a:rPr lang="en-AU" sz="900"/>
            <a:t>‘Figure 1’ tab of the Excel Tables workbook (Attachment B).</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dgm:t>
        <a:bodyPr/>
        <a:lstStyle/>
        <a:p>
          <a:r>
            <a:rPr lang="en-AU">
              <a:solidFill>
                <a:sysClr val="windowText" lastClr="000000"/>
              </a:solidFill>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dgm:t>
        <a:bodyPr/>
        <a:lstStyle/>
        <a:p>
          <a:r>
            <a:rPr lang="en-AU" sz="900"/>
            <a:t>See Appendix 1 in this Guide</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40221">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3532">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35414">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ScaleX="116675" custScaleY="42534">
        <dgm:presLayoutVars>
          <dgm:bulletEnabled val="1"/>
        </dgm:presLayoutVars>
      </dgm:prSet>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3.5 tab template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Departmental capital budget statement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90"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3.6 tab template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Departmental statement of asset movements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95"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dgm:spPr>
        <a:xfrm>
          <a:off x="110467" y="128001"/>
          <a:ext cx="1281907" cy="37878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69476" y="-1843198"/>
          <a:ext cx="36698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a:solidFill>
                <a:sysClr val="windowText" lastClr="000000">
                  <a:hueOff val="0"/>
                  <a:satOff val="0"/>
                  <a:lumOff val="0"/>
                  <a:alphaOff val="0"/>
                </a:sysClr>
              </a:solidFill>
              <a:latin typeface="Arial" panose="020B0604020202020204"/>
              <a:ea typeface="+mn-ea"/>
              <a:cs typeface="+mn-cs"/>
            </a:rPr>
            <a:t>Entities must use the Excel Table templates in "Attachment B" to prepare their PB Statements document for publication.</a:t>
          </a: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2270194F-3A05-46DD-A0CD-048B97FC2BCB}">
      <dgm:prSet phldrT="[Text]"/>
      <dgm:spPr>
        <a:xfrm>
          <a:off x="110467" y="554487"/>
          <a:ext cx="1257118" cy="27255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427582" y="-1488035"/>
          <a:ext cx="237603"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900" u="sng">
              <a:solidFill>
                <a:sysClr val="windowText" lastClr="000000">
                  <a:hueOff val="0"/>
                  <a:satOff val="0"/>
                  <a:lumOff val="0"/>
                  <a:alphaOff val="0"/>
                </a:sysClr>
              </a:solidFill>
              <a:latin typeface="Arial" panose="020B0604020202020204"/>
              <a:ea typeface="+mn-ea"/>
              <a:cs typeface="+mn-cs"/>
            </a:rPr>
            <a:t>Appendix 1 Administered financial statements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2" custScaleX="61019" custScaleY="39700">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2" custScaleX="115700" custScaleY="48079">
        <dgm:presLayoutVars>
          <dgm:bulletEnabled val="1"/>
        </dgm:presLayoutVars>
      </dgm:prSet>
      <dgm:spPr/>
    </dgm:pt>
    <dgm:pt modelId="{E252F5E6-81C6-4D44-9B9B-0674627BB50B}" type="pres">
      <dgm:prSet presAssocID="{8FD1725B-35C1-4A49-9726-CB36C6049817}" presName="sp" presStyleCnt="0"/>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1" presStyleCnt="2" custScaleX="59839" custScaleY="28566">
        <dgm:presLayoutVars>
          <dgm:chMax val="1"/>
          <dgm:bulletEnabled val="1"/>
        </dgm:presLayoutVars>
      </dgm:prSet>
      <dgm:spPr/>
    </dgm:pt>
    <dgm:pt modelId="{478632EF-AE70-4485-A945-610756A53A74}" type="pres">
      <dgm:prSet presAssocID="{2270194F-3A05-46DD-A0CD-048B97FC2BCB}" presName="descendantText" presStyleLbl="alignAccFollowNode1" presStyleIdx="1" presStyleCnt="2" custAng="10800000" custFlipHor="1" custScaleX="116675" custScaleY="31129">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1" destOrd="0" parTransId="{981C9034-AA2B-43A4-B8BA-8246A3B819BB}" sibTransId="{1101C7EB-A21C-4DAB-92E4-057C79AF7F1C}"/>
    <dgm:cxn modelId="{38C62016-33BA-4D04-811C-D99D4185ED08}" srcId="{F117F5C2-3138-4759-9BD1-D409123FAC52}" destId="{1A099D44-29DB-4F8B-8425-AD28E172EAD6}" srcOrd="0" destOrd="0" parTransId="{5958BFD3-1EBB-458E-A0BE-49107E5BDFEE}" sibTransId="{8FD1725B-35C1-4A49-9726-CB36C6049817}"/>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 modelId="{EDDDFBFA-6FE0-4D85-8A71-3F7300AF976C}" type="presParOf" srcId="{375D3B99-DEF6-492D-BEEF-42D3B560A4BB}" destId="{E252F5E6-81C6-4D44-9B9B-0674627BB50B}" srcOrd="1" destOrd="0" presId="urn:microsoft.com/office/officeart/2005/8/layout/vList5"/>
    <dgm:cxn modelId="{5DB70833-6818-4848-AA51-F7F9AC04C80C}" type="presParOf" srcId="{375D3B99-DEF6-492D-BEEF-42D3B560A4BB}" destId="{6B359094-4AE4-49B0-82CD-5419459CB846}" srcOrd="2"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20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1A099D44-29DB-4F8B-8425-AD28E172EAD6}">
      <dgm:prSet phldrT="[Text]" custT="1"/>
      <dgm:spPr>
        <a:xfrm>
          <a:off x="116279" y="301625"/>
          <a:ext cx="1281907" cy="433069"/>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a:solidFill>
                <a:sysClr val="windowText" lastClr="000000"/>
              </a:solidFill>
              <a:latin typeface="Arial" panose="020B0604020202020204"/>
              <a:ea typeface="+mn-ea"/>
              <a:cs typeface="+mn-cs"/>
            </a:rPr>
            <a:t>Template</a:t>
          </a:r>
        </a:p>
      </dgm:t>
    </dgm:pt>
    <dgm:pt modelId="{5958BFD3-1EBB-458E-A0BE-49107E5BDFEE}" type="parTrans" cxnId="{38C62016-33BA-4D04-811C-D99D4185ED08}">
      <dgm:prSet/>
      <dgm:spPr/>
      <dgm:t>
        <a:bodyPr/>
        <a:lstStyle/>
        <a:p>
          <a:endParaRPr lang="en-AU"/>
        </a:p>
      </dgm:t>
    </dgm:pt>
    <dgm:pt modelId="{8FD1725B-35C1-4A49-9726-CB36C6049817}" type="sibTrans" cxnId="{38C62016-33BA-4D04-811C-D99D4185ED08}">
      <dgm:prSet/>
      <dgm:spPr/>
      <dgm:t>
        <a:bodyPr/>
        <a:lstStyle/>
        <a:p>
          <a:endParaRPr lang="en-AU"/>
        </a:p>
      </dgm:t>
    </dgm:pt>
    <dgm:pt modelId="{44552157-C5F3-4341-BE05-3C87836462B6}">
      <dgm:prSet phldrT="[Text]" custT="1"/>
      <dgm:spPr>
        <a:xfrm rot="5400000">
          <a:off x="3352085" y="-1642431"/>
          <a:ext cx="413386"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None/>
          </a:pPr>
          <a:r>
            <a:rPr lang="en-AU" sz="1000">
              <a:solidFill>
                <a:sysClr val="windowText" lastClr="000000">
                  <a:hueOff val="0"/>
                  <a:satOff val="0"/>
                  <a:lumOff val="0"/>
                  <a:alphaOff val="0"/>
                </a:sysClr>
              </a:solidFill>
              <a:latin typeface="Arial" panose="020B0604020202020204"/>
              <a:ea typeface="+mn-ea"/>
              <a:cs typeface="+mn-cs"/>
            </a:rPr>
            <a:t>‘Table 1.1’ tab of the Excel Tables workbook (Attachment B). </a:t>
          </a:r>
          <a:endParaRPr lang="en-AU" sz="900">
            <a:solidFill>
              <a:sysClr val="windowText" lastClr="000000">
                <a:hueOff val="0"/>
                <a:satOff val="0"/>
                <a:lumOff val="0"/>
                <a:alphaOff val="0"/>
              </a:sysClr>
            </a:solidFill>
            <a:latin typeface="Arial" panose="020B0604020202020204"/>
            <a:ea typeface="+mn-ea"/>
            <a:cs typeface="+mn-cs"/>
          </a:endParaRPr>
        </a:p>
      </dgm:t>
    </dgm:pt>
    <dgm:pt modelId="{38263DE3-E80C-49DF-9158-E22D6B524B7E}" type="parTrans" cxnId="{7E593BD3-2ACE-4CE2-84C4-70B54E508FAA}">
      <dgm:prSet/>
      <dgm:spPr/>
      <dgm:t>
        <a:bodyPr/>
        <a:lstStyle/>
        <a:p>
          <a:endParaRPr lang="en-AU"/>
        </a:p>
      </dgm:t>
    </dgm:pt>
    <dgm:pt modelId="{51FE6885-EBF8-4019-B3CC-3FF63125C401}" type="sibTrans" cxnId="{7E593BD3-2ACE-4CE2-84C4-70B54E508FAA}">
      <dgm:prSet/>
      <dgm:spPr/>
      <dgm:t>
        <a:bodyPr/>
        <a:lstStyle/>
        <a:p>
          <a:endParaRPr lang="en-AU"/>
        </a:p>
      </dgm:t>
    </dgm:pt>
    <dgm:pt modelId="{313DBB09-96F1-4822-B004-F445C74322C0}">
      <dgm:prSet custT="1"/>
      <dgm:spPr>
        <a:xfrm rot="5400000">
          <a:off x="3352085" y="-1642431"/>
          <a:ext cx="413386"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Char char="•"/>
          </a:pPr>
          <a:r>
            <a:rPr lang="en-AU" sz="1000">
              <a:solidFill>
                <a:sysClr val="windowText" lastClr="000000">
                  <a:hueOff val="0"/>
                  <a:satOff val="0"/>
                  <a:lumOff val="0"/>
                  <a:alphaOff val="0"/>
                </a:sysClr>
              </a:solidFill>
              <a:latin typeface="Arial" panose="020B0604020202020204"/>
              <a:ea typeface="+mn-ea"/>
              <a:cs typeface="+mn-cs"/>
            </a:rPr>
            <a:t>There is a template for non-corporate Commonwealth entities (coloured green) and a template for corporate Commonwealth entities and Commonwealth companies (coloured red).</a:t>
          </a:r>
        </a:p>
      </dgm:t>
    </dgm:pt>
    <dgm:pt modelId="{6E4889B1-4F16-4263-B184-BC523615391C}" type="parTrans" cxnId="{C9278168-8A3D-49A9-ACB8-930832A41755}">
      <dgm:prSet/>
      <dgm:spPr/>
      <dgm:t>
        <a:bodyPr/>
        <a:lstStyle/>
        <a:p>
          <a:endParaRPr lang="en-AU"/>
        </a:p>
      </dgm:t>
    </dgm:pt>
    <dgm:pt modelId="{91F5C21C-D372-4A39-8FCB-300EE83F7F5E}" type="sibTrans" cxnId="{C9278168-8A3D-49A9-ACB8-930832A41755}">
      <dgm:prSet/>
      <dgm:spPr/>
      <dgm:t>
        <a:bodyPr/>
        <a:lstStyle/>
        <a:p>
          <a:endParaRPr lang="en-AU"/>
        </a:p>
      </dgm:t>
    </dgm:pt>
    <dgm:pt modelId="{1F2B64E9-BC0B-4E6D-B634-32D02C2A0B3B}">
      <dgm:prSet phldrT="[Text]" custT="1"/>
      <dgm:spPr>
        <a:xfrm rot="5400000">
          <a:off x="3352085" y="-1642431"/>
          <a:ext cx="413386" cy="4321182"/>
        </a:xfr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buNone/>
          </a:pPr>
          <a:endParaRPr lang="en-AU" sz="900">
            <a:solidFill>
              <a:sysClr val="windowText" lastClr="000000">
                <a:hueOff val="0"/>
                <a:satOff val="0"/>
                <a:lumOff val="0"/>
                <a:alphaOff val="0"/>
              </a:sysClr>
            </a:solidFill>
            <a:latin typeface="Arial" panose="020B0604020202020204"/>
            <a:ea typeface="+mn-ea"/>
            <a:cs typeface="+mn-cs"/>
          </a:endParaRPr>
        </a:p>
      </dgm:t>
    </dgm:pt>
    <dgm:pt modelId="{DB1E0C00-1602-47D6-9443-769886CD8EB4}" type="parTrans" cxnId="{0656A895-B1B0-478C-8258-01261BB3A9A4}">
      <dgm:prSet/>
      <dgm:spPr/>
      <dgm:t>
        <a:bodyPr/>
        <a:lstStyle/>
        <a:p>
          <a:endParaRPr lang="en-AU"/>
        </a:p>
      </dgm:t>
    </dgm:pt>
    <dgm:pt modelId="{42BA0094-F626-4C13-90F7-2A2B4F191FB6}" type="sibTrans" cxnId="{0656A895-B1B0-478C-8258-01261BB3A9A4}">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C413C511-51F1-4D22-89D5-DE9398E530FF}" type="pres">
      <dgm:prSet presAssocID="{1A099D44-29DB-4F8B-8425-AD28E172EAD6}" presName="linNode" presStyleCnt="0"/>
      <dgm:spPr/>
    </dgm:pt>
    <dgm:pt modelId="{15523528-9E14-462D-B95A-04233C9C0CD9}" type="pres">
      <dgm:prSet presAssocID="{1A099D44-29DB-4F8B-8425-AD28E172EAD6}" presName="parentText" presStyleLbl="node1" presStyleIdx="0" presStyleCnt="1" custScaleX="61019" custScaleY="63877">
        <dgm:presLayoutVars>
          <dgm:chMax val="1"/>
          <dgm:bulletEnabled val="1"/>
        </dgm:presLayoutVars>
      </dgm:prSet>
      <dgm:spPr/>
    </dgm:pt>
    <dgm:pt modelId="{54E4E918-C8B7-4E9E-9556-171B672104DF}" type="pres">
      <dgm:prSet presAssocID="{1A099D44-29DB-4F8B-8425-AD28E172EAD6}" presName="descendantText" presStyleLbl="alignAccFollowNode1" presStyleIdx="0" presStyleCnt="1" custScaleX="118968" custScaleY="77331">
        <dgm:presLayoutVars>
          <dgm:bulletEnabled val="1"/>
        </dgm:presLayoutVars>
      </dgm:prSet>
      <dgm:spPr>
        <a:prstGeom prst="round2SameRect">
          <a:avLst/>
        </a:prstGeom>
      </dgm:spPr>
    </dgm:pt>
  </dgm:ptLst>
  <dgm:cxnLst>
    <dgm:cxn modelId="{38C62016-33BA-4D04-811C-D99D4185ED08}" srcId="{F117F5C2-3138-4759-9BD1-D409123FAC52}" destId="{1A099D44-29DB-4F8B-8425-AD28E172EAD6}" srcOrd="0" destOrd="0" parTransId="{5958BFD3-1EBB-458E-A0BE-49107E5BDFEE}" sibTransId="{8FD1725B-35C1-4A49-9726-CB36C6049817}"/>
    <dgm:cxn modelId="{26965E22-CE19-4548-A081-CC8E6443EDF9}" type="presOf" srcId="{1F2B64E9-BC0B-4E6D-B634-32D02C2A0B3B}" destId="{54E4E918-C8B7-4E9E-9556-171B672104DF}" srcOrd="0" destOrd="1" presId="urn:microsoft.com/office/officeart/2005/8/layout/vList5"/>
    <dgm:cxn modelId="{C9278168-8A3D-49A9-ACB8-930832A41755}" srcId="{1A099D44-29DB-4F8B-8425-AD28E172EAD6}" destId="{313DBB09-96F1-4822-B004-F445C74322C0}" srcOrd="2" destOrd="0" parTransId="{6E4889B1-4F16-4263-B184-BC523615391C}" sibTransId="{91F5C21C-D372-4A39-8FCB-300EE83F7F5E}"/>
    <dgm:cxn modelId="{AA2CD170-957C-40D7-A75F-65655B24E133}" type="presOf" srcId="{F117F5C2-3138-4759-9BD1-D409123FAC52}" destId="{375D3B99-DEF6-492D-BEEF-42D3B560A4BB}" srcOrd="0" destOrd="0" presId="urn:microsoft.com/office/officeart/2005/8/layout/vList5"/>
    <dgm:cxn modelId="{0656A895-B1B0-478C-8258-01261BB3A9A4}" srcId="{1A099D44-29DB-4F8B-8425-AD28E172EAD6}" destId="{1F2B64E9-BC0B-4E6D-B634-32D02C2A0B3B}" srcOrd="1" destOrd="0" parTransId="{DB1E0C00-1602-47D6-9443-769886CD8EB4}" sibTransId="{42BA0094-F626-4C13-90F7-2A2B4F191FB6}"/>
    <dgm:cxn modelId="{2BC5949F-B710-431E-A9D3-C9809BBFDE7D}" type="presOf" srcId="{313DBB09-96F1-4822-B004-F445C74322C0}" destId="{54E4E918-C8B7-4E9E-9556-171B672104DF}" srcOrd="0" destOrd="2" presId="urn:microsoft.com/office/officeart/2005/8/layout/vList5"/>
    <dgm:cxn modelId="{4DEA10C7-966F-43A4-AB8F-8F170F6E599F}" type="presOf" srcId="{44552157-C5F3-4341-BE05-3C87836462B6}" destId="{54E4E918-C8B7-4E9E-9556-171B672104DF}" srcOrd="0" destOrd="0" presId="urn:microsoft.com/office/officeart/2005/8/layout/vList5"/>
    <dgm:cxn modelId="{7E593BD3-2ACE-4CE2-84C4-70B54E508FAA}" srcId="{1A099D44-29DB-4F8B-8425-AD28E172EAD6}" destId="{44552157-C5F3-4341-BE05-3C87836462B6}" srcOrd="0" destOrd="0" parTransId="{38263DE3-E80C-49DF-9158-E22D6B524B7E}" sibTransId="{51FE6885-EBF8-4019-B3CC-3FF63125C401}"/>
    <dgm:cxn modelId="{4ECB0AF8-BAE6-4A23-AA10-87569B2BEE52}" type="presOf" srcId="{1A099D44-29DB-4F8B-8425-AD28E172EAD6}" destId="{15523528-9E14-462D-B95A-04233C9C0CD9}" srcOrd="0" destOrd="0" presId="urn:microsoft.com/office/officeart/2005/8/layout/vList5"/>
    <dgm:cxn modelId="{FDCC0CE0-BB2A-495B-85AE-E280E36E0432}" type="presParOf" srcId="{375D3B99-DEF6-492D-BEEF-42D3B560A4BB}" destId="{C413C511-51F1-4D22-89D5-DE9398E530FF}" srcOrd="0" destOrd="0" presId="urn:microsoft.com/office/officeart/2005/8/layout/vList5"/>
    <dgm:cxn modelId="{3F452D45-404F-4198-92D8-13760F4069A0}" type="presParOf" srcId="{C413C511-51F1-4D22-89D5-DE9398E530FF}" destId="{15523528-9E14-462D-B95A-04233C9C0CD9}" srcOrd="0" destOrd="0" presId="urn:microsoft.com/office/officeart/2005/8/layout/vList5"/>
    <dgm:cxn modelId="{964281D1-3C53-48A0-8C49-C7428E03D57F}" type="presParOf" srcId="{C413C511-51F1-4D22-89D5-DE9398E530FF}" destId="{54E4E918-C8B7-4E9E-9556-171B672104DF}" srcOrd="1" destOrd="0" presId="urn:microsoft.com/office/officeart/2005/8/layout/vList5"/>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10467" y="795592"/>
          <a:ext cx="1257118" cy="286554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a:off x="2168356" y="49564"/>
          <a:ext cx="275605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a:t>
          </a:r>
          <a:r>
            <a:rPr lang="en-AU" sz="1000" i="0">
              <a:solidFill>
                <a:sysClr val="windowText" lastClr="000000">
                  <a:hueOff val="0"/>
                  <a:satOff val="0"/>
                  <a:lumOff val="0"/>
                  <a:alphaOff val="0"/>
                </a:sysClr>
              </a:solidFill>
              <a:latin typeface="Arial" panose="020B0604020202020204"/>
              <a:ea typeface="+mn-ea"/>
              <a:cs typeface="+mn-cs"/>
            </a:rPr>
            <a:t> </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1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F117F5C2-3138-4759-9BD1-D409123FAC5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AU"/>
        </a:p>
      </dgm:t>
    </dgm:pt>
    <dgm:pt modelId="{2270194F-3A05-46DD-A0CD-048B97FC2BCB}">
      <dgm:prSet phldrT="[Text]"/>
      <dgm:spPr>
        <a:xfrm>
          <a:off x="126305" y="167575"/>
          <a:ext cx="1337075" cy="188724"/>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Source of Information</a:t>
          </a:r>
        </a:p>
      </dgm:t>
    </dgm:pt>
    <dgm:pt modelId="{981C9034-AA2B-43A4-B8BA-8246A3B819BB}" type="parTrans" cxnId="{35B28B0A-4359-462C-BD12-BCB4FB4F2068}">
      <dgm:prSet/>
      <dgm:spPr/>
      <dgm:t>
        <a:bodyPr/>
        <a:lstStyle/>
        <a:p>
          <a:endParaRPr lang="en-AU"/>
        </a:p>
      </dgm:t>
    </dgm:pt>
    <dgm:pt modelId="{1101C7EB-A21C-4DAB-92E4-057C79AF7F1C}" type="sibTrans" cxnId="{35B28B0A-4359-462C-BD12-BCB4FB4F2068}">
      <dgm:prSet/>
      <dgm:spPr/>
      <dgm:t>
        <a:bodyPr/>
        <a:lstStyle/>
        <a:p>
          <a:endParaRPr lang="en-AU"/>
        </a:p>
      </dgm:t>
    </dgm:pt>
    <dgm:pt modelId="{6857F668-AC16-4E59-8FEB-9CCA0283B430}">
      <dgm:prSet phldrT="[Text]" custT="1"/>
      <dgm:spPr>
        <a:xfrm rot="5400000" flipH="1">
          <a:off x="3507270" y="-1861043"/>
          <a:ext cx="158185"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gm:spPr>
      <dgm:t>
        <a:bodyPr/>
        <a:lstStyle/>
        <a:p>
          <a:pPr algn="l">
            <a:buNone/>
          </a:pPr>
          <a:r>
            <a:rPr lang="en-AU" sz="1000" i="0" u="sng">
              <a:solidFill>
                <a:sysClr val="windowText" lastClr="000000">
                  <a:hueOff val="0"/>
                  <a:satOff val="0"/>
                  <a:lumOff val="0"/>
                  <a:alphaOff val="0"/>
                </a:sysClr>
              </a:solidFill>
              <a:latin typeface="Arial" panose="020B0604020202020204"/>
              <a:ea typeface="+mn-ea"/>
              <a:cs typeface="+mn-cs"/>
            </a:rPr>
            <a:t>Appendix 1 CBMS Reports links</a:t>
          </a:r>
        </a:p>
      </dgm:t>
      <dgm:extLst>
        <a:ext uri="{E40237B7-FDA0-4F09-8148-C483321AD2D9}">
          <dgm14:cNvPr xmlns:dgm14="http://schemas.microsoft.com/office/drawing/2010/diagram" id="0" name="">
            <a:hlinkClick xmlns:r="http://schemas.openxmlformats.org/officeDocument/2006/relationships" r:id="rId1"/>
          </dgm14:cNvPr>
        </a:ext>
      </dgm:extLst>
    </dgm:pt>
    <dgm:pt modelId="{0B0F8220-5D65-42A7-81D5-73159F192A68}" type="parTrans" cxnId="{C76570C3-BC9A-4A45-8A40-714AE2DE8E76}">
      <dgm:prSet/>
      <dgm:spPr/>
      <dgm:t>
        <a:bodyPr/>
        <a:lstStyle/>
        <a:p>
          <a:endParaRPr lang="en-AU"/>
        </a:p>
      </dgm:t>
    </dgm:pt>
    <dgm:pt modelId="{25566C57-004B-4AE2-BAFB-C9C3031D82C7}" type="sibTrans" cxnId="{C76570C3-BC9A-4A45-8A40-714AE2DE8E76}">
      <dgm:prSet/>
      <dgm:spPr/>
      <dgm:t>
        <a:bodyPr/>
        <a:lstStyle/>
        <a:p>
          <a:endParaRPr lang="en-AU"/>
        </a:p>
      </dgm:t>
    </dgm:pt>
    <dgm:pt modelId="{375D3B99-DEF6-492D-BEEF-42D3B560A4BB}" type="pres">
      <dgm:prSet presAssocID="{F117F5C2-3138-4759-9BD1-D409123FAC52}" presName="Name0" presStyleCnt="0">
        <dgm:presLayoutVars>
          <dgm:dir/>
          <dgm:animLvl val="lvl"/>
          <dgm:resizeHandles val="exact"/>
        </dgm:presLayoutVars>
      </dgm:prSet>
      <dgm:spPr/>
    </dgm:pt>
    <dgm:pt modelId="{6B359094-4AE4-49B0-82CD-5419459CB846}" type="pres">
      <dgm:prSet presAssocID="{2270194F-3A05-46DD-A0CD-048B97FC2BCB}" presName="linNode" presStyleCnt="0"/>
      <dgm:spPr/>
    </dgm:pt>
    <dgm:pt modelId="{C64DF1C7-D61A-406A-AB60-FF06B2A44245}" type="pres">
      <dgm:prSet presAssocID="{2270194F-3A05-46DD-A0CD-048B97FC2BCB}" presName="parentText" presStyleLbl="node1" presStyleIdx="0" presStyleCnt="1" custScaleX="63645" custScaleY="36060">
        <dgm:presLayoutVars>
          <dgm:chMax val="1"/>
          <dgm:bulletEnabled val="1"/>
        </dgm:presLayoutVars>
      </dgm:prSet>
      <dgm:spPr/>
    </dgm:pt>
    <dgm:pt modelId="{478632EF-AE70-4485-A945-610756A53A74}" type="pres">
      <dgm:prSet presAssocID="{2270194F-3A05-46DD-A0CD-048B97FC2BCB}" presName="descendantText" presStyleLbl="alignAccFollowNode1" presStyleIdx="0" presStyleCnt="1" custAng="10800000" custFlipHor="1" custScaleX="113686" custScaleY="37781">
        <dgm:presLayoutVars>
          <dgm:bulletEnabled val="1"/>
        </dgm:presLayoutVars>
      </dgm:prSet>
      <dgm:spPr>
        <a:prstGeom prst="round2SameRect">
          <a:avLst/>
        </a:prstGeom>
      </dgm:spPr>
    </dgm:pt>
  </dgm:ptLst>
  <dgm:cxnLst>
    <dgm:cxn modelId="{35B28B0A-4359-462C-BD12-BCB4FB4F2068}" srcId="{F117F5C2-3138-4759-9BD1-D409123FAC52}" destId="{2270194F-3A05-46DD-A0CD-048B97FC2BCB}" srcOrd="0" destOrd="0" parTransId="{981C9034-AA2B-43A4-B8BA-8246A3B819BB}" sibTransId="{1101C7EB-A21C-4DAB-92E4-057C79AF7F1C}"/>
    <dgm:cxn modelId="{201FE06E-5082-4EDF-8291-067FBB0D5721}" type="presOf" srcId="{6857F668-AC16-4E59-8FEB-9CCA0283B430}" destId="{478632EF-AE70-4485-A945-610756A53A74}" srcOrd="0" destOrd="0" presId="urn:microsoft.com/office/officeart/2005/8/layout/vList5"/>
    <dgm:cxn modelId="{AA2CD170-957C-40D7-A75F-65655B24E133}" type="presOf" srcId="{F117F5C2-3138-4759-9BD1-D409123FAC52}" destId="{375D3B99-DEF6-492D-BEEF-42D3B560A4BB}" srcOrd="0" destOrd="0" presId="urn:microsoft.com/office/officeart/2005/8/layout/vList5"/>
    <dgm:cxn modelId="{D4C818B5-AC1C-46B5-B22E-265A2347E016}" type="presOf" srcId="{2270194F-3A05-46DD-A0CD-048B97FC2BCB}" destId="{C64DF1C7-D61A-406A-AB60-FF06B2A44245}" srcOrd="0" destOrd="0" presId="urn:microsoft.com/office/officeart/2005/8/layout/vList5"/>
    <dgm:cxn modelId="{C76570C3-BC9A-4A45-8A40-714AE2DE8E76}" srcId="{2270194F-3A05-46DD-A0CD-048B97FC2BCB}" destId="{6857F668-AC16-4E59-8FEB-9CCA0283B430}" srcOrd="0" destOrd="0" parTransId="{0B0F8220-5D65-42A7-81D5-73159F192A68}" sibTransId="{25566C57-004B-4AE2-BAFB-C9C3031D82C7}"/>
    <dgm:cxn modelId="{5DB70833-6818-4848-AA51-F7F9AC04C80C}" type="presParOf" srcId="{375D3B99-DEF6-492D-BEEF-42D3B560A4BB}" destId="{6B359094-4AE4-49B0-82CD-5419459CB846}" srcOrd="0" destOrd="0" presId="urn:microsoft.com/office/officeart/2005/8/layout/vList5"/>
    <dgm:cxn modelId="{D30FC5E2-1767-41FF-967B-0E1ABA1AAECC}" type="presParOf" srcId="{6B359094-4AE4-49B0-82CD-5419459CB846}" destId="{C64DF1C7-D61A-406A-AB60-FF06B2A44245}" srcOrd="0" destOrd="0" presId="urn:microsoft.com/office/officeart/2005/8/layout/vList5"/>
    <dgm:cxn modelId="{C9169EE4-D2F7-46F5-ADB1-3D6B432DAB5D}" type="presParOf" srcId="{6B359094-4AE4-49B0-82CD-5419459CB846}" destId="{478632EF-AE70-4485-A945-610756A53A74}" srcOrd="1" destOrd="0" presId="urn:microsoft.com/office/officeart/2005/8/layout/vList5"/>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2FAF4-42F6-4D22-A0A4-55E8D2C9C856}">
      <dsp:nvSpPr>
        <dsp:cNvPr id="0" name=""/>
        <dsp:cNvSpPr/>
      </dsp:nvSpPr>
      <dsp:spPr>
        <a:xfrm>
          <a:off x="364712" y="609455"/>
          <a:ext cx="2204639" cy="128963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Budget Statements</a:t>
          </a:r>
        </a:p>
        <a:p>
          <a:pPr marL="0" lvl="0" indent="0" algn="ctr" defTabSz="444500">
            <a:lnSpc>
              <a:spcPct val="90000"/>
            </a:lnSpc>
            <a:spcBef>
              <a:spcPct val="0"/>
            </a:spcBef>
            <a:spcAft>
              <a:spcPct val="35000"/>
            </a:spcAft>
            <a:buNone/>
          </a:pPr>
          <a:r>
            <a:rPr lang="en-AU" sz="1000" kern="1200">
              <a:solidFill>
                <a:sysClr val="windowText" lastClr="000000"/>
              </a:solidFill>
            </a:rPr>
            <a:t>[PB Statements, Portfolio Additional Estimates Statements (PAES) and Portfolio Supplementary Additional Estimates Statements (PSAES)]</a:t>
          </a:r>
        </a:p>
        <a:p>
          <a:pPr marL="0" lvl="0" indent="0" algn="ctr" defTabSz="444500">
            <a:lnSpc>
              <a:spcPct val="90000"/>
            </a:lnSpc>
            <a:spcBef>
              <a:spcPct val="0"/>
            </a:spcBef>
            <a:spcAft>
              <a:spcPct val="35000"/>
            </a:spcAft>
            <a:buFont typeface="Symbol" panose="05050102010706020507" pitchFamily="18" charset="2"/>
            <a:buNone/>
          </a:pPr>
          <a:r>
            <a:rPr lang="en-AU" sz="1000" kern="1200">
              <a:solidFill>
                <a:sysClr val="windowText" lastClr="000000"/>
              </a:solidFill>
            </a:rPr>
            <a:t>Appropriations available/</a:t>
          </a:r>
          <a:r>
            <a:rPr lang="en-AU" sz="1000" kern="1200" baseline="0">
              <a:solidFill>
                <a:sysClr val="windowText" lastClr="000000"/>
              </a:solidFill>
            </a:rPr>
            <a:t>received</a:t>
          </a:r>
          <a:r>
            <a:rPr lang="en-AU" sz="1000" kern="1200">
              <a:solidFill>
                <a:sysClr val="windowText" lastClr="000000"/>
              </a:solidFill>
            </a:rPr>
            <a:t>, budgeted financial information and performance measures</a:t>
          </a:r>
          <a:endParaRPr lang="en-AU" sz="1000" b="1" kern="1200">
            <a:solidFill>
              <a:sysClr val="windowText" lastClr="000000"/>
            </a:solidFill>
          </a:endParaRPr>
        </a:p>
      </dsp:txBody>
      <dsp:txXfrm>
        <a:off x="402484" y="647227"/>
        <a:ext cx="2129095" cy="1214094"/>
      </dsp:txXfrm>
    </dsp:sp>
    <dsp:sp modelId="{32B296CF-3F30-4F35-93DF-26BD302FD3D8}">
      <dsp:nvSpPr>
        <dsp:cNvPr id="0" name=""/>
        <dsp:cNvSpPr/>
      </dsp:nvSpPr>
      <dsp:spPr>
        <a:xfrm rot="3801">
          <a:off x="2613289" y="1104370"/>
          <a:ext cx="1079768" cy="275736"/>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b="1" kern="1200">
            <a:solidFill>
              <a:sysClr val="windowText" lastClr="000000"/>
            </a:solidFill>
          </a:endParaRPr>
        </a:p>
      </dsp:txBody>
      <dsp:txXfrm>
        <a:off x="2696010" y="1159517"/>
        <a:ext cx="914326" cy="165442"/>
      </dsp:txXfrm>
    </dsp:sp>
    <dsp:sp modelId="{EC7DF04C-5427-4FE1-9D65-05F5F6929795}">
      <dsp:nvSpPr>
        <dsp:cNvPr id="0" name=""/>
        <dsp:cNvSpPr/>
      </dsp:nvSpPr>
      <dsp:spPr>
        <a:xfrm>
          <a:off x="3736994" y="844118"/>
          <a:ext cx="1648040" cy="77614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AU" sz="1000" b="1" kern="1200">
              <a:solidFill>
                <a:sysClr val="windowText" lastClr="000000"/>
              </a:solidFill>
            </a:rPr>
            <a:t>Corporate Plan</a:t>
          </a:r>
          <a:endParaRPr lang="en-AU" sz="1000" kern="1200">
            <a:solidFill>
              <a:sysClr val="windowText" lastClr="000000"/>
            </a:solidFill>
          </a:endParaRPr>
        </a:p>
        <a:p>
          <a:pPr marL="57150" lvl="1" indent="-57150" algn="l" defTabSz="444500">
            <a:lnSpc>
              <a:spcPct val="90000"/>
            </a:lnSpc>
            <a:spcBef>
              <a:spcPct val="0"/>
            </a:spcBef>
            <a:spcAft>
              <a:spcPct val="15000"/>
            </a:spcAft>
            <a:buFont typeface="Symbol" panose="05050102010706020507" pitchFamily="18" charset="2"/>
            <a:buChar char=""/>
          </a:pPr>
          <a:r>
            <a:rPr lang="en-AU" sz="1000" kern="1200">
              <a:solidFill>
                <a:sysClr val="windowText" lastClr="000000"/>
              </a:solidFill>
            </a:rPr>
            <a:t>Purpose</a:t>
          </a:r>
        </a:p>
        <a:p>
          <a:pPr marL="57150" lvl="1" indent="-57150" algn="l" defTabSz="444500">
            <a:lnSpc>
              <a:spcPct val="90000"/>
            </a:lnSpc>
            <a:spcBef>
              <a:spcPct val="0"/>
            </a:spcBef>
            <a:spcAft>
              <a:spcPct val="15000"/>
            </a:spcAft>
            <a:buFont typeface="Symbol" panose="05050102010706020507" pitchFamily="18" charset="2"/>
            <a:buChar char=""/>
          </a:pPr>
          <a:r>
            <a:rPr lang="en-AU" sz="1000" kern="1200">
              <a:solidFill>
                <a:sysClr val="windowText" lastClr="000000"/>
              </a:solidFill>
            </a:rPr>
            <a:t>Key activities</a:t>
          </a:r>
        </a:p>
        <a:p>
          <a:pPr marL="57150" lvl="1" indent="-57150" algn="l" defTabSz="444500">
            <a:lnSpc>
              <a:spcPct val="90000"/>
            </a:lnSpc>
            <a:spcBef>
              <a:spcPct val="0"/>
            </a:spcBef>
            <a:spcAft>
              <a:spcPct val="15000"/>
            </a:spcAft>
            <a:buFont typeface="Symbol" panose="05050102010706020507" pitchFamily="18" charset="2"/>
            <a:buChar char=""/>
          </a:pPr>
          <a:r>
            <a:rPr lang="en-AU" sz="1000" kern="1200">
              <a:solidFill>
                <a:sysClr val="windowText" lastClr="000000"/>
              </a:solidFill>
            </a:rPr>
            <a:t>Performance measures</a:t>
          </a:r>
        </a:p>
      </dsp:txBody>
      <dsp:txXfrm>
        <a:off x="3759726" y="866850"/>
        <a:ext cx="1602576" cy="730678"/>
      </dsp:txXfrm>
    </dsp:sp>
    <dsp:sp modelId="{655E335E-5305-47E8-AE6B-F67AB58EFE40}">
      <dsp:nvSpPr>
        <dsp:cNvPr id="0" name=""/>
        <dsp:cNvSpPr/>
      </dsp:nvSpPr>
      <dsp:spPr>
        <a:xfrm rot="2557328">
          <a:off x="3683518" y="1667064"/>
          <a:ext cx="328050" cy="587258"/>
        </a:xfrm>
        <a:prstGeom prst="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10800000">
        <a:off x="3781933" y="1784516"/>
        <a:ext cx="131220" cy="352354"/>
      </dsp:txXfrm>
    </dsp:sp>
    <dsp:sp modelId="{D7488B2F-B706-4F2A-A069-F0D1BB0A53F8}">
      <dsp:nvSpPr>
        <dsp:cNvPr id="0" name=""/>
        <dsp:cNvSpPr/>
      </dsp:nvSpPr>
      <dsp:spPr>
        <a:xfrm>
          <a:off x="1531726" y="2258924"/>
          <a:ext cx="2631970" cy="9063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baseline="0">
              <a:solidFill>
                <a:sysClr val="windowText" lastClr="000000"/>
              </a:solidFill>
            </a:rPr>
            <a:t>Annual Report</a:t>
          </a:r>
        </a:p>
        <a:p>
          <a:pPr marL="0" lvl="0" indent="0" algn="ctr" defTabSz="444500">
            <a:lnSpc>
              <a:spcPct val="90000"/>
            </a:lnSpc>
            <a:spcBef>
              <a:spcPct val="0"/>
            </a:spcBef>
            <a:spcAft>
              <a:spcPct val="35000"/>
            </a:spcAft>
            <a:buNone/>
          </a:pPr>
          <a:r>
            <a:rPr lang="en-AU" sz="1000" kern="1200" baseline="0">
              <a:solidFill>
                <a:sysClr val="windowText" lastClr="000000"/>
              </a:solidFill>
            </a:rPr>
            <a:t>[Includes annual performance statements]</a:t>
          </a:r>
        </a:p>
        <a:p>
          <a:pPr marL="0" lvl="0" indent="0" algn="ctr" defTabSz="444500">
            <a:lnSpc>
              <a:spcPct val="90000"/>
            </a:lnSpc>
            <a:spcBef>
              <a:spcPct val="0"/>
            </a:spcBef>
            <a:spcAft>
              <a:spcPct val="35000"/>
            </a:spcAft>
            <a:buFont typeface="Symbol" panose="05050102010706020507" pitchFamily="18" charset="2"/>
            <a:buNone/>
          </a:pPr>
          <a:r>
            <a:rPr lang="en-AU" sz="1000" kern="1200" baseline="0">
              <a:solidFill>
                <a:sysClr val="windowText" lastClr="000000"/>
              </a:solidFill>
            </a:rPr>
            <a:t>Use of appropriations, actual financial information and actual performance against measures</a:t>
          </a:r>
        </a:p>
      </dsp:txBody>
      <dsp:txXfrm>
        <a:off x="1558271" y="2285469"/>
        <a:ext cx="2578880" cy="853219"/>
      </dsp:txXfrm>
    </dsp:sp>
    <dsp:sp modelId="{8FFE737B-DB3F-4D72-BAE8-2748D20E0F48}">
      <dsp:nvSpPr>
        <dsp:cNvPr id="0" name=""/>
        <dsp:cNvSpPr/>
      </dsp:nvSpPr>
      <dsp:spPr>
        <a:xfrm rot="18533940">
          <a:off x="2014404" y="1867537"/>
          <a:ext cx="285586" cy="436488"/>
        </a:xfrm>
        <a:prstGeom prst="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10800000">
        <a:off x="2100080" y="1954835"/>
        <a:ext cx="114234" cy="261892"/>
      </dsp:txXfrm>
    </dsp:sp>
    <dsp:sp modelId="{2E36242C-4968-4EA8-BA07-D5641ED6FB38}">
      <dsp:nvSpPr>
        <dsp:cNvPr id="0" name=""/>
        <dsp:cNvSpPr/>
      </dsp:nvSpPr>
      <dsp:spPr>
        <a:xfrm>
          <a:off x="610919" y="22912"/>
          <a:ext cx="1772026" cy="2819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ysClr val="windowText" lastClr="000000"/>
              </a:solidFill>
            </a:rPr>
            <a:t>Annual Appropriation Acts</a:t>
          </a:r>
          <a:endParaRPr lang="en-AU" sz="1000" kern="1200">
            <a:solidFill>
              <a:sysClr val="windowText" lastClr="000000"/>
            </a:solidFill>
          </a:endParaRPr>
        </a:p>
      </dsp:txBody>
      <dsp:txXfrm>
        <a:off x="619177" y="31170"/>
        <a:ext cx="1755510" cy="265416"/>
      </dsp:txXfrm>
    </dsp:sp>
    <dsp:sp modelId="{2104AFA2-0D9F-49F6-A2FC-1583FB52D798}">
      <dsp:nvSpPr>
        <dsp:cNvPr id="0" name=""/>
        <dsp:cNvSpPr/>
      </dsp:nvSpPr>
      <dsp:spPr>
        <a:xfrm rot="10800000" flipV="1">
          <a:off x="1323740" y="355437"/>
          <a:ext cx="237079" cy="203429"/>
        </a:xfrm>
        <a:prstGeom prst="down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AU" sz="800" kern="1200"/>
        </a:p>
      </dsp:txBody>
      <dsp:txXfrm rot="10800000">
        <a:off x="1384769" y="396123"/>
        <a:ext cx="115021" cy="12205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05914" y="-1783417"/>
          <a:ext cx="294104"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1.2’ tab of the Excel Tables workbook (Attachment B).</a:t>
          </a:r>
        </a:p>
      </dsp:txBody>
      <dsp:txXfrm rot="-5400000">
        <a:off x="1392376" y="244478"/>
        <a:ext cx="4306825" cy="265390"/>
      </dsp:txXfrm>
    </dsp:sp>
    <dsp:sp modelId="{15523528-9E14-462D-B95A-04233C9C0CD9}">
      <dsp:nvSpPr>
        <dsp:cNvPr id="0" name=""/>
        <dsp:cNvSpPr/>
      </dsp:nvSpPr>
      <dsp:spPr>
        <a:xfrm>
          <a:off x="110467" y="224305"/>
          <a:ext cx="1281907" cy="30573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solidFill>
              <a:latin typeface="Arial" panose="020B0604020202020204"/>
              <a:ea typeface="+mn-ea"/>
              <a:cs typeface="+mn-cs"/>
            </a:rPr>
            <a:t>Template</a:t>
          </a:r>
        </a:p>
      </dsp:txBody>
      <dsp:txXfrm>
        <a:off x="125392" y="239230"/>
        <a:ext cx="1252057" cy="275886"/>
      </dsp:txXfrm>
    </dsp:sp>
    <dsp:sp modelId="{478632EF-AE70-4485-A945-610756A53A74}">
      <dsp:nvSpPr>
        <dsp:cNvPr id="0" name=""/>
        <dsp:cNvSpPr/>
      </dsp:nvSpPr>
      <dsp:spPr>
        <a:xfrm rot="5400000">
          <a:off x="3115699" y="-1133121"/>
          <a:ext cx="861368"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To confirm the correct amounts for a budget measure, refer to the costing agreement provided by your AAU. Titles of measures are to be confirmed against the final agreed measures list distributed by the relevant AAU to the lead portfolio departments.</a:t>
          </a:r>
        </a:p>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Information to be included in this table may also be taken from estimates adjustments for measures (i.e., those entered against the reason code ‘Government decision or measure’) in CBMS.</a:t>
          </a:r>
        </a:p>
      </dsp:txBody>
      <dsp:txXfrm rot="-5400000">
        <a:off x="1367586" y="657041"/>
        <a:ext cx="4315547" cy="777270"/>
      </dsp:txXfrm>
    </dsp:sp>
    <dsp:sp modelId="{C64DF1C7-D61A-406A-AB60-FF06B2A44245}">
      <dsp:nvSpPr>
        <dsp:cNvPr id="0" name=""/>
        <dsp:cNvSpPr/>
      </dsp:nvSpPr>
      <dsp:spPr>
        <a:xfrm>
          <a:off x="110467" y="614995"/>
          <a:ext cx="1257118" cy="86136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marL="0" lvl="0" indent="0" algn="ctr" defTabSz="711200">
            <a:lnSpc>
              <a:spcPct val="90000"/>
            </a:lnSpc>
            <a:spcBef>
              <a:spcPct val="0"/>
            </a:spcBef>
            <a:spcAft>
              <a:spcPct val="35000"/>
            </a:spcAft>
            <a:buNone/>
          </a:pPr>
          <a:r>
            <a:rPr lang="en-AU" sz="1600" kern="1200">
              <a:solidFill>
                <a:sysClr val="windowText" lastClr="000000"/>
              </a:solidFill>
              <a:latin typeface="Arial" panose="020B0604020202020204"/>
              <a:ea typeface="+mn-ea"/>
              <a:cs typeface="+mn-cs"/>
            </a:rPr>
            <a:t>Source of Information</a:t>
          </a:r>
        </a:p>
      </dsp:txBody>
      <dsp:txXfrm>
        <a:off x="152515" y="657043"/>
        <a:ext cx="1173022" cy="77726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273393" y="-1770369"/>
          <a:ext cx="57077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2.X.1’ tab of the Excel Tables workbook (Attachment B).</a:t>
          </a:r>
        </a:p>
        <a:p>
          <a:pPr marL="57150" lvl="1" indent="-57150" algn="l" defTabSz="400050">
            <a:lnSpc>
              <a:spcPct val="90000"/>
            </a:lnSpc>
            <a:spcBef>
              <a:spcPct val="0"/>
            </a:spcBef>
            <a:spcAft>
              <a:spcPct val="15000"/>
            </a:spcAft>
            <a:buChar char="•"/>
          </a:pPr>
          <a:r>
            <a:rPr lang="en-AU" sz="900" kern="1200"/>
            <a:t>There is a template for non-corporate Commonwealth entities (coloured green) and a template for corporate Commonwealth entities and Commonwealth companies (coloured red).</a:t>
          </a:r>
          <a:endParaRPr lang="en-AU" sz="900" kern="1200">
            <a:solidFill>
              <a:sysClr val="windowText" lastClr="000000">
                <a:hueOff val="0"/>
                <a:satOff val="0"/>
                <a:lumOff val="0"/>
                <a:alphaOff val="0"/>
              </a:sysClr>
            </a:solidFill>
            <a:latin typeface="Arial" panose="020B0604020202020204"/>
            <a:ea typeface="+mn-ea"/>
            <a:cs typeface="+mn-cs"/>
          </a:endParaRPr>
        </a:p>
      </dsp:txBody>
      <dsp:txXfrm rot="-5400000">
        <a:off x="1398188" y="132699"/>
        <a:ext cx="4293319" cy="515044"/>
      </dsp:txXfrm>
    </dsp:sp>
    <dsp:sp modelId="{15523528-9E14-462D-B95A-04233C9C0CD9}">
      <dsp:nvSpPr>
        <dsp:cNvPr id="0" name=""/>
        <dsp:cNvSpPr/>
      </dsp:nvSpPr>
      <dsp:spPr>
        <a:xfrm>
          <a:off x="116279" y="99014"/>
          <a:ext cx="1281907" cy="58241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marL="0" lvl="0" indent="0" algn="ctr" defTabSz="889000">
            <a:lnSpc>
              <a:spcPct val="90000"/>
            </a:lnSpc>
            <a:spcBef>
              <a:spcPct val="0"/>
            </a:spcBef>
            <a:spcAft>
              <a:spcPct val="35000"/>
            </a:spcAft>
            <a:buNone/>
          </a:pPr>
          <a:r>
            <a:rPr lang="en-AU" sz="2000" kern="1200">
              <a:solidFill>
                <a:sysClr val="windowText" lastClr="000000"/>
              </a:solidFill>
              <a:latin typeface="Arial" panose="020B0604020202020204"/>
              <a:ea typeface="+mn-ea"/>
              <a:cs typeface="+mn-cs"/>
            </a:rPr>
            <a:t>Template</a:t>
          </a:r>
        </a:p>
      </dsp:txBody>
      <dsp:txXfrm>
        <a:off x="144710" y="127445"/>
        <a:ext cx="1225045" cy="525551"/>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30419" y="-1898501"/>
          <a:ext cx="256718"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2.X.2’ tab of the Excel Tables workbook (Attachment B). Optional worksheet.</a:t>
          </a:r>
        </a:p>
      </dsp:txBody>
      <dsp:txXfrm rot="-5400000">
        <a:off x="1398187" y="146263"/>
        <a:ext cx="4308650" cy="231654"/>
      </dsp:txXfrm>
    </dsp:sp>
    <dsp:sp modelId="{15523528-9E14-462D-B95A-04233C9C0CD9}">
      <dsp:nvSpPr>
        <dsp:cNvPr id="0" name=""/>
        <dsp:cNvSpPr/>
      </dsp:nvSpPr>
      <dsp:spPr>
        <a:xfrm>
          <a:off x="116279" y="136896"/>
          <a:ext cx="1281907" cy="25038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latin typeface="Arial" panose="020B0604020202020204"/>
              <a:ea typeface="+mn-ea"/>
              <a:cs typeface="+mn-cs"/>
            </a:rPr>
            <a:t>Template</a:t>
          </a:r>
        </a:p>
      </dsp:txBody>
      <dsp:txXfrm>
        <a:off x="128502" y="149119"/>
        <a:ext cx="1257461" cy="22594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430419" y="-1898501"/>
          <a:ext cx="256718"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‘Table 2.X.3’ tab of the Word templates (Attachment C). </a:t>
          </a:r>
        </a:p>
      </dsp:txBody>
      <dsp:txXfrm rot="-5400000">
        <a:off x="1398187" y="146263"/>
        <a:ext cx="4308650" cy="231654"/>
      </dsp:txXfrm>
    </dsp:sp>
    <dsp:sp modelId="{15523528-9E14-462D-B95A-04233C9C0CD9}">
      <dsp:nvSpPr>
        <dsp:cNvPr id="0" name=""/>
        <dsp:cNvSpPr/>
      </dsp:nvSpPr>
      <dsp:spPr>
        <a:xfrm>
          <a:off x="116279" y="136896"/>
          <a:ext cx="1281907" cy="250386"/>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AU" sz="1300" kern="1200">
              <a:solidFill>
                <a:sysClr val="windowText" lastClr="000000"/>
              </a:solidFill>
              <a:latin typeface="Arial" panose="020B0604020202020204"/>
              <a:ea typeface="+mn-ea"/>
              <a:cs typeface="+mn-cs"/>
            </a:rPr>
            <a:t>Template</a:t>
          </a:r>
        </a:p>
      </dsp:txBody>
      <dsp:txXfrm>
        <a:off x="128502" y="149119"/>
        <a:ext cx="1257461" cy="22594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75199" y="-1814032"/>
          <a:ext cx="355533"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templates in "Attachment B" to prepare their PB Statements document for publication.</a:t>
          </a:r>
        </a:p>
      </dsp:txBody>
      <dsp:txXfrm rot="-5400000">
        <a:off x="1392375" y="186148"/>
        <a:ext cx="4303826" cy="320821"/>
      </dsp:txXfrm>
    </dsp:sp>
    <dsp:sp modelId="{15523528-9E14-462D-B95A-04233C9C0CD9}">
      <dsp:nvSpPr>
        <dsp:cNvPr id="0" name=""/>
        <dsp:cNvSpPr/>
      </dsp:nvSpPr>
      <dsp:spPr>
        <a:xfrm>
          <a:off x="110467" y="157142"/>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75635"/>
        <a:ext cx="1244921" cy="341846"/>
      </dsp:txXfrm>
    </dsp:sp>
    <dsp:sp modelId="{478632EF-AE70-4485-A945-610756A53A74}">
      <dsp:nvSpPr>
        <dsp:cNvPr id="0" name=""/>
        <dsp:cNvSpPr/>
      </dsp:nvSpPr>
      <dsp:spPr>
        <a:xfrm rot="5400000" flipH="1">
          <a:off x="3450864" y="-1487941"/>
          <a:ext cx="191038"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367585" y="604664"/>
        <a:ext cx="4348270" cy="172386"/>
      </dsp:txXfrm>
    </dsp:sp>
    <dsp:sp modelId="{C64DF1C7-D61A-406A-AB60-FF06B2A44245}">
      <dsp:nvSpPr>
        <dsp:cNvPr id="0" name=""/>
        <dsp:cNvSpPr/>
      </dsp:nvSpPr>
      <dsp:spPr>
        <a:xfrm>
          <a:off x="110467" y="583686"/>
          <a:ext cx="1257118" cy="214340"/>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0930" y="594149"/>
        <a:ext cx="1236192" cy="19341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52034" y="-1843155"/>
          <a:ext cx="401863"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3.1 tab template in "Attachment B" to prepare their PB Statements document for publication.</a:t>
          </a:r>
        </a:p>
      </dsp:txBody>
      <dsp:txXfrm rot="-5400000">
        <a:off x="1392375" y="136121"/>
        <a:ext cx="4301565" cy="362629"/>
      </dsp:txXfrm>
    </dsp:sp>
    <dsp:sp modelId="{15523528-9E14-462D-B95A-04233C9C0CD9}">
      <dsp:nvSpPr>
        <dsp:cNvPr id="0" name=""/>
        <dsp:cNvSpPr/>
      </dsp:nvSpPr>
      <dsp:spPr>
        <a:xfrm>
          <a:off x="110467" y="104850"/>
          <a:ext cx="1281907" cy="425169"/>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31222" y="125605"/>
        <a:ext cx="1240397" cy="383659"/>
      </dsp:txXfrm>
    </dsp:sp>
    <dsp:sp modelId="{478632EF-AE70-4485-A945-610756A53A74}">
      <dsp:nvSpPr>
        <dsp:cNvPr id="0" name=""/>
        <dsp:cNvSpPr/>
      </dsp:nvSpPr>
      <dsp:spPr>
        <a:xfrm rot="5400000" flipH="1">
          <a:off x="3427566" y="-1464772"/>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Comprehensive income statement (showing net cost of services) reports links</a:t>
          </a:r>
        </a:p>
      </dsp:txBody>
      <dsp:txXfrm rot="-5400000">
        <a:off x="1367586" y="606808"/>
        <a:ext cx="4345996" cy="214435"/>
      </dsp:txXfrm>
    </dsp:sp>
    <dsp:sp modelId="{C64DF1C7-D61A-406A-AB60-FF06B2A44245}">
      <dsp:nvSpPr>
        <dsp:cNvPr id="0" name=""/>
        <dsp:cNvSpPr/>
      </dsp:nvSpPr>
      <dsp:spPr>
        <a:xfrm>
          <a:off x="110467" y="577732"/>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91039"/>
        <a:ext cx="1230504" cy="24597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3.2 tab template in "Attachment B"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Budgeted departmental balance sheet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3.3 tab template in "Attachment B"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Departmental statement of changes in equity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3.4 tab template in "Attachment B"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Budgeted departmental statement of cash flows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72623" y="-1851520"/>
          <a:ext cx="360687" cy="432118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t>‘Figure 1’ tab of the Excel Tables workbook (Attachment B).</a:t>
          </a:r>
        </a:p>
      </dsp:txBody>
      <dsp:txXfrm rot="-5400000">
        <a:off x="1392376" y="146334"/>
        <a:ext cx="4303575" cy="325473"/>
      </dsp:txXfrm>
    </dsp:sp>
    <dsp:sp modelId="{15523528-9E14-462D-B95A-04233C9C0CD9}">
      <dsp:nvSpPr>
        <dsp:cNvPr id="0" name=""/>
        <dsp:cNvSpPr/>
      </dsp:nvSpPr>
      <dsp:spPr>
        <a:xfrm>
          <a:off x="110467" y="100787"/>
          <a:ext cx="1281907" cy="41656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Template</a:t>
          </a:r>
        </a:p>
      </dsp:txBody>
      <dsp:txXfrm>
        <a:off x="130802" y="121122"/>
        <a:ext cx="1241237" cy="375897"/>
      </dsp:txXfrm>
    </dsp:sp>
    <dsp:sp modelId="{478632EF-AE70-4485-A945-610756A53A74}">
      <dsp:nvSpPr>
        <dsp:cNvPr id="0" name=""/>
        <dsp:cNvSpPr/>
      </dsp:nvSpPr>
      <dsp:spPr>
        <a:xfrm rot="5400000">
          <a:off x="3370174" y="-1426268"/>
          <a:ext cx="352418" cy="435759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t>See Appendix 1 in this Guide</a:t>
          </a:r>
        </a:p>
      </dsp:txBody>
      <dsp:txXfrm rot="-5400000">
        <a:off x="1367585" y="593525"/>
        <a:ext cx="4340392" cy="318010"/>
      </dsp:txXfrm>
    </dsp:sp>
    <dsp:sp modelId="{C64DF1C7-D61A-406A-AB60-FF06B2A44245}">
      <dsp:nvSpPr>
        <dsp:cNvPr id="0" name=""/>
        <dsp:cNvSpPr/>
      </dsp:nvSpPr>
      <dsp:spPr>
        <a:xfrm>
          <a:off x="110467" y="569139"/>
          <a:ext cx="1257118" cy="36678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rPr>
            <a:t>Source of Information</a:t>
          </a:r>
        </a:p>
      </dsp:txBody>
      <dsp:txXfrm>
        <a:off x="128372" y="587044"/>
        <a:ext cx="1221308" cy="330971"/>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3.5 tab template in "Attachment B"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Departmental capital budget statement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3.6 tab template in "Attachment B"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Departmental statement of asset movements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69451" y="-1843155"/>
          <a:ext cx="367030" cy="432118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kern="1200">
              <a:solidFill>
                <a:sysClr val="windowText" lastClr="000000">
                  <a:hueOff val="0"/>
                  <a:satOff val="0"/>
                  <a:lumOff val="0"/>
                  <a:alphaOff val="0"/>
                </a:sysClr>
              </a:solidFill>
              <a:latin typeface="Arial" panose="020B0604020202020204"/>
              <a:ea typeface="+mn-ea"/>
              <a:cs typeface="+mn-cs"/>
            </a:rPr>
            <a:t>Entities must use the Excel Table templates in "Attachment B" to prepare their PB Statements document for publication.</a:t>
          </a:r>
        </a:p>
      </dsp:txBody>
      <dsp:txXfrm rot="-5400000">
        <a:off x="1392376" y="151837"/>
        <a:ext cx="4303265" cy="331196"/>
      </dsp:txXfrm>
    </dsp:sp>
    <dsp:sp modelId="{15523528-9E14-462D-B95A-04233C9C0CD9}">
      <dsp:nvSpPr>
        <dsp:cNvPr id="0" name=""/>
        <dsp:cNvSpPr/>
      </dsp:nvSpPr>
      <dsp:spPr>
        <a:xfrm>
          <a:off x="110467" y="128019"/>
          <a:ext cx="1281907" cy="37883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Template</a:t>
          </a:r>
        </a:p>
      </dsp:txBody>
      <dsp:txXfrm>
        <a:off x="128960" y="146512"/>
        <a:ext cx="1244921" cy="341846"/>
      </dsp:txXfrm>
    </dsp:sp>
    <dsp:sp modelId="{478632EF-AE70-4485-A945-610756A53A74}">
      <dsp:nvSpPr>
        <dsp:cNvPr id="0" name=""/>
        <dsp:cNvSpPr/>
      </dsp:nvSpPr>
      <dsp:spPr>
        <a:xfrm rot="5400000" flipH="1">
          <a:off x="3427566" y="-1487941"/>
          <a:ext cx="237635" cy="4357596"/>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AU" sz="900" u="sng" kern="1200">
              <a:solidFill>
                <a:sysClr val="windowText" lastClr="000000">
                  <a:hueOff val="0"/>
                  <a:satOff val="0"/>
                  <a:lumOff val="0"/>
                  <a:alphaOff val="0"/>
                </a:sysClr>
              </a:solidFill>
              <a:latin typeface="Arial" panose="020B0604020202020204"/>
              <a:ea typeface="+mn-ea"/>
              <a:cs typeface="+mn-cs"/>
            </a:rPr>
            <a:t>Appendix 1 Administered financial statements reports links</a:t>
          </a:r>
        </a:p>
      </dsp:txBody>
      <dsp:txXfrm rot="-5400000">
        <a:off x="1367586" y="583639"/>
        <a:ext cx="4345996" cy="214435"/>
      </dsp:txXfrm>
    </dsp:sp>
    <dsp:sp modelId="{C64DF1C7-D61A-406A-AB60-FF06B2A44245}">
      <dsp:nvSpPr>
        <dsp:cNvPr id="0" name=""/>
        <dsp:cNvSpPr/>
      </dsp:nvSpPr>
      <dsp:spPr>
        <a:xfrm>
          <a:off x="110467" y="554563"/>
          <a:ext cx="1257118" cy="272587"/>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latin typeface="Arial" panose="020B0604020202020204"/>
              <a:ea typeface="+mn-ea"/>
              <a:cs typeface="+mn-cs"/>
            </a:rPr>
            <a:t>Source of Information</a:t>
          </a:r>
        </a:p>
      </dsp:txBody>
      <dsp:txXfrm>
        <a:off x="123774" y="567870"/>
        <a:ext cx="1230504" cy="24597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E4E918-C8B7-4E9E-9556-171B672104DF}">
      <dsp:nvSpPr>
        <dsp:cNvPr id="0" name=""/>
        <dsp:cNvSpPr/>
      </dsp:nvSpPr>
      <dsp:spPr>
        <a:xfrm rot="5400000">
          <a:off x="3356289" y="-1739290"/>
          <a:ext cx="716323" cy="4637597"/>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kern="1200">
              <a:solidFill>
                <a:sysClr val="windowText" lastClr="000000">
                  <a:hueOff val="0"/>
                  <a:satOff val="0"/>
                  <a:lumOff val="0"/>
                  <a:alphaOff val="0"/>
                </a:sysClr>
              </a:solidFill>
              <a:latin typeface="Arial" panose="020B0604020202020204"/>
              <a:ea typeface="+mn-ea"/>
              <a:cs typeface="+mn-cs"/>
            </a:rPr>
            <a:t>‘Table 1.1’ tab of the Excel Tables workbook (Attachment B). </a:t>
          </a:r>
          <a:endParaRPr lang="en-AU" sz="900" kern="1200">
            <a:solidFill>
              <a:sysClr val="windowText" lastClr="000000">
                <a:hueOff val="0"/>
                <a:satOff val="0"/>
                <a:lumOff val="0"/>
                <a:alphaOff val="0"/>
              </a:sysClr>
            </a:solidFill>
            <a:latin typeface="Arial" panose="020B0604020202020204"/>
            <a:ea typeface="+mn-ea"/>
            <a:cs typeface="+mn-cs"/>
          </a:endParaRPr>
        </a:p>
        <a:p>
          <a:pPr marL="57150" lvl="1" indent="-57150" algn="l" defTabSz="400050">
            <a:lnSpc>
              <a:spcPct val="90000"/>
            </a:lnSpc>
            <a:spcBef>
              <a:spcPct val="0"/>
            </a:spcBef>
            <a:spcAft>
              <a:spcPct val="15000"/>
            </a:spcAft>
            <a:buNone/>
          </a:pPr>
          <a:endParaRPr lang="en-AU" sz="900" kern="1200">
            <a:solidFill>
              <a:sysClr val="windowText" lastClr="000000">
                <a:hueOff val="0"/>
                <a:satOff val="0"/>
                <a:lumOff val="0"/>
                <a:alphaOff val="0"/>
              </a:sysClr>
            </a:solidFill>
            <a:latin typeface="Arial" panose="020B0604020202020204"/>
            <a:ea typeface="+mn-ea"/>
            <a:cs typeface="+mn-cs"/>
          </a:endParaRPr>
        </a:p>
        <a:p>
          <a:pPr marL="57150" lvl="1" indent="-57150" algn="l" defTabSz="444500">
            <a:lnSpc>
              <a:spcPct val="90000"/>
            </a:lnSpc>
            <a:spcBef>
              <a:spcPct val="0"/>
            </a:spcBef>
            <a:spcAft>
              <a:spcPct val="15000"/>
            </a:spcAft>
            <a:buChar char="•"/>
          </a:pPr>
          <a:r>
            <a:rPr lang="en-AU" sz="1000" kern="1200">
              <a:solidFill>
                <a:sysClr val="windowText" lastClr="000000">
                  <a:hueOff val="0"/>
                  <a:satOff val="0"/>
                  <a:lumOff val="0"/>
                  <a:alphaOff val="0"/>
                </a:sysClr>
              </a:solidFill>
              <a:latin typeface="Arial" panose="020B0604020202020204"/>
              <a:ea typeface="+mn-ea"/>
              <a:cs typeface="+mn-cs"/>
            </a:rPr>
            <a:t>There is a template for non-corporate Commonwealth entities (coloured green) and a template for corporate Commonwealth entities and Commonwealth companies (coloured red).</a:t>
          </a:r>
        </a:p>
      </dsp:txBody>
      <dsp:txXfrm rot="-5400000">
        <a:off x="1395652" y="256315"/>
        <a:ext cx="4602629" cy="646387"/>
      </dsp:txXfrm>
    </dsp:sp>
    <dsp:sp modelId="{15523528-9E14-462D-B95A-04233C9C0CD9}">
      <dsp:nvSpPr>
        <dsp:cNvPr id="0" name=""/>
        <dsp:cNvSpPr/>
      </dsp:nvSpPr>
      <dsp:spPr>
        <a:xfrm>
          <a:off x="57670" y="209697"/>
          <a:ext cx="1337982" cy="739622"/>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solidFill>
              <a:latin typeface="Arial" panose="020B0604020202020204"/>
              <a:ea typeface="+mn-ea"/>
              <a:cs typeface="+mn-cs"/>
            </a:rPr>
            <a:t>Template</a:t>
          </a:r>
        </a:p>
      </dsp:txBody>
      <dsp:txXfrm>
        <a:off x="93775" y="245802"/>
        <a:ext cx="1265772" cy="6674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a:t>
          </a:r>
          <a:r>
            <a:rPr lang="en-AU" sz="1000" i="0" kern="1200">
              <a:solidFill>
                <a:sysClr val="windowText" lastClr="000000">
                  <a:hueOff val="0"/>
                  <a:satOff val="0"/>
                  <a:lumOff val="0"/>
                  <a:alphaOff val="0"/>
                </a:sysClr>
              </a:solidFill>
              <a:latin typeface="Arial" panose="020B0604020202020204"/>
              <a:ea typeface="+mn-ea"/>
              <a:cs typeface="+mn-cs"/>
            </a:rPr>
            <a:t> </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8632EF-AE70-4485-A945-610756A53A74}">
      <dsp:nvSpPr>
        <dsp:cNvPr id="0" name=""/>
        <dsp:cNvSpPr/>
      </dsp:nvSpPr>
      <dsp:spPr>
        <a:xfrm rot="5400000" flipH="1">
          <a:off x="3507224" y="-1860892"/>
          <a:ext cx="158277" cy="4245962"/>
        </a:xfrm>
        <a:prstGeom prst="round2SameRect">
          <a:avLst/>
        </a:prstGeom>
        <a:solidFill>
          <a:srgbClr val="BDDCDF">
            <a:alpha val="90000"/>
            <a:tint val="40000"/>
            <a:hueOff val="0"/>
            <a:satOff val="0"/>
            <a:lumOff val="0"/>
            <a:alphaOff val="0"/>
          </a:srgbClr>
        </a:solidFill>
        <a:ln w="12700" cap="flat" cmpd="sng" algn="ctr">
          <a:solidFill>
            <a:srgbClr val="BDDCD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None/>
          </a:pPr>
          <a:r>
            <a:rPr lang="en-AU" sz="1000" i="0" u="sng" kern="1200">
              <a:solidFill>
                <a:sysClr val="windowText" lastClr="000000">
                  <a:hueOff val="0"/>
                  <a:satOff val="0"/>
                  <a:lumOff val="0"/>
                  <a:alphaOff val="0"/>
                </a:sysClr>
              </a:solidFill>
              <a:latin typeface="Arial" panose="020B0604020202020204"/>
              <a:ea typeface="+mn-ea"/>
              <a:cs typeface="+mn-cs"/>
            </a:rPr>
            <a:t>Appendix 1 CBMS Reports links</a:t>
          </a:r>
        </a:p>
      </dsp:txBody>
      <dsp:txXfrm rot="-5400000">
        <a:off x="1463382" y="190676"/>
        <a:ext cx="4238236" cy="142825"/>
      </dsp:txXfrm>
    </dsp:sp>
    <dsp:sp modelId="{C64DF1C7-D61A-406A-AB60-FF06B2A44245}">
      <dsp:nvSpPr>
        <dsp:cNvPr id="0" name=""/>
        <dsp:cNvSpPr/>
      </dsp:nvSpPr>
      <dsp:spPr>
        <a:xfrm>
          <a:off x="126305" y="167672"/>
          <a:ext cx="1337075" cy="188833"/>
        </a:xfrm>
        <a:prstGeom prst="roundRect">
          <a:avLst/>
        </a:prstGeom>
        <a:solidFill>
          <a:srgbClr val="BDDCDF">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en-AU" sz="1000" kern="1200">
              <a:solidFill>
                <a:sysClr val="windowText" lastClr="000000"/>
              </a:solidFill>
              <a:latin typeface="Arial" panose="020B0604020202020204"/>
              <a:ea typeface="+mn-ea"/>
              <a:cs typeface="+mn-cs"/>
            </a:rPr>
            <a:t>Source of Information</a:t>
          </a:r>
        </a:p>
      </dsp:txBody>
      <dsp:txXfrm>
        <a:off x="135523" y="176890"/>
        <a:ext cx="1318639" cy="170397"/>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Finance 1 Blue">
  <a:themeElements>
    <a:clrScheme name="Finance - Blue">
      <a:dk1>
        <a:sysClr val="windowText" lastClr="000000"/>
      </a:dk1>
      <a:lt1>
        <a:sysClr val="window" lastClr="FFFFFF"/>
      </a:lt1>
      <a:dk2>
        <a:srgbClr val="1C1C1C"/>
      </a:dk2>
      <a:lt2>
        <a:srgbClr val="E2E3E2"/>
      </a:lt2>
      <a:accent1>
        <a:srgbClr val="BDDCDF"/>
      </a:accent1>
      <a:accent2>
        <a:srgbClr val="92C5C5"/>
      </a:accent2>
      <a:accent3>
        <a:srgbClr val="19806D"/>
      </a:accent3>
      <a:accent4>
        <a:srgbClr val="C94A2C"/>
      </a:accent4>
      <a:accent5>
        <a:srgbClr val="645493"/>
      </a:accent5>
      <a:accent6>
        <a:srgbClr val="E8B60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8F7CFF9272C47D4280006CCC81AF3990" ma:contentTypeVersion="35" ma:contentTypeDescription="Create a new document." ma:contentTypeScope="" ma:versionID="11ce0a4975d7d7a6b940eeb7c51edc4b">
  <xsd:schema xmlns:xsd="http://www.w3.org/2001/XMLSchema" xmlns:xs="http://www.w3.org/2001/XMLSchema" xmlns:p="http://schemas.microsoft.com/office/2006/metadata/properties" xmlns:ns2="a334ba3b-e131-42d3-95f3-2728f5a41884" xmlns:ns3="e39afc8f-a215-4bb1-9caf-c1c5d2f63d8a" xmlns:ns4="6a7e9632-768a-49bf-85ac-c69233ab2a52" targetNamespace="http://schemas.microsoft.com/office/2006/metadata/properties" ma:root="true" ma:fieldsID="48a8710234bd9c0c12b906946d6153b3" ns2:_="" ns3:_="" ns4:_="">
    <xsd:import namespace="a334ba3b-e131-42d3-95f3-2728f5a41884"/>
    <xsd:import namespace="e39afc8f-a215-4bb1-9caf-c1c5d2f63d8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2:TaxCatchAllLabel" minOccurs="0"/>
                <xsd:element ref="ns3:lcf76f155ced4ddcb4097134ff3c332f" minOccurs="0"/>
                <xsd:element ref="ns3:MediaServiceGenerationTime" minOccurs="0"/>
                <xsd:element ref="ns3:MediaServiceEventHashCode" minOccurs="0"/>
                <xsd:element ref="ns3:MediaServiceOCR" minOccurs="0"/>
                <xsd:element ref="ns3:MediaServiceMetadata" minOccurs="0"/>
                <xsd:element ref="ns3:MediaServiceDateTaken" minOccurs="0"/>
                <xsd:element ref="ns3:MediaLengthInSeconds" minOccurs="0"/>
                <xsd:element ref="ns3:MediaServiceObjectDetectorVersion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4c189e6-c560-40fe-97d1-6662c6a9f502}"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f4c189e6-c560-40fe-97d1-6662c6a9f50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9afc8f-a215-4bb1-9caf-c1c5d2f63d8a"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hidden="true" ma:internalName="MediaServiceOCR"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DateTaken" ma:index="31" nillable="true" ma:displayName="MediaServiceDateTaken" ma:descriptio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element name="_dlc_DocId" ma:index="34" nillable="true" ma:displayName="Document ID Value" ma:description="The value of the document ID assigned to this item." ma:indexed="true"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34</Value>
      <Value>1</Value>
    </TaxCatchAll>
    <_dlc_DocId xmlns="6a7e9632-768a-49bf-85ac-c69233ab2a52">FIN33506-1566835604-282240</_dlc_DocId>
    <_dlc_DocIdUrl xmlns="6a7e9632-768a-49bf-85ac-c69233ab2a52">
      <Url>https://financegovau.sharepoint.com/sites/M365_DoF_50033506/_layouts/15/DocIdRedir.aspx?ID=FIN33506-1566835604-282240</Url>
      <Description>FIN33506-1566835604-282240</Description>
    </_dlc_DocIdUrl>
    <_dlc_DocIdPersistId xmlns="6a7e9632-768a-49bf-85ac-c69233ab2a52"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e0fcb3f570964638902a63147cd98219>
    <lcf76f155ced4ddcb4097134ff3c332f xmlns="e39afc8f-a215-4bb1-9caf-c1c5d2f63d8a">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Props1.xml><?xml version="1.0" encoding="utf-8"?>
<ds:datastoreItem xmlns:ds="http://schemas.openxmlformats.org/officeDocument/2006/customXml" ds:itemID="{D41C6852-2C92-45C1-8EF7-5EE1CA4FF4A4}">
  <ds:schemaRefs>
    <ds:schemaRef ds:uri="Microsoft.SharePoint.Taxonomy.ContentTypeSync"/>
  </ds:schemaRefs>
</ds:datastoreItem>
</file>

<file path=customXml/itemProps2.xml><?xml version="1.0" encoding="utf-8"?>
<ds:datastoreItem xmlns:ds="http://schemas.openxmlformats.org/officeDocument/2006/customXml" ds:itemID="{63F527CA-634F-452F-9F10-3A337672C8CA}">
  <ds:schemaRefs>
    <ds:schemaRef ds:uri="http://schemas.microsoft.com/sharepoint/events"/>
  </ds:schemaRefs>
</ds:datastoreItem>
</file>

<file path=customXml/itemProps3.xml><?xml version="1.0" encoding="utf-8"?>
<ds:datastoreItem xmlns:ds="http://schemas.openxmlformats.org/officeDocument/2006/customXml" ds:itemID="{7A6CBD07-E9B1-45EB-BDFC-19470DF9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e39afc8f-a215-4bb1-9caf-c1c5d2f63d8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DB009-4226-4C46-88FD-34771B886685}">
  <ds:schemaRefs>
    <ds:schemaRef ds:uri="http://schemas.openxmlformats.org/officeDocument/2006/bibliography"/>
  </ds:schemaRefs>
</ds:datastoreItem>
</file>

<file path=customXml/itemProps5.xml><?xml version="1.0" encoding="utf-8"?>
<ds:datastoreItem xmlns:ds="http://schemas.openxmlformats.org/officeDocument/2006/customXml" ds:itemID="{B6BCE725-6E41-432E-AE60-B905C4FA59E9}">
  <ds:schemaRefs>
    <ds:schemaRef ds:uri="http://schemas.microsoft.com/sharepoint/v3/contenttype/forms"/>
  </ds:schemaRefs>
</ds:datastoreItem>
</file>

<file path=customXml/itemProps6.xml><?xml version="1.0" encoding="utf-8"?>
<ds:datastoreItem xmlns:ds="http://schemas.openxmlformats.org/officeDocument/2006/customXml" ds:itemID="{D608C142-43C9-4199-8BFD-870E06446540}">
  <ds:schemaRefs>
    <ds:schemaRef ds:uri="http://schemas.microsoft.com/office/2006/metadata/properties"/>
    <ds:schemaRef ds:uri="http://schemas.microsoft.com/office/infopath/2007/PartnerControls"/>
    <ds:schemaRef ds:uri="a334ba3b-e131-42d3-95f3-2728f5a41884"/>
    <ds:schemaRef ds:uri="6a7e9632-768a-49bf-85ac-c69233ab2a52"/>
    <ds:schemaRef ds:uri="e39afc8f-a215-4bb1-9caf-c1c5d2f63d8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72</Pages>
  <Words>20892</Words>
  <Characters>118040</Characters>
  <Application>Microsoft Office Word</Application>
  <DocSecurity>0</DocSecurity>
  <Lines>2347</Lines>
  <Paragraphs>1419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137923</CharactersWithSpaces>
  <SharedDoc>false</SharedDoc>
  <HLinks>
    <vt:vector size="1830" baseType="variant">
      <vt:variant>
        <vt:i4>7012452</vt:i4>
      </vt:variant>
      <vt:variant>
        <vt:i4>1495</vt:i4>
      </vt:variant>
      <vt:variant>
        <vt:i4>0</vt:i4>
      </vt:variant>
      <vt:variant>
        <vt:i4>5</vt:i4>
      </vt:variant>
      <vt:variant>
        <vt:lpwstr>https://www.aph.gov.au/Parliamentary_Business/Senate_estimates</vt:lpwstr>
      </vt:variant>
      <vt:variant>
        <vt:lpwstr/>
      </vt:variant>
      <vt:variant>
        <vt:i4>3932198</vt:i4>
      </vt:variant>
      <vt:variant>
        <vt:i4>1492</vt:i4>
      </vt:variant>
      <vt:variant>
        <vt:i4>0</vt:i4>
      </vt:variant>
      <vt:variant>
        <vt:i4>5</vt:i4>
      </vt:variant>
      <vt:variant>
        <vt:lpwstr>https://www.finance.gov.au/government/managing-commonwealth-resources/accounting-leases-rmg-110</vt:lpwstr>
      </vt:variant>
      <vt:variant>
        <vt:lpwstr/>
      </vt:variant>
      <vt:variant>
        <vt:i4>1966102</vt:i4>
      </vt:variant>
      <vt:variant>
        <vt:i4>1489</vt:i4>
      </vt:variant>
      <vt:variant>
        <vt:i4>0</vt:i4>
      </vt:variant>
      <vt:variant>
        <vt:i4>5</vt:i4>
      </vt:variant>
      <vt:variant>
        <vt:lpwstr>https://www.aasb.gov.au/pronouncements/accounting-standards/</vt:lpwstr>
      </vt:variant>
      <vt:variant>
        <vt:lpwstr/>
      </vt:variant>
      <vt:variant>
        <vt:i4>2883624</vt:i4>
      </vt:variant>
      <vt:variant>
        <vt:i4>1486</vt:i4>
      </vt:variant>
      <vt:variant>
        <vt:i4>0</vt:i4>
      </vt:variant>
      <vt:variant>
        <vt:i4>5</vt:i4>
      </vt:variant>
      <vt:variant>
        <vt:lpwstr>https://www.finance.gov.au/government/managing-commonwealth-resources/corporate-plans-commonwealth-entities-rmg-132</vt:lpwstr>
      </vt:variant>
      <vt:variant>
        <vt:lpwstr/>
      </vt:variant>
      <vt:variant>
        <vt:i4>6946865</vt:i4>
      </vt:variant>
      <vt:variant>
        <vt:i4>1483</vt:i4>
      </vt:variant>
      <vt:variant>
        <vt:i4>0</vt:i4>
      </vt:variant>
      <vt:variant>
        <vt:i4>5</vt:i4>
      </vt:variant>
      <vt:variant>
        <vt:lpwstr>http://www.legislation.gov.au/</vt:lpwstr>
      </vt:variant>
      <vt:variant>
        <vt:lpwstr/>
      </vt:variant>
      <vt:variant>
        <vt:i4>3080254</vt:i4>
      </vt:variant>
      <vt:variant>
        <vt:i4>1480</vt:i4>
      </vt:variant>
      <vt:variant>
        <vt:i4>0</vt:i4>
      </vt:variant>
      <vt:variant>
        <vt:i4>5</vt:i4>
      </vt:variant>
      <vt:variant>
        <vt:lpwstr>https://www.legislation.gov.au/F2015L00131/latest/text</vt:lpwstr>
      </vt:variant>
      <vt:variant>
        <vt:lpwstr/>
      </vt:variant>
      <vt:variant>
        <vt:i4>2818103</vt:i4>
      </vt:variant>
      <vt:variant>
        <vt:i4>1477</vt:i4>
      </vt:variant>
      <vt:variant>
        <vt:i4>0</vt:i4>
      </vt:variant>
      <vt:variant>
        <vt:i4>5</vt:i4>
      </vt:variant>
      <vt:variant>
        <vt:lpwstr>https://www.legislation.gov.au/C2004A05333/latest/text</vt:lpwstr>
      </vt:variant>
      <vt:variant>
        <vt:lpwstr/>
      </vt:variant>
      <vt:variant>
        <vt:i4>6357031</vt:i4>
      </vt:variant>
      <vt:variant>
        <vt:i4>1474</vt:i4>
      </vt:variant>
      <vt:variant>
        <vt:i4>0</vt:i4>
      </vt:variant>
      <vt:variant>
        <vt:i4>5</vt:i4>
      </vt:variant>
      <vt:variant>
        <vt:lpwstr>https://www.finance.gov.au/government/managing-commonwealth-resources/structure-australian-government-public-sector</vt:lpwstr>
      </vt:variant>
      <vt:variant>
        <vt:lpwstr/>
      </vt:variant>
      <vt:variant>
        <vt:i4>1048654</vt:i4>
      </vt:variant>
      <vt:variant>
        <vt:i4>1471</vt:i4>
      </vt:variant>
      <vt:variant>
        <vt:i4>0</vt:i4>
      </vt:variant>
      <vt:variant>
        <vt:i4>5</vt:i4>
      </vt:variant>
      <vt:variant>
        <vt:lpwstr>https://www.directory.gov.au/reports/australian-government-organisations-register</vt:lpwstr>
      </vt:variant>
      <vt:variant>
        <vt:lpwstr/>
      </vt:variant>
      <vt:variant>
        <vt:i4>1966098</vt:i4>
      </vt:variant>
      <vt:variant>
        <vt:i4>1468</vt:i4>
      </vt:variant>
      <vt:variant>
        <vt:i4>0</vt:i4>
      </vt:variant>
      <vt:variant>
        <vt:i4>5</vt:i4>
      </vt:variant>
      <vt:variant>
        <vt:lpwstr>mailto:https://www.directory.gov.au/</vt:lpwstr>
      </vt:variant>
      <vt:variant>
        <vt:lpwstr/>
      </vt:variant>
      <vt:variant>
        <vt:i4>3932172</vt:i4>
      </vt:variant>
      <vt:variant>
        <vt:i4>1465</vt:i4>
      </vt:variant>
      <vt:variant>
        <vt:i4>0</vt:i4>
      </vt:variant>
      <vt:variant>
        <vt:i4>5</vt:i4>
      </vt:variant>
      <vt:variant>
        <vt:lpwstr>mailto:table.docs@aph.gov.au</vt:lpwstr>
      </vt:variant>
      <vt:variant>
        <vt:lpwstr/>
      </vt:variant>
      <vt:variant>
        <vt:i4>6357066</vt:i4>
      </vt:variant>
      <vt:variant>
        <vt:i4>1462</vt:i4>
      </vt:variant>
      <vt:variant>
        <vt:i4>0</vt:i4>
      </vt:variant>
      <vt:variant>
        <vt:i4>5</vt:i4>
      </vt:variant>
      <vt:variant>
        <vt:lpwstr>mailto:budget-website@treasury.gov.au</vt:lpwstr>
      </vt:variant>
      <vt:variant>
        <vt:lpwstr/>
      </vt:variant>
      <vt:variant>
        <vt:i4>4456489</vt:i4>
      </vt:variant>
      <vt:variant>
        <vt:i4>1459</vt:i4>
      </vt:variant>
      <vt:variant>
        <vt:i4>0</vt:i4>
      </vt:variant>
      <vt:variant>
        <vt:i4>5</vt:i4>
      </vt:variant>
      <vt:variant>
        <vt:lpwstr>mailto:creativeservices@treasury.gov.au</vt:lpwstr>
      </vt:variant>
      <vt:variant>
        <vt:lpwstr/>
      </vt:variant>
      <vt:variant>
        <vt:i4>5898292</vt:i4>
      </vt:variant>
      <vt:variant>
        <vt:i4>1456</vt:i4>
      </vt:variant>
      <vt:variant>
        <vt:i4>0</vt:i4>
      </vt:variant>
      <vt:variant>
        <vt:i4>5</vt:i4>
      </vt:variant>
      <vt:variant>
        <vt:lpwstr>mailto:budgetcommunications@treasury.gov.au</vt:lpwstr>
      </vt:variant>
      <vt:variant>
        <vt:lpwstr/>
      </vt:variant>
      <vt:variant>
        <vt:i4>131145</vt:i4>
      </vt:variant>
      <vt:variant>
        <vt:i4>1453</vt:i4>
      </vt:variant>
      <vt:variant>
        <vt:i4>0</vt:i4>
      </vt:variant>
      <vt:variant>
        <vt:i4>5</vt:i4>
      </vt:variant>
      <vt:variant>
        <vt:lpwstr>https://www.finance.gov.au/publications/resource-management-guides/reporting-requirements-following-machinery-government-changes-rmg-119</vt:lpwstr>
      </vt:variant>
      <vt:variant>
        <vt:lpwstr/>
      </vt:variant>
      <vt:variant>
        <vt:i4>6815748</vt:i4>
      </vt:variant>
      <vt:variant>
        <vt:i4>1450</vt:i4>
      </vt:variant>
      <vt:variant>
        <vt:i4>0</vt:i4>
      </vt:variant>
      <vt:variant>
        <vt:i4>5</vt:i4>
      </vt:variant>
      <vt:variant>
        <vt:lpwstr>mailto:DKhadgi@canprint.com.au</vt:lpwstr>
      </vt:variant>
      <vt:variant>
        <vt:lpwstr/>
      </vt:variant>
      <vt:variant>
        <vt:i4>4980785</vt:i4>
      </vt:variant>
      <vt:variant>
        <vt:i4>1447</vt:i4>
      </vt:variant>
      <vt:variant>
        <vt:i4>0</vt:i4>
      </vt:variant>
      <vt:variant>
        <vt:i4>5</vt:i4>
      </vt:variant>
      <vt:variant>
        <vt:lpwstr>mailto:dshields@canprint.com.au</vt:lpwstr>
      </vt:variant>
      <vt:variant>
        <vt:lpwstr/>
      </vt:variant>
      <vt:variant>
        <vt:i4>6750282</vt:i4>
      </vt:variant>
      <vt:variant>
        <vt:i4>1444</vt:i4>
      </vt:variant>
      <vt:variant>
        <vt:i4>0</vt:i4>
      </vt:variant>
      <vt:variant>
        <vt:i4>5</vt:i4>
      </vt:variant>
      <vt:variant>
        <vt:lpwstr>https://financegovau.sharepoint.com/sites/M365_DoF_50033506/BRF1/Reporting/BdgPap/1. PBS/1.21 PBS 2024-25/AS Clearance/annual.appropriations@finance.gov.au</vt:lpwstr>
      </vt:variant>
      <vt:variant>
        <vt:lpwstr/>
      </vt:variant>
      <vt:variant>
        <vt:i4>5439551</vt:i4>
      </vt:variant>
      <vt:variant>
        <vt:i4>1441</vt:i4>
      </vt:variant>
      <vt:variant>
        <vt:i4>0</vt:i4>
      </vt:variant>
      <vt:variant>
        <vt:i4>5</vt:i4>
      </vt:variant>
      <vt:variant>
        <vt:lpwstr>mailto:PGPA@finance.gov.au</vt:lpwstr>
      </vt:variant>
      <vt:variant>
        <vt:lpwstr/>
      </vt:variant>
      <vt:variant>
        <vt:i4>7667769</vt:i4>
      </vt:variant>
      <vt:variant>
        <vt:i4>1438</vt:i4>
      </vt:variant>
      <vt:variant>
        <vt:i4>0</vt:i4>
      </vt:variant>
      <vt:variant>
        <vt:i4>5</vt:i4>
      </vt:variant>
      <vt:variant>
        <vt:lpwstr>mailto:budget_framework@finance.gov.au</vt:lpwstr>
      </vt:variant>
      <vt:variant>
        <vt:lpwstr/>
      </vt:variant>
      <vt:variant>
        <vt:i4>5111882</vt:i4>
      </vt:variant>
      <vt:variant>
        <vt:i4>1435</vt:i4>
      </vt:variant>
      <vt:variant>
        <vt:i4>0</vt:i4>
      </vt:variant>
      <vt:variant>
        <vt:i4>5</vt:i4>
      </vt:variant>
      <vt:variant>
        <vt:lpwstr>https://data.gov.au/</vt:lpwstr>
      </vt:variant>
      <vt:variant>
        <vt:lpwstr/>
      </vt:variant>
      <vt:variant>
        <vt:i4>2162720</vt:i4>
      </vt:variant>
      <vt:variant>
        <vt:i4>1432</vt:i4>
      </vt:variant>
      <vt:variant>
        <vt:i4>0</vt:i4>
      </vt:variant>
      <vt:variant>
        <vt:i4>5</vt:i4>
      </vt:variant>
      <vt:variant>
        <vt:lpwstr>http://www.data.gov.au/</vt:lpwstr>
      </vt:variant>
      <vt:variant>
        <vt:lpwstr/>
      </vt:variant>
      <vt:variant>
        <vt:i4>3014772</vt:i4>
      </vt:variant>
      <vt:variant>
        <vt:i4>1429</vt:i4>
      </vt:variant>
      <vt:variant>
        <vt:i4>0</vt:i4>
      </vt:variant>
      <vt:variant>
        <vt:i4>5</vt:i4>
      </vt:variant>
      <vt:variant>
        <vt:lpwstr>https://www.stylemanual.gov.au/accessible-and-inclusive-content/make-content-accessible</vt:lpwstr>
      </vt:variant>
      <vt:variant>
        <vt:lpwstr/>
      </vt:variant>
      <vt:variant>
        <vt:i4>8323168</vt:i4>
      </vt:variant>
      <vt:variant>
        <vt:i4>1426</vt:i4>
      </vt:variant>
      <vt:variant>
        <vt:i4>0</vt:i4>
      </vt:variant>
      <vt:variant>
        <vt:i4>5</vt:i4>
      </vt:variant>
      <vt:variant>
        <vt:lpwstr>http://www.finance.gov.au/government/governance/australian-government-organisations-register/australian-government-organisations-register-types-bodies</vt:lpwstr>
      </vt:variant>
      <vt:variant>
        <vt:lpwstr/>
      </vt:variant>
      <vt:variant>
        <vt:i4>7012387</vt:i4>
      </vt:variant>
      <vt:variant>
        <vt:i4>1423</vt:i4>
      </vt:variant>
      <vt:variant>
        <vt:i4>0</vt:i4>
      </vt:variant>
      <vt:variant>
        <vt:i4>5</vt:i4>
      </vt:variant>
      <vt:variant>
        <vt:lpwstr>http://www.finance.gov.au/government/managing-commonwealth-resources/structure-australian-government-public-sector/pgpa-act-flipchart-list</vt:lpwstr>
      </vt:variant>
      <vt:variant>
        <vt:lpwstr/>
      </vt:variant>
      <vt:variant>
        <vt:i4>3735649</vt:i4>
      </vt:variant>
      <vt:variant>
        <vt:i4>1417</vt:i4>
      </vt:variant>
      <vt:variant>
        <vt:i4>0</vt:i4>
      </vt:variant>
      <vt:variant>
        <vt:i4>5</vt:i4>
      </vt:variant>
      <vt:variant>
        <vt:lpwstr>https://www.finance.gov.au/publications/resource-management-guides/accounting-machinery-government-changes-rmg-118</vt:lpwstr>
      </vt:variant>
      <vt:variant>
        <vt:lpwstr/>
      </vt:variant>
      <vt:variant>
        <vt:i4>131145</vt:i4>
      </vt:variant>
      <vt:variant>
        <vt:i4>1414</vt:i4>
      </vt:variant>
      <vt:variant>
        <vt:i4>0</vt:i4>
      </vt:variant>
      <vt:variant>
        <vt:i4>5</vt:i4>
      </vt:variant>
      <vt:variant>
        <vt:lpwstr>https://www.finance.gov.au/publications/resource-management-guides/reporting-requirements-following-machinery-government-changes-rmg-119</vt:lpwstr>
      </vt:variant>
      <vt:variant>
        <vt:lpwstr/>
      </vt:variant>
      <vt:variant>
        <vt:i4>7012412</vt:i4>
      </vt:variant>
      <vt:variant>
        <vt:i4>1411</vt:i4>
      </vt:variant>
      <vt:variant>
        <vt:i4>0</vt:i4>
      </vt:variant>
      <vt:variant>
        <vt:i4>5</vt:i4>
      </vt:variant>
      <vt:variant>
        <vt:lpwstr>https://www.finance.gov.au/publications/resource-management-guides/commonwealth-entities-financial-statements-guide-rmg-125</vt:lpwstr>
      </vt:variant>
      <vt:variant>
        <vt:lpwstr/>
      </vt:variant>
      <vt:variant>
        <vt:i4>131145</vt:i4>
      </vt:variant>
      <vt:variant>
        <vt:i4>1408</vt:i4>
      </vt:variant>
      <vt:variant>
        <vt:i4>0</vt:i4>
      </vt:variant>
      <vt:variant>
        <vt:i4>5</vt:i4>
      </vt:variant>
      <vt:variant>
        <vt:lpwstr>https://www.finance.gov.au/publications/resource-management-guides/reporting-requirements-following-machinery-government-changes-rmg-119</vt:lpwstr>
      </vt:variant>
      <vt:variant>
        <vt:lpwstr/>
      </vt:variant>
      <vt:variant>
        <vt:i4>3735649</vt:i4>
      </vt:variant>
      <vt:variant>
        <vt:i4>1405</vt:i4>
      </vt:variant>
      <vt:variant>
        <vt:i4>0</vt:i4>
      </vt:variant>
      <vt:variant>
        <vt:i4>5</vt:i4>
      </vt:variant>
      <vt:variant>
        <vt:lpwstr>https://www.finance.gov.au/publications/resource-management-guides/accounting-machinery-government-changes-rmg-118</vt:lpwstr>
      </vt:variant>
      <vt:variant>
        <vt:lpwstr/>
      </vt:variant>
      <vt:variant>
        <vt:i4>1310734</vt:i4>
      </vt:variant>
      <vt:variant>
        <vt:i4>1402</vt:i4>
      </vt:variant>
      <vt:variant>
        <vt:i4>0</vt:i4>
      </vt:variant>
      <vt:variant>
        <vt:i4>5</vt:i4>
      </vt:variant>
      <vt:variant>
        <vt:lpwstr>https://www.finance.gov.au/government/managing-commonwealth-resources/machinery-of-government-changes</vt:lpwstr>
      </vt:variant>
      <vt:variant>
        <vt:lpwstr/>
      </vt:variant>
      <vt:variant>
        <vt:i4>6881394</vt:i4>
      </vt:variant>
      <vt:variant>
        <vt:i4>1399</vt:i4>
      </vt:variant>
      <vt:variant>
        <vt:i4>0</vt:i4>
      </vt:variant>
      <vt:variant>
        <vt:i4>5</vt:i4>
      </vt:variant>
      <vt:variant>
        <vt:lpwstr>https://www.finance.gov.au/government/managing-commonwealth-resources/commonwealth-entities-financial-statements-guide-rmg-125</vt:lpwstr>
      </vt:variant>
      <vt:variant>
        <vt:lpwstr/>
      </vt:variant>
      <vt:variant>
        <vt:i4>1966102</vt:i4>
      </vt:variant>
      <vt:variant>
        <vt:i4>1396</vt:i4>
      </vt:variant>
      <vt:variant>
        <vt:i4>0</vt:i4>
      </vt:variant>
      <vt:variant>
        <vt:i4>5</vt:i4>
      </vt:variant>
      <vt:variant>
        <vt:lpwstr>https://www.aasb.gov.au/pronouncements/accounting-standards/</vt:lpwstr>
      </vt:variant>
      <vt:variant>
        <vt:lpwstr/>
      </vt:variant>
      <vt:variant>
        <vt:i4>6881394</vt:i4>
      </vt:variant>
      <vt:variant>
        <vt:i4>1393</vt:i4>
      </vt:variant>
      <vt:variant>
        <vt:i4>0</vt:i4>
      </vt:variant>
      <vt:variant>
        <vt:i4>5</vt:i4>
      </vt:variant>
      <vt:variant>
        <vt:lpwstr>https://www.finance.gov.au/government/managing-commonwealth-resources/commonwealth-entities-financial-statements-guide-rmg-125</vt:lpwstr>
      </vt:variant>
      <vt:variant>
        <vt:lpwstr/>
      </vt:variant>
      <vt:variant>
        <vt:i4>1966102</vt:i4>
      </vt:variant>
      <vt:variant>
        <vt:i4>1384</vt:i4>
      </vt:variant>
      <vt:variant>
        <vt:i4>0</vt:i4>
      </vt:variant>
      <vt:variant>
        <vt:i4>5</vt:i4>
      </vt:variant>
      <vt:variant>
        <vt:lpwstr>https://www.aasb.gov.au/pronouncements/accounting-standards/</vt:lpwstr>
      </vt:variant>
      <vt:variant>
        <vt:lpwstr/>
      </vt:variant>
      <vt:variant>
        <vt:i4>3080254</vt:i4>
      </vt:variant>
      <vt:variant>
        <vt:i4>1381</vt:i4>
      </vt:variant>
      <vt:variant>
        <vt:i4>0</vt:i4>
      </vt:variant>
      <vt:variant>
        <vt:i4>5</vt:i4>
      </vt:variant>
      <vt:variant>
        <vt:lpwstr>https://www.legislation.gov.au/F2015L00131/latest/text</vt:lpwstr>
      </vt:variant>
      <vt:variant>
        <vt:lpwstr/>
      </vt:variant>
      <vt:variant>
        <vt:i4>262163</vt:i4>
      </vt:variant>
      <vt:variant>
        <vt:i4>1378</vt:i4>
      </vt:variant>
      <vt:variant>
        <vt:i4>0</vt:i4>
      </vt:variant>
      <vt:variant>
        <vt:i4>5</vt:i4>
      </vt:variant>
      <vt:variant>
        <vt:lpwstr>https://www.finance.gov.au/government/financial-reporting-and-accounting-policy/financial-reporting-commonwealth-entities</vt:lpwstr>
      </vt:variant>
      <vt:variant>
        <vt:lpwstr/>
      </vt:variant>
      <vt:variant>
        <vt:i4>3080254</vt:i4>
      </vt:variant>
      <vt:variant>
        <vt:i4>1375</vt:i4>
      </vt:variant>
      <vt:variant>
        <vt:i4>0</vt:i4>
      </vt:variant>
      <vt:variant>
        <vt:i4>5</vt:i4>
      </vt:variant>
      <vt:variant>
        <vt:lpwstr>https://www.legislation.gov.au/F2015L00131/latest/text</vt:lpwstr>
      </vt:variant>
      <vt:variant>
        <vt:lpwstr/>
      </vt:variant>
      <vt:variant>
        <vt:i4>4980743</vt:i4>
      </vt:variant>
      <vt:variant>
        <vt:i4>1372</vt:i4>
      </vt:variant>
      <vt:variant>
        <vt:i4>0</vt:i4>
      </vt:variant>
      <vt:variant>
        <vt:i4>5</vt:i4>
      </vt:variant>
      <vt:variant>
        <vt:lpwstr>https://www.finance.gov.au/government/managing-commonwealth-resources/developing-performance-measures-rmg-131</vt:lpwstr>
      </vt:variant>
      <vt:variant>
        <vt:lpwstr/>
      </vt:variant>
      <vt:variant>
        <vt:i4>2883624</vt:i4>
      </vt:variant>
      <vt:variant>
        <vt:i4>1369</vt:i4>
      </vt:variant>
      <vt:variant>
        <vt:i4>0</vt:i4>
      </vt:variant>
      <vt:variant>
        <vt:i4>5</vt:i4>
      </vt:variant>
      <vt:variant>
        <vt:lpwstr>https://www.finance.gov.au/government/managing-commonwealth-resources/corporate-plans-commonwealth-entities-rmg-132</vt:lpwstr>
      </vt:variant>
      <vt:variant>
        <vt:lpwstr/>
      </vt:variant>
      <vt:variant>
        <vt:i4>1966102</vt:i4>
      </vt:variant>
      <vt:variant>
        <vt:i4>1366</vt:i4>
      </vt:variant>
      <vt:variant>
        <vt:i4>0</vt:i4>
      </vt:variant>
      <vt:variant>
        <vt:i4>5</vt:i4>
      </vt:variant>
      <vt:variant>
        <vt:lpwstr>https://www.aasb.gov.au/pronouncements/accounting-standards/</vt:lpwstr>
      </vt:variant>
      <vt:variant>
        <vt:lpwstr/>
      </vt:variant>
      <vt:variant>
        <vt:i4>6029332</vt:i4>
      </vt:variant>
      <vt:variant>
        <vt:i4>1359</vt:i4>
      </vt:variant>
      <vt:variant>
        <vt:i4>0</vt:i4>
      </vt:variant>
      <vt:variant>
        <vt:i4>5</vt:i4>
      </vt:variant>
      <vt:variant>
        <vt:lpwstr>https://www.finance.gov.au/government/managing-commonwealth-resources/managing-money-property/managing-money/annual-appropriations/commonwealth-programs-policy-and-approval-process</vt:lpwstr>
      </vt:variant>
      <vt:variant>
        <vt:lpwstr/>
      </vt:variant>
      <vt:variant>
        <vt:i4>131148</vt:i4>
      </vt:variant>
      <vt:variant>
        <vt:i4>1356</vt:i4>
      </vt:variant>
      <vt:variant>
        <vt:i4>0</vt:i4>
      </vt:variant>
      <vt:variant>
        <vt:i4>5</vt:i4>
      </vt:variant>
      <vt:variant>
        <vt:lpwstr>https://www.finance.gov.au/government/managing-commonwealth-resources/managing-money-property/managing-money/annual-appropriations/outcome-statement-policy-and-approval-process</vt:lpwstr>
      </vt:variant>
      <vt:variant>
        <vt:lpwstr/>
      </vt:variant>
      <vt:variant>
        <vt:i4>3539066</vt:i4>
      </vt:variant>
      <vt:variant>
        <vt:i4>1341</vt:i4>
      </vt:variant>
      <vt:variant>
        <vt:i4>0</vt:i4>
      </vt:variant>
      <vt:variant>
        <vt:i4>5</vt:i4>
      </vt:variant>
      <vt:variant>
        <vt:lpwstr>https://www.finance.gov.au/government/managing-commonwealth-resources/reporting-performance-information-portfolio-budget-statements-rmg-129/finance-secretary-direction-21-august-2022</vt:lpwstr>
      </vt:variant>
      <vt:variant>
        <vt:lpwstr/>
      </vt:variant>
      <vt:variant>
        <vt:i4>5439551</vt:i4>
      </vt:variant>
      <vt:variant>
        <vt:i4>1338</vt:i4>
      </vt:variant>
      <vt:variant>
        <vt:i4>0</vt:i4>
      </vt:variant>
      <vt:variant>
        <vt:i4>5</vt:i4>
      </vt:variant>
      <vt:variant>
        <vt:lpwstr>mailto:PGPA@finance.gov.au</vt:lpwstr>
      </vt:variant>
      <vt:variant>
        <vt:lpwstr/>
      </vt:variant>
      <vt:variant>
        <vt:i4>3276852</vt:i4>
      </vt:variant>
      <vt:variant>
        <vt:i4>1335</vt:i4>
      </vt:variant>
      <vt:variant>
        <vt:i4>0</vt:i4>
      </vt:variant>
      <vt:variant>
        <vt:i4>5</vt:i4>
      </vt:variant>
      <vt:variant>
        <vt:lpwstr>https://www.finance.gov.au/government/managing-commonwealth-resources/reporting-performance-information-portfolio-budget-statements-rmg-129</vt:lpwstr>
      </vt:variant>
      <vt:variant>
        <vt:lpwstr/>
      </vt:variant>
      <vt:variant>
        <vt:i4>4063287</vt:i4>
      </vt:variant>
      <vt:variant>
        <vt:i4>1332</vt:i4>
      </vt:variant>
      <vt:variant>
        <vt:i4>0</vt:i4>
      </vt:variant>
      <vt:variant>
        <vt:i4>5</vt:i4>
      </vt:variant>
      <vt:variant>
        <vt:lpwstr>https://www.finance.gov.au/government/managing-commonwealth-resources/structure-australian-government-public-sector/pgpa-act-flipchart-and-list</vt:lpwstr>
      </vt:variant>
      <vt:variant>
        <vt:lpwstr/>
      </vt:variant>
      <vt:variant>
        <vt:i4>1048654</vt:i4>
      </vt:variant>
      <vt:variant>
        <vt:i4>1329</vt:i4>
      </vt:variant>
      <vt:variant>
        <vt:i4>0</vt:i4>
      </vt:variant>
      <vt:variant>
        <vt:i4>5</vt:i4>
      </vt:variant>
      <vt:variant>
        <vt:lpwstr>https://www.directory.gov.au/reports/australian-government-organisations-register</vt:lpwstr>
      </vt:variant>
      <vt:variant>
        <vt:lpwstr/>
      </vt:variant>
      <vt:variant>
        <vt:i4>6881394</vt:i4>
      </vt:variant>
      <vt:variant>
        <vt:i4>1326</vt:i4>
      </vt:variant>
      <vt:variant>
        <vt:i4>0</vt:i4>
      </vt:variant>
      <vt:variant>
        <vt:i4>5</vt:i4>
      </vt:variant>
      <vt:variant>
        <vt:lpwstr>https://www.finance.gov.au/government/managing-commonwealth-resources/commonwealth-entities-financial-statements-guide-rmg-125</vt:lpwstr>
      </vt:variant>
      <vt:variant>
        <vt:lpwstr/>
      </vt:variant>
      <vt:variant>
        <vt:i4>6422639</vt:i4>
      </vt:variant>
      <vt:variant>
        <vt:i4>1323</vt:i4>
      </vt:variant>
      <vt:variant>
        <vt:i4>0</vt:i4>
      </vt:variant>
      <vt:variant>
        <vt:i4>5</vt:i4>
      </vt:variant>
      <vt:variant>
        <vt:lpwstr>https://www.finance.gov.au/publications/resource-management-guides/guide-appropriations-rmg-100</vt:lpwstr>
      </vt:variant>
      <vt:variant>
        <vt:lpwstr/>
      </vt:variant>
      <vt:variant>
        <vt:i4>2752550</vt:i4>
      </vt:variant>
      <vt:variant>
        <vt:i4>1320</vt:i4>
      </vt:variant>
      <vt:variant>
        <vt:i4>0</vt:i4>
      </vt:variant>
      <vt:variant>
        <vt:i4>5</vt:i4>
      </vt:variant>
      <vt:variant>
        <vt:lpwstr>https://www.finance.gov.au/government/managing-commonwealth-resources/accounting-annual-appropriations-rmg-116</vt:lpwstr>
      </vt:variant>
      <vt:variant>
        <vt:lpwstr/>
      </vt:variant>
      <vt:variant>
        <vt:i4>3080254</vt:i4>
      </vt:variant>
      <vt:variant>
        <vt:i4>1317</vt:i4>
      </vt:variant>
      <vt:variant>
        <vt:i4>0</vt:i4>
      </vt:variant>
      <vt:variant>
        <vt:i4>5</vt:i4>
      </vt:variant>
      <vt:variant>
        <vt:lpwstr>https://www.legislation.gov.au/F2015L00131/latest/text</vt:lpwstr>
      </vt:variant>
      <vt:variant>
        <vt:lpwstr/>
      </vt:variant>
      <vt:variant>
        <vt:i4>6815801</vt:i4>
      </vt:variant>
      <vt:variant>
        <vt:i4>1314</vt:i4>
      </vt:variant>
      <vt:variant>
        <vt:i4>0</vt:i4>
      </vt:variant>
      <vt:variant>
        <vt:i4>5</vt:i4>
      </vt:variant>
      <vt:variant>
        <vt:lpwstr>http://www.federalfinancialrelations.gov.au/sites/federalfinancialrelations.gov.au/files/2020-04/nt_remote_aboriginal_investment_np.pdf</vt:lpwstr>
      </vt:variant>
      <vt:variant>
        <vt:lpwstr/>
      </vt:variant>
      <vt:variant>
        <vt:i4>4063287</vt:i4>
      </vt:variant>
      <vt:variant>
        <vt:i4>1311</vt:i4>
      </vt:variant>
      <vt:variant>
        <vt:i4>0</vt:i4>
      </vt:variant>
      <vt:variant>
        <vt:i4>5</vt:i4>
      </vt:variant>
      <vt:variant>
        <vt:lpwstr>https://www.finance.gov.au/government/managing-commonwealth-resources/structure-australian-government-public-sector/pgpa-act-flipchart-and-list</vt:lpwstr>
      </vt:variant>
      <vt:variant>
        <vt:lpwstr/>
      </vt:variant>
      <vt:variant>
        <vt:i4>4063287</vt:i4>
      </vt:variant>
      <vt:variant>
        <vt:i4>1308</vt:i4>
      </vt:variant>
      <vt:variant>
        <vt:i4>0</vt:i4>
      </vt:variant>
      <vt:variant>
        <vt:i4>5</vt:i4>
      </vt:variant>
      <vt:variant>
        <vt:lpwstr>https://www.finance.gov.au/government/managing-commonwealth-resources/structure-australian-government-public-sector/pgpa-act-flipchart-and-list</vt:lpwstr>
      </vt:variant>
      <vt:variant>
        <vt:lpwstr/>
      </vt:variant>
      <vt:variant>
        <vt:i4>262163</vt:i4>
      </vt:variant>
      <vt:variant>
        <vt:i4>1305</vt:i4>
      </vt:variant>
      <vt:variant>
        <vt:i4>0</vt:i4>
      </vt:variant>
      <vt:variant>
        <vt:i4>5</vt:i4>
      </vt:variant>
      <vt:variant>
        <vt:lpwstr>https://www.finance.gov.au/government/financial-reporting-and-accounting-policy/financial-reporting-commonwealth-entities</vt:lpwstr>
      </vt:variant>
      <vt:variant>
        <vt:lpwstr/>
      </vt:variant>
      <vt:variant>
        <vt:i4>6881394</vt:i4>
      </vt:variant>
      <vt:variant>
        <vt:i4>1302</vt:i4>
      </vt:variant>
      <vt:variant>
        <vt:i4>0</vt:i4>
      </vt:variant>
      <vt:variant>
        <vt:i4>5</vt:i4>
      </vt:variant>
      <vt:variant>
        <vt:lpwstr>https://www.finance.gov.au/government/managing-commonwealth-resources/commonwealth-entities-financial-statements-guide-rmg-125</vt:lpwstr>
      </vt:variant>
      <vt:variant>
        <vt:lpwstr/>
      </vt:variant>
      <vt:variant>
        <vt:i4>8257585</vt:i4>
      </vt:variant>
      <vt:variant>
        <vt:i4>1299</vt:i4>
      </vt:variant>
      <vt:variant>
        <vt:i4>0</vt:i4>
      </vt:variant>
      <vt:variant>
        <vt:i4>5</vt:i4>
      </vt:variant>
      <vt:variant>
        <vt:lpwstr>ttps://www.aasb.gov.au/pronouncements/accounting-standards/</vt:lpwstr>
      </vt:variant>
      <vt:variant>
        <vt:lpwstr/>
      </vt:variant>
      <vt:variant>
        <vt:i4>7667769</vt:i4>
      </vt:variant>
      <vt:variant>
        <vt:i4>1296</vt:i4>
      </vt:variant>
      <vt:variant>
        <vt:i4>0</vt:i4>
      </vt:variant>
      <vt:variant>
        <vt:i4>5</vt:i4>
      </vt:variant>
      <vt:variant>
        <vt:lpwstr>mailto:budget_framework@finance.gov.au</vt:lpwstr>
      </vt:variant>
      <vt:variant>
        <vt:lpwstr/>
      </vt:variant>
      <vt:variant>
        <vt:i4>5111882</vt:i4>
      </vt:variant>
      <vt:variant>
        <vt:i4>1293</vt:i4>
      </vt:variant>
      <vt:variant>
        <vt:i4>0</vt:i4>
      </vt:variant>
      <vt:variant>
        <vt:i4>5</vt:i4>
      </vt:variant>
      <vt:variant>
        <vt:lpwstr>https://data.gov.au/</vt:lpwstr>
      </vt:variant>
      <vt:variant>
        <vt:lpwstr/>
      </vt:variant>
      <vt:variant>
        <vt:i4>7667769</vt:i4>
      </vt:variant>
      <vt:variant>
        <vt:i4>1290</vt:i4>
      </vt:variant>
      <vt:variant>
        <vt:i4>0</vt:i4>
      </vt:variant>
      <vt:variant>
        <vt:i4>5</vt:i4>
      </vt:variant>
      <vt:variant>
        <vt:lpwstr>mailto:budget_framework@finance.gov.au</vt:lpwstr>
      </vt:variant>
      <vt:variant>
        <vt:lpwstr/>
      </vt:variant>
      <vt:variant>
        <vt:i4>1638507</vt:i4>
      </vt:variant>
      <vt:variant>
        <vt:i4>1287</vt:i4>
      </vt:variant>
      <vt:variant>
        <vt:i4>0</vt:i4>
      </vt:variant>
      <vt:variant>
        <vt:i4>5</vt:i4>
      </vt:variant>
      <vt:variant>
        <vt:lpwstr>mailto:tabling@pmc.gov.au</vt:lpwstr>
      </vt:variant>
      <vt:variant>
        <vt:lpwstr/>
      </vt:variant>
      <vt:variant>
        <vt:i4>2097275</vt:i4>
      </vt:variant>
      <vt:variant>
        <vt:i4>1284</vt:i4>
      </vt:variant>
      <vt:variant>
        <vt:i4>0</vt:i4>
      </vt:variant>
      <vt:variant>
        <vt:i4>5</vt:i4>
      </vt:variant>
      <vt:variant>
        <vt:lpwstr>http://www.pmc.gov.au/resource-centre/government/tabling-guidelines</vt:lpwstr>
      </vt:variant>
      <vt:variant>
        <vt:lpwstr/>
      </vt:variant>
      <vt:variant>
        <vt:i4>2490474</vt:i4>
      </vt:variant>
      <vt:variant>
        <vt:i4>1281</vt:i4>
      </vt:variant>
      <vt:variant>
        <vt:i4>0</vt:i4>
      </vt:variant>
      <vt:variant>
        <vt:i4>5</vt:i4>
      </vt:variant>
      <vt:variant>
        <vt:lpwstr>https://www.naa.gov.au/help-your-research/fact-sheets/parliamentary-papers</vt:lpwstr>
      </vt:variant>
      <vt:variant>
        <vt:lpwstr/>
      </vt:variant>
      <vt:variant>
        <vt:i4>4784161</vt:i4>
      </vt:variant>
      <vt:variant>
        <vt:i4>1278</vt:i4>
      </vt:variant>
      <vt:variant>
        <vt:i4>0</vt:i4>
      </vt:variant>
      <vt:variant>
        <vt:i4>5</vt:i4>
      </vt:variant>
      <vt:variant>
        <vt:lpwstr>mailto:data@digital.gov.au</vt:lpwstr>
      </vt:variant>
      <vt:variant>
        <vt:lpwstr/>
      </vt:variant>
      <vt:variant>
        <vt:i4>5111882</vt:i4>
      </vt:variant>
      <vt:variant>
        <vt:i4>1275</vt:i4>
      </vt:variant>
      <vt:variant>
        <vt:i4>0</vt:i4>
      </vt:variant>
      <vt:variant>
        <vt:i4>5</vt:i4>
      </vt:variant>
      <vt:variant>
        <vt:lpwstr>https://data.gov.au/</vt:lpwstr>
      </vt:variant>
      <vt:variant>
        <vt:lpwstr/>
      </vt:variant>
      <vt:variant>
        <vt:i4>5111882</vt:i4>
      </vt:variant>
      <vt:variant>
        <vt:i4>1272</vt:i4>
      </vt:variant>
      <vt:variant>
        <vt:i4>0</vt:i4>
      </vt:variant>
      <vt:variant>
        <vt:i4>5</vt:i4>
      </vt:variant>
      <vt:variant>
        <vt:lpwstr>https://data.gov.au/</vt:lpwstr>
      </vt:variant>
      <vt:variant>
        <vt:lpwstr/>
      </vt:variant>
      <vt:variant>
        <vt:i4>5111882</vt:i4>
      </vt:variant>
      <vt:variant>
        <vt:i4>1269</vt:i4>
      </vt:variant>
      <vt:variant>
        <vt:i4>0</vt:i4>
      </vt:variant>
      <vt:variant>
        <vt:i4>5</vt:i4>
      </vt:variant>
      <vt:variant>
        <vt:lpwstr>https://data.gov.au/</vt:lpwstr>
      </vt:variant>
      <vt:variant>
        <vt:lpwstr/>
      </vt:variant>
      <vt:variant>
        <vt:i4>7667769</vt:i4>
      </vt:variant>
      <vt:variant>
        <vt:i4>1266</vt:i4>
      </vt:variant>
      <vt:variant>
        <vt:i4>0</vt:i4>
      </vt:variant>
      <vt:variant>
        <vt:i4>5</vt:i4>
      </vt:variant>
      <vt:variant>
        <vt:lpwstr>mailto:budget_framework@finance.gov.au</vt:lpwstr>
      </vt:variant>
      <vt:variant>
        <vt:lpwstr/>
      </vt:variant>
      <vt:variant>
        <vt:i4>5111882</vt:i4>
      </vt:variant>
      <vt:variant>
        <vt:i4>1263</vt:i4>
      </vt:variant>
      <vt:variant>
        <vt:i4>0</vt:i4>
      </vt:variant>
      <vt:variant>
        <vt:i4>5</vt:i4>
      </vt:variant>
      <vt:variant>
        <vt:lpwstr>https://data.gov.au/</vt:lpwstr>
      </vt:variant>
      <vt:variant>
        <vt:lpwstr/>
      </vt:variant>
      <vt:variant>
        <vt:i4>5111882</vt:i4>
      </vt:variant>
      <vt:variant>
        <vt:i4>1260</vt:i4>
      </vt:variant>
      <vt:variant>
        <vt:i4>0</vt:i4>
      </vt:variant>
      <vt:variant>
        <vt:i4>5</vt:i4>
      </vt:variant>
      <vt:variant>
        <vt:lpwstr>https://data.gov.au/</vt:lpwstr>
      </vt:variant>
      <vt:variant>
        <vt:lpwstr/>
      </vt:variant>
      <vt:variant>
        <vt:i4>2162720</vt:i4>
      </vt:variant>
      <vt:variant>
        <vt:i4>1257</vt:i4>
      </vt:variant>
      <vt:variant>
        <vt:i4>0</vt:i4>
      </vt:variant>
      <vt:variant>
        <vt:i4>5</vt:i4>
      </vt:variant>
      <vt:variant>
        <vt:lpwstr>http://www.data.gov.au/</vt:lpwstr>
      </vt:variant>
      <vt:variant>
        <vt:lpwstr/>
      </vt:variant>
      <vt:variant>
        <vt:i4>5374022</vt:i4>
      </vt:variant>
      <vt:variant>
        <vt:i4>1254</vt:i4>
      </vt:variant>
      <vt:variant>
        <vt:i4>0</vt:i4>
      </vt:variant>
      <vt:variant>
        <vt:i4>5</vt:i4>
      </vt:variant>
      <vt:variant>
        <vt:lpwstr>http://www.budget.gov.au/</vt:lpwstr>
      </vt:variant>
      <vt:variant>
        <vt:lpwstr/>
      </vt:variant>
      <vt:variant>
        <vt:i4>6357066</vt:i4>
      </vt:variant>
      <vt:variant>
        <vt:i4>1251</vt:i4>
      </vt:variant>
      <vt:variant>
        <vt:i4>0</vt:i4>
      </vt:variant>
      <vt:variant>
        <vt:i4>5</vt:i4>
      </vt:variant>
      <vt:variant>
        <vt:lpwstr>mailto:budget-website@treasury.gov.au</vt:lpwstr>
      </vt:variant>
      <vt:variant>
        <vt:lpwstr/>
      </vt:variant>
      <vt:variant>
        <vt:i4>5111878</vt:i4>
      </vt:variant>
      <vt:variant>
        <vt:i4>1248</vt:i4>
      </vt:variant>
      <vt:variant>
        <vt:i4>0</vt:i4>
      </vt:variant>
      <vt:variant>
        <vt:i4>5</vt:i4>
      </vt:variant>
      <vt:variant>
        <vt:lpwstr>https://parlwork.aph.gov.au/Senate/DynamicRed</vt:lpwstr>
      </vt:variant>
      <vt:variant>
        <vt:lpwstr/>
      </vt:variant>
      <vt:variant>
        <vt:i4>6488112</vt:i4>
      </vt:variant>
      <vt:variant>
        <vt:i4>1245</vt:i4>
      </vt:variant>
      <vt:variant>
        <vt:i4>0</vt:i4>
      </vt:variant>
      <vt:variant>
        <vt:i4>5</vt:i4>
      </vt:variant>
      <vt:variant>
        <vt:lpwstr>http://www.stylemanual.gov.au/</vt:lpwstr>
      </vt:variant>
      <vt:variant>
        <vt:lpwstr/>
      </vt:variant>
      <vt:variant>
        <vt:i4>5374022</vt:i4>
      </vt:variant>
      <vt:variant>
        <vt:i4>1242</vt:i4>
      </vt:variant>
      <vt:variant>
        <vt:i4>0</vt:i4>
      </vt:variant>
      <vt:variant>
        <vt:i4>5</vt:i4>
      </vt:variant>
      <vt:variant>
        <vt:lpwstr>http://www.budget.gov.au/</vt:lpwstr>
      </vt:variant>
      <vt:variant>
        <vt:lpwstr/>
      </vt:variant>
      <vt:variant>
        <vt:i4>4128894</vt:i4>
      </vt:variant>
      <vt:variant>
        <vt:i4>1239</vt:i4>
      </vt:variant>
      <vt:variant>
        <vt:i4>0</vt:i4>
      </vt:variant>
      <vt:variant>
        <vt:i4>5</vt:i4>
      </vt:variant>
      <vt:variant>
        <vt:lpwstr>http://www.dta.gov.au/help-and-advice/guides-and-tools/commonwealth-library-deposit-and-free-issue-schemes</vt:lpwstr>
      </vt:variant>
      <vt:variant>
        <vt:lpwstr/>
      </vt:variant>
      <vt:variant>
        <vt:i4>4390974</vt:i4>
      </vt:variant>
      <vt:variant>
        <vt:i4>1236</vt:i4>
      </vt:variant>
      <vt:variant>
        <vt:i4>0</vt:i4>
      </vt:variant>
      <vt:variant>
        <vt:i4>5</vt:i4>
      </vt:variant>
      <vt:variant>
        <vt:lpwstr>mailto:info@dta.gov.au</vt:lpwstr>
      </vt:variant>
      <vt:variant>
        <vt:lpwstr/>
      </vt:variant>
      <vt:variant>
        <vt:i4>1048616</vt:i4>
      </vt:variant>
      <vt:variant>
        <vt:i4>1233</vt:i4>
      </vt:variant>
      <vt:variant>
        <vt:i4>0</vt:i4>
      </vt:variant>
      <vt:variant>
        <vt:i4>5</vt:i4>
      </vt:variant>
      <vt:variant>
        <vt:lpwstr>mailto:rrat.sen@aph.gov.au</vt:lpwstr>
      </vt:variant>
      <vt:variant>
        <vt:lpwstr/>
      </vt:variant>
      <vt:variant>
        <vt:i4>6750278</vt:i4>
      </vt:variant>
      <vt:variant>
        <vt:i4>1230</vt:i4>
      </vt:variant>
      <vt:variant>
        <vt:i4>0</vt:i4>
      </vt:variant>
      <vt:variant>
        <vt:i4>5</vt:i4>
      </vt:variant>
      <vt:variant>
        <vt:lpwstr>mailto:legcon.sen@aph.gov.au</vt:lpwstr>
      </vt:variant>
      <vt:variant>
        <vt:lpwstr/>
      </vt:variant>
      <vt:variant>
        <vt:i4>65595</vt:i4>
      </vt:variant>
      <vt:variant>
        <vt:i4>1227</vt:i4>
      </vt:variant>
      <vt:variant>
        <vt:i4>0</vt:i4>
      </vt:variant>
      <vt:variant>
        <vt:i4>5</vt:i4>
      </vt:variant>
      <vt:variant>
        <vt:lpwstr>mailto:fadt.sen@aph.gov.au</vt:lpwstr>
      </vt:variant>
      <vt:variant>
        <vt:lpwstr/>
      </vt:variant>
      <vt:variant>
        <vt:i4>65582</vt:i4>
      </vt:variant>
      <vt:variant>
        <vt:i4>1224</vt:i4>
      </vt:variant>
      <vt:variant>
        <vt:i4>0</vt:i4>
      </vt:variant>
      <vt:variant>
        <vt:i4>5</vt:i4>
      </vt:variant>
      <vt:variant>
        <vt:lpwstr>mailto:fpa.sen@aph.gov.au</vt:lpwstr>
      </vt:variant>
      <vt:variant>
        <vt:lpwstr/>
      </vt:variant>
      <vt:variant>
        <vt:i4>6684749</vt:i4>
      </vt:variant>
      <vt:variant>
        <vt:i4>1221</vt:i4>
      </vt:variant>
      <vt:variant>
        <vt:i4>0</vt:i4>
      </vt:variant>
      <vt:variant>
        <vt:i4>5</vt:i4>
      </vt:variant>
      <vt:variant>
        <vt:lpwstr>mailto:ec.sen@aph.gov.au</vt:lpwstr>
      </vt:variant>
      <vt:variant>
        <vt:lpwstr/>
      </vt:variant>
      <vt:variant>
        <vt:i4>59</vt:i4>
      </vt:variant>
      <vt:variant>
        <vt:i4>1218</vt:i4>
      </vt:variant>
      <vt:variant>
        <vt:i4>0</vt:i4>
      </vt:variant>
      <vt:variant>
        <vt:i4>5</vt:i4>
      </vt:variant>
      <vt:variant>
        <vt:lpwstr>mailto:eec.sen@aph.gov.au</vt:lpwstr>
      </vt:variant>
      <vt:variant>
        <vt:lpwstr/>
      </vt:variant>
      <vt:variant>
        <vt:i4>7929949</vt:i4>
      </vt:variant>
      <vt:variant>
        <vt:i4>1215</vt:i4>
      </vt:variant>
      <vt:variant>
        <vt:i4>0</vt:i4>
      </vt:variant>
      <vt:variant>
        <vt:i4>5</vt:i4>
      </vt:variant>
      <vt:variant>
        <vt:lpwstr>mailto:economics.sen@aph.gov.au</vt:lpwstr>
      </vt:variant>
      <vt:variant>
        <vt:lpwstr/>
      </vt:variant>
      <vt:variant>
        <vt:i4>7340061</vt:i4>
      </vt:variant>
      <vt:variant>
        <vt:i4>1212</vt:i4>
      </vt:variant>
      <vt:variant>
        <vt:i4>0</vt:i4>
      </vt:variant>
      <vt:variant>
        <vt:i4>5</vt:i4>
      </vt:variant>
      <vt:variant>
        <vt:lpwstr>mailto:community.affairs.sen@aph.gov.au</vt:lpwstr>
      </vt:variant>
      <vt:variant>
        <vt:lpwstr/>
      </vt:variant>
      <vt:variant>
        <vt:i4>7667769</vt:i4>
      </vt:variant>
      <vt:variant>
        <vt:i4>1209</vt:i4>
      </vt:variant>
      <vt:variant>
        <vt:i4>0</vt:i4>
      </vt:variant>
      <vt:variant>
        <vt:i4>5</vt:i4>
      </vt:variant>
      <vt:variant>
        <vt:lpwstr>mailto:Budget_Framework@finance.gov.au</vt:lpwstr>
      </vt:variant>
      <vt:variant>
        <vt:lpwstr/>
      </vt:variant>
      <vt:variant>
        <vt:i4>7667769</vt:i4>
      </vt:variant>
      <vt:variant>
        <vt:i4>1206</vt:i4>
      </vt:variant>
      <vt:variant>
        <vt:i4>0</vt:i4>
      </vt:variant>
      <vt:variant>
        <vt:i4>5</vt:i4>
      </vt:variant>
      <vt:variant>
        <vt:lpwstr>mailto:budget_framework@finance.gov.au</vt:lpwstr>
      </vt:variant>
      <vt:variant>
        <vt:lpwstr/>
      </vt:variant>
      <vt:variant>
        <vt:i4>7667769</vt:i4>
      </vt:variant>
      <vt:variant>
        <vt:i4>1203</vt:i4>
      </vt:variant>
      <vt:variant>
        <vt:i4>0</vt:i4>
      </vt:variant>
      <vt:variant>
        <vt:i4>5</vt:i4>
      </vt:variant>
      <vt:variant>
        <vt:lpwstr>mailto:budget_framework@finance.gov.au</vt:lpwstr>
      </vt:variant>
      <vt:variant>
        <vt:lpwstr/>
      </vt:variant>
      <vt:variant>
        <vt:i4>1310802</vt:i4>
      </vt:variant>
      <vt:variant>
        <vt:i4>1200</vt:i4>
      </vt:variant>
      <vt:variant>
        <vt:i4>0</vt:i4>
      </vt:variant>
      <vt:variant>
        <vt:i4>5</vt:i4>
      </vt:variant>
      <vt:variant>
        <vt:lpwstr>http://govlink.sge.net/home.aspx</vt:lpwstr>
      </vt:variant>
      <vt:variant>
        <vt:lpwstr/>
      </vt:variant>
      <vt:variant>
        <vt:i4>7667769</vt:i4>
      </vt:variant>
      <vt:variant>
        <vt:i4>1197</vt:i4>
      </vt:variant>
      <vt:variant>
        <vt:i4>0</vt:i4>
      </vt:variant>
      <vt:variant>
        <vt:i4>5</vt:i4>
      </vt:variant>
      <vt:variant>
        <vt:lpwstr>mailto:budget_framework@finance.gov.au</vt:lpwstr>
      </vt:variant>
      <vt:variant>
        <vt:lpwstr/>
      </vt:variant>
      <vt:variant>
        <vt:i4>7405599</vt:i4>
      </vt:variant>
      <vt:variant>
        <vt:i4>1194</vt:i4>
      </vt:variant>
      <vt:variant>
        <vt:i4>0</vt:i4>
      </vt:variant>
      <vt:variant>
        <vt:i4>5</vt:i4>
      </vt:variant>
      <vt:variant>
        <vt:lpwstr/>
      </vt:variant>
      <vt:variant>
        <vt:lpwstr>1.2_Who_should_prepare_PB_Statements</vt:lpwstr>
      </vt:variant>
      <vt:variant>
        <vt:i4>8257588</vt:i4>
      </vt:variant>
      <vt:variant>
        <vt:i4>1191</vt:i4>
      </vt:variant>
      <vt:variant>
        <vt:i4>0</vt:i4>
      </vt:variant>
      <vt:variant>
        <vt:i4>5</vt:i4>
      </vt:variant>
      <vt:variant>
        <vt:lpwstr>https://www.protectivesecurity.gov.au/</vt:lpwstr>
      </vt:variant>
      <vt:variant>
        <vt:lpwstr/>
      </vt:variant>
      <vt:variant>
        <vt:i4>2883698</vt:i4>
      </vt:variant>
      <vt:variant>
        <vt:i4>1188</vt:i4>
      </vt:variant>
      <vt:variant>
        <vt:i4>0</vt:i4>
      </vt:variant>
      <vt:variant>
        <vt:i4>5</vt:i4>
      </vt:variant>
      <vt:variant>
        <vt:lpwstr>https://www.pmc.gov.au/resource-centre/government/ministry-list</vt:lpwstr>
      </vt:variant>
      <vt:variant>
        <vt:lpwstr/>
      </vt:variant>
      <vt:variant>
        <vt:i4>8257585</vt:i4>
      </vt:variant>
      <vt:variant>
        <vt:i4>1185</vt:i4>
      </vt:variant>
      <vt:variant>
        <vt:i4>0</vt:i4>
      </vt:variant>
      <vt:variant>
        <vt:i4>5</vt:i4>
      </vt:variant>
      <vt:variant>
        <vt:lpwstr>ttps://www.aasb.gov.au/pronouncements/accounting-standards/</vt:lpwstr>
      </vt:variant>
      <vt:variant>
        <vt:lpwstr/>
      </vt:variant>
      <vt:variant>
        <vt:i4>7471191</vt:i4>
      </vt:variant>
      <vt:variant>
        <vt:i4>1182</vt:i4>
      </vt:variant>
      <vt:variant>
        <vt:i4>0</vt:i4>
      </vt:variant>
      <vt:variant>
        <vt:i4>5</vt:i4>
      </vt:variant>
      <vt:variant>
        <vt:lpwstr/>
      </vt:variant>
      <vt:variant>
        <vt:lpwstr>_CBMS_Chart_of</vt:lpwstr>
      </vt:variant>
      <vt:variant>
        <vt:i4>7667769</vt:i4>
      </vt:variant>
      <vt:variant>
        <vt:i4>1179</vt:i4>
      </vt:variant>
      <vt:variant>
        <vt:i4>0</vt:i4>
      </vt:variant>
      <vt:variant>
        <vt:i4>5</vt:i4>
      </vt:variant>
      <vt:variant>
        <vt:lpwstr>mailto:budget_framework@finance.gov.au</vt:lpwstr>
      </vt:variant>
      <vt:variant>
        <vt:lpwstr/>
      </vt:variant>
      <vt:variant>
        <vt:i4>5111882</vt:i4>
      </vt:variant>
      <vt:variant>
        <vt:i4>1176</vt:i4>
      </vt:variant>
      <vt:variant>
        <vt:i4>0</vt:i4>
      </vt:variant>
      <vt:variant>
        <vt:i4>5</vt:i4>
      </vt:variant>
      <vt:variant>
        <vt:lpwstr>https://data.gov.au/</vt:lpwstr>
      </vt:variant>
      <vt:variant>
        <vt:lpwstr/>
      </vt:variant>
      <vt:variant>
        <vt:i4>7667769</vt:i4>
      </vt:variant>
      <vt:variant>
        <vt:i4>1173</vt:i4>
      </vt:variant>
      <vt:variant>
        <vt:i4>0</vt:i4>
      </vt:variant>
      <vt:variant>
        <vt:i4>5</vt:i4>
      </vt:variant>
      <vt:variant>
        <vt:lpwstr>mailto:budget_framework@finance.gov.au</vt:lpwstr>
      </vt:variant>
      <vt:variant>
        <vt:lpwstr/>
      </vt:variant>
      <vt:variant>
        <vt:i4>1900600</vt:i4>
      </vt:variant>
      <vt:variant>
        <vt:i4>1166</vt:i4>
      </vt:variant>
      <vt:variant>
        <vt:i4>0</vt:i4>
      </vt:variant>
      <vt:variant>
        <vt:i4>5</vt:i4>
      </vt:variant>
      <vt:variant>
        <vt:lpwstr/>
      </vt:variant>
      <vt:variant>
        <vt:lpwstr>_Toc159934327</vt:lpwstr>
      </vt:variant>
      <vt:variant>
        <vt:i4>1900600</vt:i4>
      </vt:variant>
      <vt:variant>
        <vt:i4>1160</vt:i4>
      </vt:variant>
      <vt:variant>
        <vt:i4>0</vt:i4>
      </vt:variant>
      <vt:variant>
        <vt:i4>5</vt:i4>
      </vt:variant>
      <vt:variant>
        <vt:lpwstr/>
      </vt:variant>
      <vt:variant>
        <vt:lpwstr>_Toc159934326</vt:lpwstr>
      </vt:variant>
      <vt:variant>
        <vt:i4>1900600</vt:i4>
      </vt:variant>
      <vt:variant>
        <vt:i4>1154</vt:i4>
      </vt:variant>
      <vt:variant>
        <vt:i4>0</vt:i4>
      </vt:variant>
      <vt:variant>
        <vt:i4>5</vt:i4>
      </vt:variant>
      <vt:variant>
        <vt:lpwstr/>
      </vt:variant>
      <vt:variant>
        <vt:lpwstr>_Toc159934325</vt:lpwstr>
      </vt:variant>
      <vt:variant>
        <vt:i4>1900600</vt:i4>
      </vt:variant>
      <vt:variant>
        <vt:i4>1148</vt:i4>
      </vt:variant>
      <vt:variant>
        <vt:i4>0</vt:i4>
      </vt:variant>
      <vt:variant>
        <vt:i4>5</vt:i4>
      </vt:variant>
      <vt:variant>
        <vt:lpwstr/>
      </vt:variant>
      <vt:variant>
        <vt:lpwstr>_Toc159934324</vt:lpwstr>
      </vt:variant>
      <vt:variant>
        <vt:i4>1900600</vt:i4>
      </vt:variant>
      <vt:variant>
        <vt:i4>1142</vt:i4>
      </vt:variant>
      <vt:variant>
        <vt:i4>0</vt:i4>
      </vt:variant>
      <vt:variant>
        <vt:i4>5</vt:i4>
      </vt:variant>
      <vt:variant>
        <vt:lpwstr/>
      </vt:variant>
      <vt:variant>
        <vt:lpwstr>_Toc159934323</vt:lpwstr>
      </vt:variant>
      <vt:variant>
        <vt:i4>1900600</vt:i4>
      </vt:variant>
      <vt:variant>
        <vt:i4>1136</vt:i4>
      </vt:variant>
      <vt:variant>
        <vt:i4>0</vt:i4>
      </vt:variant>
      <vt:variant>
        <vt:i4>5</vt:i4>
      </vt:variant>
      <vt:variant>
        <vt:lpwstr/>
      </vt:variant>
      <vt:variant>
        <vt:lpwstr>_Toc159934322</vt:lpwstr>
      </vt:variant>
      <vt:variant>
        <vt:i4>1900600</vt:i4>
      </vt:variant>
      <vt:variant>
        <vt:i4>1130</vt:i4>
      </vt:variant>
      <vt:variant>
        <vt:i4>0</vt:i4>
      </vt:variant>
      <vt:variant>
        <vt:i4>5</vt:i4>
      </vt:variant>
      <vt:variant>
        <vt:lpwstr/>
      </vt:variant>
      <vt:variant>
        <vt:lpwstr>_Toc159934321</vt:lpwstr>
      </vt:variant>
      <vt:variant>
        <vt:i4>1900600</vt:i4>
      </vt:variant>
      <vt:variant>
        <vt:i4>1124</vt:i4>
      </vt:variant>
      <vt:variant>
        <vt:i4>0</vt:i4>
      </vt:variant>
      <vt:variant>
        <vt:i4>5</vt:i4>
      </vt:variant>
      <vt:variant>
        <vt:lpwstr/>
      </vt:variant>
      <vt:variant>
        <vt:lpwstr>_Toc159934320</vt:lpwstr>
      </vt:variant>
      <vt:variant>
        <vt:i4>1966136</vt:i4>
      </vt:variant>
      <vt:variant>
        <vt:i4>1118</vt:i4>
      </vt:variant>
      <vt:variant>
        <vt:i4>0</vt:i4>
      </vt:variant>
      <vt:variant>
        <vt:i4>5</vt:i4>
      </vt:variant>
      <vt:variant>
        <vt:lpwstr/>
      </vt:variant>
      <vt:variant>
        <vt:lpwstr>_Toc159934319</vt:lpwstr>
      </vt:variant>
      <vt:variant>
        <vt:i4>1966136</vt:i4>
      </vt:variant>
      <vt:variant>
        <vt:i4>1112</vt:i4>
      </vt:variant>
      <vt:variant>
        <vt:i4>0</vt:i4>
      </vt:variant>
      <vt:variant>
        <vt:i4>5</vt:i4>
      </vt:variant>
      <vt:variant>
        <vt:lpwstr/>
      </vt:variant>
      <vt:variant>
        <vt:lpwstr>_Toc159934318</vt:lpwstr>
      </vt:variant>
      <vt:variant>
        <vt:i4>1966136</vt:i4>
      </vt:variant>
      <vt:variant>
        <vt:i4>1106</vt:i4>
      </vt:variant>
      <vt:variant>
        <vt:i4>0</vt:i4>
      </vt:variant>
      <vt:variant>
        <vt:i4>5</vt:i4>
      </vt:variant>
      <vt:variant>
        <vt:lpwstr/>
      </vt:variant>
      <vt:variant>
        <vt:lpwstr>_Toc159934317</vt:lpwstr>
      </vt:variant>
      <vt:variant>
        <vt:i4>1966136</vt:i4>
      </vt:variant>
      <vt:variant>
        <vt:i4>1100</vt:i4>
      </vt:variant>
      <vt:variant>
        <vt:i4>0</vt:i4>
      </vt:variant>
      <vt:variant>
        <vt:i4>5</vt:i4>
      </vt:variant>
      <vt:variant>
        <vt:lpwstr/>
      </vt:variant>
      <vt:variant>
        <vt:lpwstr>_Toc159934316</vt:lpwstr>
      </vt:variant>
      <vt:variant>
        <vt:i4>1966136</vt:i4>
      </vt:variant>
      <vt:variant>
        <vt:i4>1094</vt:i4>
      </vt:variant>
      <vt:variant>
        <vt:i4>0</vt:i4>
      </vt:variant>
      <vt:variant>
        <vt:i4>5</vt:i4>
      </vt:variant>
      <vt:variant>
        <vt:lpwstr/>
      </vt:variant>
      <vt:variant>
        <vt:lpwstr>_Toc159934315</vt:lpwstr>
      </vt:variant>
      <vt:variant>
        <vt:i4>1966136</vt:i4>
      </vt:variant>
      <vt:variant>
        <vt:i4>1088</vt:i4>
      </vt:variant>
      <vt:variant>
        <vt:i4>0</vt:i4>
      </vt:variant>
      <vt:variant>
        <vt:i4>5</vt:i4>
      </vt:variant>
      <vt:variant>
        <vt:lpwstr/>
      </vt:variant>
      <vt:variant>
        <vt:lpwstr>_Toc159934314</vt:lpwstr>
      </vt:variant>
      <vt:variant>
        <vt:i4>1966136</vt:i4>
      </vt:variant>
      <vt:variant>
        <vt:i4>1082</vt:i4>
      </vt:variant>
      <vt:variant>
        <vt:i4>0</vt:i4>
      </vt:variant>
      <vt:variant>
        <vt:i4>5</vt:i4>
      </vt:variant>
      <vt:variant>
        <vt:lpwstr/>
      </vt:variant>
      <vt:variant>
        <vt:lpwstr>_Toc159934313</vt:lpwstr>
      </vt:variant>
      <vt:variant>
        <vt:i4>1966136</vt:i4>
      </vt:variant>
      <vt:variant>
        <vt:i4>1076</vt:i4>
      </vt:variant>
      <vt:variant>
        <vt:i4>0</vt:i4>
      </vt:variant>
      <vt:variant>
        <vt:i4>5</vt:i4>
      </vt:variant>
      <vt:variant>
        <vt:lpwstr/>
      </vt:variant>
      <vt:variant>
        <vt:lpwstr>_Toc159934312</vt:lpwstr>
      </vt:variant>
      <vt:variant>
        <vt:i4>1966136</vt:i4>
      </vt:variant>
      <vt:variant>
        <vt:i4>1070</vt:i4>
      </vt:variant>
      <vt:variant>
        <vt:i4>0</vt:i4>
      </vt:variant>
      <vt:variant>
        <vt:i4>5</vt:i4>
      </vt:variant>
      <vt:variant>
        <vt:lpwstr/>
      </vt:variant>
      <vt:variant>
        <vt:lpwstr>_Toc159934311</vt:lpwstr>
      </vt:variant>
      <vt:variant>
        <vt:i4>1966136</vt:i4>
      </vt:variant>
      <vt:variant>
        <vt:i4>1064</vt:i4>
      </vt:variant>
      <vt:variant>
        <vt:i4>0</vt:i4>
      </vt:variant>
      <vt:variant>
        <vt:i4>5</vt:i4>
      </vt:variant>
      <vt:variant>
        <vt:lpwstr/>
      </vt:variant>
      <vt:variant>
        <vt:lpwstr>_Toc159934310</vt:lpwstr>
      </vt:variant>
      <vt:variant>
        <vt:i4>2031672</vt:i4>
      </vt:variant>
      <vt:variant>
        <vt:i4>1058</vt:i4>
      </vt:variant>
      <vt:variant>
        <vt:i4>0</vt:i4>
      </vt:variant>
      <vt:variant>
        <vt:i4>5</vt:i4>
      </vt:variant>
      <vt:variant>
        <vt:lpwstr/>
      </vt:variant>
      <vt:variant>
        <vt:lpwstr>_Toc159934309</vt:lpwstr>
      </vt:variant>
      <vt:variant>
        <vt:i4>2031672</vt:i4>
      </vt:variant>
      <vt:variant>
        <vt:i4>1052</vt:i4>
      </vt:variant>
      <vt:variant>
        <vt:i4>0</vt:i4>
      </vt:variant>
      <vt:variant>
        <vt:i4>5</vt:i4>
      </vt:variant>
      <vt:variant>
        <vt:lpwstr/>
      </vt:variant>
      <vt:variant>
        <vt:lpwstr>_Toc159934308</vt:lpwstr>
      </vt:variant>
      <vt:variant>
        <vt:i4>2031672</vt:i4>
      </vt:variant>
      <vt:variant>
        <vt:i4>1046</vt:i4>
      </vt:variant>
      <vt:variant>
        <vt:i4>0</vt:i4>
      </vt:variant>
      <vt:variant>
        <vt:i4>5</vt:i4>
      </vt:variant>
      <vt:variant>
        <vt:lpwstr/>
      </vt:variant>
      <vt:variant>
        <vt:lpwstr>_Toc159934307</vt:lpwstr>
      </vt:variant>
      <vt:variant>
        <vt:i4>2031672</vt:i4>
      </vt:variant>
      <vt:variant>
        <vt:i4>1040</vt:i4>
      </vt:variant>
      <vt:variant>
        <vt:i4>0</vt:i4>
      </vt:variant>
      <vt:variant>
        <vt:i4>5</vt:i4>
      </vt:variant>
      <vt:variant>
        <vt:lpwstr/>
      </vt:variant>
      <vt:variant>
        <vt:lpwstr>_Toc159934306</vt:lpwstr>
      </vt:variant>
      <vt:variant>
        <vt:i4>2031672</vt:i4>
      </vt:variant>
      <vt:variant>
        <vt:i4>1034</vt:i4>
      </vt:variant>
      <vt:variant>
        <vt:i4>0</vt:i4>
      </vt:variant>
      <vt:variant>
        <vt:i4>5</vt:i4>
      </vt:variant>
      <vt:variant>
        <vt:lpwstr/>
      </vt:variant>
      <vt:variant>
        <vt:lpwstr>_Toc159934305</vt:lpwstr>
      </vt:variant>
      <vt:variant>
        <vt:i4>2031672</vt:i4>
      </vt:variant>
      <vt:variant>
        <vt:i4>1028</vt:i4>
      </vt:variant>
      <vt:variant>
        <vt:i4>0</vt:i4>
      </vt:variant>
      <vt:variant>
        <vt:i4>5</vt:i4>
      </vt:variant>
      <vt:variant>
        <vt:lpwstr/>
      </vt:variant>
      <vt:variant>
        <vt:lpwstr>_Toc159934304</vt:lpwstr>
      </vt:variant>
      <vt:variant>
        <vt:i4>2031672</vt:i4>
      </vt:variant>
      <vt:variant>
        <vt:i4>1022</vt:i4>
      </vt:variant>
      <vt:variant>
        <vt:i4>0</vt:i4>
      </vt:variant>
      <vt:variant>
        <vt:i4>5</vt:i4>
      </vt:variant>
      <vt:variant>
        <vt:lpwstr/>
      </vt:variant>
      <vt:variant>
        <vt:lpwstr>_Toc159934303</vt:lpwstr>
      </vt:variant>
      <vt:variant>
        <vt:i4>2031672</vt:i4>
      </vt:variant>
      <vt:variant>
        <vt:i4>1016</vt:i4>
      </vt:variant>
      <vt:variant>
        <vt:i4>0</vt:i4>
      </vt:variant>
      <vt:variant>
        <vt:i4>5</vt:i4>
      </vt:variant>
      <vt:variant>
        <vt:lpwstr/>
      </vt:variant>
      <vt:variant>
        <vt:lpwstr>_Toc159934302</vt:lpwstr>
      </vt:variant>
      <vt:variant>
        <vt:i4>2031672</vt:i4>
      </vt:variant>
      <vt:variant>
        <vt:i4>1010</vt:i4>
      </vt:variant>
      <vt:variant>
        <vt:i4>0</vt:i4>
      </vt:variant>
      <vt:variant>
        <vt:i4>5</vt:i4>
      </vt:variant>
      <vt:variant>
        <vt:lpwstr/>
      </vt:variant>
      <vt:variant>
        <vt:lpwstr>_Toc159934301</vt:lpwstr>
      </vt:variant>
      <vt:variant>
        <vt:i4>2031672</vt:i4>
      </vt:variant>
      <vt:variant>
        <vt:i4>1004</vt:i4>
      </vt:variant>
      <vt:variant>
        <vt:i4>0</vt:i4>
      </vt:variant>
      <vt:variant>
        <vt:i4>5</vt:i4>
      </vt:variant>
      <vt:variant>
        <vt:lpwstr/>
      </vt:variant>
      <vt:variant>
        <vt:lpwstr>_Toc159934300</vt:lpwstr>
      </vt:variant>
      <vt:variant>
        <vt:i4>1441849</vt:i4>
      </vt:variant>
      <vt:variant>
        <vt:i4>998</vt:i4>
      </vt:variant>
      <vt:variant>
        <vt:i4>0</vt:i4>
      </vt:variant>
      <vt:variant>
        <vt:i4>5</vt:i4>
      </vt:variant>
      <vt:variant>
        <vt:lpwstr/>
      </vt:variant>
      <vt:variant>
        <vt:lpwstr>_Toc159934299</vt:lpwstr>
      </vt:variant>
      <vt:variant>
        <vt:i4>1441849</vt:i4>
      </vt:variant>
      <vt:variant>
        <vt:i4>992</vt:i4>
      </vt:variant>
      <vt:variant>
        <vt:i4>0</vt:i4>
      </vt:variant>
      <vt:variant>
        <vt:i4>5</vt:i4>
      </vt:variant>
      <vt:variant>
        <vt:lpwstr/>
      </vt:variant>
      <vt:variant>
        <vt:lpwstr>_Toc159934298</vt:lpwstr>
      </vt:variant>
      <vt:variant>
        <vt:i4>1441849</vt:i4>
      </vt:variant>
      <vt:variant>
        <vt:i4>986</vt:i4>
      </vt:variant>
      <vt:variant>
        <vt:i4>0</vt:i4>
      </vt:variant>
      <vt:variant>
        <vt:i4>5</vt:i4>
      </vt:variant>
      <vt:variant>
        <vt:lpwstr/>
      </vt:variant>
      <vt:variant>
        <vt:lpwstr>_Toc159934297</vt:lpwstr>
      </vt:variant>
      <vt:variant>
        <vt:i4>1441849</vt:i4>
      </vt:variant>
      <vt:variant>
        <vt:i4>980</vt:i4>
      </vt:variant>
      <vt:variant>
        <vt:i4>0</vt:i4>
      </vt:variant>
      <vt:variant>
        <vt:i4>5</vt:i4>
      </vt:variant>
      <vt:variant>
        <vt:lpwstr/>
      </vt:variant>
      <vt:variant>
        <vt:lpwstr>_Toc159934296</vt:lpwstr>
      </vt:variant>
      <vt:variant>
        <vt:i4>1441849</vt:i4>
      </vt:variant>
      <vt:variant>
        <vt:i4>974</vt:i4>
      </vt:variant>
      <vt:variant>
        <vt:i4>0</vt:i4>
      </vt:variant>
      <vt:variant>
        <vt:i4>5</vt:i4>
      </vt:variant>
      <vt:variant>
        <vt:lpwstr/>
      </vt:variant>
      <vt:variant>
        <vt:lpwstr>_Toc159934295</vt:lpwstr>
      </vt:variant>
      <vt:variant>
        <vt:i4>1441849</vt:i4>
      </vt:variant>
      <vt:variant>
        <vt:i4>968</vt:i4>
      </vt:variant>
      <vt:variant>
        <vt:i4>0</vt:i4>
      </vt:variant>
      <vt:variant>
        <vt:i4>5</vt:i4>
      </vt:variant>
      <vt:variant>
        <vt:lpwstr/>
      </vt:variant>
      <vt:variant>
        <vt:lpwstr>_Toc159934294</vt:lpwstr>
      </vt:variant>
      <vt:variant>
        <vt:i4>1441849</vt:i4>
      </vt:variant>
      <vt:variant>
        <vt:i4>962</vt:i4>
      </vt:variant>
      <vt:variant>
        <vt:i4>0</vt:i4>
      </vt:variant>
      <vt:variant>
        <vt:i4>5</vt:i4>
      </vt:variant>
      <vt:variant>
        <vt:lpwstr/>
      </vt:variant>
      <vt:variant>
        <vt:lpwstr>_Toc159934293</vt:lpwstr>
      </vt:variant>
      <vt:variant>
        <vt:i4>1441849</vt:i4>
      </vt:variant>
      <vt:variant>
        <vt:i4>956</vt:i4>
      </vt:variant>
      <vt:variant>
        <vt:i4>0</vt:i4>
      </vt:variant>
      <vt:variant>
        <vt:i4>5</vt:i4>
      </vt:variant>
      <vt:variant>
        <vt:lpwstr/>
      </vt:variant>
      <vt:variant>
        <vt:lpwstr>_Toc159934292</vt:lpwstr>
      </vt:variant>
      <vt:variant>
        <vt:i4>1441849</vt:i4>
      </vt:variant>
      <vt:variant>
        <vt:i4>950</vt:i4>
      </vt:variant>
      <vt:variant>
        <vt:i4>0</vt:i4>
      </vt:variant>
      <vt:variant>
        <vt:i4>5</vt:i4>
      </vt:variant>
      <vt:variant>
        <vt:lpwstr/>
      </vt:variant>
      <vt:variant>
        <vt:lpwstr>_Toc159934291</vt:lpwstr>
      </vt:variant>
      <vt:variant>
        <vt:i4>1441849</vt:i4>
      </vt:variant>
      <vt:variant>
        <vt:i4>944</vt:i4>
      </vt:variant>
      <vt:variant>
        <vt:i4>0</vt:i4>
      </vt:variant>
      <vt:variant>
        <vt:i4>5</vt:i4>
      </vt:variant>
      <vt:variant>
        <vt:lpwstr/>
      </vt:variant>
      <vt:variant>
        <vt:lpwstr>_Toc159934290</vt:lpwstr>
      </vt:variant>
      <vt:variant>
        <vt:i4>1507385</vt:i4>
      </vt:variant>
      <vt:variant>
        <vt:i4>938</vt:i4>
      </vt:variant>
      <vt:variant>
        <vt:i4>0</vt:i4>
      </vt:variant>
      <vt:variant>
        <vt:i4>5</vt:i4>
      </vt:variant>
      <vt:variant>
        <vt:lpwstr/>
      </vt:variant>
      <vt:variant>
        <vt:lpwstr>_Toc159934289</vt:lpwstr>
      </vt:variant>
      <vt:variant>
        <vt:i4>1507385</vt:i4>
      </vt:variant>
      <vt:variant>
        <vt:i4>932</vt:i4>
      </vt:variant>
      <vt:variant>
        <vt:i4>0</vt:i4>
      </vt:variant>
      <vt:variant>
        <vt:i4>5</vt:i4>
      </vt:variant>
      <vt:variant>
        <vt:lpwstr/>
      </vt:variant>
      <vt:variant>
        <vt:lpwstr>_Toc159934288</vt:lpwstr>
      </vt:variant>
      <vt:variant>
        <vt:i4>1507385</vt:i4>
      </vt:variant>
      <vt:variant>
        <vt:i4>926</vt:i4>
      </vt:variant>
      <vt:variant>
        <vt:i4>0</vt:i4>
      </vt:variant>
      <vt:variant>
        <vt:i4>5</vt:i4>
      </vt:variant>
      <vt:variant>
        <vt:lpwstr/>
      </vt:variant>
      <vt:variant>
        <vt:lpwstr>_Toc159934287</vt:lpwstr>
      </vt:variant>
      <vt:variant>
        <vt:i4>1507385</vt:i4>
      </vt:variant>
      <vt:variant>
        <vt:i4>920</vt:i4>
      </vt:variant>
      <vt:variant>
        <vt:i4>0</vt:i4>
      </vt:variant>
      <vt:variant>
        <vt:i4>5</vt:i4>
      </vt:variant>
      <vt:variant>
        <vt:lpwstr/>
      </vt:variant>
      <vt:variant>
        <vt:lpwstr>_Toc159934286</vt:lpwstr>
      </vt:variant>
      <vt:variant>
        <vt:i4>1507385</vt:i4>
      </vt:variant>
      <vt:variant>
        <vt:i4>914</vt:i4>
      </vt:variant>
      <vt:variant>
        <vt:i4>0</vt:i4>
      </vt:variant>
      <vt:variant>
        <vt:i4>5</vt:i4>
      </vt:variant>
      <vt:variant>
        <vt:lpwstr/>
      </vt:variant>
      <vt:variant>
        <vt:lpwstr>_Toc159934285</vt:lpwstr>
      </vt:variant>
      <vt:variant>
        <vt:i4>1507385</vt:i4>
      </vt:variant>
      <vt:variant>
        <vt:i4>908</vt:i4>
      </vt:variant>
      <vt:variant>
        <vt:i4>0</vt:i4>
      </vt:variant>
      <vt:variant>
        <vt:i4>5</vt:i4>
      </vt:variant>
      <vt:variant>
        <vt:lpwstr/>
      </vt:variant>
      <vt:variant>
        <vt:lpwstr>_Toc159934284</vt:lpwstr>
      </vt:variant>
      <vt:variant>
        <vt:i4>1507385</vt:i4>
      </vt:variant>
      <vt:variant>
        <vt:i4>902</vt:i4>
      </vt:variant>
      <vt:variant>
        <vt:i4>0</vt:i4>
      </vt:variant>
      <vt:variant>
        <vt:i4>5</vt:i4>
      </vt:variant>
      <vt:variant>
        <vt:lpwstr/>
      </vt:variant>
      <vt:variant>
        <vt:lpwstr>_Toc159934283</vt:lpwstr>
      </vt:variant>
      <vt:variant>
        <vt:i4>1507385</vt:i4>
      </vt:variant>
      <vt:variant>
        <vt:i4>896</vt:i4>
      </vt:variant>
      <vt:variant>
        <vt:i4>0</vt:i4>
      </vt:variant>
      <vt:variant>
        <vt:i4>5</vt:i4>
      </vt:variant>
      <vt:variant>
        <vt:lpwstr/>
      </vt:variant>
      <vt:variant>
        <vt:lpwstr>_Toc159934282</vt:lpwstr>
      </vt:variant>
      <vt:variant>
        <vt:i4>1507385</vt:i4>
      </vt:variant>
      <vt:variant>
        <vt:i4>890</vt:i4>
      </vt:variant>
      <vt:variant>
        <vt:i4>0</vt:i4>
      </vt:variant>
      <vt:variant>
        <vt:i4>5</vt:i4>
      </vt:variant>
      <vt:variant>
        <vt:lpwstr/>
      </vt:variant>
      <vt:variant>
        <vt:lpwstr>_Toc159934281</vt:lpwstr>
      </vt:variant>
      <vt:variant>
        <vt:i4>1507385</vt:i4>
      </vt:variant>
      <vt:variant>
        <vt:i4>884</vt:i4>
      </vt:variant>
      <vt:variant>
        <vt:i4>0</vt:i4>
      </vt:variant>
      <vt:variant>
        <vt:i4>5</vt:i4>
      </vt:variant>
      <vt:variant>
        <vt:lpwstr/>
      </vt:variant>
      <vt:variant>
        <vt:lpwstr>_Toc159934280</vt:lpwstr>
      </vt:variant>
      <vt:variant>
        <vt:i4>1572921</vt:i4>
      </vt:variant>
      <vt:variant>
        <vt:i4>878</vt:i4>
      </vt:variant>
      <vt:variant>
        <vt:i4>0</vt:i4>
      </vt:variant>
      <vt:variant>
        <vt:i4>5</vt:i4>
      </vt:variant>
      <vt:variant>
        <vt:lpwstr/>
      </vt:variant>
      <vt:variant>
        <vt:lpwstr>_Toc159934279</vt:lpwstr>
      </vt:variant>
      <vt:variant>
        <vt:i4>1572921</vt:i4>
      </vt:variant>
      <vt:variant>
        <vt:i4>872</vt:i4>
      </vt:variant>
      <vt:variant>
        <vt:i4>0</vt:i4>
      </vt:variant>
      <vt:variant>
        <vt:i4>5</vt:i4>
      </vt:variant>
      <vt:variant>
        <vt:lpwstr/>
      </vt:variant>
      <vt:variant>
        <vt:lpwstr>_Toc159934278</vt:lpwstr>
      </vt:variant>
      <vt:variant>
        <vt:i4>1572921</vt:i4>
      </vt:variant>
      <vt:variant>
        <vt:i4>866</vt:i4>
      </vt:variant>
      <vt:variant>
        <vt:i4>0</vt:i4>
      </vt:variant>
      <vt:variant>
        <vt:i4>5</vt:i4>
      </vt:variant>
      <vt:variant>
        <vt:lpwstr/>
      </vt:variant>
      <vt:variant>
        <vt:lpwstr>_Toc159934277</vt:lpwstr>
      </vt:variant>
      <vt:variant>
        <vt:i4>1572921</vt:i4>
      </vt:variant>
      <vt:variant>
        <vt:i4>860</vt:i4>
      </vt:variant>
      <vt:variant>
        <vt:i4>0</vt:i4>
      </vt:variant>
      <vt:variant>
        <vt:i4>5</vt:i4>
      </vt:variant>
      <vt:variant>
        <vt:lpwstr/>
      </vt:variant>
      <vt:variant>
        <vt:lpwstr>_Toc159934276</vt:lpwstr>
      </vt:variant>
      <vt:variant>
        <vt:i4>1572921</vt:i4>
      </vt:variant>
      <vt:variant>
        <vt:i4>854</vt:i4>
      </vt:variant>
      <vt:variant>
        <vt:i4>0</vt:i4>
      </vt:variant>
      <vt:variant>
        <vt:i4>5</vt:i4>
      </vt:variant>
      <vt:variant>
        <vt:lpwstr/>
      </vt:variant>
      <vt:variant>
        <vt:lpwstr>_Toc159934275</vt:lpwstr>
      </vt:variant>
      <vt:variant>
        <vt:i4>1572921</vt:i4>
      </vt:variant>
      <vt:variant>
        <vt:i4>848</vt:i4>
      </vt:variant>
      <vt:variant>
        <vt:i4>0</vt:i4>
      </vt:variant>
      <vt:variant>
        <vt:i4>5</vt:i4>
      </vt:variant>
      <vt:variant>
        <vt:lpwstr/>
      </vt:variant>
      <vt:variant>
        <vt:lpwstr>_Toc159934274</vt:lpwstr>
      </vt:variant>
      <vt:variant>
        <vt:i4>1572921</vt:i4>
      </vt:variant>
      <vt:variant>
        <vt:i4>842</vt:i4>
      </vt:variant>
      <vt:variant>
        <vt:i4>0</vt:i4>
      </vt:variant>
      <vt:variant>
        <vt:i4>5</vt:i4>
      </vt:variant>
      <vt:variant>
        <vt:lpwstr/>
      </vt:variant>
      <vt:variant>
        <vt:lpwstr>_Toc159934273</vt:lpwstr>
      </vt:variant>
      <vt:variant>
        <vt:i4>1572921</vt:i4>
      </vt:variant>
      <vt:variant>
        <vt:i4>836</vt:i4>
      </vt:variant>
      <vt:variant>
        <vt:i4>0</vt:i4>
      </vt:variant>
      <vt:variant>
        <vt:i4>5</vt:i4>
      </vt:variant>
      <vt:variant>
        <vt:lpwstr/>
      </vt:variant>
      <vt:variant>
        <vt:lpwstr>_Toc159934272</vt:lpwstr>
      </vt:variant>
      <vt:variant>
        <vt:i4>1572921</vt:i4>
      </vt:variant>
      <vt:variant>
        <vt:i4>830</vt:i4>
      </vt:variant>
      <vt:variant>
        <vt:i4>0</vt:i4>
      </vt:variant>
      <vt:variant>
        <vt:i4>5</vt:i4>
      </vt:variant>
      <vt:variant>
        <vt:lpwstr/>
      </vt:variant>
      <vt:variant>
        <vt:lpwstr>_Toc159934271</vt:lpwstr>
      </vt:variant>
      <vt:variant>
        <vt:i4>1572921</vt:i4>
      </vt:variant>
      <vt:variant>
        <vt:i4>824</vt:i4>
      </vt:variant>
      <vt:variant>
        <vt:i4>0</vt:i4>
      </vt:variant>
      <vt:variant>
        <vt:i4>5</vt:i4>
      </vt:variant>
      <vt:variant>
        <vt:lpwstr/>
      </vt:variant>
      <vt:variant>
        <vt:lpwstr>_Toc159934270</vt:lpwstr>
      </vt:variant>
      <vt:variant>
        <vt:i4>1638457</vt:i4>
      </vt:variant>
      <vt:variant>
        <vt:i4>818</vt:i4>
      </vt:variant>
      <vt:variant>
        <vt:i4>0</vt:i4>
      </vt:variant>
      <vt:variant>
        <vt:i4>5</vt:i4>
      </vt:variant>
      <vt:variant>
        <vt:lpwstr/>
      </vt:variant>
      <vt:variant>
        <vt:lpwstr>_Toc159934269</vt:lpwstr>
      </vt:variant>
      <vt:variant>
        <vt:i4>1638457</vt:i4>
      </vt:variant>
      <vt:variant>
        <vt:i4>812</vt:i4>
      </vt:variant>
      <vt:variant>
        <vt:i4>0</vt:i4>
      </vt:variant>
      <vt:variant>
        <vt:i4>5</vt:i4>
      </vt:variant>
      <vt:variant>
        <vt:lpwstr/>
      </vt:variant>
      <vt:variant>
        <vt:lpwstr>_Toc159934268</vt:lpwstr>
      </vt:variant>
      <vt:variant>
        <vt:i4>1638457</vt:i4>
      </vt:variant>
      <vt:variant>
        <vt:i4>806</vt:i4>
      </vt:variant>
      <vt:variant>
        <vt:i4>0</vt:i4>
      </vt:variant>
      <vt:variant>
        <vt:i4>5</vt:i4>
      </vt:variant>
      <vt:variant>
        <vt:lpwstr/>
      </vt:variant>
      <vt:variant>
        <vt:lpwstr>_Toc159934267</vt:lpwstr>
      </vt:variant>
      <vt:variant>
        <vt:i4>1638457</vt:i4>
      </vt:variant>
      <vt:variant>
        <vt:i4>800</vt:i4>
      </vt:variant>
      <vt:variant>
        <vt:i4>0</vt:i4>
      </vt:variant>
      <vt:variant>
        <vt:i4>5</vt:i4>
      </vt:variant>
      <vt:variant>
        <vt:lpwstr/>
      </vt:variant>
      <vt:variant>
        <vt:lpwstr>_Toc159934266</vt:lpwstr>
      </vt:variant>
      <vt:variant>
        <vt:i4>1638457</vt:i4>
      </vt:variant>
      <vt:variant>
        <vt:i4>794</vt:i4>
      </vt:variant>
      <vt:variant>
        <vt:i4>0</vt:i4>
      </vt:variant>
      <vt:variant>
        <vt:i4>5</vt:i4>
      </vt:variant>
      <vt:variant>
        <vt:lpwstr/>
      </vt:variant>
      <vt:variant>
        <vt:lpwstr>_Toc159934265</vt:lpwstr>
      </vt:variant>
      <vt:variant>
        <vt:i4>1638457</vt:i4>
      </vt:variant>
      <vt:variant>
        <vt:i4>788</vt:i4>
      </vt:variant>
      <vt:variant>
        <vt:i4>0</vt:i4>
      </vt:variant>
      <vt:variant>
        <vt:i4>5</vt:i4>
      </vt:variant>
      <vt:variant>
        <vt:lpwstr/>
      </vt:variant>
      <vt:variant>
        <vt:lpwstr>_Toc159934264</vt:lpwstr>
      </vt:variant>
      <vt:variant>
        <vt:i4>1638457</vt:i4>
      </vt:variant>
      <vt:variant>
        <vt:i4>782</vt:i4>
      </vt:variant>
      <vt:variant>
        <vt:i4>0</vt:i4>
      </vt:variant>
      <vt:variant>
        <vt:i4>5</vt:i4>
      </vt:variant>
      <vt:variant>
        <vt:lpwstr/>
      </vt:variant>
      <vt:variant>
        <vt:lpwstr>_Toc159934263</vt:lpwstr>
      </vt:variant>
      <vt:variant>
        <vt:i4>1638457</vt:i4>
      </vt:variant>
      <vt:variant>
        <vt:i4>776</vt:i4>
      </vt:variant>
      <vt:variant>
        <vt:i4>0</vt:i4>
      </vt:variant>
      <vt:variant>
        <vt:i4>5</vt:i4>
      </vt:variant>
      <vt:variant>
        <vt:lpwstr/>
      </vt:variant>
      <vt:variant>
        <vt:lpwstr>_Toc159934262</vt:lpwstr>
      </vt:variant>
      <vt:variant>
        <vt:i4>1638457</vt:i4>
      </vt:variant>
      <vt:variant>
        <vt:i4>770</vt:i4>
      </vt:variant>
      <vt:variant>
        <vt:i4>0</vt:i4>
      </vt:variant>
      <vt:variant>
        <vt:i4>5</vt:i4>
      </vt:variant>
      <vt:variant>
        <vt:lpwstr/>
      </vt:variant>
      <vt:variant>
        <vt:lpwstr>_Toc159934261</vt:lpwstr>
      </vt:variant>
      <vt:variant>
        <vt:i4>1638457</vt:i4>
      </vt:variant>
      <vt:variant>
        <vt:i4>764</vt:i4>
      </vt:variant>
      <vt:variant>
        <vt:i4>0</vt:i4>
      </vt:variant>
      <vt:variant>
        <vt:i4>5</vt:i4>
      </vt:variant>
      <vt:variant>
        <vt:lpwstr/>
      </vt:variant>
      <vt:variant>
        <vt:lpwstr>_Toc159934260</vt:lpwstr>
      </vt:variant>
      <vt:variant>
        <vt:i4>1703993</vt:i4>
      </vt:variant>
      <vt:variant>
        <vt:i4>758</vt:i4>
      </vt:variant>
      <vt:variant>
        <vt:i4>0</vt:i4>
      </vt:variant>
      <vt:variant>
        <vt:i4>5</vt:i4>
      </vt:variant>
      <vt:variant>
        <vt:lpwstr/>
      </vt:variant>
      <vt:variant>
        <vt:lpwstr>_Toc159934259</vt:lpwstr>
      </vt:variant>
      <vt:variant>
        <vt:i4>1703993</vt:i4>
      </vt:variant>
      <vt:variant>
        <vt:i4>752</vt:i4>
      </vt:variant>
      <vt:variant>
        <vt:i4>0</vt:i4>
      </vt:variant>
      <vt:variant>
        <vt:i4>5</vt:i4>
      </vt:variant>
      <vt:variant>
        <vt:lpwstr/>
      </vt:variant>
      <vt:variant>
        <vt:lpwstr>_Toc159934258</vt:lpwstr>
      </vt:variant>
      <vt:variant>
        <vt:i4>1703993</vt:i4>
      </vt:variant>
      <vt:variant>
        <vt:i4>746</vt:i4>
      </vt:variant>
      <vt:variant>
        <vt:i4>0</vt:i4>
      </vt:variant>
      <vt:variant>
        <vt:i4>5</vt:i4>
      </vt:variant>
      <vt:variant>
        <vt:lpwstr/>
      </vt:variant>
      <vt:variant>
        <vt:lpwstr>_Toc159934257</vt:lpwstr>
      </vt:variant>
      <vt:variant>
        <vt:i4>1703993</vt:i4>
      </vt:variant>
      <vt:variant>
        <vt:i4>740</vt:i4>
      </vt:variant>
      <vt:variant>
        <vt:i4>0</vt:i4>
      </vt:variant>
      <vt:variant>
        <vt:i4>5</vt:i4>
      </vt:variant>
      <vt:variant>
        <vt:lpwstr/>
      </vt:variant>
      <vt:variant>
        <vt:lpwstr>_Toc159934256</vt:lpwstr>
      </vt:variant>
      <vt:variant>
        <vt:i4>1703993</vt:i4>
      </vt:variant>
      <vt:variant>
        <vt:i4>734</vt:i4>
      </vt:variant>
      <vt:variant>
        <vt:i4>0</vt:i4>
      </vt:variant>
      <vt:variant>
        <vt:i4>5</vt:i4>
      </vt:variant>
      <vt:variant>
        <vt:lpwstr/>
      </vt:variant>
      <vt:variant>
        <vt:lpwstr>_Toc159934255</vt:lpwstr>
      </vt:variant>
      <vt:variant>
        <vt:i4>1703993</vt:i4>
      </vt:variant>
      <vt:variant>
        <vt:i4>728</vt:i4>
      </vt:variant>
      <vt:variant>
        <vt:i4>0</vt:i4>
      </vt:variant>
      <vt:variant>
        <vt:i4>5</vt:i4>
      </vt:variant>
      <vt:variant>
        <vt:lpwstr/>
      </vt:variant>
      <vt:variant>
        <vt:lpwstr>_Toc159934254</vt:lpwstr>
      </vt:variant>
      <vt:variant>
        <vt:i4>1703993</vt:i4>
      </vt:variant>
      <vt:variant>
        <vt:i4>722</vt:i4>
      </vt:variant>
      <vt:variant>
        <vt:i4>0</vt:i4>
      </vt:variant>
      <vt:variant>
        <vt:i4>5</vt:i4>
      </vt:variant>
      <vt:variant>
        <vt:lpwstr/>
      </vt:variant>
      <vt:variant>
        <vt:lpwstr>_Toc159934253</vt:lpwstr>
      </vt:variant>
      <vt:variant>
        <vt:i4>1703993</vt:i4>
      </vt:variant>
      <vt:variant>
        <vt:i4>716</vt:i4>
      </vt:variant>
      <vt:variant>
        <vt:i4>0</vt:i4>
      </vt:variant>
      <vt:variant>
        <vt:i4>5</vt:i4>
      </vt:variant>
      <vt:variant>
        <vt:lpwstr/>
      </vt:variant>
      <vt:variant>
        <vt:lpwstr>_Toc159934252</vt:lpwstr>
      </vt:variant>
      <vt:variant>
        <vt:i4>1703993</vt:i4>
      </vt:variant>
      <vt:variant>
        <vt:i4>710</vt:i4>
      </vt:variant>
      <vt:variant>
        <vt:i4>0</vt:i4>
      </vt:variant>
      <vt:variant>
        <vt:i4>5</vt:i4>
      </vt:variant>
      <vt:variant>
        <vt:lpwstr/>
      </vt:variant>
      <vt:variant>
        <vt:lpwstr>_Toc159934251</vt:lpwstr>
      </vt:variant>
      <vt:variant>
        <vt:i4>1703993</vt:i4>
      </vt:variant>
      <vt:variant>
        <vt:i4>704</vt:i4>
      </vt:variant>
      <vt:variant>
        <vt:i4>0</vt:i4>
      </vt:variant>
      <vt:variant>
        <vt:i4>5</vt:i4>
      </vt:variant>
      <vt:variant>
        <vt:lpwstr/>
      </vt:variant>
      <vt:variant>
        <vt:lpwstr>_Toc159934250</vt:lpwstr>
      </vt:variant>
      <vt:variant>
        <vt:i4>1769529</vt:i4>
      </vt:variant>
      <vt:variant>
        <vt:i4>698</vt:i4>
      </vt:variant>
      <vt:variant>
        <vt:i4>0</vt:i4>
      </vt:variant>
      <vt:variant>
        <vt:i4>5</vt:i4>
      </vt:variant>
      <vt:variant>
        <vt:lpwstr/>
      </vt:variant>
      <vt:variant>
        <vt:lpwstr>_Toc159934249</vt:lpwstr>
      </vt:variant>
      <vt:variant>
        <vt:i4>1769529</vt:i4>
      </vt:variant>
      <vt:variant>
        <vt:i4>692</vt:i4>
      </vt:variant>
      <vt:variant>
        <vt:i4>0</vt:i4>
      </vt:variant>
      <vt:variant>
        <vt:i4>5</vt:i4>
      </vt:variant>
      <vt:variant>
        <vt:lpwstr/>
      </vt:variant>
      <vt:variant>
        <vt:lpwstr>_Toc159934248</vt:lpwstr>
      </vt:variant>
      <vt:variant>
        <vt:i4>1769529</vt:i4>
      </vt:variant>
      <vt:variant>
        <vt:i4>686</vt:i4>
      </vt:variant>
      <vt:variant>
        <vt:i4>0</vt:i4>
      </vt:variant>
      <vt:variant>
        <vt:i4>5</vt:i4>
      </vt:variant>
      <vt:variant>
        <vt:lpwstr/>
      </vt:variant>
      <vt:variant>
        <vt:lpwstr>_Toc159934247</vt:lpwstr>
      </vt:variant>
      <vt:variant>
        <vt:i4>1769529</vt:i4>
      </vt:variant>
      <vt:variant>
        <vt:i4>680</vt:i4>
      </vt:variant>
      <vt:variant>
        <vt:i4>0</vt:i4>
      </vt:variant>
      <vt:variant>
        <vt:i4>5</vt:i4>
      </vt:variant>
      <vt:variant>
        <vt:lpwstr/>
      </vt:variant>
      <vt:variant>
        <vt:lpwstr>_Toc159934246</vt:lpwstr>
      </vt:variant>
      <vt:variant>
        <vt:i4>1769529</vt:i4>
      </vt:variant>
      <vt:variant>
        <vt:i4>674</vt:i4>
      </vt:variant>
      <vt:variant>
        <vt:i4>0</vt:i4>
      </vt:variant>
      <vt:variant>
        <vt:i4>5</vt:i4>
      </vt:variant>
      <vt:variant>
        <vt:lpwstr/>
      </vt:variant>
      <vt:variant>
        <vt:lpwstr>_Toc159934245</vt:lpwstr>
      </vt:variant>
      <vt:variant>
        <vt:i4>1769529</vt:i4>
      </vt:variant>
      <vt:variant>
        <vt:i4>668</vt:i4>
      </vt:variant>
      <vt:variant>
        <vt:i4>0</vt:i4>
      </vt:variant>
      <vt:variant>
        <vt:i4>5</vt:i4>
      </vt:variant>
      <vt:variant>
        <vt:lpwstr/>
      </vt:variant>
      <vt:variant>
        <vt:lpwstr>_Toc159934244</vt:lpwstr>
      </vt:variant>
      <vt:variant>
        <vt:i4>1769529</vt:i4>
      </vt:variant>
      <vt:variant>
        <vt:i4>662</vt:i4>
      </vt:variant>
      <vt:variant>
        <vt:i4>0</vt:i4>
      </vt:variant>
      <vt:variant>
        <vt:i4>5</vt:i4>
      </vt:variant>
      <vt:variant>
        <vt:lpwstr/>
      </vt:variant>
      <vt:variant>
        <vt:lpwstr>_Toc159934243</vt:lpwstr>
      </vt:variant>
      <vt:variant>
        <vt:i4>1769529</vt:i4>
      </vt:variant>
      <vt:variant>
        <vt:i4>656</vt:i4>
      </vt:variant>
      <vt:variant>
        <vt:i4>0</vt:i4>
      </vt:variant>
      <vt:variant>
        <vt:i4>5</vt:i4>
      </vt:variant>
      <vt:variant>
        <vt:lpwstr/>
      </vt:variant>
      <vt:variant>
        <vt:lpwstr>_Toc159934242</vt:lpwstr>
      </vt:variant>
      <vt:variant>
        <vt:i4>1769529</vt:i4>
      </vt:variant>
      <vt:variant>
        <vt:i4>650</vt:i4>
      </vt:variant>
      <vt:variant>
        <vt:i4>0</vt:i4>
      </vt:variant>
      <vt:variant>
        <vt:i4>5</vt:i4>
      </vt:variant>
      <vt:variant>
        <vt:lpwstr/>
      </vt:variant>
      <vt:variant>
        <vt:lpwstr>_Toc159934241</vt:lpwstr>
      </vt:variant>
      <vt:variant>
        <vt:i4>1769529</vt:i4>
      </vt:variant>
      <vt:variant>
        <vt:i4>644</vt:i4>
      </vt:variant>
      <vt:variant>
        <vt:i4>0</vt:i4>
      </vt:variant>
      <vt:variant>
        <vt:i4>5</vt:i4>
      </vt:variant>
      <vt:variant>
        <vt:lpwstr/>
      </vt:variant>
      <vt:variant>
        <vt:lpwstr>_Toc159934240</vt:lpwstr>
      </vt:variant>
      <vt:variant>
        <vt:i4>1835065</vt:i4>
      </vt:variant>
      <vt:variant>
        <vt:i4>638</vt:i4>
      </vt:variant>
      <vt:variant>
        <vt:i4>0</vt:i4>
      </vt:variant>
      <vt:variant>
        <vt:i4>5</vt:i4>
      </vt:variant>
      <vt:variant>
        <vt:lpwstr/>
      </vt:variant>
      <vt:variant>
        <vt:lpwstr>_Toc159934239</vt:lpwstr>
      </vt:variant>
      <vt:variant>
        <vt:i4>1835065</vt:i4>
      </vt:variant>
      <vt:variant>
        <vt:i4>632</vt:i4>
      </vt:variant>
      <vt:variant>
        <vt:i4>0</vt:i4>
      </vt:variant>
      <vt:variant>
        <vt:i4>5</vt:i4>
      </vt:variant>
      <vt:variant>
        <vt:lpwstr/>
      </vt:variant>
      <vt:variant>
        <vt:lpwstr>_Toc159934238</vt:lpwstr>
      </vt:variant>
      <vt:variant>
        <vt:i4>1835065</vt:i4>
      </vt:variant>
      <vt:variant>
        <vt:i4>626</vt:i4>
      </vt:variant>
      <vt:variant>
        <vt:i4>0</vt:i4>
      </vt:variant>
      <vt:variant>
        <vt:i4>5</vt:i4>
      </vt:variant>
      <vt:variant>
        <vt:lpwstr/>
      </vt:variant>
      <vt:variant>
        <vt:lpwstr>_Toc159934237</vt:lpwstr>
      </vt:variant>
      <vt:variant>
        <vt:i4>1835065</vt:i4>
      </vt:variant>
      <vt:variant>
        <vt:i4>620</vt:i4>
      </vt:variant>
      <vt:variant>
        <vt:i4>0</vt:i4>
      </vt:variant>
      <vt:variant>
        <vt:i4>5</vt:i4>
      </vt:variant>
      <vt:variant>
        <vt:lpwstr/>
      </vt:variant>
      <vt:variant>
        <vt:lpwstr>_Toc159934236</vt:lpwstr>
      </vt:variant>
      <vt:variant>
        <vt:i4>1835065</vt:i4>
      </vt:variant>
      <vt:variant>
        <vt:i4>614</vt:i4>
      </vt:variant>
      <vt:variant>
        <vt:i4>0</vt:i4>
      </vt:variant>
      <vt:variant>
        <vt:i4>5</vt:i4>
      </vt:variant>
      <vt:variant>
        <vt:lpwstr/>
      </vt:variant>
      <vt:variant>
        <vt:lpwstr>_Toc159934235</vt:lpwstr>
      </vt:variant>
      <vt:variant>
        <vt:i4>1835065</vt:i4>
      </vt:variant>
      <vt:variant>
        <vt:i4>608</vt:i4>
      </vt:variant>
      <vt:variant>
        <vt:i4>0</vt:i4>
      </vt:variant>
      <vt:variant>
        <vt:i4>5</vt:i4>
      </vt:variant>
      <vt:variant>
        <vt:lpwstr/>
      </vt:variant>
      <vt:variant>
        <vt:lpwstr>_Toc159934234</vt:lpwstr>
      </vt:variant>
      <vt:variant>
        <vt:i4>1835065</vt:i4>
      </vt:variant>
      <vt:variant>
        <vt:i4>602</vt:i4>
      </vt:variant>
      <vt:variant>
        <vt:i4>0</vt:i4>
      </vt:variant>
      <vt:variant>
        <vt:i4>5</vt:i4>
      </vt:variant>
      <vt:variant>
        <vt:lpwstr/>
      </vt:variant>
      <vt:variant>
        <vt:lpwstr>_Toc159934233</vt:lpwstr>
      </vt:variant>
      <vt:variant>
        <vt:i4>1835065</vt:i4>
      </vt:variant>
      <vt:variant>
        <vt:i4>596</vt:i4>
      </vt:variant>
      <vt:variant>
        <vt:i4>0</vt:i4>
      </vt:variant>
      <vt:variant>
        <vt:i4>5</vt:i4>
      </vt:variant>
      <vt:variant>
        <vt:lpwstr/>
      </vt:variant>
      <vt:variant>
        <vt:lpwstr>_Toc159934232</vt:lpwstr>
      </vt:variant>
      <vt:variant>
        <vt:i4>1835065</vt:i4>
      </vt:variant>
      <vt:variant>
        <vt:i4>590</vt:i4>
      </vt:variant>
      <vt:variant>
        <vt:i4>0</vt:i4>
      </vt:variant>
      <vt:variant>
        <vt:i4>5</vt:i4>
      </vt:variant>
      <vt:variant>
        <vt:lpwstr/>
      </vt:variant>
      <vt:variant>
        <vt:lpwstr>_Toc159934231</vt:lpwstr>
      </vt:variant>
      <vt:variant>
        <vt:i4>1835065</vt:i4>
      </vt:variant>
      <vt:variant>
        <vt:i4>584</vt:i4>
      </vt:variant>
      <vt:variant>
        <vt:i4>0</vt:i4>
      </vt:variant>
      <vt:variant>
        <vt:i4>5</vt:i4>
      </vt:variant>
      <vt:variant>
        <vt:lpwstr/>
      </vt:variant>
      <vt:variant>
        <vt:lpwstr>_Toc159934230</vt:lpwstr>
      </vt:variant>
      <vt:variant>
        <vt:i4>1900601</vt:i4>
      </vt:variant>
      <vt:variant>
        <vt:i4>578</vt:i4>
      </vt:variant>
      <vt:variant>
        <vt:i4>0</vt:i4>
      </vt:variant>
      <vt:variant>
        <vt:i4>5</vt:i4>
      </vt:variant>
      <vt:variant>
        <vt:lpwstr/>
      </vt:variant>
      <vt:variant>
        <vt:lpwstr>_Toc159934229</vt:lpwstr>
      </vt:variant>
      <vt:variant>
        <vt:i4>1900601</vt:i4>
      </vt:variant>
      <vt:variant>
        <vt:i4>572</vt:i4>
      </vt:variant>
      <vt:variant>
        <vt:i4>0</vt:i4>
      </vt:variant>
      <vt:variant>
        <vt:i4>5</vt:i4>
      </vt:variant>
      <vt:variant>
        <vt:lpwstr/>
      </vt:variant>
      <vt:variant>
        <vt:lpwstr>_Toc159934228</vt:lpwstr>
      </vt:variant>
      <vt:variant>
        <vt:i4>1900601</vt:i4>
      </vt:variant>
      <vt:variant>
        <vt:i4>566</vt:i4>
      </vt:variant>
      <vt:variant>
        <vt:i4>0</vt:i4>
      </vt:variant>
      <vt:variant>
        <vt:i4>5</vt:i4>
      </vt:variant>
      <vt:variant>
        <vt:lpwstr/>
      </vt:variant>
      <vt:variant>
        <vt:lpwstr>_Toc159934227</vt:lpwstr>
      </vt:variant>
      <vt:variant>
        <vt:i4>1900601</vt:i4>
      </vt:variant>
      <vt:variant>
        <vt:i4>560</vt:i4>
      </vt:variant>
      <vt:variant>
        <vt:i4>0</vt:i4>
      </vt:variant>
      <vt:variant>
        <vt:i4>5</vt:i4>
      </vt:variant>
      <vt:variant>
        <vt:lpwstr/>
      </vt:variant>
      <vt:variant>
        <vt:lpwstr>_Toc159934226</vt:lpwstr>
      </vt:variant>
      <vt:variant>
        <vt:i4>1900601</vt:i4>
      </vt:variant>
      <vt:variant>
        <vt:i4>554</vt:i4>
      </vt:variant>
      <vt:variant>
        <vt:i4>0</vt:i4>
      </vt:variant>
      <vt:variant>
        <vt:i4>5</vt:i4>
      </vt:variant>
      <vt:variant>
        <vt:lpwstr/>
      </vt:variant>
      <vt:variant>
        <vt:lpwstr>_Toc159934225</vt:lpwstr>
      </vt:variant>
      <vt:variant>
        <vt:i4>1900601</vt:i4>
      </vt:variant>
      <vt:variant>
        <vt:i4>548</vt:i4>
      </vt:variant>
      <vt:variant>
        <vt:i4>0</vt:i4>
      </vt:variant>
      <vt:variant>
        <vt:i4>5</vt:i4>
      </vt:variant>
      <vt:variant>
        <vt:lpwstr/>
      </vt:variant>
      <vt:variant>
        <vt:lpwstr>_Toc159934224</vt:lpwstr>
      </vt:variant>
      <vt:variant>
        <vt:i4>1900601</vt:i4>
      </vt:variant>
      <vt:variant>
        <vt:i4>542</vt:i4>
      </vt:variant>
      <vt:variant>
        <vt:i4>0</vt:i4>
      </vt:variant>
      <vt:variant>
        <vt:i4>5</vt:i4>
      </vt:variant>
      <vt:variant>
        <vt:lpwstr/>
      </vt:variant>
      <vt:variant>
        <vt:lpwstr>_Toc159934223</vt:lpwstr>
      </vt:variant>
      <vt:variant>
        <vt:i4>1900601</vt:i4>
      </vt:variant>
      <vt:variant>
        <vt:i4>536</vt:i4>
      </vt:variant>
      <vt:variant>
        <vt:i4>0</vt:i4>
      </vt:variant>
      <vt:variant>
        <vt:i4>5</vt:i4>
      </vt:variant>
      <vt:variant>
        <vt:lpwstr/>
      </vt:variant>
      <vt:variant>
        <vt:lpwstr>_Toc159934222</vt:lpwstr>
      </vt:variant>
      <vt:variant>
        <vt:i4>1900601</vt:i4>
      </vt:variant>
      <vt:variant>
        <vt:i4>530</vt:i4>
      </vt:variant>
      <vt:variant>
        <vt:i4>0</vt:i4>
      </vt:variant>
      <vt:variant>
        <vt:i4>5</vt:i4>
      </vt:variant>
      <vt:variant>
        <vt:lpwstr/>
      </vt:variant>
      <vt:variant>
        <vt:lpwstr>_Toc159934221</vt:lpwstr>
      </vt:variant>
      <vt:variant>
        <vt:i4>1900601</vt:i4>
      </vt:variant>
      <vt:variant>
        <vt:i4>524</vt:i4>
      </vt:variant>
      <vt:variant>
        <vt:i4>0</vt:i4>
      </vt:variant>
      <vt:variant>
        <vt:i4>5</vt:i4>
      </vt:variant>
      <vt:variant>
        <vt:lpwstr/>
      </vt:variant>
      <vt:variant>
        <vt:lpwstr>_Toc159934220</vt:lpwstr>
      </vt:variant>
      <vt:variant>
        <vt:i4>1966137</vt:i4>
      </vt:variant>
      <vt:variant>
        <vt:i4>518</vt:i4>
      </vt:variant>
      <vt:variant>
        <vt:i4>0</vt:i4>
      </vt:variant>
      <vt:variant>
        <vt:i4>5</vt:i4>
      </vt:variant>
      <vt:variant>
        <vt:lpwstr/>
      </vt:variant>
      <vt:variant>
        <vt:lpwstr>_Toc159934219</vt:lpwstr>
      </vt:variant>
      <vt:variant>
        <vt:i4>1966137</vt:i4>
      </vt:variant>
      <vt:variant>
        <vt:i4>512</vt:i4>
      </vt:variant>
      <vt:variant>
        <vt:i4>0</vt:i4>
      </vt:variant>
      <vt:variant>
        <vt:i4>5</vt:i4>
      </vt:variant>
      <vt:variant>
        <vt:lpwstr/>
      </vt:variant>
      <vt:variant>
        <vt:lpwstr>_Toc159934218</vt:lpwstr>
      </vt:variant>
      <vt:variant>
        <vt:i4>1966137</vt:i4>
      </vt:variant>
      <vt:variant>
        <vt:i4>506</vt:i4>
      </vt:variant>
      <vt:variant>
        <vt:i4>0</vt:i4>
      </vt:variant>
      <vt:variant>
        <vt:i4>5</vt:i4>
      </vt:variant>
      <vt:variant>
        <vt:lpwstr/>
      </vt:variant>
      <vt:variant>
        <vt:lpwstr>_Toc159934217</vt:lpwstr>
      </vt:variant>
      <vt:variant>
        <vt:i4>1966137</vt:i4>
      </vt:variant>
      <vt:variant>
        <vt:i4>500</vt:i4>
      </vt:variant>
      <vt:variant>
        <vt:i4>0</vt:i4>
      </vt:variant>
      <vt:variant>
        <vt:i4>5</vt:i4>
      </vt:variant>
      <vt:variant>
        <vt:lpwstr/>
      </vt:variant>
      <vt:variant>
        <vt:lpwstr>_Toc159934216</vt:lpwstr>
      </vt:variant>
      <vt:variant>
        <vt:i4>1966137</vt:i4>
      </vt:variant>
      <vt:variant>
        <vt:i4>494</vt:i4>
      </vt:variant>
      <vt:variant>
        <vt:i4>0</vt:i4>
      </vt:variant>
      <vt:variant>
        <vt:i4>5</vt:i4>
      </vt:variant>
      <vt:variant>
        <vt:lpwstr/>
      </vt:variant>
      <vt:variant>
        <vt:lpwstr>_Toc159934215</vt:lpwstr>
      </vt:variant>
      <vt:variant>
        <vt:i4>1966137</vt:i4>
      </vt:variant>
      <vt:variant>
        <vt:i4>488</vt:i4>
      </vt:variant>
      <vt:variant>
        <vt:i4>0</vt:i4>
      </vt:variant>
      <vt:variant>
        <vt:i4>5</vt:i4>
      </vt:variant>
      <vt:variant>
        <vt:lpwstr/>
      </vt:variant>
      <vt:variant>
        <vt:lpwstr>_Toc159934214</vt:lpwstr>
      </vt:variant>
      <vt:variant>
        <vt:i4>1966137</vt:i4>
      </vt:variant>
      <vt:variant>
        <vt:i4>482</vt:i4>
      </vt:variant>
      <vt:variant>
        <vt:i4>0</vt:i4>
      </vt:variant>
      <vt:variant>
        <vt:i4>5</vt:i4>
      </vt:variant>
      <vt:variant>
        <vt:lpwstr/>
      </vt:variant>
      <vt:variant>
        <vt:lpwstr>_Toc159934213</vt:lpwstr>
      </vt:variant>
      <vt:variant>
        <vt:i4>1966137</vt:i4>
      </vt:variant>
      <vt:variant>
        <vt:i4>476</vt:i4>
      </vt:variant>
      <vt:variant>
        <vt:i4>0</vt:i4>
      </vt:variant>
      <vt:variant>
        <vt:i4>5</vt:i4>
      </vt:variant>
      <vt:variant>
        <vt:lpwstr/>
      </vt:variant>
      <vt:variant>
        <vt:lpwstr>_Toc159934212</vt:lpwstr>
      </vt:variant>
      <vt:variant>
        <vt:i4>1966137</vt:i4>
      </vt:variant>
      <vt:variant>
        <vt:i4>470</vt:i4>
      </vt:variant>
      <vt:variant>
        <vt:i4>0</vt:i4>
      </vt:variant>
      <vt:variant>
        <vt:i4>5</vt:i4>
      </vt:variant>
      <vt:variant>
        <vt:lpwstr/>
      </vt:variant>
      <vt:variant>
        <vt:lpwstr>_Toc159934211</vt:lpwstr>
      </vt:variant>
      <vt:variant>
        <vt:i4>1966137</vt:i4>
      </vt:variant>
      <vt:variant>
        <vt:i4>464</vt:i4>
      </vt:variant>
      <vt:variant>
        <vt:i4>0</vt:i4>
      </vt:variant>
      <vt:variant>
        <vt:i4>5</vt:i4>
      </vt:variant>
      <vt:variant>
        <vt:lpwstr/>
      </vt:variant>
      <vt:variant>
        <vt:lpwstr>_Toc159934210</vt:lpwstr>
      </vt:variant>
      <vt:variant>
        <vt:i4>2031673</vt:i4>
      </vt:variant>
      <vt:variant>
        <vt:i4>458</vt:i4>
      </vt:variant>
      <vt:variant>
        <vt:i4>0</vt:i4>
      </vt:variant>
      <vt:variant>
        <vt:i4>5</vt:i4>
      </vt:variant>
      <vt:variant>
        <vt:lpwstr/>
      </vt:variant>
      <vt:variant>
        <vt:lpwstr>_Toc159934209</vt:lpwstr>
      </vt:variant>
      <vt:variant>
        <vt:i4>2031673</vt:i4>
      </vt:variant>
      <vt:variant>
        <vt:i4>452</vt:i4>
      </vt:variant>
      <vt:variant>
        <vt:i4>0</vt:i4>
      </vt:variant>
      <vt:variant>
        <vt:i4>5</vt:i4>
      </vt:variant>
      <vt:variant>
        <vt:lpwstr/>
      </vt:variant>
      <vt:variant>
        <vt:lpwstr>_Toc159934208</vt:lpwstr>
      </vt:variant>
      <vt:variant>
        <vt:i4>2031673</vt:i4>
      </vt:variant>
      <vt:variant>
        <vt:i4>446</vt:i4>
      </vt:variant>
      <vt:variant>
        <vt:i4>0</vt:i4>
      </vt:variant>
      <vt:variant>
        <vt:i4>5</vt:i4>
      </vt:variant>
      <vt:variant>
        <vt:lpwstr/>
      </vt:variant>
      <vt:variant>
        <vt:lpwstr>_Toc159934207</vt:lpwstr>
      </vt:variant>
      <vt:variant>
        <vt:i4>2031673</vt:i4>
      </vt:variant>
      <vt:variant>
        <vt:i4>440</vt:i4>
      </vt:variant>
      <vt:variant>
        <vt:i4>0</vt:i4>
      </vt:variant>
      <vt:variant>
        <vt:i4>5</vt:i4>
      </vt:variant>
      <vt:variant>
        <vt:lpwstr/>
      </vt:variant>
      <vt:variant>
        <vt:lpwstr>_Toc159934206</vt:lpwstr>
      </vt:variant>
      <vt:variant>
        <vt:i4>2031673</vt:i4>
      </vt:variant>
      <vt:variant>
        <vt:i4>434</vt:i4>
      </vt:variant>
      <vt:variant>
        <vt:i4>0</vt:i4>
      </vt:variant>
      <vt:variant>
        <vt:i4>5</vt:i4>
      </vt:variant>
      <vt:variant>
        <vt:lpwstr/>
      </vt:variant>
      <vt:variant>
        <vt:lpwstr>_Toc159934205</vt:lpwstr>
      </vt:variant>
      <vt:variant>
        <vt:i4>2031673</vt:i4>
      </vt:variant>
      <vt:variant>
        <vt:i4>428</vt:i4>
      </vt:variant>
      <vt:variant>
        <vt:i4>0</vt:i4>
      </vt:variant>
      <vt:variant>
        <vt:i4>5</vt:i4>
      </vt:variant>
      <vt:variant>
        <vt:lpwstr/>
      </vt:variant>
      <vt:variant>
        <vt:lpwstr>_Toc159934204</vt:lpwstr>
      </vt:variant>
      <vt:variant>
        <vt:i4>2031673</vt:i4>
      </vt:variant>
      <vt:variant>
        <vt:i4>422</vt:i4>
      </vt:variant>
      <vt:variant>
        <vt:i4>0</vt:i4>
      </vt:variant>
      <vt:variant>
        <vt:i4>5</vt:i4>
      </vt:variant>
      <vt:variant>
        <vt:lpwstr/>
      </vt:variant>
      <vt:variant>
        <vt:lpwstr>_Toc159934203</vt:lpwstr>
      </vt:variant>
      <vt:variant>
        <vt:i4>2031673</vt:i4>
      </vt:variant>
      <vt:variant>
        <vt:i4>416</vt:i4>
      </vt:variant>
      <vt:variant>
        <vt:i4>0</vt:i4>
      </vt:variant>
      <vt:variant>
        <vt:i4>5</vt:i4>
      </vt:variant>
      <vt:variant>
        <vt:lpwstr/>
      </vt:variant>
      <vt:variant>
        <vt:lpwstr>_Toc159934202</vt:lpwstr>
      </vt:variant>
      <vt:variant>
        <vt:i4>2031673</vt:i4>
      </vt:variant>
      <vt:variant>
        <vt:i4>410</vt:i4>
      </vt:variant>
      <vt:variant>
        <vt:i4>0</vt:i4>
      </vt:variant>
      <vt:variant>
        <vt:i4>5</vt:i4>
      </vt:variant>
      <vt:variant>
        <vt:lpwstr/>
      </vt:variant>
      <vt:variant>
        <vt:lpwstr>_Toc159934201</vt:lpwstr>
      </vt:variant>
      <vt:variant>
        <vt:i4>2031673</vt:i4>
      </vt:variant>
      <vt:variant>
        <vt:i4>404</vt:i4>
      </vt:variant>
      <vt:variant>
        <vt:i4>0</vt:i4>
      </vt:variant>
      <vt:variant>
        <vt:i4>5</vt:i4>
      </vt:variant>
      <vt:variant>
        <vt:lpwstr/>
      </vt:variant>
      <vt:variant>
        <vt:lpwstr>_Toc159934200</vt:lpwstr>
      </vt:variant>
      <vt:variant>
        <vt:i4>1441850</vt:i4>
      </vt:variant>
      <vt:variant>
        <vt:i4>398</vt:i4>
      </vt:variant>
      <vt:variant>
        <vt:i4>0</vt:i4>
      </vt:variant>
      <vt:variant>
        <vt:i4>5</vt:i4>
      </vt:variant>
      <vt:variant>
        <vt:lpwstr/>
      </vt:variant>
      <vt:variant>
        <vt:lpwstr>_Toc159934199</vt:lpwstr>
      </vt:variant>
      <vt:variant>
        <vt:i4>1441850</vt:i4>
      </vt:variant>
      <vt:variant>
        <vt:i4>392</vt:i4>
      </vt:variant>
      <vt:variant>
        <vt:i4>0</vt:i4>
      </vt:variant>
      <vt:variant>
        <vt:i4>5</vt:i4>
      </vt:variant>
      <vt:variant>
        <vt:lpwstr/>
      </vt:variant>
      <vt:variant>
        <vt:lpwstr>_Toc159934198</vt:lpwstr>
      </vt:variant>
      <vt:variant>
        <vt:i4>1441850</vt:i4>
      </vt:variant>
      <vt:variant>
        <vt:i4>386</vt:i4>
      </vt:variant>
      <vt:variant>
        <vt:i4>0</vt:i4>
      </vt:variant>
      <vt:variant>
        <vt:i4>5</vt:i4>
      </vt:variant>
      <vt:variant>
        <vt:lpwstr/>
      </vt:variant>
      <vt:variant>
        <vt:lpwstr>_Toc159934197</vt:lpwstr>
      </vt:variant>
      <vt:variant>
        <vt:i4>1441850</vt:i4>
      </vt:variant>
      <vt:variant>
        <vt:i4>380</vt:i4>
      </vt:variant>
      <vt:variant>
        <vt:i4>0</vt:i4>
      </vt:variant>
      <vt:variant>
        <vt:i4>5</vt:i4>
      </vt:variant>
      <vt:variant>
        <vt:lpwstr/>
      </vt:variant>
      <vt:variant>
        <vt:lpwstr>_Toc159934196</vt:lpwstr>
      </vt:variant>
      <vt:variant>
        <vt:i4>1441850</vt:i4>
      </vt:variant>
      <vt:variant>
        <vt:i4>374</vt:i4>
      </vt:variant>
      <vt:variant>
        <vt:i4>0</vt:i4>
      </vt:variant>
      <vt:variant>
        <vt:i4>5</vt:i4>
      </vt:variant>
      <vt:variant>
        <vt:lpwstr/>
      </vt:variant>
      <vt:variant>
        <vt:lpwstr>_Toc159934195</vt:lpwstr>
      </vt:variant>
      <vt:variant>
        <vt:i4>1441850</vt:i4>
      </vt:variant>
      <vt:variant>
        <vt:i4>368</vt:i4>
      </vt:variant>
      <vt:variant>
        <vt:i4>0</vt:i4>
      </vt:variant>
      <vt:variant>
        <vt:i4>5</vt:i4>
      </vt:variant>
      <vt:variant>
        <vt:lpwstr/>
      </vt:variant>
      <vt:variant>
        <vt:lpwstr>_Toc159934194</vt:lpwstr>
      </vt:variant>
      <vt:variant>
        <vt:i4>1441850</vt:i4>
      </vt:variant>
      <vt:variant>
        <vt:i4>362</vt:i4>
      </vt:variant>
      <vt:variant>
        <vt:i4>0</vt:i4>
      </vt:variant>
      <vt:variant>
        <vt:i4>5</vt:i4>
      </vt:variant>
      <vt:variant>
        <vt:lpwstr/>
      </vt:variant>
      <vt:variant>
        <vt:lpwstr>_Toc159934193</vt:lpwstr>
      </vt:variant>
      <vt:variant>
        <vt:i4>1441850</vt:i4>
      </vt:variant>
      <vt:variant>
        <vt:i4>356</vt:i4>
      </vt:variant>
      <vt:variant>
        <vt:i4>0</vt:i4>
      </vt:variant>
      <vt:variant>
        <vt:i4>5</vt:i4>
      </vt:variant>
      <vt:variant>
        <vt:lpwstr/>
      </vt:variant>
      <vt:variant>
        <vt:lpwstr>_Toc159934192</vt:lpwstr>
      </vt:variant>
      <vt:variant>
        <vt:i4>1441850</vt:i4>
      </vt:variant>
      <vt:variant>
        <vt:i4>350</vt:i4>
      </vt:variant>
      <vt:variant>
        <vt:i4>0</vt:i4>
      </vt:variant>
      <vt:variant>
        <vt:i4>5</vt:i4>
      </vt:variant>
      <vt:variant>
        <vt:lpwstr/>
      </vt:variant>
      <vt:variant>
        <vt:lpwstr>_Toc159934191</vt:lpwstr>
      </vt:variant>
      <vt:variant>
        <vt:i4>1441850</vt:i4>
      </vt:variant>
      <vt:variant>
        <vt:i4>344</vt:i4>
      </vt:variant>
      <vt:variant>
        <vt:i4>0</vt:i4>
      </vt:variant>
      <vt:variant>
        <vt:i4>5</vt:i4>
      </vt:variant>
      <vt:variant>
        <vt:lpwstr/>
      </vt:variant>
      <vt:variant>
        <vt:lpwstr>_Toc159934190</vt:lpwstr>
      </vt:variant>
      <vt:variant>
        <vt:i4>1507386</vt:i4>
      </vt:variant>
      <vt:variant>
        <vt:i4>338</vt:i4>
      </vt:variant>
      <vt:variant>
        <vt:i4>0</vt:i4>
      </vt:variant>
      <vt:variant>
        <vt:i4>5</vt:i4>
      </vt:variant>
      <vt:variant>
        <vt:lpwstr/>
      </vt:variant>
      <vt:variant>
        <vt:lpwstr>_Toc159934189</vt:lpwstr>
      </vt:variant>
      <vt:variant>
        <vt:i4>1507386</vt:i4>
      </vt:variant>
      <vt:variant>
        <vt:i4>332</vt:i4>
      </vt:variant>
      <vt:variant>
        <vt:i4>0</vt:i4>
      </vt:variant>
      <vt:variant>
        <vt:i4>5</vt:i4>
      </vt:variant>
      <vt:variant>
        <vt:lpwstr/>
      </vt:variant>
      <vt:variant>
        <vt:lpwstr>_Toc159934188</vt:lpwstr>
      </vt:variant>
      <vt:variant>
        <vt:i4>1507386</vt:i4>
      </vt:variant>
      <vt:variant>
        <vt:i4>326</vt:i4>
      </vt:variant>
      <vt:variant>
        <vt:i4>0</vt:i4>
      </vt:variant>
      <vt:variant>
        <vt:i4>5</vt:i4>
      </vt:variant>
      <vt:variant>
        <vt:lpwstr/>
      </vt:variant>
      <vt:variant>
        <vt:lpwstr>_Toc159934187</vt:lpwstr>
      </vt:variant>
      <vt:variant>
        <vt:i4>1507386</vt:i4>
      </vt:variant>
      <vt:variant>
        <vt:i4>320</vt:i4>
      </vt:variant>
      <vt:variant>
        <vt:i4>0</vt:i4>
      </vt:variant>
      <vt:variant>
        <vt:i4>5</vt:i4>
      </vt:variant>
      <vt:variant>
        <vt:lpwstr/>
      </vt:variant>
      <vt:variant>
        <vt:lpwstr>_Toc159934186</vt:lpwstr>
      </vt:variant>
      <vt:variant>
        <vt:i4>1507386</vt:i4>
      </vt:variant>
      <vt:variant>
        <vt:i4>314</vt:i4>
      </vt:variant>
      <vt:variant>
        <vt:i4>0</vt:i4>
      </vt:variant>
      <vt:variant>
        <vt:i4>5</vt:i4>
      </vt:variant>
      <vt:variant>
        <vt:lpwstr/>
      </vt:variant>
      <vt:variant>
        <vt:lpwstr>_Toc159934185</vt:lpwstr>
      </vt:variant>
      <vt:variant>
        <vt:i4>1507386</vt:i4>
      </vt:variant>
      <vt:variant>
        <vt:i4>308</vt:i4>
      </vt:variant>
      <vt:variant>
        <vt:i4>0</vt:i4>
      </vt:variant>
      <vt:variant>
        <vt:i4>5</vt:i4>
      </vt:variant>
      <vt:variant>
        <vt:lpwstr/>
      </vt:variant>
      <vt:variant>
        <vt:lpwstr>_Toc159934184</vt:lpwstr>
      </vt:variant>
      <vt:variant>
        <vt:i4>1507386</vt:i4>
      </vt:variant>
      <vt:variant>
        <vt:i4>302</vt:i4>
      </vt:variant>
      <vt:variant>
        <vt:i4>0</vt:i4>
      </vt:variant>
      <vt:variant>
        <vt:i4>5</vt:i4>
      </vt:variant>
      <vt:variant>
        <vt:lpwstr/>
      </vt:variant>
      <vt:variant>
        <vt:lpwstr>_Toc159934183</vt:lpwstr>
      </vt:variant>
      <vt:variant>
        <vt:i4>1507386</vt:i4>
      </vt:variant>
      <vt:variant>
        <vt:i4>296</vt:i4>
      </vt:variant>
      <vt:variant>
        <vt:i4>0</vt:i4>
      </vt:variant>
      <vt:variant>
        <vt:i4>5</vt:i4>
      </vt:variant>
      <vt:variant>
        <vt:lpwstr/>
      </vt:variant>
      <vt:variant>
        <vt:lpwstr>_Toc159934182</vt:lpwstr>
      </vt:variant>
      <vt:variant>
        <vt:i4>1507386</vt:i4>
      </vt:variant>
      <vt:variant>
        <vt:i4>290</vt:i4>
      </vt:variant>
      <vt:variant>
        <vt:i4>0</vt:i4>
      </vt:variant>
      <vt:variant>
        <vt:i4>5</vt:i4>
      </vt:variant>
      <vt:variant>
        <vt:lpwstr/>
      </vt:variant>
      <vt:variant>
        <vt:lpwstr>_Toc159934181</vt:lpwstr>
      </vt:variant>
      <vt:variant>
        <vt:i4>1507386</vt:i4>
      </vt:variant>
      <vt:variant>
        <vt:i4>284</vt:i4>
      </vt:variant>
      <vt:variant>
        <vt:i4>0</vt:i4>
      </vt:variant>
      <vt:variant>
        <vt:i4>5</vt:i4>
      </vt:variant>
      <vt:variant>
        <vt:lpwstr/>
      </vt:variant>
      <vt:variant>
        <vt:lpwstr>_Toc159934180</vt:lpwstr>
      </vt:variant>
      <vt:variant>
        <vt:i4>1572922</vt:i4>
      </vt:variant>
      <vt:variant>
        <vt:i4>278</vt:i4>
      </vt:variant>
      <vt:variant>
        <vt:i4>0</vt:i4>
      </vt:variant>
      <vt:variant>
        <vt:i4>5</vt:i4>
      </vt:variant>
      <vt:variant>
        <vt:lpwstr/>
      </vt:variant>
      <vt:variant>
        <vt:lpwstr>_Toc159934179</vt:lpwstr>
      </vt:variant>
      <vt:variant>
        <vt:i4>1572922</vt:i4>
      </vt:variant>
      <vt:variant>
        <vt:i4>272</vt:i4>
      </vt:variant>
      <vt:variant>
        <vt:i4>0</vt:i4>
      </vt:variant>
      <vt:variant>
        <vt:i4>5</vt:i4>
      </vt:variant>
      <vt:variant>
        <vt:lpwstr/>
      </vt:variant>
      <vt:variant>
        <vt:lpwstr>_Toc159934178</vt:lpwstr>
      </vt:variant>
      <vt:variant>
        <vt:i4>1572922</vt:i4>
      </vt:variant>
      <vt:variant>
        <vt:i4>266</vt:i4>
      </vt:variant>
      <vt:variant>
        <vt:i4>0</vt:i4>
      </vt:variant>
      <vt:variant>
        <vt:i4>5</vt:i4>
      </vt:variant>
      <vt:variant>
        <vt:lpwstr/>
      </vt:variant>
      <vt:variant>
        <vt:lpwstr>_Toc159934177</vt:lpwstr>
      </vt:variant>
      <vt:variant>
        <vt:i4>1572922</vt:i4>
      </vt:variant>
      <vt:variant>
        <vt:i4>260</vt:i4>
      </vt:variant>
      <vt:variant>
        <vt:i4>0</vt:i4>
      </vt:variant>
      <vt:variant>
        <vt:i4>5</vt:i4>
      </vt:variant>
      <vt:variant>
        <vt:lpwstr/>
      </vt:variant>
      <vt:variant>
        <vt:lpwstr>_Toc159934176</vt:lpwstr>
      </vt:variant>
      <vt:variant>
        <vt:i4>1572922</vt:i4>
      </vt:variant>
      <vt:variant>
        <vt:i4>254</vt:i4>
      </vt:variant>
      <vt:variant>
        <vt:i4>0</vt:i4>
      </vt:variant>
      <vt:variant>
        <vt:i4>5</vt:i4>
      </vt:variant>
      <vt:variant>
        <vt:lpwstr/>
      </vt:variant>
      <vt:variant>
        <vt:lpwstr>_Toc159934175</vt:lpwstr>
      </vt:variant>
      <vt:variant>
        <vt:i4>1572922</vt:i4>
      </vt:variant>
      <vt:variant>
        <vt:i4>248</vt:i4>
      </vt:variant>
      <vt:variant>
        <vt:i4>0</vt:i4>
      </vt:variant>
      <vt:variant>
        <vt:i4>5</vt:i4>
      </vt:variant>
      <vt:variant>
        <vt:lpwstr/>
      </vt:variant>
      <vt:variant>
        <vt:lpwstr>_Toc159934174</vt:lpwstr>
      </vt:variant>
      <vt:variant>
        <vt:i4>1572922</vt:i4>
      </vt:variant>
      <vt:variant>
        <vt:i4>242</vt:i4>
      </vt:variant>
      <vt:variant>
        <vt:i4>0</vt:i4>
      </vt:variant>
      <vt:variant>
        <vt:i4>5</vt:i4>
      </vt:variant>
      <vt:variant>
        <vt:lpwstr/>
      </vt:variant>
      <vt:variant>
        <vt:lpwstr>_Toc159934173</vt:lpwstr>
      </vt:variant>
      <vt:variant>
        <vt:i4>1572922</vt:i4>
      </vt:variant>
      <vt:variant>
        <vt:i4>236</vt:i4>
      </vt:variant>
      <vt:variant>
        <vt:i4>0</vt:i4>
      </vt:variant>
      <vt:variant>
        <vt:i4>5</vt:i4>
      </vt:variant>
      <vt:variant>
        <vt:lpwstr/>
      </vt:variant>
      <vt:variant>
        <vt:lpwstr>_Toc159934172</vt:lpwstr>
      </vt:variant>
      <vt:variant>
        <vt:i4>1572922</vt:i4>
      </vt:variant>
      <vt:variant>
        <vt:i4>230</vt:i4>
      </vt:variant>
      <vt:variant>
        <vt:i4>0</vt:i4>
      </vt:variant>
      <vt:variant>
        <vt:i4>5</vt:i4>
      </vt:variant>
      <vt:variant>
        <vt:lpwstr/>
      </vt:variant>
      <vt:variant>
        <vt:lpwstr>_Toc159934171</vt:lpwstr>
      </vt:variant>
      <vt:variant>
        <vt:i4>1572922</vt:i4>
      </vt:variant>
      <vt:variant>
        <vt:i4>224</vt:i4>
      </vt:variant>
      <vt:variant>
        <vt:i4>0</vt:i4>
      </vt:variant>
      <vt:variant>
        <vt:i4>5</vt:i4>
      </vt:variant>
      <vt:variant>
        <vt:lpwstr/>
      </vt:variant>
      <vt:variant>
        <vt:lpwstr>_Toc159934170</vt:lpwstr>
      </vt:variant>
      <vt:variant>
        <vt:i4>1638458</vt:i4>
      </vt:variant>
      <vt:variant>
        <vt:i4>218</vt:i4>
      </vt:variant>
      <vt:variant>
        <vt:i4>0</vt:i4>
      </vt:variant>
      <vt:variant>
        <vt:i4>5</vt:i4>
      </vt:variant>
      <vt:variant>
        <vt:lpwstr/>
      </vt:variant>
      <vt:variant>
        <vt:lpwstr>_Toc159934169</vt:lpwstr>
      </vt:variant>
      <vt:variant>
        <vt:i4>1638458</vt:i4>
      </vt:variant>
      <vt:variant>
        <vt:i4>212</vt:i4>
      </vt:variant>
      <vt:variant>
        <vt:i4>0</vt:i4>
      </vt:variant>
      <vt:variant>
        <vt:i4>5</vt:i4>
      </vt:variant>
      <vt:variant>
        <vt:lpwstr/>
      </vt:variant>
      <vt:variant>
        <vt:lpwstr>_Toc159934168</vt:lpwstr>
      </vt:variant>
      <vt:variant>
        <vt:i4>1638458</vt:i4>
      </vt:variant>
      <vt:variant>
        <vt:i4>206</vt:i4>
      </vt:variant>
      <vt:variant>
        <vt:i4>0</vt:i4>
      </vt:variant>
      <vt:variant>
        <vt:i4>5</vt:i4>
      </vt:variant>
      <vt:variant>
        <vt:lpwstr/>
      </vt:variant>
      <vt:variant>
        <vt:lpwstr>_Toc159934167</vt:lpwstr>
      </vt:variant>
      <vt:variant>
        <vt:i4>1638458</vt:i4>
      </vt:variant>
      <vt:variant>
        <vt:i4>200</vt:i4>
      </vt:variant>
      <vt:variant>
        <vt:i4>0</vt:i4>
      </vt:variant>
      <vt:variant>
        <vt:i4>5</vt:i4>
      </vt:variant>
      <vt:variant>
        <vt:lpwstr/>
      </vt:variant>
      <vt:variant>
        <vt:lpwstr>_Toc159934166</vt:lpwstr>
      </vt:variant>
      <vt:variant>
        <vt:i4>1638458</vt:i4>
      </vt:variant>
      <vt:variant>
        <vt:i4>194</vt:i4>
      </vt:variant>
      <vt:variant>
        <vt:i4>0</vt:i4>
      </vt:variant>
      <vt:variant>
        <vt:i4>5</vt:i4>
      </vt:variant>
      <vt:variant>
        <vt:lpwstr/>
      </vt:variant>
      <vt:variant>
        <vt:lpwstr>_Toc159934165</vt:lpwstr>
      </vt:variant>
      <vt:variant>
        <vt:i4>1638458</vt:i4>
      </vt:variant>
      <vt:variant>
        <vt:i4>188</vt:i4>
      </vt:variant>
      <vt:variant>
        <vt:i4>0</vt:i4>
      </vt:variant>
      <vt:variant>
        <vt:i4>5</vt:i4>
      </vt:variant>
      <vt:variant>
        <vt:lpwstr/>
      </vt:variant>
      <vt:variant>
        <vt:lpwstr>_Toc159934164</vt:lpwstr>
      </vt:variant>
      <vt:variant>
        <vt:i4>1638458</vt:i4>
      </vt:variant>
      <vt:variant>
        <vt:i4>182</vt:i4>
      </vt:variant>
      <vt:variant>
        <vt:i4>0</vt:i4>
      </vt:variant>
      <vt:variant>
        <vt:i4>5</vt:i4>
      </vt:variant>
      <vt:variant>
        <vt:lpwstr/>
      </vt:variant>
      <vt:variant>
        <vt:lpwstr>_Toc159934163</vt:lpwstr>
      </vt:variant>
      <vt:variant>
        <vt:i4>1638458</vt:i4>
      </vt:variant>
      <vt:variant>
        <vt:i4>176</vt:i4>
      </vt:variant>
      <vt:variant>
        <vt:i4>0</vt:i4>
      </vt:variant>
      <vt:variant>
        <vt:i4>5</vt:i4>
      </vt:variant>
      <vt:variant>
        <vt:lpwstr/>
      </vt:variant>
      <vt:variant>
        <vt:lpwstr>_Toc159934162</vt:lpwstr>
      </vt:variant>
      <vt:variant>
        <vt:i4>1638458</vt:i4>
      </vt:variant>
      <vt:variant>
        <vt:i4>170</vt:i4>
      </vt:variant>
      <vt:variant>
        <vt:i4>0</vt:i4>
      </vt:variant>
      <vt:variant>
        <vt:i4>5</vt:i4>
      </vt:variant>
      <vt:variant>
        <vt:lpwstr/>
      </vt:variant>
      <vt:variant>
        <vt:lpwstr>_Toc159934161</vt:lpwstr>
      </vt:variant>
      <vt:variant>
        <vt:i4>1638458</vt:i4>
      </vt:variant>
      <vt:variant>
        <vt:i4>164</vt:i4>
      </vt:variant>
      <vt:variant>
        <vt:i4>0</vt:i4>
      </vt:variant>
      <vt:variant>
        <vt:i4>5</vt:i4>
      </vt:variant>
      <vt:variant>
        <vt:lpwstr/>
      </vt:variant>
      <vt:variant>
        <vt:lpwstr>_Toc159934160</vt:lpwstr>
      </vt:variant>
      <vt:variant>
        <vt:i4>1703994</vt:i4>
      </vt:variant>
      <vt:variant>
        <vt:i4>158</vt:i4>
      </vt:variant>
      <vt:variant>
        <vt:i4>0</vt:i4>
      </vt:variant>
      <vt:variant>
        <vt:i4>5</vt:i4>
      </vt:variant>
      <vt:variant>
        <vt:lpwstr/>
      </vt:variant>
      <vt:variant>
        <vt:lpwstr>_Toc159934159</vt:lpwstr>
      </vt:variant>
      <vt:variant>
        <vt:i4>1703994</vt:i4>
      </vt:variant>
      <vt:variant>
        <vt:i4>152</vt:i4>
      </vt:variant>
      <vt:variant>
        <vt:i4>0</vt:i4>
      </vt:variant>
      <vt:variant>
        <vt:i4>5</vt:i4>
      </vt:variant>
      <vt:variant>
        <vt:lpwstr/>
      </vt:variant>
      <vt:variant>
        <vt:lpwstr>_Toc159934158</vt:lpwstr>
      </vt:variant>
      <vt:variant>
        <vt:i4>1703994</vt:i4>
      </vt:variant>
      <vt:variant>
        <vt:i4>146</vt:i4>
      </vt:variant>
      <vt:variant>
        <vt:i4>0</vt:i4>
      </vt:variant>
      <vt:variant>
        <vt:i4>5</vt:i4>
      </vt:variant>
      <vt:variant>
        <vt:lpwstr/>
      </vt:variant>
      <vt:variant>
        <vt:lpwstr>_Toc159934157</vt:lpwstr>
      </vt:variant>
      <vt:variant>
        <vt:i4>1703994</vt:i4>
      </vt:variant>
      <vt:variant>
        <vt:i4>140</vt:i4>
      </vt:variant>
      <vt:variant>
        <vt:i4>0</vt:i4>
      </vt:variant>
      <vt:variant>
        <vt:i4>5</vt:i4>
      </vt:variant>
      <vt:variant>
        <vt:lpwstr/>
      </vt:variant>
      <vt:variant>
        <vt:lpwstr>_Toc159934156</vt:lpwstr>
      </vt:variant>
      <vt:variant>
        <vt:i4>1703994</vt:i4>
      </vt:variant>
      <vt:variant>
        <vt:i4>134</vt:i4>
      </vt:variant>
      <vt:variant>
        <vt:i4>0</vt:i4>
      </vt:variant>
      <vt:variant>
        <vt:i4>5</vt:i4>
      </vt:variant>
      <vt:variant>
        <vt:lpwstr/>
      </vt:variant>
      <vt:variant>
        <vt:lpwstr>_Toc159934155</vt:lpwstr>
      </vt:variant>
      <vt:variant>
        <vt:i4>1703994</vt:i4>
      </vt:variant>
      <vt:variant>
        <vt:i4>128</vt:i4>
      </vt:variant>
      <vt:variant>
        <vt:i4>0</vt:i4>
      </vt:variant>
      <vt:variant>
        <vt:i4>5</vt:i4>
      </vt:variant>
      <vt:variant>
        <vt:lpwstr/>
      </vt:variant>
      <vt:variant>
        <vt:lpwstr>_Toc159934154</vt:lpwstr>
      </vt:variant>
      <vt:variant>
        <vt:i4>1703994</vt:i4>
      </vt:variant>
      <vt:variant>
        <vt:i4>122</vt:i4>
      </vt:variant>
      <vt:variant>
        <vt:i4>0</vt:i4>
      </vt:variant>
      <vt:variant>
        <vt:i4>5</vt:i4>
      </vt:variant>
      <vt:variant>
        <vt:lpwstr/>
      </vt:variant>
      <vt:variant>
        <vt:lpwstr>_Toc159934153</vt:lpwstr>
      </vt:variant>
      <vt:variant>
        <vt:i4>1703994</vt:i4>
      </vt:variant>
      <vt:variant>
        <vt:i4>116</vt:i4>
      </vt:variant>
      <vt:variant>
        <vt:i4>0</vt:i4>
      </vt:variant>
      <vt:variant>
        <vt:i4>5</vt:i4>
      </vt:variant>
      <vt:variant>
        <vt:lpwstr/>
      </vt:variant>
      <vt:variant>
        <vt:lpwstr>_Toc159934152</vt:lpwstr>
      </vt:variant>
      <vt:variant>
        <vt:i4>1703994</vt:i4>
      </vt:variant>
      <vt:variant>
        <vt:i4>110</vt:i4>
      </vt:variant>
      <vt:variant>
        <vt:i4>0</vt:i4>
      </vt:variant>
      <vt:variant>
        <vt:i4>5</vt:i4>
      </vt:variant>
      <vt:variant>
        <vt:lpwstr/>
      </vt:variant>
      <vt:variant>
        <vt:lpwstr>_Toc159934151</vt:lpwstr>
      </vt:variant>
      <vt:variant>
        <vt:i4>1703994</vt:i4>
      </vt:variant>
      <vt:variant>
        <vt:i4>104</vt:i4>
      </vt:variant>
      <vt:variant>
        <vt:i4>0</vt:i4>
      </vt:variant>
      <vt:variant>
        <vt:i4>5</vt:i4>
      </vt:variant>
      <vt:variant>
        <vt:lpwstr/>
      </vt:variant>
      <vt:variant>
        <vt:lpwstr>_Toc159934150</vt:lpwstr>
      </vt:variant>
      <vt:variant>
        <vt:i4>1769530</vt:i4>
      </vt:variant>
      <vt:variant>
        <vt:i4>98</vt:i4>
      </vt:variant>
      <vt:variant>
        <vt:i4>0</vt:i4>
      </vt:variant>
      <vt:variant>
        <vt:i4>5</vt:i4>
      </vt:variant>
      <vt:variant>
        <vt:lpwstr/>
      </vt:variant>
      <vt:variant>
        <vt:lpwstr>_Toc159934149</vt:lpwstr>
      </vt:variant>
      <vt:variant>
        <vt:i4>1769530</vt:i4>
      </vt:variant>
      <vt:variant>
        <vt:i4>92</vt:i4>
      </vt:variant>
      <vt:variant>
        <vt:i4>0</vt:i4>
      </vt:variant>
      <vt:variant>
        <vt:i4>5</vt:i4>
      </vt:variant>
      <vt:variant>
        <vt:lpwstr/>
      </vt:variant>
      <vt:variant>
        <vt:lpwstr>_Toc159934148</vt:lpwstr>
      </vt:variant>
      <vt:variant>
        <vt:i4>1769530</vt:i4>
      </vt:variant>
      <vt:variant>
        <vt:i4>86</vt:i4>
      </vt:variant>
      <vt:variant>
        <vt:i4>0</vt:i4>
      </vt:variant>
      <vt:variant>
        <vt:i4>5</vt:i4>
      </vt:variant>
      <vt:variant>
        <vt:lpwstr/>
      </vt:variant>
      <vt:variant>
        <vt:lpwstr>_Toc159934147</vt:lpwstr>
      </vt:variant>
      <vt:variant>
        <vt:i4>1769530</vt:i4>
      </vt:variant>
      <vt:variant>
        <vt:i4>80</vt:i4>
      </vt:variant>
      <vt:variant>
        <vt:i4>0</vt:i4>
      </vt:variant>
      <vt:variant>
        <vt:i4>5</vt:i4>
      </vt:variant>
      <vt:variant>
        <vt:lpwstr/>
      </vt:variant>
      <vt:variant>
        <vt:lpwstr>_Toc159934146</vt:lpwstr>
      </vt:variant>
      <vt:variant>
        <vt:i4>1769530</vt:i4>
      </vt:variant>
      <vt:variant>
        <vt:i4>74</vt:i4>
      </vt:variant>
      <vt:variant>
        <vt:i4>0</vt:i4>
      </vt:variant>
      <vt:variant>
        <vt:i4>5</vt:i4>
      </vt:variant>
      <vt:variant>
        <vt:lpwstr/>
      </vt:variant>
      <vt:variant>
        <vt:lpwstr>_Toc159934145</vt:lpwstr>
      </vt:variant>
      <vt:variant>
        <vt:i4>1769530</vt:i4>
      </vt:variant>
      <vt:variant>
        <vt:i4>68</vt:i4>
      </vt:variant>
      <vt:variant>
        <vt:i4>0</vt:i4>
      </vt:variant>
      <vt:variant>
        <vt:i4>5</vt:i4>
      </vt:variant>
      <vt:variant>
        <vt:lpwstr/>
      </vt:variant>
      <vt:variant>
        <vt:lpwstr>_Toc159934144</vt:lpwstr>
      </vt:variant>
      <vt:variant>
        <vt:i4>1769530</vt:i4>
      </vt:variant>
      <vt:variant>
        <vt:i4>62</vt:i4>
      </vt:variant>
      <vt:variant>
        <vt:i4>0</vt:i4>
      </vt:variant>
      <vt:variant>
        <vt:i4>5</vt:i4>
      </vt:variant>
      <vt:variant>
        <vt:lpwstr/>
      </vt:variant>
      <vt:variant>
        <vt:lpwstr>_Toc159934143</vt:lpwstr>
      </vt:variant>
      <vt:variant>
        <vt:i4>1769530</vt:i4>
      </vt:variant>
      <vt:variant>
        <vt:i4>56</vt:i4>
      </vt:variant>
      <vt:variant>
        <vt:i4>0</vt:i4>
      </vt:variant>
      <vt:variant>
        <vt:i4>5</vt:i4>
      </vt:variant>
      <vt:variant>
        <vt:lpwstr/>
      </vt:variant>
      <vt:variant>
        <vt:lpwstr>_Toc159934142</vt:lpwstr>
      </vt:variant>
      <vt:variant>
        <vt:i4>1769530</vt:i4>
      </vt:variant>
      <vt:variant>
        <vt:i4>50</vt:i4>
      </vt:variant>
      <vt:variant>
        <vt:i4>0</vt:i4>
      </vt:variant>
      <vt:variant>
        <vt:i4>5</vt:i4>
      </vt:variant>
      <vt:variant>
        <vt:lpwstr/>
      </vt:variant>
      <vt:variant>
        <vt:lpwstr>_Toc159934141</vt:lpwstr>
      </vt:variant>
      <vt:variant>
        <vt:i4>1769530</vt:i4>
      </vt:variant>
      <vt:variant>
        <vt:i4>44</vt:i4>
      </vt:variant>
      <vt:variant>
        <vt:i4>0</vt:i4>
      </vt:variant>
      <vt:variant>
        <vt:i4>5</vt:i4>
      </vt:variant>
      <vt:variant>
        <vt:lpwstr/>
      </vt:variant>
      <vt:variant>
        <vt:lpwstr>_Toc159934140</vt:lpwstr>
      </vt:variant>
      <vt:variant>
        <vt:i4>1835066</vt:i4>
      </vt:variant>
      <vt:variant>
        <vt:i4>38</vt:i4>
      </vt:variant>
      <vt:variant>
        <vt:i4>0</vt:i4>
      </vt:variant>
      <vt:variant>
        <vt:i4>5</vt:i4>
      </vt:variant>
      <vt:variant>
        <vt:lpwstr/>
      </vt:variant>
      <vt:variant>
        <vt:lpwstr>_Toc159934139</vt:lpwstr>
      </vt:variant>
      <vt:variant>
        <vt:i4>1835066</vt:i4>
      </vt:variant>
      <vt:variant>
        <vt:i4>32</vt:i4>
      </vt:variant>
      <vt:variant>
        <vt:i4>0</vt:i4>
      </vt:variant>
      <vt:variant>
        <vt:i4>5</vt:i4>
      </vt:variant>
      <vt:variant>
        <vt:lpwstr/>
      </vt:variant>
      <vt:variant>
        <vt:lpwstr>_Toc159934138</vt:lpwstr>
      </vt:variant>
      <vt:variant>
        <vt:i4>1835066</vt:i4>
      </vt:variant>
      <vt:variant>
        <vt:i4>26</vt:i4>
      </vt:variant>
      <vt:variant>
        <vt:i4>0</vt:i4>
      </vt:variant>
      <vt:variant>
        <vt:i4>5</vt:i4>
      </vt:variant>
      <vt:variant>
        <vt:lpwstr/>
      </vt:variant>
      <vt:variant>
        <vt:lpwstr>_Toc159934137</vt:lpwstr>
      </vt:variant>
      <vt:variant>
        <vt:i4>1835066</vt:i4>
      </vt:variant>
      <vt:variant>
        <vt:i4>20</vt:i4>
      </vt:variant>
      <vt:variant>
        <vt:i4>0</vt:i4>
      </vt:variant>
      <vt:variant>
        <vt:i4>5</vt:i4>
      </vt:variant>
      <vt:variant>
        <vt:lpwstr/>
      </vt:variant>
      <vt:variant>
        <vt:lpwstr>_Toc159934136</vt:lpwstr>
      </vt:variant>
      <vt:variant>
        <vt:i4>1835066</vt:i4>
      </vt:variant>
      <vt:variant>
        <vt:i4>14</vt:i4>
      </vt:variant>
      <vt:variant>
        <vt:i4>0</vt:i4>
      </vt:variant>
      <vt:variant>
        <vt:i4>5</vt:i4>
      </vt:variant>
      <vt:variant>
        <vt:lpwstr/>
      </vt:variant>
      <vt:variant>
        <vt:lpwstr>_Toc159934135</vt:lpwstr>
      </vt:variant>
      <vt:variant>
        <vt:i4>1835066</vt:i4>
      </vt:variant>
      <vt:variant>
        <vt:i4>8</vt:i4>
      </vt:variant>
      <vt:variant>
        <vt:i4>0</vt:i4>
      </vt:variant>
      <vt:variant>
        <vt:i4>5</vt:i4>
      </vt:variant>
      <vt:variant>
        <vt:lpwstr/>
      </vt:variant>
      <vt:variant>
        <vt:lpwstr>_Toc159934134</vt:lpwstr>
      </vt:variant>
      <vt:variant>
        <vt:i4>1835066</vt:i4>
      </vt:variant>
      <vt:variant>
        <vt:i4>2</vt:i4>
      </vt:variant>
      <vt:variant>
        <vt:i4>0</vt:i4>
      </vt:variant>
      <vt:variant>
        <vt:i4>5</vt:i4>
      </vt:variant>
      <vt:variant>
        <vt:lpwstr/>
      </vt:variant>
      <vt:variant>
        <vt:lpwstr>_Toc159934133</vt:lpwstr>
      </vt:variant>
      <vt:variant>
        <vt:i4>1835070</vt:i4>
      </vt:variant>
      <vt:variant>
        <vt:i4>27</vt:i4>
      </vt:variant>
      <vt:variant>
        <vt:i4>0</vt:i4>
      </vt:variant>
      <vt:variant>
        <vt:i4>5</vt:i4>
      </vt:variant>
      <vt:variant>
        <vt:lpwstr>mailto:Melissa.Pan@finance.gov.au</vt:lpwstr>
      </vt:variant>
      <vt:variant>
        <vt:lpwstr/>
      </vt:variant>
      <vt:variant>
        <vt:i4>1835070</vt:i4>
      </vt:variant>
      <vt:variant>
        <vt:i4>24</vt:i4>
      </vt:variant>
      <vt:variant>
        <vt:i4>0</vt:i4>
      </vt:variant>
      <vt:variant>
        <vt:i4>5</vt:i4>
      </vt:variant>
      <vt:variant>
        <vt:lpwstr>mailto:Melissa.Pan@finance.gov.au</vt:lpwstr>
      </vt:variant>
      <vt:variant>
        <vt:lpwstr/>
      </vt:variant>
      <vt:variant>
        <vt:i4>4325481</vt:i4>
      </vt:variant>
      <vt:variant>
        <vt:i4>21</vt:i4>
      </vt:variant>
      <vt:variant>
        <vt:i4>0</vt:i4>
      </vt:variant>
      <vt:variant>
        <vt:i4>5</vt:i4>
      </vt:variant>
      <vt:variant>
        <vt:lpwstr>mailto:Jacquie.Finn@finance.gov.au</vt:lpwstr>
      </vt:variant>
      <vt:variant>
        <vt:lpwstr/>
      </vt:variant>
      <vt:variant>
        <vt:i4>1835070</vt:i4>
      </vt:variant>
      <vt:variant>
        <vt:i4>18</vt:i4>
      </vt:variant>
      <vt:variant>
        <vt:i4>0</vt:i4>
      </vt:variant>
      <vt:variant>
        <vt:i4>5</vt:i4>
      </vt:variant>
      <vt:variant>
        <vt:lpwstr>mailto:Melissa.Pan@finance.gov.au</vt:lpwstr>
      </vt:variant>
      <vt:variant>
        <vt:lpwstr/>
      </vt:variant>
      <vt:variant>
        <vt:i4>4325481</vt:i4>
      </vt:variant>
      <vt:variant>
        <vt:i4>15</vt:i4>
      </vt:variant>
      <vt:variant>
        <vt:i4>0</vt:i4>
      </vt:variant>
      <vt:variant>
        <vt:i4>5</vt:i4>
      </vt:variant>
      <vt:variant>
        <vt:lpwstr>mailto:Jacquie.Finn@finance.gov.au</vt:lpwstr>
      </vt:variant>
      <vt:variant>
        <vt:lpwstr/>
      </vt:variant>
      <vt:variant>
        <vt:i4>7209028</vt:i4>
      </vt:variant>
      <vt:variant>
        <vt:i4>12</vt:i4>
      </vt:variant>
      <vt:variant>
        <vt:i4>0</vt:i4>
      </vt:variant>
      <vt:variant>
        <vt:i4>5</vt:i4>
      </vt:variant>
      <vt:variant>
        <vt:lpwstr>mailto:Alex.Berry@finance.gov.au</vt:lpwstr>
      </vt:variant>
      <vt:variant>
        <vt:lpwstr/>
      </vt:variant>
      <vt:variant>
        <vt:i4>983082</vt:i4>
      </vt:variant>
      <vt:variant>
        <vt:i4>9</vt:i4>
      </vt:variant>
      <vt:variant>
        <vt:i4>0</vt:i4>
      </vt:variant>
      <vt:variant>
        <vt:i4>5</vt:i4>
      </vt:variant>
      <vt:variant>
        <vt:lpwstr>mailto:Kevin.Ching@finance.gov.au</vt:lpwstr>
      </vt:variant>
      <vt:variant>
        <vt:lpwstr/>
      </vt:variant>
      <vt:variant>
        <vt:i4>4325481</vt:i4>
      </vt:variant>
      <vt:variant>
        <vt:i4>6</vt:i4>
      </vt:variant>
      <vt:variant>
        <vt:i4>0</vt:i4>
      </vt:variant>
      <vt:variant>
        <vt:i4>5</vt:i4>
      </vt:variant>
      <vt:variant>
        <vt:lpwstr>mailto:Jacquie.Finn@finance.gov.au</vt:lpwstr>
      </vt:variant>
      <vt:variant>
        <vt:lpwstr/>
      </vt:variant>
      <vt:variant>
        <vt:i4>4325481</vt:i4>
      </vt:variant>
      <vt:variant>
        <vt:i4>3</vt:i4>
      </vt:variant>
      <vt:variant>
        <vt:i4>0</vt:i4>
      </vt:variant>
      <vt:variant>
        <vt:i4>5</vt:i4>
      </vt:variant>
      <vt:variant>
        <vt:lpwstr>mailto:Jacquie.Finn@finance.gov.au</vt:lpwstr>
      </vt:variant>
      <vt:variant>
        <vt:lpwstr/>
      </vt:variant>
      <vt:variant>
        <vt:i4>7209028</vt:i4>
      </vt:variant>
      <vt:variant>
        <vt:i4>0</vt:i4>
      </vt:variant>
      <vt:variant>
        <vt:i4>0</vt:i4>
      </vt:variant>
      <vt:variant>
        <vt:i4>5</vt:i4>
      </vt:variant>
      <vt:variant>
        <vt:lpwstr>mailto:Alex.Berry@finance.gov.au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preparing the 2024-25 Portfolio Budget Statements</dc:title>
  <dc:subject/>
  <dc:creator>Department of Finance</dc:creator>
  <cp:keywords>[SEC=OFFICIAL]</cp:keywords>
  <dc:description/>
  <cp:lastModifiedBy>Truong, Minh</cp:lastModifiedBy>
  <cp:revision>5</cp:revision>
  <cp:lastPrinted>2024-01-30T14:06:00Z</cp:lastPrinted>
  <dcterms:created xsi:type="dcterms:W3CDTF">2024-03-05T23:47:00Z</dcterms:created>
  <dcterms:modified xsi:type="dcterms:W3CDTF">2024-03-14T03:46:00Z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0x010100B7B479F47583304BA8B631462CC772D7008F7CFF9272C47D4280006CCC81AF3990</vt:lpwstr>
  </property>
  <property fmtid="{D5CDD505-2E9C-101B-9397-08002B2CF9AE}" pid="3" name="TaxKeyword">
    <vt:lpwstr>34;#[SEC=OFFICIAL]|07351cc0-de73-4913-be2f-56f124cbf8bb</vt:lpwstr>
  </property>
  <property fmtid="{D5CDD505-2E9C-101B-9397-08002B2CF9AE}" pid="4" name="AbtEntity">
    <vt:lpwstr>2;#Department of Finance|fd660e8f-8f31-49bd-92a3-d31d4da31afe</vt:lpwstr>
  </property>
  <property fmtid="{D5CDD505-2E9C-101B-9397-08002B2CF9AE}" pid="5" name="InitiatingEntity">
    <vt:lpwstr>2;#Department of Finance|fd660e8f-8f31-49bd-92a3-d31d4da31afe</vt:lpwstr>
  </property>
  <property fmtid="{D5CDD505-2E9C-101B-9397-08002B2CF9AE}" pid="6" name="Function and Activity">
    <vt:lpwstr/>
  </property>
  <property fmtid="{D5CDD505-2E9C-101B-9397-08002B2CF9AE}" pid="7" name="OrgUnit">
    <vt:lpwstr>133;#Performance|0f4dd21a-6494-4313-960a-2dff10e24755</vt:lpwstr>
  </property>
  <property fmtid="{D5CDD505-2E9C-101B-9397-08002B2CF9AE}" pid="8" name="_dlc_DocIdItemGuid">
    <vt:lpwstr>5a1bf8d0-0086-4182-b02c-dae8c861c786</vt:lpwstr>
  </property>
  <property fmtid="{D5CDD505-2E9C-101B-9397-08002B2CF9AE}" pid="9" name="KnowledgeTopics">
    <vt:lpwstr/>
  </property>
  <property fmtid="{D5CDD505-2E9C-101B-9397-08002B2CF9AE}" pid="10" name="DocumentType">
    <vt:lpwstr/>
  </property>
  <property fmtid="{D5CDD505-2E9C-101B-9397-08002B2CF9AE}" pid="11" name="ResponsibleArea">
    <vt:lpwstr/>
  </property>
  <property fmtid="{D5CDD505-2E9C-101B-9397-08002B2CF9AE}" pid="12" name="EmReceivedByName">
    <vt:lpwstr/>
  </property>
  <property fmtid="{D5CDD505-2E9C-101B-9397-08002B2CF9AE}" pid="13" name="EmSubject">
    <vt:lpwstr/>
  </property>
  <property fmtid="{D5CDD505-2E9C-101B-9397-08002B2CF9AE}" pid="14" name="EmToAddress">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CC">
    <vt:lpwstr/>
  </property>
  <property fmtid="{D5CDD505-2E9C-101B-9397-08002B2CF9AE}" pid="20" name="EmBCCSMTPAddress">
    <vt:lpwstr/>
  </property>
  <property fmtid="{D5CDD505-2E9C-101B-9397-08002B2CF9AE}" pid="21" name="EmFromName">
    <vt:lpwstr/>
  </property>
  <property fmtid="{D5CDD505-2E9C-101B-9397-08002B2CF9AE}" pid="22" name="About Entity">
    <vt:lpwstr>1;#Department of Finance|fd660e8f-8f31-49bd-92a3-d31d4da31afe</vt:lpwstr>
  </property>
  <property fmtid="{D5CDD505-2E9C-101B-9397-08002B2CF9AE}" pid="23" name="EmFrom">
    <vt:lpwstr/>
  </property>
  <property fmtid="{D5CDD505-2E9C-101B-9397-08002B2CF9AE}" pid="24" name="EmAttachmentNames">
    <vt:lpwstr/>
  </property>
  <property fmtid="{D5CDD505-2E9C-101B-9397-08002B2CF9AE}" pid="25" name="EmSentOnBehalfOfName">
    <vt:lpwstr/>
  </property>
  <property fmtid="{D5CDD505-2E9C-101B-9397-08002B2CF9AE}" pid="26" name="EmTo">
    <vt:lpwstr/>
  </property>
  <property fmtid="{D5CDD505-2E9C-101B-9397-08002B2CF9AE}" pid="27" name="EmToSMTPAddress">
    <vt:lpwstr/>
  </property>
  <property fmtid="{D5CDD505-2E9C-101B-9397-08002B2CF9AE}" pid="28" name="Initiating Entity">
    <vt:lpwstr>1;#Department of Finance|fd660e8f-8f31-49bd-92a3-d31d4da31afe</vt:lpwstr>
  </property>
  <property fmtid="{D5CDD505-2E9C-101B-9397-08002B2CF9AE}" pid="29" name="Organisation Unit">
    <vt:lpwstr/>
  </property>
  <property fmtid="{D5CDD505-2E9C-101B-9397-08002B2CF9AE}" pid="30" name="EmCCSMTPAddress">
    <vt:lpwstr/>
  </property>
  <property fmtid="{D5CDD505-2E9C-101B-9397-08002B2CF9AE}" pid="31" name="EmConversationID">
    <vt:lpwstr/>
  </property>
  <property fmtid="{D5CDD505-2E9C-101B-9397-08002B2CF9AE}" pid="32" name="EmBCC">
    <vt:lpwstr/>
  </property>
  <property fmtid="{D5CDD505-2E9C-101B-9397-08002B2CF9AE}" pid="33" name="EmID">
    <vt:lpwstr/>
  </property>
  <property fmtid="{D5CDD505-2E9C-101B-9397-08002B2CF9AE}" pid="34" name="EmCon">
    <vt:lpwstr/>
  </property>
  <property fmtid="{D5CDD505-2E9C-101B-9397-08002B2CF9AE}" pid="35" name="EmCompanies">
    <vt:lpwstr/>
  </property>
  <property fmtid="{D5CDD505-2E9C-101B-9397-08002B2CF9AE}" pid="36" name="EmFromSMTPAddress">
    <vt:lpwstr/>
  </property>
  <property fmtid="{D5CDD505-2E9C-101B-9397-08002B2CF9AE}" pid="37" name="EmAttachCount">
    <vt:lpwstr/>
  </property>
  <property fmtid="{D5CDD505-2E9C-101B-9397-08002B2CF9AE}" pid="38" name="EmReceivedOnBehalfOfName">
    <vt:lpwstr/>
  </property>
  <property fmtid="{D5CDD505-2E9C-101B-9397-08002B2CF9AE}" pid="39" name="EmReplyRecipients">
    <vt:lpwstr/>
  </property>
  <property fmtid="{D5CDD505-2E9C-101B-9397-08002B2CF9AE}" pid="40" name="EmRetentionPolicyName">
    <vt:lpwstr/>
  </property>
  <property fmtid="{D5CDD505-2E9C-101B-9397-08002B2CF9AE}" pid="41" name="EmReplyRecipientNames">
    <vt:lpwstr/>
  </property>
  <property fmtid="{D5CDD505-2E9C-101B-9397-08002B2CF9AE}" pid="42" name="MediaServiceImageTags">
    <vt:lpwstr/>
  </property>
  <property fmtid="{D5CDD505-2E9C-101B-9397-08002B2CF9AE}" pid="43" name="ClassificationContentMarkingHeaderShapeIds">
    <vt:lpwstr>9,a,c,d,11,12,13,14,15</vt:lpwstr>
  </property>
  <property fmtid="{D5CDD505-2E9C-101B-9397-08002B2CF9AE}" pid="44" name="ClassificationContentMarkingHeaderFontProps">
    <vt:lpwstr>#ff0000,12,Calibri</vt:lpwstr>
  </property>
  <property fmtid="{D5CDD505-2E9C-101B-9397-08002B2CF9AE}" pid="45" name="ClassificationContentMarkingHeaderText">
    <vt:lpwstr>OFFICIAL</vt:lpwstr>
  </property>
  <property fmtid="{D5CDD505-2E9C-101B-9397-08002B2CF9AE}" pid="46" name="MSIP_Label_87d6481e-ccdd-4ab6-8b26-05a0df5699e7_Enabled">
    <vt:lpwstr>true</vt:lpwstr>
  </property>
  <property fmtid="{D5CDD505-2E9C-101B-9397-08002B2CF9AE}" pid="47" name="MSIP_Label_87d6481e-ccdd-4ab6-8b26-05a0df5699e7_Name">
    <vt:lpwstr>OFFICIAL</vt:lpwstr>
  </property>
  <property fmtid="{D5CDD505-2E9C-101B-9397-08002B2CF9AE}" pid="48" name="MSIP_Label_87d6481e-ccdd-4ab6-8b26-05a0df5699e7_SiteId">
    <vt:lpwstr>08954cee-4782-4ff6-9ad5-1997dccef4b0</vt:lpwstr>
  </property>
  <property fmtid="{D5CDD505-2E9C-101B-9397-08002B2CF9AE}" pid="49" name="PM_ProtectiveMarkingValue_Header">
    <vt:lpwstr>OFFICIAL</vt:lpwstr>
  </property>
  <property fmtid="{D5CDD505-2E9C-101B-9397-08002B2CF9AE}" pid="50" name="PM_DisplayValueSecClassificationWithQualifier">
    <vt:lpwstr>OFFICIAL</vt:lpwstr>
  </property>
  <property fmtid="{D5CDD505-2E9C-101B-9397-08002B2CF9AE}" pid="51" name="PM_ProtectiveMarkingValue_Footer">
    <vt:lpwstr>OFFICIAL</vt:lpwstr>
  </property>
  <property fmtid="{D5CDD505-2E9C-101B-9397-08002B2CF9AE}" pid="52" name="PM_InsertionValue">
    <vt:lpwstr>OFFICIAL</vt:lpwstr>
  </property>
  <property fmtid="{D5CDD505-2E9C-101B-9397-08002B2CF9AE}" pid="53" name="PM_Display">
    <vt:lpwstr>OFFICIAL</vt:lpwstr>
  </property>
  <property fmtid="{D5CDD505-2E9C-101B-9397-08002B2CF9AE}" pid="54" name="PM_SecurityClassification_Prev">
    <vt:lpwstr>OFFICIAL</vt:lpwstr>
  </property>
  <property fmtid="{D5CDD505-2E9C-101B-9397-08002B2CF9AE}" pid="55" name="PM_Originating_FileId">
    <vt:lpwstr>BE1A01DACB6E432AAB221F78B7A5298B</vt:lpwstr>
  </property>
  <property fmtid="{D5CDD505-2E9C-101B-9397-08002B2CF9AE}" pid="56" name="PM_Caveats_Count">
    <vt:lpwstr>0</vt:lpwstr>
  </property>
  <property fmtid="{D5CDD505-2E9C-101B-9397-08002B2CF9AE}" pid="57" name="PM_Qualifier_Prev">
    <vt:lpwstr/>
  </property>
  <property fmtid="{D5CDD505-2E9C-101B-9397-08002B2CF9AE}" pid="58" name="PM_SecurityClassification">
    <vt:lpwstr>OFFICIAL</vt:lpwstr>
  </property>
  <property fmtid="{D5CDD505-2E9C-101B-9397-08002B2CF9AE}" pid="59" name="PM_Qualifier">
    <vt:lpwstr/>
  </property>
  <property fmtid="{D5CDD505-2E9C-101B-9397-08002B2CF9AE}" pid="60" name="PM_ProtectiveMarkingImage_Header">
    <vt:lpwstr>C:\Program Files\Common Files\janusNET Shared\janusSEAL\Images\DocumentSlashBlue.png</vt:lpwstr>
  </property>
  <property fmtid="{D5CDD505-2E9C-101B-9397-08002B2CF9AE}" pid="61" name="PM_ProtectiveMarkingImage_Footer">
    <vt:lpwstr>C:\Program Files\Common Files\janusNET Shared\janusSEAL\Images\DocumentSlashBlue.png</vt:lpwstr>
  </property>
  <property fmtid="{D5CDD505-2E9C-101B-9397-08002B2CF9AE}" pid="62" name="PM_Namespace">
    <vt:lpwstr>gov.au</vt:lpwstr>
  </property>
  <property fmtid="{D5CDD505-2E9C-101B-9397-08002B2CF9AE}" pid="63" name="PM_Version">
    <vt:lpwstr>2018.4</vt:lpwstr>
  </property>
  <property fmtid="{D5CDD505-2E9C-101B-9397-08002B2CF9AE}" pid="64" name="PM_Note">
    <vt:lpwstr/>
  </property>
  <property fmtid="{D5CDD505-2E9C-101B-9397-08002B2CF9AE}" pid="65" name="PM_Markers">
    <vt:lpwstr/>
  </property>
  <property fmtid="{D5CDD505-2E9C-101B-9397-08002B2CF9AE}" pid="66" name="PMUuid">
    <vt:lpwstr>v=2022.2;d=gov.au;g=46DD6D7C-8107-577B-BC6E-F348953B2E44</vt:lpwstr>
  </property>
  <property fmtid="{D5CDD505-2E9C-101B-9397-08002B2CF9AE}" pid="67" name="PM_Hash_Version">
    <vt:lpwstr>2022.1</vt:lpwstr>
  </property>
  <property fmtid="{D5CDD505-2E9C-101B-9397-08002B2CF9AE}" pid="68" name="PM_OriginatorDomainName_SHA256">
    <vt:lpwstr>325440F6CA31C4C3BCE4433552DC42928CAAD3E2731ABE35FDE729ECEB763AF0</vt:lpwstr>
  </property>
  <property fmtid="{D5CDD505-2E9C-101B-9397-08002B2CF9AE}" pid="69" name="MSIP_Label_87d6481e-ccdd-4ab6-8b26-05a0df5699e7_SetDate">
    <vt:lpwstr>2023-03-07T06:47:02Z</vt:lpwstr>
  </property>
  <property fmtid="{D5CDD505-2E9C-101B-9397-08002B2CF9AE}" pid="70" name="PM_OriginationTimeStamp">
    <vt:lpwstr>2023-03-07T06:47:02Z</vt:lpwstr>
  </property>
  <property fmtid="{D5CDD505-2E9C-101B-9397-08002B2CF9AE}" pid="71" name="MSIP_Label_87d6481e-ccdd-4ab6-8b26-05a0df5699e7_Method">
    <vt:lpwstr>Privileged</vt:lpwstr>
  </property>
  <property fmtid="{D5CDD505-2E9C-101B-9397-08002B2CF9AE}" pid="72" name="MSIP_Label_87d6481e-ccdd-4ab6-8b26-05a0df5699e7_ContentBits">
    <vt:lpwstr>0</vt:lpwstr>
  </property>
  <property fmtid="{D5CDD505-2E9C-101B-9397-08002B2CF9AE}" pid="73" name="PM_OriginatorUserAccountName_SHA256">
    <vt:lpwstr>3F9C3930C95A80FE14E5E569A96906FECB80D374DD6F0E6814A1821B290CD60B</vt:lpwstr>
  </property>
  <property fmtid="{D5CDD505-2E9C-101B-9397-08002B2CF9AE}" pid="74" name="PM_Originator_Hash_SHA1">
    <vt:lpwstr>C4E8576B6510B1FB5DEF9BBC04AB3A64E004CBD8</vt:lpwstr>
  </property>
  <property fmtid="{D5CDD505-2E9C-101B-9397-08002B2CF9AE}" pid="75" name="PM_Hash_Salt_Prev">
    <vt:lpwstr>F05454B7031F1AC2084DB804509BA468</vt:lpwstr>
  </property>
  <property fmtid="{D5CDD505-2E9C-101B-9397-08002B2CF9AE}" pid="76" name="PM_Hash_Salt">
    <vt:lpwstr>CF7F558A04947255A41DAAA5432B44E6</vt:lpwstr>
  </property>
  <property fmtid="{D5CDD505-2E9C-101B-9397-08002B2CF9AE}" pid="77" name="PM_Hash_SHA1">
    <vt:lpwstr>6B2B53C225E60C9D290D2F39EB1FB829C5241371</vt:lpwstr>
  </property>
  <property fmtid="{D5CDD505-2E9C-101B-9397-08002B2CF9AE}" pid="78" name="PMHMAC">
    <vt:lpwstr>v=2022.1;a=SHA256;h=4C3A370231BF7BDA32EE64804909AA3EBB1DE7F1B50D024AC76031F373F0BD17</vt:lpwstr>
  </property>
  <property fmtid="{D5CDD505-2E9C-101B-9397-08002B2CF9AE}" pid="79" name="MSIP_Label_87d6481e-ccdd-4ab6-8b26-05a0df5699e7_ActionId">
    <vt:lpwstr>b4e5cca6586a487cbca91fe0fb2c3718</vt:lpwstr>
  </property>
</Properties>
</file>