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BC367" w14:textId="6AC69BD5" w:rsidR="00AD43B3" w:rsidRPr="00AB08DB" w:rsidRDefault="001F4825" w:rsidP="00AD43B3">
      <w:pPr>
        <w:pStyle w:val="Title"/>
        <w:spacing w:before="1200"/>
      </w:pPr>
      <w:r>
        <w:rPr>
          <w:noProof/>
        </w:rPr>
        <w:drawing>
          <wp:anchor distT="0" distB="0" distL="114300" distR="114300" simplePos="0" relativeHeight="251658240" behindDoc="1" locked="1" layoutInCell="1" allowOverlap="1" wp14:anchorId="47EF61C0" wp14:editId="0DCFFF43">
            <wp:simplePos x="0" y="0"/>
            <wp:positionH relativeFrom="page">
              <wp:align>right</wp:align>
            </wp:positionH>
            <wp:positionV relativeFrom="page">
              <wp:posOffset>10795</wp:posOffset>
            </wp:positionV>
            <wp:extent cx="7560000" cy="2340000"/>
            <wp:effectExtent l="0" t="0" r="3175" b="3175"/>
            <wp:wrapNone/>
            <wp:docPr id="149643985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439854" name="Picture 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7560000" cy="23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D43B3" w:rsidRPr="00AB08DB">
        <w:rPr>
          <w:rFonts w:eastAsia="Yu Gothic Light"/>
        </w:rPr>
        <w:t xml:space="preserve">Consultancy </w:t>
      </w:r>
      <w:r w:rsidR="007D2E86">
        <w:rPr>
          <w:rFonts w:eastAsia="Yu Gothic Light"/>
        </w:rPr>
        <w:t>p</w:t>
      </w:r>
      <w:r w:rsidR="00AD43B3" w:rsidRPr="00AB08DB">
        <w:rPr>
          <w:rFonts w:eastAsia="Yu Gothic Light"/>
        </w:rPr>
        <w:t>rocurement</w:t>
      </w:r>
      <w:r w:rsidR="00AB619E">
        <w:rPr>
          <w:rFonts w:eastAsia="Yu Gothic Light"/>
        </w:rPr>
        <w:t xml:space="preserve"> </w:t>
      </w:r>
      <w:r w:rsidR="00365D86">
        <w:rPr>
          <w:rFonts w:eastAsia="Yu Gothic Light"/>
        </w:rPr>
        <w:t>c</w:t>
      </w:r>
      <w:r w:rsidR="00AB619E">
        <w:rPr>
          <w:rFonts w:eastAsia="Yu Gothic Light"/>
        </w:rPr>
        <w:t>hecklist</w:t>
      </w:r>
      <w:r w:rsidR="00AD43B3" w:rsidRPr="00AB08DB">
        <w:rPr>
          <w:rFonts w:eastAsia="Yu Gothic Light"/>
        </w:rPr>
        <w:t xml:space="preserve"> </w:t>
      </w:r>
      <w:r w:rsidR="00AD43B3">
        <w:rPr>
          <w:rFonts w:eastAsia="Yu Gothic Light"/>
        </w:rPr>
        <w:br/>
      </w:r>
    </w:p>
    <w:p w14:paraId="5DB420C8" w14:textId="61DCB2AC" w:rsidR="00AD43B3" w:rsidRDefault="00AD43B3" w:rsidP="00AD43B3">
      <w:pPr>
        <w:pStyle w:val="Heading1"/>
      </w:pPr>
      <w:r w:rsidRPr="009A0BD9">
        <w:rPr>
          <w:rFonts w:eastAsia="Yu Gothic Light"/>
        </w:rPr>
        <w:t>Purpose</w:t>
      </w:r>
      <w:r w:rsidR="001F4825" w:rsidRPr="001F4825">
        <w:rPr>
          <w:noProof/>
        </w:rPr>
        <w:t xml:space="preserve"> </w:t>
      </w:r>
    </w:p>
    <w:p w14:paraId="5EAC9B21" w14:textId="74AE4B0E" w:rsidR="00671DEF" w:rsidRDefault="00671DEF">
      <w:pPr>
        <w:rPr>
          <w:lang w:val="en-US"/>
        </w:rPr>
      </w:pPr>
      <w:r>
        <w:rPr>
          <w:lang w:val="en-US"/>
        </w:rPr>
        <w:t xml:space="preserve">From 1 July 2026, </w:t>
      </w:r>
      <w:r w:rsidR="00391419">
        <w:rPr>
          <w:lang w:val="en-US"/>
        </w:rPr>
        <w:t xml:space="preserve">the Australian </w:t>
      </w:r>
      <w:r w:rsidR="005C00F0">
        <w:rPr>
          <w:lang w:val="en-US"/>
        </w:rPr>
        <w:t>G</w:t>
      </w:r>
      <w:r w:rsidR="00391419">
        <w:rPr>
          <w:lang w:val="en-US"/>
        </w:rPr>
        <w:t>overnment’s policy position</w:t>
      </w:r>
      <w:r w:rsidR="005C00F0">
        <w:rPr>
          <w:lang w:val="en-US"/>
        </w:rPr>
        <w:t xml:space="preserve"> is that</w:t>
      </w:r>
      <w:r w:rsidR="00391419">
        <w:rPr>
          <w:lang w:val="en-US"/>
        </w:rPr>
        <w:t xml:space="preserve"> </w:t>
      </w:r>
      <w:r>
        <w:rPr>
          <w:lang w:val="en-US"/>
        </w:rPr>
        <w:t>entities will be required to collect and provide data to the Department of Finance regarding the activities they undertook prior to engaging consultancy services valued at</w:t>
      </w:r>
      <w:r w:rsidR="00AB619E">
        <w:rPr>
          <w:lang w:val="en-US"/>
        </w:rPr>
        <w:t xml:space="preserve"> or above</w:t>
      </w:r>
      <w:r>
        <w:rPr>
          <w:lang w:val="en-US"/>
        </w:rPr>
        <w:t xml:space="preserve"> $2 million.</w:t>
      </w:r>
    </w:p>
    <w:p w14:paraId="0C65A8EE" w14:textId="13FA4696" w:rsidR="002728D4" w:rsidRDefault="00671DEF">
      <w:pPr>
        <w:rPr>
          <w:lang w:eastAsia="en-AU"/>
        </w:rPr>
      </w:pPr>
      <w:r>
        <w:rPr>
          <w:lang w:val="en-US"/>
        </w:rPr>
        <w:t>To support central procurement teams of entities</w:t>
      </w:r>
      <w:r w:rsidR="00AB642F">
        <w:rPr>
          <w:lang w:val="en-US"/>
        </w:rPr>
        <w:t xml:space="preserve"> subject to the </w:t>
      </w:r>
      <w:hyperlink r:id="rId14" w:history="1">
        <w:r w:rsidR="00AB642F" w:rsidRPr="00E37E6E">
          <w:rPr>
            <w:rStyle w:val="Hyperlink"/>
            <w:rFonts w:cstheme="minorBidi"/>
            <w:lang w:val="en-US"/>
          </w:rPr>
          <w:t>Commonwealth Procurement Rules</w:t>
        </w:r>
      </w:hyperlink>
      <w:r w:rsidR="00123DC5">
        <w:rPr>
          <w:lang w:val="en-US"/>
        </w:rPr>
        <w:t xml:space="preserve"> (CPRs)</w:t>
      </w:r>
      <w:r>
        <w:rPr>
          <w:lang w:val="en-US"/>
        </w:rPr>
        <w:t>, t</w:t>
      </w:r>
      <w:r w:rsidR="002728D4">
        <w:rPr>
          <w:lang w:val="en-US"/>
        </w:rPr>
        <w:t xml:space="preserve">his </w:t>
      </w:r>
      <w:r>
        <w:rPr>
          <w:lang w:val="en-US"/>
        </w:rPr>
        <w:t xml:space="preserve">document sets out potential questions that entities may wish to </w:t>
      </w:r>
      <w:r w:rsidR="002728D4">
        <w:rPr>
          <w:lang w:val="en-US"/>
        </w:rPr>
        <w:t xml:space="preserve">consider adapting or embedding in </w:t>
      </w:r>
      <w:r>
        <w:rPr>
          <w:lang w:val="en-US"/>
        </w:rPr>
        <w:t xml:space="preserve">their </w:t>
      </w:r>
      <w:r w:rsidR="002728D4">
        <w:rPr>
          <w:lang w:val="en-US"/>
        </w:rPr>
        <w:t xml:space="preserve">existing procurement planning documentation, such as templates, checklists or planning forms. It is designed to support the early capture of information that entities may later need </w:t>
      </w:r>
      <w:r>
        <w:rPr>
          <w:lang w:val="en-US"/>
        </w:rPr>
        <w:t xml:space="preserve">when </w:t>
      </w:r>
      <w:r w:rsidR="002728D4">
        <w:rPr>
          <w:lang w:val="en-US"/>
        </w:rPr>
        <w:t>report</w:t>
      </w:r>
      <w:r>
        <w:rPr>
          <w:lang w:val="en-US"/>
        </w:rPr>
        <w:t>ing their</w:t>
      </w:r>
      <w:r w:rsidR="002728D4">
        <w:rPr>
          <w:lang w:val="en-US"/>
        </w:rPr>
        <w:t xml:space="preserve"> high value consultancy contracts, so that these matters are considered during planning and appropriately documented from the outset. Th</w:t>
      </w:r>
      <w:r>
        <w:rPr>
          <w:lang w:val="en-US"/>
        </w:rPr>
        <w:t>ese questions</w:t>
      </w:r>
      <w:r w:rsidR="002728D4">
        <w:rPr>
          <w:lang w:val="en-US"/>
        </w:rPr>
        <w:t xml:space="preserve"> should be considered in conjunction with the </w:t>
      </w:r>
      <w:r w:rsidR="002728D4" w:rsidRPr="00E37E6E">
        <w:rPr>
          <w:rFonts w:cs="MuseoSans-500"/>
          <w:u w:color="0070C0"/>
          <w:lang w:val="en-US"/>
        </w:rPr>
        <w:t>C</w:t>
      </w:r>
      <w:r w:rsidR="00123DC5" w:rsidRPr="00E37E6E">
        <w:rPr>
          <w:rFonts w:cs="MuseoSans-500"/>
          <w:u w:color="0070C0"/>
          <w:lang w:val="en-US"/>
        </w:rPr>
        <w:t>PRs</w:t>
      </w:r>
      <w:r w:rsidR="002728D4">
        <w:rPr>
          <w:lang w:val="en-US"/>
        </w:rPr>
        <w:t xml:space="preserve">, existing </w:t>
      </w:r>
      <w:hyperlink r:id="rId15" w:history="1">
        <w:r w:rsidR="002728D4">
          <w:rPr>
            <w:rStyle w:val="Hyperlink"/>
            <w:lang w:val="en-US"/>
          </w:rPr>
          <w:t>procurement guidance</w:t>
        </w:r>
      </w:hyperlink>
      <w:r w:rsidR="002728D4">
        <w:rPr>
          <w:lang w:val="en-US"/>
        </w:rPr>
        <w:t xml:space="preserve"> published by the Department of Finance and any internal policies or processes.</w:t>
      </w:r>
    </w:p>
    <w:p w14:paraId="7A0E7787" w14:textId="7BFCCE87" w:rsidR="00671DEF" w:rsidRDefault="00671DEF">
      <w:pPr>
        <w:rPr>
          <w:lang w:val="en-US"/>
        </w:rPr>
      </w:pPr>
      <w:r>
        <w:rPr>
          <w:lang w:val="en-US"/>
        </w:rPr>
        <w:t xml:space="preserve">For further detail on the $2 million consultancy reporting requirement, see </w:t>
      </w:r>
      <w:r w:rsidR="00EE3D9C">
        <w:rPr>
          <w:lang w:val="en-US"/>
        </w:rPr>
        <w:t>the Procurement Policy Note on</w:t>
      </w:r>
      <w:hyperlink r:id="rId16" w:history="1">
        <w:r w:rsidR="00EE3D9C" w:rsidRPr="00EE3D9C">
          <w:rPr>
            <w:rStyle w:val="Hyperlink"/>
            <w:rFonts w:cstheme="minorBidi"/>
            <w:lang w:val="en-US"/>
          </w:rPr>
          <w:t xml:space="preserve"> finance.gov.au</w:t>
        </w:r>
      </w:hyperlink>
      <w:r w:rsidR="00EE3D9C">
        <w:rPr>
          <w:lang w:val="en-US"/>
        </w:rPr>
        <w:t>.</w:t>
      </w:r>
    </w:p>
    <w:p w14:paraId="0243719E" w14:textId="03CA7447" w:rsidR="00B60DC8" w:rsidRDefault="00671DEF">
      <w:r>
        <w:rPr>
          <w:rFonts w:cstheme="minorHAnsi"/>
          <w:lang w:val="en-US" w:eastAsia="ja-JP"/>
        </w:rPr>
        <w:t xml:space="preserve">For further </w:t>
      </w:r>
      <w:proofErr w:type="gramStart"/>
      <w:r>
        <w:rPr>
          <w:rFonts w:cstheme="minorHAnsi"/>
          <w:lang w:val="en-US" w:eastAsia="ja-JP"/>
        </w:rPr>
        <w:t>detail</w:t>
      </w:r>
      <w:proofErr w:type="gramEnd"/>
      <w:r>
        <w:rPr>
          <w:rFonts w:cstheme="minorHAnsi"/>
          <w:lang w:val="en-US" w:eastAsia="ja-JP"/>
        </w:rPr>
        <w:t xml:space="preserve"> on how to determine whether a contract is a consultancy, consider the </w:t>
      </w:r>
      <w:hyperlink r:id="rId17" w:history="1">
        <w:r w:rsidR="002F4284" w:rsidRPr="0057691E">
          <w:rPr>
            <w:rStyle w:val="Hyperlink"/>
            <w:rFonts w:cstheme="minorHAnsi"/>
            <w:lang w:val="en-US" w:eastAsia="ja-JP"/>
          </w:rPr>
          <w:t>Contract Characteristics</w:t>
        </w:r>
      </w:hyperlink>
      <w:r w:rsidR="002F4284" w:rsidRPr="0057691E">
        <w:rPr>
          <w:rFonts w:cstheme="minorHAnsi"/>
          <w:color w:val="808080" w:themeColor="background1" w:themeShade="80"/>
          <w:lang w:val="en-US" w:eastAsia="ja-JP"/>
        </w:rPr>
        <w:t xml:space="preserve"> </w:t>
      </w:r>
      <w:r w:rsidR="002F4284" w:rsidRPr="0057691E">
        <w:rPr>
          <w:rFonts w:cstheme="minorHAnsi"/>
          <w:lang w:val="en-US" w:eastAsia="ja-JP"/>
        </w:rPr>
        <w:t>guidance</w:t>
      </w:r>
      <w:r w:rsidR="00B84006">
        <w:rPr>
          <w:rFonts w:cstheme="minorHAnsi"/>
          <w:lang w:val="en-US" w:eastAsia="ja-JP"/>
        </w:rPr>
        <w:t xml:space="preserve"> and</w:t>
      </w:r>
      <w:r w:rsidR="002F4284" w:rsidRPr="0057691E">
        <w:rPr>
          <w:rFonts w:cstheme="minorHAnsi"/>
          <w:lang w:val="en-US" w:eastAsia="ja-JP"/>
        </w:rPr>
        <w:t xml:space="preserve"> </w:t>
      </w:r>
      <w:hyperlink r:id="rId18" w:history="1">
        <w:r w:rsidR="002F4284" w:rsidRPr="0057691E">
          <w:rPr>
            <w:rStyle w:val="Hyperlink"/>
            <w:rFonts w:cstheme="minorHAnsi"/>
            <w:lang w:val="en-US" w:eastAsia="ja-JP"/>
          </w:rPr>
          <w:t>Resource Management Guide 423</w:t>
        </w:r>
      </w:hyperlink>
      <w:r w:rsidR="002F4284" w:rsidRPr="0057691E">
        <w:rPr>
          <w:rFonts w:cstheme="minorHAnsi"/>
          <w:lang w:val="en-US" w:eastAsia="ja-JP"/>
        </w:rPr>
        <w:t>.</w:t>
      </w:r>
      <w:r w:rsidR="00B60DC8" w:rsidRPr="00562839">
        <w:rPr>
          <w:b/>
        </w:rPr>
        <w:br w:type="page"/>
      </w:r>
    </w:p>
    <w:tbl>
      <w:tblPr>
        <w:tblStyle w:val="Finance1"/>
        <w:tblpPr w:leftFromText="180" w:rightFromText="180" w:vertAnchor="text" w:horzAnchor="margin" w:tblpXSpec="center" w:tblpY="722"/>
        <w:tblW w:w="10628" w:type="dxa"/>
        <w:tblLayout w:type="fixed"/>
        <w:tblCellMar>
          <w:top w:w="113" w:type="dxa"/>
          <w:bottom w:w="113" w:type="dxa"/>
        </w:tblCellMar>
        <w:tblLook w:val="06A0" w:firstRow="1" w:lastRow="0" w:firstColumn="1" w:lastColumn="0" w:noHBand="1" w:noVBand="1"/>
      </w:tblPr>
      <w:tblGrid>
        <w:gridCol w:w="2547"/>
        <w:gridCol w:w="8050"/>
        <w:gridCol w:w="31"/>
      </w:tblGrid>
      <w:tr w:rsidR="00AD43B3" w:rsidRPr="00AD43B3" w14:paraId="00236C47" w14:textId="77777777" w:rsidTr="00DF3B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8" w:type="dxa"/>
            <w:gridSpan w:val="3"/>
            <w:shd w:val="clear" w:color="auto" w:fill="B5DFF6" w:themeFill="accent1" w:themeFillTint="99"/>
          </w:tcPr>
          <w:p w14:paraId="5F489FB3" w14:textId="5C213D8F" w:rsidR="00AD43B3" w:rsidRPr="00AD43B3" w:rsidRDefault="00AD43B3">
            <w:pPr>
              <w:jc w:val="center"/>
              <w:rPr>
                <w:rFonts w:cstheme="minorHAnsi"/>
                <w:i/>
                <w:color w:val="000000" w:themeColor="text1"/>
                <w:sz w:val="20"/>
                <w:szCs w:val="20"/>
              </w:rPr>
            </w:pPr>
            <w:r w:rsidRPr="00AD43B3">
              <w:rPr>
                <w:rFonts w:cstheme="minorHAnsi"/>
                <w:color w:val="000000" w:themeColor="text1"/>
                <w:sz w:val="20"/>
                <w:szCs w:val="20"/>
              </w:rPr>
              <w:lastRenderedPageBreak/>
              <w:t>APS STRATEGIC COMMISSIONING FRAMEWORK ALIGNMENT</w:t>
            </w:r>
          </w:p>
        </w:tc>
      </w:tr>
      <w:tr w:rsidR="00AD43B3" w:rsidRPr="00AD43B3" w14:paraId="3E1EE5BA" w14:textId="77777777" w:rsidTr="00DF3B3B">
        <w:trPr>
          <w:trHeight w:val="558"/>
        </w:trPr>
        <w:tc>
          <w:tcPr>
            <w:cnfStyle w:val="001000000000" w:firstRow="0" w:lastRow="0" w:firstColumn="1" w:lastColumn="0" w:oddVBand="0" w:evenVBand="0" w:oddHBand="0" w:evenHBand="0" w:firstRowFirstColumn="0" w:firstRowLastColumn="0" w:lastRowFirstColumn="0" w:lastRowLastColumn="0"/>
            <w:tcW w:w="10628" w:type="dxa"/>
            <w:gridSpan w:val="3"/>
            <w:shd w:val="clear" w:color="auto" w:fill="DFEFF9" w:themeFill="accent2" w:themeFillTint="33"/>
          </w:tcPr>
          <w:p w14:paraId="2CD98A99" w14:textId="029D2C99" w:rsidR="00B4636A" w:rsidRPr="00B4636A" w:rsidRDefault="00B4636A" w:rsidP="00B4636A">
            <w:pPr>
              <w:tabs>
                <w:tab w:val="left" w:pos="4140"/>
              </w:tabs>
              <w:ind w:left="113"/>
              <w:rPr>
                <w:rFonts w:cstheme="minorHAnsi"/>
                <w:iCs/>
                <w:color w:val="262626" w:themeColor="text1" w:themeTint="D9"/>
                <w:sz w:val="20"/>
                <w:szCs w:val="20"/>
              </w:rPr>
            </w:pPr>
            <w:r w:rsidRPr="00B4636A">
              <w:rPr>
                <w:rFonts w:cstheme="minorHAnsi"/>
                <w:iCs/>
                <w:color w:val="262626" w:themeColor="text1" w:themeTint="D9"/>
                <w:sz w:val="20"/>
                <w:szCs w:val="20"/>
              </w:rPr>
              <w:t xml:space="preserve">The </w:t>
            </w:r>
            <w:hyperlink r:id="rId19" w:history="1">
              <w:r w:rsidRPr="00B4636A">
                <w:rPr>
                  <w:rStyle w:val="Hyperlink"/>
                  <w:rFonts w:cstheme="minorHAnsi"/>
                  <w:iCs/>
                  <w:sz w:val="20"/>
                  <w:szCs w:val="20"/>
                </w:rPr>
                <w:t>APS Strategic Commissioning Framework</w:t>
              </w:r>
            </w:hyperlink>
            <w:r w:rsidRPr="00B4636A">
              <w:rPr>
                <w:rFonts w:cstheme="minorHAnsi"/>
                <w:iCs/>
                <w:color w:val="262626" w:themeColor="text1" w:themeTint="D9"/>
                <w:sz w:val="20"/>
                <w:szCs w:val="20"/>
              </w:rPr>
              <w:t xml:space="preserve"> (SCF) is one of a range of policies that supports the </w:t>
            </w:r>
            <w:r w:rsidR="00A327DD">
              <w:rPr>
                <w:rFonts w:cstheme="minorHAnsi"/>
                <w:iCs/>
                <w:color w:val="262626" w:themeColor="text1" w:themeTint="D9"/>
                <w:sz w:val="20"/>
                <w:szCs w:val="20"/>
              </w:rPr>
              <w:t xml:space="preserve">Australian </w:t>
            </w:r>
            <w:r w:rsidRPr="00B4636A">
              <w:rPr>
                <w:rFonts w:cstheme="minorHAnsi"/>
                <w:iCs/>
                <w:color w:val="262626" w:themeColor="text1" w:themeTint="D9"/>
                <w:sz w:val="20"/>
                <w:szCs w:val="20"/>
              </w:rPr>
              <w:t>Government’s commitment to reducing reliance on contractors and consultants and strengthening APS capability. It focuses on bringing ‘</w:t>
            </w:r>
            <w:hyperlink r:id="rId20" w:history="1">
              <w:r w:rsidRPr="00B4636A">
                <w:rPr>
                  <w:rStyle w:val="Hyperlink"/>
                  <w:rFonts w:cstheme="minorHAnsi"/>
                  <w:iCs/>
                  <w:sz w:val="20"/>
                  <w:szCs w:val="20"/>
                </w:rPr>
                <w:t>core work</w:t>
              </w:r>
            </w:hyperlink>
            <w:r w:rsidRPr="00B4636A">
              <w:rPr>
                <w:rFonts w:cstheme="minorHAnsi"/>
                <w:iCs/>
                <w:color w:val="262626" w:themeColor="text1" w:themeTint="D9"/>
                <w:sz w:val="20"/>
                <w:szCs w:val="20"/>
              </w:rPr>
              <w:t xml:space="preserve">’ in house and requires core public service work to be done by APS employees, not outsourced, except in </w:t>
            </w:r>
            <w:hyperlink r:id="rId21" w:history="1">
              <w:r w:rsidRPr="00B4636A">
                <w:rPr>
                  <w:rStyle w:val="Hyperlink"/>
                  <w:rFonts w:cstheme="minorHAnsi"/>
                  <w:iCs/>
                  <w:sz w:val="20"/>
                  <w:szCs w:val="20"/>
                </w:rPr>
                <w:t>limited circumstances</w:t>
              </w:r>
            </w:hyperlink>
            <w:r w:rsidRPr="00B4636A">
              <w:rPr>
                <w:rFonts w:cstheme="minorHAnsi"/>
                <w:iCs/>
                <w:color w:val="262626" w:themeColor="text1" w:themeTint="D9"/>
                <w:sz w:val="20"/>
                <w:szCs w:val="20"/>
              </w:rPr>
              <w:t xml:space="preserve">. The SCF applies to all agencies that employ staff under the </w:t>
            </w:r>
            <w:r w:rsidRPr="00B4636A">
              <w:rPr>
                <w:rFonts w:cstheme="minorHAnsi"/>
                <w:i/>
                <w:iCs/>
                <w:color w:val="262626" w:themeColor="text1" w:themeTint="D9"/>
                <w:sz w:val="20"/>
                <w:szCs w:val="20"/>
              </w:rPr>
              <w:t>Public Service Act 1999</w:t>
            </w:r>
            <w:r w:rsidRPr="00B4636A">
              <w:rPr>
                <w:rFonts w:cstheme="minorHAnsi"/>
                <w:iCs/>
                <w:color w:val="262626" w:themeColor="text1" w:themeTint="D9"/>
                <w:sz w:val="20"/>
                <w:szCs w:val="20"/>
              </w:rPr>
              <w:t>.</w:t>
            </w:r>
          </w:p>
          <w:p w14:paraId="30A6D411" w14:textId="77777777" w:rsidR="00B4636A" w:rsidRPr="00B4636A" w:rsidRDefault="00B4636A" w:rsidP="00B4636A">
            <w:pPr>
              <w:tabs>
                <w:tab w:val="left" w:pos="4140"/>
              </w:tabs>
              <w:ind w:left="113"/>
              <w:rPr>
                <w:rFonts w:cstheme="minorHAnsi"/>
                <w:iCs/>
                <w:color w:val="262626" w:themeColor="text1" w:themeTint="D9"/>
                <w:sz w:val="20"/>
                <w:szCs w:val="20"/>
              </w:rPr>
            </w:pPr>
            <w:r w:rsidRPr="00B4636A">
              <w:rPr>
                <w:rFonts w:cstheme="minorHAnsi"/>
                <w:iCs/>
                <w:color w:val="262626" w:themeColor="text1" w:themeTint="D9"/>
                <w:sz w:val="20"/>
                <w:szCs w:val="20"/>
              </w:rPr>
              <w:t xml:space="preserve">Some work is considered core APS-wide, while other work will be defined as core at an agency level. Each year, APS agencies report on their core work in corporate plans and annual reports. In line with the SCF, where core work is outsourced, agencies need to: </w:t>
            </w:r>
          </w:p>
          <w:p w14:paraId="0B226AC5" w14:textId="77777777" w:rsidR="00B4636A" w:rsidRPr="00B4636A" w:rsidRDefault="00B4636A" w:rsidP="00B4636A">
            <w:pPr>
              <w:numPr>
                <w:ilvl w:val="0"/>
                <w:numId w:val="24"/>
              </w:numPr>
              <w:tabs>
                <w:tab w:val="left" w:pos="4140"/>
              </w:tabs>
              <w:rPr>
                <w:rFonts w:cstheme="minorHAnsi"/>
                <w:iCs/>
                <w:color w:val="262626" w:themeColor="text1" w:themeTint="D9"/>
                <w:sz w:val="20"/>
                <w:szCs w:val="20"/>
              </w:rPr>
            </w:pPr>
            <w:r w:rsidRPr="00B4636A">
              <w:rPr>
                <w:rFonts w:cstheme="minorHAnsi"/>
                <w:iCs/>
                <w:color w:val="262626" w:themeColor="text1" w:themeTint="D9"/>
                <w:sz w:val="20"/>
                <w:szCs w:val="20"/>
              </w:rPr>
              <w:t>maintain records of the procurement and the reason for outsourcing</w:t>
            </w:r>
          </w:p>
          <w:p w14:paraId="4266ABD5" w14:textId="77777777" w:rsidR="00B4636A" w:rsidRPr="00B4636A" w:rsidRDefault="00B4636A" w:rsidP="00B4636A">
            <w:pPr>
              <w:numPr>
                <w:ilvl w:val="0"/>
                <w:numId w:val="24"/>
              </w:numPr>
              <w:tabs>
                <w:tab w:val="left" w:pos="4140"/>
              </w:tabs>
              <w:rPr>
                <w:rFonts w:cstheme="minorHAnsi"/>
                <w:iCs/>
                <w:color w:val="262626" w:themeColor="text1" w:themeTint="D9"/>
                <w:sz w:val="20"/>
                <w:szCs w:val="20"/>
              </w:rPr>
            </w:pPr>
            <w:r w:rsidRPr="00B4636A">
              <w:rPr>
                <w:rFonts w:cstheme="minorHAnsi"/>
                <w:iCs/>
                <w:color w:val="262626" w:themeColor="text1" w:themeTint="D9"/>
                <w:sz w:val="20"/>
                <w:szCs w:val="20"/>
              </w:rPr>
              <w:t>avoid or manage conflicts of interest</w:t>
            </w:r>
          </w:p>
          <w:p w14:paraId="77DAE0EB" w14:textId="77777777" w:rsidR="00B4636A" w:rsidRPr="00B4636A" w:rsidRDefault="00B4636A" w:rsidP="00B4636A">
            <w:pPr>
              <w:numPr>
                <w:ilvl w:val="0"/>
                <w:numId w:val="24"/>
              </w:numPr>
              <w:tabs>
                <w:tab w:val="left" w:pos="4140"/>
              </w:tabs>
              <w:rPr>
                <w:rFonts w:cstheme="minorHAnsi"/>
                <w:iCs/>
                <w:color w:val="262626" w:themeColor="text1" w:themeTint="D9"/>
                <w:sz w:val="20"/>
                <w:szCs w:val="20"/>
              </w:rPr>
            </w:pPr>
            <w:r w:rsidRPr="00B4636A">
              <w:rPr>
                <w:rFonts w:cstheme="minorHAnsi"/>
                <w:iCs/>
                <w:color w:val="262626" w:themeColor="text1" w:themeTint="D9"/>
                <w:sz w:val="20"/>
                <w:szCs w:val="20"/>
              </w:rPr>
              <w:t>ensure active oversight of privacy, confidentiality and integrity</w:t>
            </w:r>
          </w:p>
          <w:p w14:paraId="22F38FB5" w14:textId="77777777" w:rsidR="00B4636A" w:rsidRPr="00B4636A" w:rsidRDefault="00B4636A" w:rsidP="00B4636A">
            <w:pPr>
              <w:numPr>
                <w:ilvl w:val="0"/>
                <w:numId w:val="24"/>
              </w:numPr>
              <w:tabs>
                <w:tab w:val="left" w:pos="4140"/>
              </w:tabs>
              <w:rPr>
                <w:rFonts w:cstheme="minorHAnsi"/>
                <w:iCs/>
                <w:color w:val="262626" w:themeColor="text1" w:themeTint="D9"/>
                <w:sz w:val="20"/>
                <w:szCs w:val="20"/>
              </w:rPr>
            </w:pPr>
            <w:r w:rsidRPr="00B4636A">
              <w:rPr>
                <w:rFonts w:cstheme="minorHAnsi"/>
                <w:iCs/>
                <w:color w:val="262626" w:themeColor="text1" w:themeTint="D9"/>
                <w:sz w:val="20"/>
                <w:szCs w:val="20"/>
              </w:rPr>
              <w:t>ensure outsourcing does not create or perpetuate APS capability gaps</w:t>
            </w:r>
          </w:p>
          <w:p w14:paraId="74DCE1CD" w14:textId="77777777" w:rsidR="00B4636A" w:rsidRPr="00B4636A" w:rsidRDefault="00B4636A" w:rsidP="00B4636A">
            <w:pPr>
              <w:numPr>
                <w:ilvl w:val="0"/>
                <w:numId w:val="24"/>
              </w:numPr>
              <w:tabs>
                <w:tab w:val="left" w:pos="4140"/>
              </w:tabs>
              <w:rPr>
                <w:rFonts w:cstheme="minorHAnsi"/>
                <w:iCs/>
                <w:color w:val="262626" w:themeColor="text1" w:themeTint="D9"/>
                <w:sz w:val="20"/>
                <w:szCs w:val="20"/>
              </w:rPr>
            </w:pPr>
            <w:r w:rsidRPr="00B4636A">
              <w:rPr>
                <w:rFonts w:cstheme="minorHAnsi"/>
                <w:iCs/>
                <w:color w:val="262626" w:themeColor="text1" w:themeTint="D9"/>
                <w:sz w:val="20"/>
                <w:szCs w:val="20"/>
              </w:rPr>
              <w:t>build in mechanisms to transfer knowledge and skills to the APS</w:t>
            </w:r>
          </w:p>
          <w:p w14:paraId="58CF6783" w14:textId="77777777" w:rsidR="00B4636A" w:rsidRPr="00B4636A" w:rsidRDefault="00B4636A" w:rsidP="00B4636A">
            <w:pPr>
              <w:numPr>
                <w:ilvl w:val="0"/>
                <w:numId w:val="24"/>
              </w:numPr>
              <w:tabs>
                <w:tab w:val="left" w:pos="4140"/>
              </w:tabs>
              <w:rPr>
                <w:rFonts w:cstheme="minorHAnsi"/>
                <w:iCs/>
                <w:color w:val="262626" w:themeColor="text1" w:themeTint="D9"/>
                <w:sz w:val="20"/>
                <w:szCs w:val="20"/>
              </w:rPr>
            </w:pPr>
            <w:r w:rsidRPr="00B4636A">
              <w:rPr>
                <w:rFonts w:cstheme="minorHAnsi"/>
                <w:iCs/>
                <w:color w:val="262626" w:themeColor="text1" w:themeTint="D9"/>
                <w:sz w:val="20"/>
                <w:szCs w:val="20"/>
              </w:rPr>
              <w:t>explicitly state the behaviours and conduct required of external personnel.</w:t>
            </w:r>
          </w:p>
          <w:p w14:paraId="69FD8687" w14:textId="0F2E59F0" w:rsidR="00AD43B3" w:rsidRPr="007A4629" w:rsidRDefault="00B4636A" w:rsidP="00B4636A">
            <w:pPr>
              <w:tabs>
                <w:tab w:val="left" w:pos="4140"/>
              </w:tabs>
              <w:ind w:left="113"/>
              <w:rPr>
                <w:rFonts w:cstheme="minorHAnsi"/>
                <w:iCs/>
                <w:color w:val="404040" w:themeColor="text1" w:themeTint="BF"/>
              </w:rPr>
            </w:pPr>
            <w:r w:rsidRPr="00B4636A">
              <w:rPr>
                <w:rFonts w:cstheme="minorHAnsi"/>
                <w:iCs/>
                <w:color w:val="262626" w:themeColor="text1" w:themeTint="D9"/>
                <w:sz w:val="20"/>
                <w:szCs w:val="20"/>
              </w:rPr>
              <w:t xml:space="preserve">The </w:t>
            </w:r>
            <w:hyperlink r:id="rId22" w:history="1">
              <w:r w:rsidRPr="00B4636A">
                <w:rPr>
                  <w:rStyle w:val="Hyperlink"/>
                  <w:rFonts w:cstheme="minorHAnsi"/>
                  <w:iCs/>
                  <w:sz w:val="20"/>
                  <w:szCs w:val="20"/>
                </w:rPr>
                <w:t>APSC website</w:t>
              </w:r>
            </w:hyperlink>
            <w:r w:rsidRPr="00B4636A">
              <w:rPr>
                <w:rFonts w:cstheme="minorHAnsi"/>
                <w:iCs/>
                <w:color w:val="262626" w:themeColor="text1" w:themeTint="D9"/>
                <w:sz w:val="20"/>
                <w:szCs w:val="20"/>
              </w:rPr>
              <w:t xml:space="preserve"> provides guidance for agencies on implementation and monitoring and reporting requirements.</w:t>
            </w:r>
          </w:p>
        </w:tc>
      </w:tr>
      <w:tr w:rsidR="002C0BE9" w:rsidRPr="00AD43B3" w14:paraId="2B06C9BB" w14:textId="77777777" w:rsidTr="00DF3B3B">
        <w:trPr>
          <w:gridAfter w:val="1"/>
          <w:wAfter w:w="31" w:type="dxa"/>
          <w:trHeight w:val="1247"/>
        </w:trPr>
        <w:tc>
          <w:tcPr>
            <w:cnfStyle w:val="001000000000" w:firstRow="0" w:lastRow="0" w:firstColumn="1" w:lastColumn="0" w:oddVBand="0" w:evenVBand="0" w:oddHBand="0" w:evenHBand="0" w:firstRowFirstColumn="0" w:firstRowLastColumn="0" w:lastRowFirstColumn="0" w:lastRowLastColumn="0"/>
            <w:tcW w:w="2547" w:type="dxa"/>
            <w:shd w:val="clear" w:color="auto" w:fill="E6F4FC" w:themeFill="accent1" w:themeFillTint="33"/>
          </w:tcPr>
          <w:p w14:paraId="425FDC06" w14:textId="77777777" w:rsidR="00AD43B3" w:rsidRPr="00AD43B3" w:rsidRDefault="00AD43B3" w:rsidP="002335E7">
            <w:pPr>
              <w:pStyle w:val="Tableheading"/>
              <w:framePr w:hSpace="0" w:wrap="auto" w:vAnchor="margin" w:hAnchor="text" w:xAlign="left" w:yAlign="inline"/>
            </w:pPr>
            <w:r w:rsidRPr="00AD43B3">
              <w:t>APS SCF Framework</w:t>
            </w:r>
          </w:p>
          <w:p w14:paraId="5E422FEF" w14:textId="0E639630" w:rsidR="00AD43B3" w:rsidRPr="00C970D6" w:rsidRDefault="00AD43B3" w:rsidP="00C970D6">
            <w:pPr>
              <w:pStyle w:val="ListParagraph"/>
              <w:ind w:left="0"/>
              <w:rPr>
                <w:rFonts w:cstheme="minorHAnsi"/>
                <w:b/>
                <w:bCs/>
                <w:color w:val="404040" w:themeColor="text1" w:themeTint="BF"/>
                <w:sz w:val="20"/>
                <w:szCs w:val="20"/>
              </w:rPr>
            </w:pPr>
          </w:p>
        </w:tc>
        <w:tc>
          <w:tcPr>
            <w:tcW w:w="8050" w:type="dxa"/>
          </w:tcPr>
          <w:p w14:paraId="09358DA6" w14:textId="77777777" w:rsidR="00674AF5" w:rsidRPr="00674AF5" w:rsidRDefault="00674AF5" w:rsidP="00674AF5">
            <w:pPr>
              <w:pStyle w:val="ListParagraph"/>
              <w:numPr>
                <w:ilvl w:val="0"/>
                <w:numId w:val="17"/>
              </w:numPr>
              <w:tabs>
                <w:tab w:val="left" w:pos="4140"/>
              </w:tabs>
              <w:spacing w:after="0" w:line="276" w:lineRule="auto"/>
              <w:cnfStyle w:val="000000000000" w:firstRow="0" w:lastRow="0" w:firstColumn="0" w:lastColumn="0" w:oddVBand="0" w:evenVBand="0" w:oddHBand="0" w:evenHBand="0" w:firstRowFirstColumn="0" w:firstRowLastColumn="0" w:lastRowFirstColumn="0" w:lastRowLastColumn="0"/>
              <w:rPr>
                <w:rFonts w:cstheme="minorHAnsi"/>
                <w:i/>
                <w:color w:val="545454" w:themeColor="text2" w:themeTint="BF"/>
                <w:sz w:val="20"/>
                <w:szCs w:val="20"/>
              </w:rPr>
            </w:pPr>
            <w:r w:rsidRPr="00674AF5">
              <w:rPr>
                <w:rFonts w:cstheme="minorHAnsi"/>
                <w:i/>
                <w:color w:val="545454" w:themeColor="text2" w:themeTint="BF"/>
                <w:sz w:val="20"/>
                <w:szCs w:val="20"/>
              </w:rPr>
              <w:t xml:space="preserve">Are you outsourcing core work? This includes work on the APS-wide list and agency-specific core work, defined by your agency. </w:t>
            </w:r>
          </w:p>
          <w:p w14:paraId="6687C549" w14:textId="77777777" w:rsidR="00674AF5" w:rsidRPr="00674AF5" w:rsidRDefault="00674AF5" w:rsidP="00F479D7">
            <w:pPr>
              <w:pStyle w:val="ListParagraph"/>
              <w:numPr>
                <w:ilvl w:val="1"/>
                <w:numId w:val="17"/>
              </w:numPr>
              <w:tabs>
                <w:tab w:val="left" w:pos="4140"/>
              </w:tabs>
              <w:spacing w:after="0" w:line="276" w:lineRule="auto"/>
              <w:cnfStyle w:val="000000000000" w:firstRow="0" w:lastRow="0" w:firstColumn="0" w:lastColumn="0" w:oddVBand="0" w:evenVBand="0" w:oddHBand="0" w:evenHBand="0" w:firstRowFirstColumn="0" w:firstRowLastColumn="0" w:lastRowFirstColumn="0" w:lastRowLastColumn="0"/>
              <w:rPr>
                <w:rFonts w:cstheme="minorHAnsi"/>
                <w:i/>
                <w:color w:val="545454" w:themeColor="text2" w:themeTint="BF"/>
                <w:sz w:val="20"/>
                <w:szCs w:val="20"/>
              </w:rPr>
            </w:pPr>
            <w:r w:rsidRPr="00674AF5">
              <w:rPr>
                <w:rFonts w:cstheme="minorHAnsi"/>
                <w:i/>
                <w:color w:val="545454" w:themeColor="text2" w:themeTint="BF"/>
                <w:sz w:val="20"/>
                <w:szCs w:val="20"/>
              </w:rPr>
              <w:t>If yes,</w:t>
            </w:r>
          </w:p>
          <w:p w14:paraId="01A87344" w14:textId="75AF0863" w:rsidR="00674AF5" w:rsidRPr="00674AF5" w:rsidRDefault="00674AF5" w:rsidP="00F479D7">
            <w:pPr>
              <w:pStyle w:val="ListParagraph"/>
              <w:numPr>
                <w:ilvl w:val="2"/>
                <w:numId w:val="17"/>
              </w:numPr>
              <w:tabs>
                <w:tab w:val="left" w:pos="4140"/>
              </w:tabs>
              <w:spacing w:after="0" w:line="276" w:lineRule="auto"/>
              <w:cnfStyle w:val="000000000000" w:firstRow="0" w:lastRow="0" w:firstColumn="0" w:lastColumn="0" w:oddVBand="0" w:evenVBand="0" w:oddHBand="0" w:evenHBand="0" w:firstRowFirstColumn="0" w:firstRowLastColumn="0" w:lastRowFirstColumn="0" w:lastRowLastColumn="0"/>
              <w:rPr>
                <w:rFonts w:cstheme="minorHAnsi"/>
                <w:i/>
                <w:color w:val="545454" w:themeColor="text2" w:themeTint="BF"/>
                <w:sz w:val="20"/>
                <w:szCs w:val="20"/>
              </w:rPr>
            </w:pPr>
            <w:r w:rsidRPr="00674AF5">
              <w:rPr>
                <w:rFonts w:cstheme="minorHAnsi"/>
                <w:i/>
                <w:color w:val="545454" w:themeColor="text2" w:themeTint="BF"/>
                <w:sz w:val="20"/>
                <w:szCs w:val="20"/>
              </w:rPr>
              <w:t>It is recommended you consult with the relevant area in your agency on the SCF and your agency’s processes and procedures on outsourcing of core work before proceeding</w:t>
            </w:r>
            <w:r w:rsidR="00343F88">
              <w:rPr>
                <w:rFonts w:cstheme="minorHAnsi"/>
                <w:i/>
                <w:color w:val="545454" w:themeColor="text2" w:themeTint="BF"/>
                <w:sz w:val="20"/>
                <w:szCs w:val="20"/>
              </w:rPr>
              <w:t>.</w:t>
            </w:r>
            <w:r w:rsidRPr="00674AF5">
              <w:rPr>
                <w:rFonts w:cstheme="minorHAnsi"/>
                <w:i/>
                <w:color w:val="545454" w:themeColor="text2" w:themeTint="BF"/>
                <w:sz w:val="20"/>
                <w:szCs w:val="20"/>
              </w:rPr>
              <w:t xml:space="preserve">  </w:t>
            </w:r>
          </w:p>
          <w:p w14:paraId="365AA0D7" w14:textId="77777777" w:rsidR="00674AF5" w:rsidRDefault="00674AF5" w:rsidP="00F479D7">
            <w:pPr>
              <w:pStyle w:val="ListParagraph"/>
              <w:numPr>
                <w:ilvl w:val="2"/>
                <w:numId w:val="17"/>
              </w:numPr>
              <w:tabs>
                <w:tab w:val="left" w:pos="4140"/>
              </w:tabs>
              <w:spacing w:after="0" w:line="276" w:lineRule="auto"/>
              <w:cnfStyle w:val="000000000000" w:firstRow="0" w:lastRow="0" w:firstColumn="0" w:lastColumn="0" w:oddVBand="0" w:evenVBand="0" w:oddHBand="0" w:evenHBand="0" w:firstRowFirstColumn="0" w:firstRowLastColumn="0" w:lastRowFirstColumn="0" w:lastRowLastColumn="0"/>
              <w:rPr>
                <w:rFonts w:cstheme="minorHAnsi"/>
                <w:i/>
                <w:color w:val="545454" w:themeColor="text2" w:themeTint="BF"/>
                <w:sz w:val="20"/>
                <w:szCs w:val="20"/>
              </w:rPr>
            </w:pPr>
            <w:r w:rsidRPr="00674AF5">
              <w:rPr>
                <w:rFonts w:cstheme="minorHAnsi"/>
                <w:i/>
                <w:color w:val="545454" w:themeColor="text2" w:themeTint="BF"/>
                <w:sz w:val="20"/>
                <w:szCs w:val="20"/>
              </w:rPr>
              <w:t xml:space="preserve">Please note outsourcing of core work is only appropriate if it meets the </w:t>
            </w:r>
            <w:r w:rsidRPr="00356A04">
              <w:rPr>
                <w:rFonts w:cstheme="minorHAnsi"/>
                <w:b/>
                <w:bCs/>
                <w:i/>
                <w:color w:val="545454" w:themeColor="text2" w:themeTint="BF"/>
                <w:sz w:val="20"/>
                <w:szCs w:val="20"/>
              </w:rPr>
              <w:t>limited circumstances</w:t>
            </w:r>
            <w:r w:rsidRPr="00674AF5">
              <w:rPr>
                <w:rFonts w:cstheme="minorHAnsi"/>
                <w:i/>
                <w:color w:val="545454" w:themeColor="text2" w:themeTint="BF"/>
                <w:sz w:val="20"/>
                <w:szCs w:val="20"/>
              </w:rPr>
              <w:t xml:space="preserve"> outlined in the SCF. Agencies are required to report where they outsource core work beyond the limited circumstances set out in the SCF.</w:t>
            </w:r>
          </w:p>
          <w:p w14:paraId="48FCA255" w14:textId="5CF9BAF5" w:rsidR="00C77FAB" w:rsidRDefault="00BF72BD" w:rsidP="0057691E">
            <w:pPr>
              <w:pStyle w:val="ListParagraph"/>
              <w:numPr>
                <w:ilvl w:val="1"/>
                <w:numId w:val="17"/>
              </w:numPr>
              <w:tabs>
                <w:tab w:val="left" w:pos="4140"/>
              </w:tabs>
              <w:spacing w:after="0" w:line="276" w:lineRule="auto"/>
              <w:cnfStyle w:val="000000000000" w:firstRow="0" w:lastRow="0" w:firstColumn="0" w:lastColumn="0" w:oddVBand="0" w:evenVBand="0" w:oddHBand="0" w:evenHBand="0" w:firstRowFirstColumn="0" w:firstRowLastColumn="0" w:lastRowFirstColumn="0" w:lastRowLastColumn="0"/>
              <w:rPr>
                <w:rFonts w:cstheme="minorHAnsi"/>
                <w:i/>
                <w:color w:val="545454" w:themeColor="text2" w:themeTint="BF"/>
                <w:sz w:val="20"/>
                <w:szCs w:val="20"/>
              </w:rPr>
            </w:pPr>
            <w:r>
              <w:rPr>
                <w:rFonts w:cstheme="minorHAnsi"/>
                <w:i/>
                <w:color w:val="545454" w:themeColor="text2" w:themeTint="BF"/>
                <w:sz w:val="20"/>
                <w:szCs w:val="20"/>
              </w:rPr>
              <w:t>If no,</w:t>
            </w:r>
            <w:r w:rsidR="0099243B">
              <w:rPr>
                <w:rFonts w:cstheme="minorHAnsi"/>
                <w:i/>
                <w:color w:val="545454" w:themeColor="text2" w:themeTint="BF"/>
                <w:sz w:val="20"/>
                <w:szCs w:val="20"/>
              </w:rPr>
              <w:t xml:space="preserve"> it is recommended to document the basis to </w:t>
            </w:r>
            <w:r w:rsidR="00A67A17">
              <w:rPr>
                <w:rFonts w:cstheme="minorHAnsi"/>
                <w:i/>
                <w:color w:val="545454" w:themeColor="text2" w:themeTint="BF"/>
                <w:sz w:val="20"/>
                <w:szCs w:val="20"/>
              </w:rPr>
              <w:t>support why this is not core work.</w:t>
            </w:r>
          </w:p>
          <w:p w14:paraId="2BD371A3" w14:textId="77777777" w:rsidR="00C77FAB" w:rsidRDefault="00C77FAB" w:rsidP="00C77FAB">
            <w:pPr>
              <w:tabs>
                <w:tab w:val="left" w:pos="4140"/>
              </w:tabs>
              <w:spacing w:after="0" w:line="276" w:lineRule="auto"/>
              <w:cnfStyle w:val="000000000000" w:firstRow="0" w:lastRow="0" w:firstColumn="0" w:lastColumn="0" w:oddVBand="0" w:evenVBand="0" w:oddHBand="0" w:evenHBand="0" w:firstRowFirstColumn="0" w:firstRowLastColumn="0" w:lastRowFirstColumn="0" w:lastRowLastColumn="0"/>
              <w:rPr>
                <w:rFonts w:cstheme="minorHAnsi"/>
                <w:i/>
                <w:color w:val="545454" w:themeColor="text2" w:themeTint="BF"/>
                <w:sz w:val="20"/>
                <w:szCs w:val="20"/>
              </w:rPr>
            </w:pPr>
          </w:p>
          <w:p w14:paraId="3B74A88F" w14:textId="77777777" w:rsidR="00C77FAB" w:rsidRDefault="00C77FAB" w:rsidP="00C77FAB">
            <w:pPr>
              <w:tabs>
                <w:tab w:val="left" w:pos="4140"/>
              </w:tabs>
              <w:spacing w:after="0" w:line="276" w:lineRule="auto"/>
              <w:cnfStyle w:val="000000000000" w:firstRow="0" w:lastRow="0" w:firstColumn="0" w:lastColumn="0" w:oddVBand="0" w:evenVBand="0" w:oddHBand="0" w:evenHBand="0" w:firstRowFirstColumn="0" w:firstRowLastColumn="0" w:lastRowFirstColumn="0" w:lastRowLastColumn="0"/>
              <w:rPr>
                <w:rFonts w:cstheme="minorHAnsi"/>
                <w:i/>
                <w:color w:val="545454" w:themeColor="text2" w:themeTint="BF"/>
                <w:sz w:val="20"/>
                <w:szCs w:val="20"/>
              </w:rPr>
            </w:pPr>
          </w:p>
          <w:p w14:paraId="6832F53B" w14:textId="77777777" w:rsidR="00C77FAB" w:rsidRDefault="00C77FAB" w:rsidP="00C77FAB">
            <w:pPr>
              <w:tabs>
                <w:tab w:val="left" w:pos="4140"/>
              </w:tabs>
              <w:spacing w:after="0" w:line="276" w:lineRule="auto"/>
              <w:cnfStyle w:val="000000000000" w:firstRow="0" w:lastRow="0" w:firstColumn="0" w:lastColumn="0" w:oddVBand="0" w:evenVBand="0" w:oddHBand="0" w:evenHBand="0" w:firstRowFirstColumn="0" w:firstRowLastColumn="0" w:lastRowFirstColumn="0" w:lastRowLastColumn="0"/>
              <w:rPr>
                <w:rFonts w:cstheme="minorHAnsi"/>
                <w:i/>
                <w:color w:val="545454" w:themeColor="text2" w:themeTint="BF"/>
                <w:sz w:val="20"/>
                <w:szCs w:val="20"/>
              </w:rPr>
            </w:pPr>
          </w:p>
          <w:p w14:paraId="1E4C0800" w14:textId="77777777" w:rsidR="00C77FAB" w:rsidRDefault="00C77FAB" w:rsidP="00C77FAB">
            <w:pPr>
              <w:tabs>
                <w:tab w:val="left" w:pos="4140"/>
              </w:tabs>
              <w:spacing w:after="0" w:line="276" w:lineRule="auto"/>
              <w:cnfStyle w:val="000000000000" w:firstRow="0" w:lastRow="0" w:firstColumn="0" w:lastColumn="0" w:oddVBand="0" w:evenVBand="0" w:oddHBand="0" w:evenHBand="0" w:firstRowFirstColumn="0" w:firstRowLastColumn="0" w:lastRowFirstColumn="0" w:lastRowLastColumn="0"/>
              <w:rPr>
                <w:rFonts w:cstheme="minorHAnsi"/>
                <w:i/>
                <w:color w:val="545454" w:themeColor="text2" w:themeTint="BF"/>
                <w:sz w:val="20"/>
                <w:szCs w:val="20"/>
              </w:rPr>
            </w:pPr>
          </w:p>
          <w:p w14:paraId="2AEA926F" w14:textId="77777777" w:rsidR="00C77FAB" w:rsidRDefault="00C77FAB" w:rsidP="00C77FAB">
            <w:pPr>
              <w:tabs>
                <w:tab w:val="left" w:pos="4140"/>
              </w:tabs>
              <w:spacing w:after="0" w:line="276" w:lineRule="auto"/>
              <w:cnfStyle w:val="000000000000" w:firstRow="0" w:lastRow="0" w:firstColumn="0" w:lastColumn="0" w:oddVBand="0" w:evenVBand="0" w:oddHBand="0" w:evenHBand="0" w:firstRowFirstColumn="0" w:firstRowLastColumn="0" w:lastRowFirstColumn="0" w:lastRowLastColumn="0"/>
              <w:rPr>
                <w:rFonts w:cstheme="minorHAnsi"/>
                <w:i/>
                <w:color w:val="545454" w:themeColor="text2" w:themeTint="BF"/>
                <w:sz w:val="20"/>
                <w:szCs w:val="20"/>
              </w:rPr>
            </w:pPr>
          </w:p>
          <w:p w14:paraId="3C36C5D7" w14:textId="77777777" w:rsidR="00C77FAB" w:rsidRPr="0057691E" w:rsidRDefault="00C77FAB" w:rsidP="0057691E">
            <w:pPr>
              <w:tabs>
                <w:tab w:val="left" w:pos="4140"/>
              </w:tabs>
              <w:spacing w:after="0" w:line="276" w:lineRule="auto"/>
              <w:cnfStyle w:val="000000000000" w:firstRow="0" w:lastRow="0" w:firstColumn="0" w:lastColumn="0" w:oddVBand="0" w:evenVBand="0" w:oddHBand="0" w:evenHBand="0" w:firstRowFirstColumn="0" w:firstRowLastColumn="0" w:lastRowFirstColumn="0" w:lastRowLastColumn="0"/>
              <w:rPr>
                <w:rFonts w:cstheme="minorHAnsi"/>
                <w:i/>
                <w:color w:val="545454" w:themeColor="text2" w:themeTint="BF"/>
                <w:sz w:val="20"/>
                <w:szCs w:val="20"/>
              </w:rPr>
            </w:pPr>
          </w:p>
          <w:p w14:paraId="5901898D" w14:textId="738632CD" w:rsidR="00AD43B3" w:rsidRPr="0057691E" w:rsidRDefault="00AD43B3" w:rsidP="0057691E">
            <w:pPr>
              <w:tabs>
                <w:tab w:val="left" w:pos="4140"/>
              </w:tabs>
              <w:spacing w:after="0" w:line="276" w:lineRule="auto"/>
              <w:cnfStyle w:val="000000000000" w:firstRow="0" w:lastRow="0" w:firstColumn="0" w:lastColumn="0" w:oddVBand="0" w:evenVBand="0" w:oddHBand="0" w:evenHBand="0" w:firstRowFirstColumn="0" w:firstRowLastColumn="0" w:lastRowFirstColumn="0" w:lastRowLastColumn="0"/>
              <w:rPr>
                <w:rFonts w:cstheme="minorHAnsi"/>
                <w:i/>
                <w:color w:val="545454" w:themeColor="text2" w:themeTint="BF"/>
                <w:sz w:val="20"/>
                <w:szCs w:val="20"/>
              </w:rPr>
            </w:pPr>
          </w:p>
        </w:tc>
      </w:tr>
    </w:tbl>
    <w:p w14:paraId="647498B7" w14:textId="77777777" w:rsidR="00C77FAB" w:rsidRDefault="00C77FAB">
      <w:r>
        <w:br w:type="page"/>
      </w:r>
    </w:p>
    <w:tbl>
      <w:tblPr>
        <w:tblStyle w:val="Finance1"/>
        <w:tblpPr w:leftFromText="180" w:rightFromText="180" w:vertAnchor="text" w:horzAnchor="margin" w:tblpXSpec="center" w:tblpY="722"/>
        <w:tblW w:w="10628" w:type="dxa"/>
        <w:tblLayout w:type="fixed"/>
        <w:tblCellMar>
          <w:top w:w="113" w:type="dxa"/>
          <w:bottom w:w="113" w:type="dxa"/>
        </w:tblCellMar>
        <w:tblLook w:val="06A0" w:firstRow="1" w:lastRow="0" w:firstColumn="1" w:lastColumn="0" w:noHBand="1" w:noVBand="1"/>
      </w:tblPr>
      <w:tblGrid>
        <w:gridCol w:w="2547"/>
        <w:gridCol w:w="8081"/>
      </w:tblGrid>
      <w:tr w:rsidR="00AD43B3" w:rsidRPr="00AD43B3" w14:paraId="6513B8D7" w14:textId="77777777" w:rsidTr="00DF3B3B">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0628" w:type="dxa"/>
            <w:gridSpan w:val="2"/>
            <w:shd w:val="clear" w:color="auto" w:fill="F6EB61" w:themeFill="accent4"/>
            <w:hideMark/>
          </w:tcPr>
          <w:bookmarkStart w:id="0" w:name="_Hlk221701613"/>
          <w:p w14:paraId="5EF12B37" w14:textId="04BC4EAD" w:rsidR="00AD43B3" w:rsidRPr="00AD43B3" w:rsidRDefault="004A2A15">
            <w:pPr>
              <w:jc w:val="center"/>
              <w:rPr>
                <w:rFonts w:cstheme="minorHAnsi"/>
                <w:b w:val="0"/>
                <w:bCs/>
                <w:sz w:val="20"/>
                <w:szCs w:val="20"/>
              </w:rPr>
            </w:pPr>
            <w:sdt>
              <w:sdtPr>
                <w:rPr>
                  <w:rFonts w:cstheme="minorHAnsi"/>
                  <w:bCs/>
                  <w:color w:val="000000" w:themeColor="text1"/>
                  <w:sz w:val="20"/>
                  <w:szCs w:val="20"/>
                </w:rPr>
                <w:id w:val="-254364995"/>
                <w14:checkbox>
                  <w14:checked w14:val="0"/>
                  <w14:checkedState w14:val="2612" w14:font="MS Gothic"/>
                  <w14:uncheckedState w14:val="2610" w14:font="MS Gothic"/>
                </w14:checkbox>
              </w:sdtPr>
              <w:sdtEndPr/>
              <w:sdtContent>
                <w:r w:rsidR="007A4341">
                  <w:rPr>
                    <w:rFonts w:cstheme="minorHAnsi"/>
                    <w:bCs/>
                    <w:color w:val="000000" w:themeColor="text1"/>
                    <w:sz w:val="20"/>
                    <w:szCs w:val="20"/>
                  </w:rPr>
                  <w:t>C</w:t>
                </w:r>
              </w:sdtContent>
            </w:sdt>
            <w:r w:rsidR="007A4341">
              <w:rPr>
                <w:rFonts w:cstheme="minorHAnsi"/>
                <w:bCs/>
                <w:color w:val="000000" w:themeColor="text1"/>
                <w:sz w:val="20"/>
                <w:szCs w:val="20"/>
              </w:rPr>
              <w:t>ONSIDERATIONS</w:t>
            </w:r>
            <w:r w:rsidR="007A4341" w:rsidRPr="00AD43B3">
              <w:rPr>
                <w:rFonts w:cstheme="minorHAnsi"/>
                <w:bCs/>
                <w:color w:val="000000" w:themeColor="text1"/>
                <w:sz w:val="20"/>
                <w:szCs w:val="20"/>
              </w:rPr>
              <w:t xml:space="preserve"> </w:t>
            </w:r>
            <w:r w:rsidR="00AD43B3" w:rsidRPr="00AD43B3">
              <w:rPr>
                <w:rFonts w:cstheme="minorHAnsi"/>
                <w:bCs/>
                <w:color w:val="000000" w:themeColor="text1"/>
                <w:sz w:val="20"/>
                <w:szCs w:val="20"/>
              </w:rPr>
              <w:t>FOR THE PROCUREMENT</w:t>
            </w:r>
          </w:p>
        </w:tc>
      </w:tr>
      <w:tr w:rsidR="0057691E" w:rsidRPr="00AD43B3" w14:paraId="19488118" w14:textId="77777777" w:rsidTr="00DF3B3B">
        <w:trPr>
          <w:trHeight w:val="1696"/>
        </w:trPr>
        <w:tc>
          <w:tcPr>
            <w:cnfStyle w:val="001000000000" w:firstRow="0" w:lastRow="0" w:firstColumn="1" w:lastColumn="0" w:oddVBand="0" w:evenVBand="0" w:oddHBand="0" w:evenHBand="0" w:firstRowFirstColumn="0" w:firstRowLastColumn="0" w:lastRowFirstColumn="0" w:lastRowLastColumn="0"/>
            <w:tcW w:w="2547" w:type="dxa"/>
            <w:shd w:val="clear" w:color="auto" w:fill="FDFBDF" w:themeFill="accent4" w:themeFillTint="33"/>
          </w:tcPr>
          <w:p w14:paraId="33B0C657" w14:textId="248F824E" w:rsidR="0057691E" w:rsidRPr="00AD43B3" w:rsidRDefault="0057691E" w:rsidP="00C8057F">
            <w:pPr>
              <w:pStyle w:val="Tableheading"/>
              <w:framePr w:hSpace="0" w:wrap="auto" w:vAnchor="margin" w:hAnchor="text" w:xAlign="left" w:yAlign="inline"/>
            </w:pPr>
            <w:r>
              <w:t>Consideration of existing resources and intellectual property</w:t>
            </w:r>
          </w:p>
        </w:tc>
        <w:tc>
          <w:tcPr>
            <w:tcW w:w="8081" w:type="dxa"/>
          </w:tcPr>
          <w:p w14:paraId="16967B91" w14:textId="77777777" w:rsidR="0057691E" w:rsidRPr="00133D8C" w:rsidRDefault="0057691E" w:rsidP="00C8057F">
            <w:pPr>
              <w:pStyle w:val="ListParagraph"/>
              <w:numPr>
                <w:ilvl w:val="0"/>
                <w:numId w:val="14"/>
              </w:numPr>
              <w:spacing w:after="0" w:line="276" w:lineRule="auto"/>
              <w:cnfStyle w:val="000000000000" w:firstRow="0" w:lastRow="0" w:firstColumn="0" w:lastColumn="0" w:oddVBand="0" w:evenVBand="0" w:oddHBand="0" w:evenHBand="0" w:firstRowFirstColumn="0" w:firstRowLastColumn="0" w:lastRowFirstColumn="0" w:lastRowLastColumn="0"/>
              <w:rPr>
                <w:rFonts w:cstheme="minorHAnsi"/>
                <w:i/>
                <w:color w:val="545454" w:themeColor="text2" w:themeTint="BF"/>
                <w:sz w:val="20"/>
                <w:szCs w:val="20"/>
                <w:lang w:val="en-US" w:eastAsia="ja-JP"/>
              </w:rPr>
            </w:pPr>
            <w:r w:rsidRPr="00E53A20">
              <w:rPr>
                <w:rFonts w:cstheme="minorHAnsi"/>
                <w:i/>
                <w:color w:val="545454" w:themeColor="text2" w:themeTint="BF"/>
                <w:sz w:val="20"/>
                <w:szCs w:val="20"/>
              </w:rPr>
              <w:t xml:space="preserve">Have you considered whether existing Commonwealth </w:t>
            </w:r>
            <w:r>
              <w:rPr>
                <w:rFonts w:cstheme="minorHAnsi"/>
                <w:i/>
                <w:color w:val="545454" w:themeColor="text2" w:themeTint="BF"/>
                <w:sz w:val="20"/>
                <w:szCs w:val="20"/>
              </w:rPr>
              <w:t>intellectual propert</w:t>
            </w:r>
            <w:r w:rsidR="00DA67CA">
              <w:rPr>
                <w:rFonts w:cstheme="minorHAnsi"/>
                <w:i/>
                <w:color w:val="545454" w:themeColor="text2" w:themeTint="BF"/>
                <w:sz w:val="20"/>
                <w:szCs w:val="20"/>
              </w:rPr>
              <w:t xml:space="preserve">y or other </w:t>
            </w:r>
            <w:r w:rsidR="002104CC">
              <w:rPr>
                <w:rFonts w:cstheme="minorHAnsi"/>
                <w:i/>
                <w:color w:val="545454" w:themeColor="text2" w:themeTint="BF"/>
                <w:sz w:val="20"/>
                <w:szCs w:val="20"/>
              </w:rPr>
              <w:t xml:space="preserve">existing Commonwealth resources can be </w:t>
            </w:r>
            <w:r w:rsidR="00133D8C">
              <w:rPr>
                <w:rFonts w:cstheme="minorHAnsi"/>
                <w:i/>
                <w:color w:val="545454" w:themeColor="text2" w:themeTint="BF"/>
                <w:sz w:val="20"/>
                <w:szCs w:val="20"/>
              </w:rPr>
              <w:t>used to meet this business need?</w:t>
            </w:r>
          </w:p>
          <w:p w14:paraId="19205267" w14:textId="77777777" w:rsidR="00133D8C" w:rsidRDefault="002219AD" w:rsidP="00133D8C">
            <w:pPr>
              <w:pStyle w:val="ListParagraph"/>
              <w:numPr>
                <w:ilvl w:val="1"/>
                <w:numId w:val="14"/>
              </w:numPr>
              <w:spacing w:after="0" w:line="276" w:lineRule="auto"/>
              <w:cnfStyle w:val="000000000000" w:firstRow="0" w:lastRow="0" w:firstColumn="0" w:lastColumn="0" w:oddVBand="0" w:evenVBand="0" w:oddHBand="0" w:evenHBand="0" w:firstRowFirstColumn="0" w:firstRowLastColumn="0" w:lastRowFirstColumn="0" w:lastRowLastColumn="0"/>
              <w:rPr>
                <w:rFonts w:cstheme="minorHAnsi"/>
                <w:i/>
                <w:color w:val="545454" w:themeColor="text2" w:themeTint="BF"/>
                <w:sz w:val="20"/>
                <w:szCs w:val="20"/>
                <w:lang w:val="en-US" w:eastAsia="ja-JP"/>
              </w:rPr>
            </w:pPr>
            <w:r>
              <w:rPr>
                <w:rFonts w:cstheme="minorHAnsi"/>
                <w:i/>
                <w:color w:val="545454" w:themeColor="text2" w:themeTint="BF"/>
                <w:sz w:val="20"/>
                <w:szCs w:val="20"/>
                <w:lang w:val="en-US" w:eastAsia="ja-JP"/>
              </w:rPr>
              <w:t xml:space="preserve">It is recommended </w:t>
            </w:r>
            <w:r w:rsidR="00371101">
              <w:rPr>
                <w:rFonts w:cstheme="minorHAnsi"/>
                <w:i/>
                <w:color w:val="545454" w:themeColor="text2" w:themeTint="BF"/>
                <w:sz w:val="20"/>
                <w:szCs w:val="20"/>
                <w:lang w:val="en-US" w:eastAsia="ja-JP"/>
              </w:rPr>
              <w:t>to</w:t>
            </w:r>
            <w:r>
              <w:rPr>
                <w:rFonts w:cstheme="minorHAnsi"/>
                <w:i/>
                <w:color w:val="545454" w:themeColor="text2" w:themeTint="BF"/>
                <w:sz w:val="20"/>
                <w:szCs w:val="20"/>
                <w:lang w:val="en-US" w:eastAsia="ja-JP"/>
              </w:rPr>
              <w:t xml:space="preserve"> document </w:t>
            </w:r>
            <w:r w:rsidR="00460114">
              <w:rPr>
                <w:rFonts w:cstheme="minorHAnsi"/>
                <w:i/>
                <w:color w:val="545454" w:themeColor="text2" w:themeTint="BF"/>
                <w:sz w:val="20"/>
                <w:szCs w:val="20"/>
                <w:lang w:val="en-US" w:eastAsia="ja-JP"/>
              </w:rPr>
              <w:t>if</w:t>
            </w:r>
            <w:r w:rsidR="006C1AAB">
              <w:rPr>
                <w:rFonts w:cstheme="minorHAnsi"/>
                <w:i/>
                <w:color w:val="545454" w:themeColor="text2" w:themeTint="BF"/>
                <w:sz w:val="20"/>
                <w:szCs w:val="20"/>
                <w:lang w:val="en-US" w:eastAsia="ja-JP"/>
              </w:rPr>
              <w:t xml:space="preserve"> relevant existing resources were considered, and either how they were used to </w:t>
            </w:r>
            <w:r w:rsidR="00460114">
              <w:rPr>
                <w:rFonts w:cstheme="minorHAnsi"/>
                <w:i/>
                <w:color w:val="545454" w:themeColor="text2" w:themeTint="BF"/>
                <w:sz w:val="20"/>
                <w:szCs w:val="20"/>
                <w:lang w:val="en-US" w:eastAsia="ja-JP"/>
              </w:rPr>
              <w:t>inform this procurement process or why they were not used.</w:t>
            </w:r>
          </w:p>
          <w:p w14:paraId="3E0F7074" w14:textId="77777777" w:rsidR="009659BA" w:rsidRDefault="009659BA" w:rsidP="009659BA">
            <w:pPr>
              <w:spacing w:after="0" w:line="276" w:lineRule="auto"/>
              <w:cnfStyle w:val="000000000000" w:firstRow="0" w:lastRow="0" w:firstColumn="0" w:lastColumn="0" w:oddVBand="0" w:evenVBand="0" w:oddHBand="0" w:evenHBand="0" w:firstRowFirstColumn="0" w:firstRowLastColumn="0" w:lastRowFirstColumn="0" w:lastRowLastColumn="0"/>
              <w:rPr>
                <w:rFonts w:cstheme="minorHAnsi"/>
                <w:i/>
                <w:color w:val="545454" w:themeColor="text2" w:themeTint="BF"/>
                <w:sz w:val="20"/>
                <w:szCs w:val="20"/>
                <w:lang w:val="en-US" w:eastAsia="ja-JP"/>
              </w:rPr>
            </w:pPr>
          </w:p>
          <w:p w14:paraId="1F016D6A" w14:textId="77777777" w:rsidR="009659BA" w:rsidRDefault="009659BA" w:rsidP="009659BA">
            <w:pPr>
              <w:spacing w:after="0" w:line="276" w:lineRule="auto"/>
              <w:cnfStyle w:val="000000000000" w:firstRow="0" w:lastRow="0" w:firstColumn="0" w:lastColumn="0" w:oddVBand="0" w:evenVBand="0" w:oddHBand="0" w:evenHBand="0" w:firstRowFirstColumn="0" w:firstRowLastColumn="0" w:lastRowFirstColumn="0" w:lastRowLastColumn="0"/>
              <w:rPr>
                <w:rFonts w:cstheme="minorHAnsi"/>
                <w:i/>
                <w:color w:val="545454" w:themeColor="text2" w:themeTint="BF"/>
                <w:sz w:val="20"/>
                <w:szCs w:val="20"/>
                <w:lang w:val="en-US" w:eastAsia="ja-JP"/>
              </w:rPr>
            </w:pPr>
          </w:p>
          <w:p w14:paraId="6C753DC4" w14:textId="77777777" w:rsidR="009659BA" w:rsidRDefault="009659BA" w:rsidP="009659BA">
            <w:pPr>
              <w:spacing w:after="0" w:line="276" w:lineRule="auto"/>
              <w:cnfStyle w:val="000000000000" w:firstRow="0" w:lastRow="0" w:firstColumn="0" w:lastColumn="0" w:oddVBand="0" w:evenVBand="0" w:oddHBand="0" w:evenHBand="0" w:firstRowFirstColumn="0" w:firstRowLastColumn="0" w:lastRowFirstColumn="0" w:lastRowLastColumn="0"/>
              <w:rPr>
                <w:rFonts w:cstheme="minorHAnsi"/>
                <w:i/>
                <w:color w:val="545454" w:themeColor="text2" w:themeTint="BF"/>
                <w:sz w:val="20"/>
                <w:szCs w:val="20"/>
                <w:lang w:val="en-US" w:eastAsia="ja-JP"/>
              </w:rPr>
            </w:pPr>
          </w:p>
          <w:p w14:paraId="0B374700" w14:textId="77777777" w:rsidR="009659BA" w:rsidRDefault="009659BA" w:rsidP="009659BA">
            <w:pPr>
              <w:spacing w:after="0" w:line="276" w:lineRule="auto"/>
              <w:cnfStyle w:val="000000000000" w:firstRow="0" w:lastRow="0" w:firstColumn="0" w:lastColumn="0" w:oddVBand="0" w:evenVBand="0" w:oddHBand="0" w:evenHBand="0" w:firstRowFirstColumn="0" w:firstRowLastColumn="0" w:lastRowFirstColumn="0" w:lastRowLastColumn="0"/>
              <w:rPr>
                <w:rFonts w:cstheme="minorHAnsi"/>
                <w:i/>
                <w:color w:val="545454" w:themeColor="text2" w:themeTint="BF"/>
                <w:sz w:val="20"/>
                <w:szCs w:val="20"/>
                <w:lang w:val="en-US" w:eastAsia="ja-JP"/>
              </w:rPr>
            </w:pPr>
          </w:p>
          <w:p w14:paraId="7BA29BAE" w14:textId="77777777" w:rsidR="009659BA" w:rsidRDefault="009659BA" w:rsidP="009659BA">
            <w:pPr>
              <w:spacing w:after="0" w:line="276" w:lineRule="auto"/>
              <w:cnfStyle w:val="000000000000" w:firstRow="0" w:lastRow="0" w:firstColumn="0" w:lastColumn="0" w:oddVBand="0" w:evenVBand="0" w:oddHBand="0" w:evenHBand="0" w:firstRowFirstColumn="0" w:firstRowLastColumn="0" w:lastRowFirstColumn="0" w:lastRowLastColumn="0"/>
              <w:rPr>
                <w:rFonts w:cstheme="minorHAnsi"/>
                <w:i/>
                <w:color w:val="545454" w:themeColor="text2" w:themeTint="BF"/>
                <w:sz w:val="20"/>
                <w:szCs w:val="20"/>
                <w:lang w:val="en-US" w:eastAsia="ja-JP"/>
              </w:rPr>
            </w:pPr>
          </w:p>
          <w:p w14:paraId="1FB5B75F" w14:textId="1902D182" w:rsidR="009659BA" w:rsidRPr="009659BA" w:rsidRDefault="009659BA" w:rsidP="009659BA">
            <w:pPr>
              <w:spacing w:after="0" w:line="276" w:lineRule="auto"/>
              <w:cnfStyle w:val="000000000000" w:firstRow="0" w:lastRow="0" w:firstColumn="0" w:lastColumn="0" w:oddVBand="0" w:evenVBand="0" w:oddHBand="0" w:evenHBand="0" w:firstRowFirstColumn="0" w:firstRowLastColumn="0" w:lastRowFirstColumn="0" w:lastRowLastColumn="0"/>
              <w:rPr>
                <w:rFonts w:cstheme="minorHAnsi"/>
                <w:i/>
                <w:color w:val="545454" w:themeColor="text2" w:themeTint="BF"/>
                <w:sz w:val="20"/>
                <w:szCs w:val="20"/>
                <w:lang w:val="en-US" w:eastAsia="ja-JP"/>
              </w:rPr>
            </w:pPr>
          </w:p>
        </w:tc>
      </w:tr>
      <w:bookmarkEnd w:id="0"/>
      <w:tr w:rsidR="00C8057F" w:rsidRPr="00AD43B3" w14:paraId="5701204F" w14:textId="77777777" w:rsidTr="00DF3B3B">
        <w:trPr>
          <w:trHeight w:val="1696"/>
        </w:trPr>
        <w:tc>
          <w:tcPr>
            <w:cnfStyle w:val="001000000000" w:firstRow="0" w:lastRow="0" w:firstColumn="1" w:lastColumn="0" w:oddVBand="0" w:evenVBand="0" w:oddHBand="0" w:evenHBand="0" w:firstRowFirstColumn="0" w:firstRowLastColumn="0" w:lastRowFirstColumn="0" w:lastRowLastColumn="0"/>
            <w:tcW w:w="2547" w:type="dxa"/>
            <w:shd w:val="clear" w:color="auto" w:fill="FDFBDF" w:themeFill="accent4" w:themeFillTint="33"/>
          </w:tcPr>
          <w:p w14:paraId="531DD0F8" w14:textId="77777777" w:rsidR="00C8057F" w:rsidRPr="00AD43B3" w:rsidRDefault="00C8057F" w:rsidP="00C8057F">
            <w:pPr>
              <w:pStyle w:val="Tableheading"/>
              <w:framePr w:hSpace="0" w:wrap="auto" w:vAnchor="margin" w:hAnchor="text" w:xAlign="left" w:yAlign="inline"/>
              <w:rPr>
                <w:bCs/>
              </w:rPr>
            </w:pPr>
            <w:r w:rsidRPr="00AD43B3">
              <w:t>Incumbency</w:t>
            </w:r>
          </w:p>
          <w:p w14:paraId="539657B5" w14:textId="12F44071" w:rsidR="00C8057F" w:rsidRPr="00AD43B3" w:rsidRDefault="00C8057F" w:rsidP="00C8057F">
            <w:pPr>
              <w:rPr>
                <w:rFonts w:cstheme="minorHAnsi"/>
                <w:b/>
                <w:bCs/>
                <w:color w:val="404040" w:themeColor="text1" w:themeTint="BF"/>
                <w:sz w:val="20"/>
                <w:szCs w:val="20"/>
              </w:rPr>
            </w:pPr>
          </w:p>
        </w:tc>
        <w:tc>
          <w:tcPr>
            <w:tcW w:w="8081" w:type="dxa"/>
          </w:tcPr>
          <w:p w14:paraId="4ACA43AF" w14:textId="77777777" w:rsidR="00C8057F" w:rsidRPr="00B330CF" w:rsidRDefault="00C8057F" w:rsidP="00C8057F">
            <w:pPr>
              <w:pStyle w:val="ListParagraph"/>
              <w:numPr>
                <w:ilvl w:val="0"/>
                <w:numId w:val="14"/>
              </w:numPr>
              <w:spacing w:after="0" w:line="276" w:lineRule="auto"/>
              <w:cnfStyle w:val="000000000000" w:firstRow="0" w:lastRow="0" w:firstColumn="0" w:lastColumn="0" w:oddVBand="0" w:evenVBand="0" w:oddHBand="0" w:evenHBand="0" w:firstRowFirstColumn="0" w:firstRowLastColumn="0" w:lastRowFirstColumn="0" w:lastRowLastColumn="0"/>
              <w:rPr>
                <w:rFonts w:cstheme="minorHAnsi"/>
                <w:i/>
                <w:color w:val="545454" w:themeColor="text2" w:themeTint="BF"/>
                <w:sz w:val="20"/>
                <w:szCs w:val="20"/>
                <w:lang w:val="en-US" w:eastAsia="ja-JP"/>
              </w:rPr>
            </w:pPr>
            <w:r w:rsidRPr="00B330CF">
              <w:rPr>
                <w:rFonts w:cstheme="minorHAnsi"/>
                <w:i/>
                <w:color w:val="545454" w:themeColor="text2" w:themeTint="BF"/>
                <w:sz w:val="20"/>
                <w:szCs w:val="20"/>
                <w:lang w:val="en-US" w:eastAsia="ja-JP"/>
              </w:rPr>
              <w:t>Are there any incumbency risks associated with this procurement process?</w:t>
            </w:r>
          </w:p>
          <w:p w14:paraId="4C937F78" w14:textId="77777777" w:rsidR="00C8057F" w:rsidRPr="00B330CF" w:rsidRDefault="00C8057F" w:rsidP="00C8057F">
            <w:pPr>
              <w:pStyle w:val="ListParagraph"/>
              <w:numPr>
                <w:ilvl w:val="0"/>
                <w:numId w:val="14"/>
              </w:numPr>
              <w:spacing w:after="0" w:line="276" w:lineRule="auto"/>
              <w:cnfStyle w:val="000000000000" w:firstRow="0" w:lastRow="0" w:firstColumn="0" w:lastColumn="0" w:oddVBand="0" w:evenVBand="0" w:oddHBand="0" w:evenHBand="0" w:firstRowFirstColumn="0" w:firstRowLastColumn="0" w:lastRowFirstColumn="0" w:lastRowLastColumn="0"/>
              <w:rPr>
                <w:rFonts w:cstheme="minorHAnsi"/>
                <w:i/>
                <w:color w:val="545454" w:themeColor="text2" w:themeTint="BF"/>
                <w:sz w:val="20"/>
                <w:szCs w:val="20"/>
                <w:lang w:val="en-US" w:eastAsia="ja-JP"/>
              </w:rPr>
            </w:pPr>
            <w:r>
              <w:rPr>
                <w:rFonts w:cstheme="minorHAnsi"/>
                <w:i/>
                <w:color w:val="545454" w:themeColor="text2" w:themeTint="BF"/>
                <w:sz w:val="20"/>
                <w:szCs w:val="20"/>
                <w:lang w:val="en-US" w:eastAsia="ja-JP"/>
              </w:rPr>
              <w:t>If this procurement replaces an existing contract for the same or similar services, w</w:t>
            </w:r>
            <w:r w:rsidRPr="00B330CF">
              <w:rPr>
                <w:rFonts w:cstheme="minorHAnsi"/>
                <w:i/>
                <w:color w:val="545454" w:themeColor="text2" w:themeTint="BF"/>
                <w:sz w:val="20"/>
                <w:szCs w:val="20"/>
                <w:lang w:val="en-US" w:eastAsia="ja-JP"/>
              </w:rPr>
              <w:t xml:space="preserve">ill you only be approaching the incumbent for the new consultancy service? </w:t>
            </w:r>
          </w:p>
          <w:p w14:paraId="324D3543" w14:textId="17F6F81E" w:rsidR="00C8057F" w:rsidRPr="00AD43B3" w:rsidRDefault="00C8057F" w:rsidP="00C8057F">
            <w:pPr>
              <w:pStyle w:val="Default"/>
              <w:numPr>
                <w:ilvl w:val="1"/>
                <w:numId w:val="12"/>
              </w:numPr>
              <w:spacing w:line="276" w:lineRule="auto"/>
              <w:ind w:left="7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808080" w:themeColor="background1" w:themeShade="80"/>
                <w:sz w:val="20"/>
                <w:szCs w:val="20"/>
                <w:lang w:val="en-US" w:eastAsia="ja-JP"/>
              </w:rPr>
            </w:pPr>
            <w:r w:rsidRPr="0057691E">
              <w:rPr>
                <w:rFonts w:asciiTheme="minorHAnsi" w:eastAsiaTheme="minorHAnsi" w:hAnsiTheme="minorHAnsi" w:cstheme="minorHAnsi"/>
                <w:i/>
                <w:color w:val="545454" w:themeColor="text2" w:themeTint="BF"/>
                <w:kern w:val="2"/>
                <w:sz w:val="20"/>
                <w:szCs w:val="20"/>
                <w:lang w:val="en-US" w:eastAsia="ja-JP"/>
                <w14:ligatures w14:val="standardContextual"/>
              </w:rPr>
              <w:t>If yes, describe what the incumbency risks are, why you can only procure the services from the incumbent and how these risks are being managed?</w:t>
            </w:r>
            <w:r w:rsidR="007303E1">
              <w:rPr>
                <w:rFonts w:asciiTheme="minorHAnsi" w:eastAsiaTheme="minorHAnsi" w:hAnsiTheme="minorHAnsi" w:cstheme="minorHAnsi"/>
                <w:i/>
                <w:color w:val="545454" w:themeColor="text2" w:themeTint="BF"/>
                <w:kern w:val="2"/>
                <w:sz w:val="20"/>
                <w:szCs w:val="20"/>
                <w:lang w:val="en-US" w:eastAsia="ja-JP"/>
                <w14:ligatures w14:val="standardContextual"/>
              </w:rPr>
              <w:br/>
            </w:r>
            <w:r w:rsidR="007303E1">
              <w:rPr>
                <w:rFonts w:asciiTheme="minorHAnsi" w:eastAsiaTheme="minorHAnsi" w:hAnsiTheme="minorHAnsi" w:cstheme="minorHAnsi"/>
                <w:i/>
                <w:color w:val="545454" w:themeColor="text2" w:themeTint="BF"/>
                <w:kern w:val="2"/>
                <w:sz w:val="20"/>
                <w:szCs w:val="20"/>
                <w:lang w:val="en-US" w:eastAsia="ja-JP"/>
                <w14:ligatures w14:val="standardContextual"/>
              </w:rPr>
              <w:br/>
            </w:r>
            <w:r w:rsidR="007303E1">
              <w:rPr>
                <w:rFonts w:asciiTheme="minorHAnsi" w:eastAsiaTheme="minorHAnsi" w:hAnsiTheme="minorHAnsi" w:cstheme="minorHAnsi"/>
                <w:i/>
                <w:color w:val="545454" w:themeColor="text2" w:themeTint="BF"/>
                <w:kern w:val="2"/>
                <w:sz w:val="20"/>
                <w:szCs w:val="20"/>
                <w:lang w:val="en-US" w:eastAsia="ja-JP"/>
                <w14:ligatures w14:val="standardContextual"/>
              </w:rPr>
              <w:br/>
            </w:r>
            <w:r w:rsidR="00CA68A4">
              <w:rPr>
                <w:rFonts w:asciiTheme="minorHAnsi" w:eastAsiaTheme="minorHAnsi" w:hAnsiTheme="minorHAnsi" w:cstheme="minorHAnsi"/>
                <w:i/>
                <w:color w:val="545454" w:themeColor="text2" w:themeTint="BF"/>
                <w:kern w:val="2"/>
                <w:sz w:val="20"/>
                <w:szCs w:val="20"/>
                <w:lang w:val="en-US" w:eastAsia="ja-JP"/>
                <w14:ligatures w14:val="standardContextual"/>
              </w:rPr>
              <w:br/>
            </w:r>
            <w:r w:rsidR="007303E1">
              <w:rPr>
                <w:rFonts w:asciiTheme="minorHAnsi" w:eastAsiaTheme="minorHAnsi" w:hAnsiTheme="minorHAnsi" w:cstheme="minorHAnsi"/>
                <w:i/>
                <w:color w:val="545454" w:themeColor="text2" w:themeTint="BF"/>
                <w:kern w:val="2"/>
                <w:sz w:val="20"/>
                <w:szCs w:val="20"/>
                <w:lang w:val="en-US" w:eastAsia="ja-JP"/>
                <w14:ligatures w14:val="standardContextual"/>
              </w:rPr>
              <w:br/>
            </w:r>
            <w:r w:rsidR="007303E1">
              <w:rPr>
                <w:rFonts w:asciiTheme="minorHAnsi" w:eastAsiaTheme="minorHAnsi" w:hAnsiTheme="minorHAnsi" w:cstheme="minorHAnsi"/>
                <w:i/>
                <w:color w:val="545454" w:themeColor="text2" w:themeTint="BF"/>
                <w:kern w:val="2"/>
                <w:sz w:val="20"/>
                <w:szCs w:val="20"/>
                <w:lang w:val="en-US" w:eastAsia="ja-JP"/>
                <w14:ligatures w14:val="standardContextual"/>
              </w:rPr>
              <w:br/>
            </w:r>
            <w:r w:rsidR="007303E1">
              <w:rPr>
                <w:rFonts w:asciiTheme="minorHAnsi" w:eastAsiaTheme="minorHAnsi" w:hAnsiTheme="minorHAnsi" w:cstheme="minorHAnsi"/>
                <w:i/>
                <w:color w:val="545454" w:themeColor="text2" w:themeTint="BF"/>
                <w:kern w:val="2"/>
                <w:sz w:val="20"/>
                <w:szCs w:val="20"/>
                <w:lang w:val="en-US" w:eastAsia="ja-JP"/>
                <w14:ligatures w14:val="standardContextual"/>
              </w:rPr>
              <w:br/>
            </w:r>
            <w:r w:rsidR="00BC75D7">
              <w:rPr>
                <w:rFonts w:asciiTheme="minorHAnsi" w:eastAsiaTheme="minorHAnsi" w:hAnsiTheme="minorHAnsi" w:cstheme="minorHAnsi"/>
                <w:i/>
                <w:iCs/>
                <w:color w:val="545454" w:themeColor="text2" w:themeTint="BF"/>
                <w:kern w:val="2"/>
                <w:sz w:val="20"/>
                <w:szCs w:val="20"/>
                <w:lang w:eastAsia="en-US"/>
                <w14:ligatures w14:val="standardContextual"/>
              </w:rPr>
              <w:br/>
            </w:r>
          </w:p>
        </w:tc>
      </w:tr>
      <w:tr w:rsidR="003B66A4" w:rsidRPr="00AD43B3" w14:paraId="477B529D" w14:textId="77777777" w:rsidTr="00DF3B3B">
        <w:trPr>
          <w:trHeight w:val="1701"/>
        </w:trPr>
        <w:tc>
          <w:tcPr>
            <w:cnfStyle w:val="001000000000" w:firstRow="0" w:lastRow="0" w:firstColumn="1" w:lastColumn="0" w:oddVBand="0" w:evenVBand="0" w:oddHBand="0" w:evenHBand="0" w:firstRowFirstColumn="0" w:firstRowLastColumn="0" w:lastRowFirstColumn="0" w:lastRowLastColumn="0"/>
            <w:tcW w:w="2547" w:type="dxa"/>
            <w:shd w:val="clear" w:color="auto" w:fill="FDFBDF" w:themeFill="accent4" w:themeFillTint="33"/>
          </w:tcPr>
          <w:p w14:paraId="219ED11A" w14:textId="37834BCC" w:rsidR="00AD43B3" w:rsidRPr="00134A36" w:rsidRDefault="00C42531">
            <w:pPr>
              <w:pStyle w:val="Tableheading"/>
              <w:framePr w:hSpace="0" w:wrap="auto" w:vAnchor="margin" w:hAnchor="text" w:xAlign="left" w:yAlign="inline"/>
              <w:rPr>
                <w:bCs/>
              </w:rPr>
            </w:pPr>
            <w:r>
              <w:t>Contract Option</w:t>
            </w:r>
            <w:r w:rsidR="00244697">
              <w:t>s</w:t>
            </w:r>
            <w:r>
              <w:t xml:space="preserve"> </w:t>
            </w:r>
            <w:r w:rsidR="004C33E1">
              <w:t>–</w:t>
            </w:r>
            <w:r w:rsidR="00AD43B3" w:rsidRPr="00AD43B3">
              <w:rPr>
                <w:u w:val="single"/>
              </w:rPr>
              <w:t xml:space="preserve"> </w:t>
            </w:r>
            <w:r w:rsidR="004C33E1">
              <w:rPr>
                <w:i/>
                <w:iCs/>
                <w:u w:val="single"/>
              </w:rPr>
              <w:t>i</w:t>
            </w:r>
            <w:r w:rsidR="00AD43B3" w:rsidRPr="00AD43B3">
              <w:rPr>
                <w:i/>
                <w:iCs/>
                <w:u w:val="single"/>
              </w:rPr>
              <w:t>ncluded</w:t>
            </w:r>
            <w:r w:rsidR="00AD43B3" w:rsidRPr="00AD43B3">
              <w:t xml:space="preserve"> </w:t>
            </w:r>
            <w:r w:rsidR="00D9432F">
              <w:t>in</w:t>
            </w:r>
            <w:r w:rsidR="00AD43B3" w:rsidRPr="00AD43B3">
              <w:t xml:space="preserve"> the original approach to market</w:t>
            </w:r>
            <w:r w:rsidR="00DF1772">
              <w:t xml:space="preserve"> and contract</w:t>
            </w:r>
          </w:p>
          <w:p w14:paraId="51C63FC6" w14:textId="72CC214A" w:rsidR="00AD43B3" w:rsidRPr="00AD43B3" w:rsidRDefault="00AD43B3" w:rsidP="00955889">
            <w:pPr>
              <w:rPr>
                <w:rFonts w:cstheme="minorHAnsi"/>
                <w:b/>
                <w:bCs/>
                <w:color w:val="404040" w:themeColor="text1" w:themeTint="BF"/>
                <w:sz w:val="20"/>
                <w:szCs w:val="20"/>
              </w:rPr>
            </w:pPr>
          </w:p>
        </w:tc>
        <w:tc>
          <w:tcPr>
            <w:tcW w:w="8081" w:type="dxa"/>
          </w:tcPr>
          <w:p w14:paraId="73A24BA0" w14:textId="61C1A924" w:rsidR="00914839" w:rsidRDefault="00914839" w:rsidP="00987AD9">
            <w:pPr>
              <w:pStyle w:val="ListParagraph"/>
              <w:numPr>
                <w:ilvl w:val="0"/>
                <w:numId w:val="13"/>
              </w:numPr>
              <w:spacing w:after="0" w:line="276" w:lineRule="auto"/>
              <w:ind w:left="347"/>
              <w:cnfStyle w:val="000000000000" w:firstRow="0" w:lastRow="0" w:firstColumn="0" w:lastColumn="0" w:oddVBand="0" w:evenVBand="0" w:oddHBand="0" w:evenHBand="0" w:firstRowFirstColumn="0" w:firstRowLastColumn="0" w:lastRowFirstColumn="0" w:lastRowLastColumn="0"/>
              <w:rPr>
                <w:rFonts w:cstheme="minorHAnsi"/>
                <w:i/>
                <w:iCs/>
                <w:color w:val="545454" w:themeColor="text2" w:themeTint="BF"/>
                <w:sz w:val="20"/>
                <w:szCs w:val="20"/>
              </w:rPr>
            </w:pPr>
            <w:r>
              <w:rPr>
                <w:rFonts w:cstheme="minorHAnsi"/>
                <w:i/>
                <w:iCs/>
                <w:color w:val="545454" w:themeColor="text2" w:themeTint="BF"/>
                <w:sz w:val="20"/>
                <w:szCs w:val="20"/>
              </w:rPr>
              <w:t xml:space="preserve">This question is only applicable for </w:t>
            </w:r>
            <w:r w:rsidR="0051574A">
              <w:rPr>
                <w:rFonts w:cstheme="minorHAnsi"/>
                <w:i/>
                <w:iCs/>
                <w:color w:val="545454" w:themeColor="text2" w:themeTint="BF"/>
                <w:sz w:val="20"/>
                <w:szCs w:val="20"/>
              </w:rPr>
              <w:t>contracts</w:t>
            </w:r>
            <w:r w:rsidR="0040229D">
              <w:rPr>
                <w:rFonts w:cstheme="minorHAnsi"/>
                <w:i/>
                <w:iCs/>
                <w:color w:val="545454" w:themeColor="text2" w:themeTint="BF"/>
                <w:sz w:val="20"/>
                <w:szCs w:val="20"/>
              </w:rPr>
              <w:t xml:space="preserve"> that include planned contract provisions</w:t>
            </w:r>
            <w:r w:rsidR="008E72FB">
              <w:rPr>
                <w:rFonts w:cstheme="minorHAnsi"/>
                <w:i/>
                <w:iCs/>
                <w:color w:val="545454" w:themeColor="text2" w:themeTint="BF"/>
                <w:sz w:val="20"/>
                <w:szCs w:val="20"/>
              </w:rPr>
              <w:t xml:space="preserve"> allowing an entity</w:t>
            </w:r>
            <w:r w:rsidR="00E3058B">
              <w:rPr>
                <w:rFonts w:cstheme="minorHAnsi"/>
                <w:i/>
                <w:iCs/>
                <w:color w:val="545454" w:themeColor="text2" w:themeTint="BF"/>
                <w:sz w:val="20"/>
                <w:szCs w:val="20"/>
              </w:rPr>
              <w:t xml:space="preserve"> </w:t>
            </w:r>
            <w:r w:rsidR="007D01A0">
              <w:rPr>
                <w:rFonts w:cstheme="minorHAnsi"/>
                <w:i/>
                <w:iCs/>
                <w:color w:val="545454" w:themeColor="text2" w:themeTint="BF"/>
                <w:sz w:val="20"/>
                <w:szCs w:val="20"/>
              </w:rPr>
              <w:t>to exercise an option, such as buy</w:t>
            </w:r>
            <w:r w:rsidR="00DD66E1">
              <w:rPr>
                <w:rFonts w:cstheme="minorHAnsi"/>
                <w:i/>
                <w:iCs/>
                <w:color w:val="545454" w:themeColor="text2" w:themeTint="BF"/>
                <w:sz w:val="20"/>
                <w:szCs w:val="20"/>
              </w:rPr>
              <w:t xml:space="preserve"> additional quantities </w:t>
            </w:r>
            <w:r w:rsidR="00496094">
              <w:rPr>
                <w:rFonts w:cstheme="minorHAnsi"/>
                <w:i/>
                <w:iCs/>
                <w:color w:val="545454" w:themeColor="text2" w:themeTint="BF"/>
                <w:sz w:val="20"/>
                <w:szCs w:val="20"/>
              </w:rPr>
              <w:t xml:space="preserve">of the goods or </w:t>
            </w:r>
            <w:proofErr w:type="gramStart"/>
            <w:r w:rsidR="00496094">
              <w:rPr>
                <w:rFonts w:cstheme="minorHAnsi"/>
                <w:i/>
                <w:iCs/>
                <w:color w:val="545454" w:themeColor="text2" w:themeTint="BF"/>
                <w:sz w:val="20"/>
                <w:szCs w:val="20"/>
              </w:rPr>
              <w:t>particular ‘extra’</w:t>
            </w:r>
            <w:proofErr w:type="gramEnd"/>
            <w:r w:rsidR="00496094">
              <w:rPr>
                <w:rFonts w:cstheme="minorHAnsi"/>
                <w:i/>
                <w:iCs/>
                <w:color w:val="545454" w:themeColor="text2" w:themeTint="BF"/>
                <w:sz w:val="20"/>
                <w:szCs w:val="20"/>
              </w:rPr>
              <w:t xml:space="preserve"> items or to extend the contract under pre-agreed terms. These are</w:t>
            </w:r>
            <w:r w:rsidR="0053697B" w:rsidRPr="0053697B">
              <w:rPr>
                <w:rFonts w:eastAsiaTheme="minorEastAsia"/>
                <w:kern w:val="0"/>
                <w:sz w:val="22"/>
                <w:szCs w:val="22"/>
                <w:lang w:eastAsia="ja-JP"/>
                <w14:ligatures w14:val="none"/>
              </w:rPr>
              <w:t xml:space="preserve"> </w:t>
            </w:r>
            <w:r w:rsidR="0053697B" w:rsidRPr="0053697B">
              <w:rPr>
                <w:rFonts w:cstheme="minorHAnsi"/>
                <w:i/>
                <w:iCs/>
                <w:color w:val="545454" w:themeColor="text2" w:themeTint="BF"/>
                <w:sz w:val="20"/>
                <w:szCs w:val="20"/>
              </w:rPr>
              <w:t>typically considered within the scope of the original procurement process and included in the initial approach to market and contract</w:t>
            </w:r>
            <w:r w:rsidR="00DF1772">
              <w:rPr>
                <w:rFonts w:cstheme="minorHAnsi"/>
                <w:i/>
                <w:iCs/>
                <w:color w:val="545454" w:themeColor="text2" w:themeTint="BF"/>
                <w:sz w:val="20"/>
                <w:szCs w:val="20"/>
              </w:rPr>
              <w:t>.</w:t>
            </w:r>
          </w:p>
          <w:p w14:paraId="5AD00762" w14:textId="775CB5AC" w:rsidR="00AD43B3" w:rsidRPr="001E243D" w:rsidRDefault="00543B22" w:rsidP="00987AD9">
            <w:pPr>
              <w:pStyle w:val="ListParagraph"/>
              <w:numPr>
                <w:ilvl w:val="1"/>
                <w:numId w:val="13"/>
              </w:numPr>
              <w:spacing w:after="0" w:line="276" w:lineRule="auto"/>
              <w:ind w:left="772"/>
              <w:cnfStyle w:val="000000000000" w:firstRow="0" w:lastRow="0" w:firstColumn="0" w:lastColumn="0" w:oddVBand="0" w:evenVBand="0" w:oddHBand="0" w:evenHBand="0" w:firstRowFirstColumn="0" w:firstRowLastColumn="0" w:lastRowFirstColumn="0" w:lastRowLastColumn="0"/>
              <w:rPr>
                <w:rFonts w:cstheme="minorHAnsi"/>
                <w:i/>
                <w:iCs/>
                <w:color w:val="545454" w:themeColor="text2" w:themeTint="BF"/>
                <w:sz w:val="20"/>
                <w:szCs w:val="20"/>
              </w:rPr>
            </w:pPr>
            <w:r>
              <w:rPr>
                <w:rFonts w:cstheme="minorHAnsi"/>
                <w:i/>
                <w:iCs/>
                <w:color w:val="545454" w:themeColor="text2" w:themeTint="BF"/>
                <w:sz w:val="20"/>
                <w:szCs w:val="20"/>
              </w:rPr>
              <w:t>It is recommended that you document the</w:t>
            </w:r>
            <w:r w:rsidR="00AD43B3" w:rsidRPr="001E243D">
              <w:rPr>
                <w:rFonts w:cstheme="minorHAnsi"/>
                <w:i/>
                <w:iCs/>
                <w:color w:val="545454" w:themeColor="text2" w:themeTint="BF"/>
                <w:sz w:val="20"/>
                <w:szCs w:val="20"/>
              </w:rPr>
              <w:t xml:space="preserve"> details of:</w:t>
            </w:r>
          </w:p>
          <w:p w14:paraId="78351A5B" w14:textId="06CFA3D5" w:rsidR="00AD43B3" w:rsidRPr="001E243D" w:rsidRDefault="006177FF" w:rsidP="00987AD9">
            <w:pPr>
              <w:pStyle w:val="ListParagraph"/>
              <w:numPr>
                <w:ilvl w:val="2"/>
                <w:numId w:val="13"/>
              </w:numPr>
              <w:spacing w:after="0" w:line="276" w:lineRule="auto"/>
              <w:ind w:left="1197"/>
              <w:cnfStyle w:val="000000000000" w:firstRow="0" w:lastRow="0" w:firstColumn="0" w:lastColumn="0" w:oddVBand="0" w:evenVBand="0" w:oddHBand="0" w:evenHBand="0" w:firstRowFirstColumn="0" w:firstRowLastColumn="0" w:lastRowFirstColumn="0" w:lastRowLastColumn="0"/>
              <w:rPr>
                <w:rFonts w:cstheme="minorHAnsi"/>
                <w:i/>
                <w:iCs/>
                <w:color w:val="545454" w:themeColor="text2" w:themeTint="BF"/>
                <w:sz w:val="20"/>
                <w:szCs w:val="20"/>
              </w:rPr>
            </w:pPr>
            <w:r>
              <w:rPr>
                <w:rFonts w:cstheme="minorHAnsi"/>
                <w:i/>
                <w:iCs/>
                <w:color w:val="545454" w:themeColor="text2" w:themeTint="BF"/>
                <w:sz w:val="20"/>
                <w:szCs w:val="20"/>
              </w:rPr>
              <w:t>What are the additional</w:t>
            </w:r>
            <w:r w:rsidR="00AD43B3" w:rsidRPr="001E243D">
              <w:rPr>
                <w:rFonts w:cstheme="minorHAnsi"/>
                <w:i/>
                <w:iCs/>
                <w:color w:val="545454" w:themeColor="text2" w:themeTint="BF"/>
                <w:sz w:val="20"/>
                <w:szCs w:val="20"/>
              </w:rPr>
              <w:t xml:space="preserve"> services being provided?</w:t>
            </w:r>
          </w:p>
          <w:p w14:paraId="28410826" w14:textId="4C2EBB22" w:rsidR="00AD43B3" w:rsidRPr="001E243D" w:rsidRDefault="007B1D84" w:rsidP="00987AD9">
            <w:pPr>
              <w:pStyle w:val="ListParagraph"/>
              <w:numPr>
                <w:ilvl w:val="2"/>
                <w:numId w:val="13"/>
              </w:numPr>
              <w:spacing w:after="0" w:line="276" w:lineRule="auto"/>
              <w:ind w:left="1197"/>
              <w:cnfStyle w:val="000000000000" w:firstRow="0" w:lastRow="0" w:firstColumn="0" w:lastColumn="0" w:oddVBand="0" w:evenVBand="0" w:oddHBand="0" w:evenHBand="0" w:firstRowFirstColumn="0" w:firstRowLastColumn="0" w:lastRowFirstColumn="0" w:lastRowLastColumn="0"/>
              <w:rPr>
                <w:rFonts w:cstheme="minorHAnsi"/>
                <w:i/>
                <w:iCs/>
                <w:color w:val="545454" w:themeColor="text2" w:themeTint="BF"/>
                <w:sz w:val="20"/>
                <w:szCs w:val="20"/>
              </w:rPr>
            </w:pPr>
            <w:r>
              <w:rPr>
                <w:rFonts w:cstheme="minorHAnsi"/>
                <w:i/>
                <w:iCs/>
                <w:color w:val="545454" w:themeColor="text2" w:themeTint="BF"/>
                <w:sz w:val="20"/>
                <w:szCs w:val="20"/>
              </w:rPr>
              <w:t xml:space="preserve">How </w:t>
            </w:r>
            <w:r w:rsidR="00887864">
              <w:rPr>
                <w:rFonts w:cstheme="minorHAnsi"/>
                <w:i/>
                <w:iCs/>
                <w:color w:val="545454" w:themeColor="text2" w:themeTint="BF"/>
                <w:sz w:val="20"/>
                <w:szCs w:val="20"/>
              </w:rPr>
              <w:t xml:space="preserve">has supplier </w:t>
            </w:r>
            <w:r w:rsidR="00AD43B3" w:rsidRPr="001E243D">
              <w:rPr>
                <w:rFonts w:cstheme="minorHAnsi"/>
                <w:i/>
                <w:iCs/>
                <w:color w:val="545454" w:themeColor="text2" w:themeTint="BF"/>
                <w:sz w:val="20"/>
                <w:szCs w:val="20"/>
              </w:rPr>
              <w:t xml:space="preserve">performance </w:t>
            </w:r>
            <w:r w:rsidR="00887864">
              <w:rPr>
                <w:rFonts w:cstheme="minorHAnsi"/>
                <w:i/>
                <w:iCs/>
                <w:color w:val="545454" w:themeColor="text2" w:themeTint="BF"/>
                <w:sz w:val="20"/>
                <w:szCs w:val="20"/>
              </w:rPr>
              <w:t>tracked to</w:t>
            </w:r>
            <w:r w:rsidR="00AD43B3" w:rsidRPr="001E243D">
              <w:rPr>
                <w:rFonts w:cstheme="minorHAnsi"/>
                <w:i/>
                <w:iCs/>
                <w:color w:val="545454" w:themeColor="text2" w:themeTint="BF"/>
                <w:sz w:val="20"/>
                <w:szCs w:val="20"/>
              </w:rPr>
              <w:t xml:space="preserve"> date?</w:t>
            </w:r>
          </w:p>
          <w:p w14:paraId="6625F6C0" w14:textId="732FB14A" w:rsidR="009659BA" w:rsidRDefault="00AD43B3" w:rsidP="00987AD9">
            <w:pPr>
              <w:pStyle w:val="ListParagraph"/>
              <w:numPr>
                <w:ilvl w:val="2"/>
                <w:numId w:val="13"/>
              </w:numPr>
              <w:spacing w:after="0" w:line="276" w:lineRule="auto"/>
              <w:ind w:left="1197"/>
              <w:cnfStyle w:val="000000000000" w:firstRow="0" w:lastRow="0" w:firstColumn="0" w:lastColumn="0" w:oddVBand="0" w:evenVBand="0" w:oddHBand="0" w:evenHBand="0" w:firstRowFirstColumn="0" w:firstRowLastColumn="0" w:lastRowFirstColumn="0" w:lastRowLastColumn="0"/>
              <w:rPr>
                <w:rFonts w:cstheme="minorHAnsi"/>
                <w:i/>
                <w:iCs/>
                <w:color w:val="545454" w:themeColor="text2" w:themeTint="BF"/>
                <w:sz w:val="20"/>
                <w:szCs w:val="20"/>
              </w:rPr>
            </w:pPr>
            <w:r w:rsidRPr="001E243D">
              <w:rPr>
                <w:rFonts w:cstheme="minorHAnsi"/>
                <w:i/>
                <w:iCs/>
                <w:color w:val="545454" w:themeColor="text2" w:themeTint="BF"/>
                <w:sz w:val="20"/>
                <w:szCs w:val="20"/>
              </w:rPr>
              <w:t xml:space="preserve">How </w:t>
            </w:r>
            <w:r w:rsidR="00170DF8">
              <w:rPr>
                <w:rFonts w:cstheme="minorHAnsi"/>
                <w:i/>
                <w:iCs/>
                <w:color w:val="545454" w:themeColor="text2" w:themeTint="BF"/>
                <w:sz w:val="20"/>
                <w:szCs w:val="20"/>
              </w:rPr>
              <w:t>exercising</w:t>
            </w:r>
            <w:r w:rsidR="00910346">
              <w:rPr>
                <w:rFonts w:cstheme="minorHAnsi"/>
                <w:i/>
                <w:iCs/>
                <w:color w:val="545454" w:themeColor="text2" w:themeTint="BF"/>
                <w:sz w:val="20"/>
                <w:szCs w:val="20"/>
              </w:rPr>
              <w:t xml:space="preserve"> the option </w:t>
            </w:r>
            <w:r w:rsidRPr="001E243D">
              <w:rPr>
                <w:rFonts w:cstheme="minorHAnsi"/>
                <w:i/>
                <w:iCs/>
                <w:color w:val="545454" w:themeColor="text2" w:themeTint="BF"/>
                <w:sz w:val="20"/>
                <w:szCs w:val="20"/>
              </w:rPr>
              <w:t>continues to represent value for money</w:t>
            </w:r>
            <w:r w:rsidR="009F77E3">
              <w:rPr>
                <w:rFonts w:cstheme="minorHAnsi"/>
                <w:i/>
                <w:iCs/>
                <w:color w:val="545454" w:themeColor="text2" w:themeTint="BF"/>
                <w:sz w:val="20"/>
                <w:szCs w:val="20"/>
              </w:rPr>
              <w:t>.</w:t>
            </w:r>
            <w:r w:rsidR="004F5438">
              <w:rPr>
                <w:rFonts w:cstheme="minorHAnsi"/>
                <w:i/>
                <w:iCs/>
                <w:color w:val="545454" w:themeColor="text2" w:themeTint="BF"/>
                <w:sz w:val="20"/>
                <w:szCs w:val="20"/>
              </w:rPr>
              <w:br/>
            </w:r>
            <w:r w:rsidR="004F5438">
              <w:rPr>
                <w:rFonts w:cstheme="minorHAnsi"/>
                <w:i/>
                <w:iCs/>
                <w:color w:val="545454" w:themeColor="text2" w:themeTint="BF"/>
                <w:sz w:val="20"/>
                <w:szCs w:val="20"/>
              </w:rPr>
              <w:br/>
            </w:r>
            <w:r w:rsidR="004F5438">
              <w:rPr>
                <w:rFonts w:cstheme="minorHAnsi"/>
                <w:i/>
                <w:iCs/>
                <w:color w:val="545454" w:themeColor="text2" w:themeTint="BF"/>
                <w:sz w:val="20"/>
                <w:szCs w:val="20"/>
              </w:rPr>
              <w:br/>
            </w:r>
            <w:r w:rsidR="004F5438">
              <w:rPr>
                <w:rFonts w:cstheme="minorHAnsi"/>
                <w:i/>
                <w:iCs/>
                <w:color w:val="545454" w:themeColor="text2" w:themeTint="BF"/>
                <w:sz w:val="20"/>
                <w:szCs w:val="20"/>
              </w:rPr>
              <w:br/>
            </w:r>
            <w:r w:rsidR="004F5438">
              <w:rPr>
                <w:rFonts w:cstheme="minorHAnsi"/>
                <w:i/>
                <w:iCs/>
                <w:color w:val="545454" w:themeColor="text2" w:themeTint="BF"/>
                <w:sz w:val="20"/>
                <w:szCs w:val="20"/>
              </w:rPr>
              <w:br/>
            </w:r>
            <w:r w:rsidR="00BC75D7">
              <w:rPr>
                <w:rFonts w:cstheme="minorHAnsi"/>
                <w:i/>
                <w:iCs/>
                <w:color w:val="545454" w:themeColor="text2" w:themeTint="BF"/>
                <w:sz w:val="20"/>
                <w:szCs w:val="20"/>
              </w:rPr>
              <w:br/>
            </w:r>
          </w:p>
          <w:p w14:paraId="61E273A4" w14:textId="62AB7149" w:rsidR="00AD43B3" w:rsidRPr="009659BA" w:rsidRDefault="00BC75D7" w:rsidP="009659BA">
            <w:pPr>
              <w:spacing w:after="0" w:line="276" w:lineRule="auto"/>
              <w:cnfStyle w:val="000000000000" w:firstRow="0" w:lastRow="0" w:firstColumn="0" w:lastColumn="0" w:oddVBand="0" w:evenVBand="0" w:oddHBand="0" w:evenHBand="0" w:firstRowFirstColumn="0" w:firstRowLastColumn="0" w:lastRowFirstColumn="0" w:lastRowLastColumn="0"/>
              <w:rPr>
                <w:rFonts w:cstheme="minorHAnsi"/>
                <w:i/>
                <w:iCs/>
                <w:color w:val="545454" w:themeColor="text2" w:themeTint="BF"/>
                <w:sz w:val="20"/>
                <w:szCs w:val="20"/>
              </w:rPr>
            </w:pPr>
            <w:r w:rsidRPr="009659BA">
              <w:rPr>
                <w:rFonts w:cstheme="minorHAnsi"/>
                <w:i/>
                <w:iCs/>
                <w:color w:val="545454" w:themeColor="text2" w:themeTint="BF"/>
                <w:sz w:val="20"/>
                <w:szCs w:val="20"/>
              </w:rPr>
              <w:br/>
            </w:r>
            <w:r w:rsidR="004F5438" w:rsidRPr="009659BA">
              <w:rPr>
                <w:rFonts w:cstheme="minorHAnsi"/>
                <w:i/>
                <w:iCs/>
                <w:color w:val="545454" w:themeColor="text2" w:themeTint="BF"/>
                <w:sz w:val="20"/>
                <w:szCs w:val="20"/>
              </w:rPr>
              <w:br/>
            </w:r>
            <w:r w:rsidR="00913AC8" w:rsidRPr="009659BA">
              <w:rPr>
                <w:rFonts w:cstheme="minorHAnsi"/>
                <w:i/>
                <w:iCs/>
                <w:color w:val="545454" w:themeColor="text2" w:themeTint="BF"/>
                <w:sz w:val="20"/>
                <w:szCs w:val="20"/>
              </w:rPr>
              <w:lastRenderedPageBreak/>
              <w:br/>
            </w:r>
          </w:p>
        </w:tc>
      </w:tr>
      <w:tr w:rsidR="003B66A4" w:rsidRPr="00AD43B3" w14:paraId="1CAC7019" w14:textId="77777777" w:rsidTr="00DF3B3B">
        <w:trPr>
          <w:trHeight w:val="5443"/>
        </w:trPr>
        <w:tc>
          <w:tcPr>
            <w:cnfStyle w:val="001000000000" w:firstRow="0" w:lastRow="0" w:firstColumn="1" w:lastColumn="0" w:oddVBand="0" w:evenVBand="0" w:oddHBand="0" w:evenHBand="0" w:firstRowFirstColumn="0" w:firstRowLastColumn="0" w:lastRowFirstColumn="0" w:lastRowLastColumn="0"/>
            <w:tcW w:w="2547" w:type="dxa"/>
            <w:shd w:val="clear" w:color="auto" w:fill="FDFBDF" w:themeFill="accent4" w:themeFillTint="33"/>
          </w:tcPr>
          <w:p w14:paraId="36F165D3" w14:textId="0302A73A" w:rsidR="00AD43B3" w:rsidRPr="001E243D" w:rsidRDefault="00244697" w:rsidP="001E243D">
            <w:pPr>
              <w:pStyle w:val="Tableheading"/>
              <w:framePr w:hSpace="0" w:wrap="auto" w:vAnchor="margin" w:hAnchor="text" w:xAlign="left" w:yAlign="inline"/>
              <w:rPr>
                <w:bCs/>
              </w:rPr>
            </w:pPr>
            <w:r>
              <w:lastRenderedPageBreak/>
              <w:t xml:space="preserve">Contract </w:t>
            </w:r>
            <w:r w:rsidR="00AD43B3" w:rsidRPr="00AD43B3">
              <w:t>Variation</w:t>
            </w:r>
            <w:r w:rsidR="004C33E1">
              <w:t xml:space="preserve"> –</w:t>
            </w:r>
            <w:r w:rsidR="00AD43B3" w:rsidRPr="00AD43B3">
              <w:t xml:space="preserve"> </w:t>
            </w:r>
            <w:r w:rsidR="00AD43B3" w:rsidRPr="00AD43B3">
              <w:rPr>
                <w:i/>
                <w:iCs/>
              </w:rPr>
              <w:t>not included</w:t>
            </w:r>
            <w:r w:rsidR="00AD43B3" w:rsidRPr="00AD43B3">
              <w:t xml:space="preserve"> </w:t>
            </w:r>
            <w:r w:rsidR="00D9432F">
              <w:t xml:space="preserve">in </w:t>
            </w:r>
            <w:r w:rsidR="00AD43B3" w:rsidRPr="00AD43B3">
              <w:t>the original approach to market</w:t>
            </w:r>
            <w:r>
              <w:t xml:space="preserve"> or contract</w:t>
            </w:r>
            <w:r w:rsidR="00AD43B3" w:rsidRPr="00AD43B3">
              <w:t xml:space="preserve"> </w:t>
            </w:r>
          </w:p>
          <w:p w14:paraId="02B394F2" w14:textId="5D8ED554" w:rsidR="00AD43B3" w:rsidRPr="00AD43B3" w:rsidRDefault="00AD43B3" w:rsidP="00DC6A7E">
            <w:pPr>
              <w:rPr>
                <w:rFonts w:cstheme="minorHAnsi"/>
                <w:color w:val="404040" w:themeColor="text1" w:themeTint="BF"/>
                <w:sz w:val="20"/>
                <w:szCs w:val="20"/>
              </w:rPr>
            </w:pPr>
            <w:r w:rsidRPr="00AD43B3">
              <w:rPr>
                <w:rFonts w:cstheme="minorHAnsi"/>
                <w:color w:val="404040" w:themeColor="text1" w:themeTint="BF"/>
                <w:sz w:val="20"/>
                <w:szCs w:val="20"/>
              </w:rPr>
              <w:t xml:space="preserve"> </w:t>
            </w:r>
          </w:p>
        </w:tc>
        <w:tc>
          <w:tcPr>
            <w:tcW w:w="8081" w:type="dxa"/>
          </w:tcPr>
          <w:p w14:paraId="159A8693" w14:textId="375FDF85" w:rsidR="00185DDC" w:rsidRDefault="00185DDC" w:rsidP="00DC6A7E">
            <w:pPr>
              <w:pStyle w:val="ListParagraph"/>
              <w:numPr>
                <w:ilvl w:val="0"/>
                <w:numId w:val="14"/>
              </w:numPr>
              <w:spacing w:after="0" w:line="276" w:lineRule="auto"/>
              <w:cnfStyle w:val="000000000000" w:firstRow="0" w:lastRow="0" w:firstColumn="0" w:lastColumn="0" w:oddVBand="0" w:evenVBand="0" w:oddHBand="0" w:evenHBand="0" w:firstRowFirstColumn="0" w:firstRowLastColumn="0" w:lastRowFirstColumn="0" w:lastRowLastColumn="0"/>
              <w:rPr>
                <w:rFonts w:cstheme="minorHAnsi"/>
                <w:i/>
                <w:iCs/>
                <w:color w:val="545454" w:themeColor="text2" w:themeTint="BF"/>
                <w:sz w:val="20"/>
                <w:szCs w:val="20"/>
              </w:rPr>
            </w:pPr>
            <w:r>
              <w:rPr>
                <w:rFonts w:cstheme="minorHAnsi"/>
                <w:i/>
                <w:iCs/>
                <w:color w:val="545454" w:themeColor="text2" w:themeTint="BF"/>
                <w:sz w:val="20"/>
                <w:szCs w:val="20"/>
              </w:rPr>
              <w:t>This question is only applicable for</w:t>
            </w:r>
            <w:r w:rsidR="00C76B4F">
              <w:rPr>
                <w:rFonts w:cstheme="minorHAnsi"/>
                <w:i/>
                <w:iCs/>
                <w:color w:val="545454" w:themeColor="text2" w:themeTint="BF"/>
                <w:sz w:val="20"/>
                <w:szCs w:val="20"/>
              </w:rPr>
              <w:t xml:space="preserve"> </w:t>
            </w:r>
            <w:r w:rsidR="00244697">
              <w:rPr>
                <w:rFonts w:cstheme="minorHAnsi"/>
                <w:i/>
                <w:iCs/>
                <w:color w:val="545454" w:themeColor="text2" w:themeTint="BF"/>
                <w:sz w:val="20"/>
                <w:szCs w:val="20"/>
              </w:rPr>
              <w:t xml:space="preserve">contract </w:t>
            </w:r>
            <w:r w:rsidR="0042430F">
              <w:rPr>
                <w:rFonts w:cstheme="minorHAnsi"/>
                <w:i/>
                <w:iCs/>
                <w:color w:val="545454" w:themeColor="text2" w:themeTint="BF"/>
                <w:sz w:val="20"/>
                <w:szCs w:val="20"/>
              </w:rPr>
              <w:t>variations to an existing contract where the</w:t>
            </w:r>
            <w:r w:rsidR="00CA33B1">
              <w:rPr>
                <w:rFonts w:cstheme="minorHAnsi"/>
                <w:i/>
                <w:iCs/>
                <w:color w:val="545454" w:themeColor="text2" w:themeTint="BF"/>
                <w:sz w:val="20"/>
                <w:szCs w:val="20"/>
              </w:rPr>
              <w:t xml:space="preserve"> changes in scope</w:t>
            </w:r>
            <w:r w:rsidR="00480327">
              <w:rPr>
                <w:rFonts w:cstheme="minorHAnsi"/>
                <w:i/>
                <w:iCs/>
                <w:color w:val="545454" w:themeColor="text2" w:themeTint="BF"/>
                <w:sz w:val="20"/>
                <w:szCs w:val="20"/>
              </w:rPr>
              <w:t xml:space="preserve"> and/or value of the contract were not originally included or</w:t>
            </w:r>
            <w:r w:rsidR="009A5737">
              <w:rPr>
                <w:rFonts w:cstheme="minorHAnsi"/>
                <w:i/>
                <w:iCs/>
                <w:color w:val="545454" w:themeColor="text2" w:themeTint="BF"/>
                <w:sz w:val="20"/>
                <w:szCs w:val="20"/>
              </w:rPr>
              <w:t xml:space="preserve"> accounted for in the initial approach to market</w:t>
            </w:r>
            <w:r w:rsidR="0087522B">
              <w:rPr>
                <w:rFonts w:cstheme="minorHAnsi"/>
                <w:i/>
                <w:iCs/>
                <w:color w:val="545454" w:themeColor="text2" w:themeTint="BF"/>
                <w:sz w:val="20"/>
                <w:szCs w:val="20"/>
              </w:rPr>
              <w:t xml:space="preserve"> or original contract</w:t>
            </w:r>
            <w:r w:rsidR="009A5737">
              <w:rPr>
                <w:rFonts w:cstheme="minorHAnsi"/>
                <w:i/>
                <w:iCs/>
                <w:color w:val="545454" w:themeColor="text2" w:themeTint="BF"/>
                <w:sz w:val="20"/>
                <w:szCs w:val="20"/>
              </w:rPr>
              <w:t>.</w:t>
            </w:r>
          </w:p>
          <w:p w14:paraId="3E65B732" w14:textId="1C7D7FBF" w:rsidR="00AD43B3" w:rsidRPr="00DC6A7E" w:rsidRDefault="00AD43B3" w:rsidP="00DC6A7E">
            <w:pPr>
              <w:pStyle w:val="ListParagraph"/>
              <w:numPr>
                <w:ilvl w:val="0"/>
                <w:numId w:val="14"/>
              </w:numPr>
              <w:spacing w:after="0" w:line="276" w:lineRule="auto"/>
              <w:cnfStyle w:val="000000000000" w:firstRow="0" w:lastRow="0" w:firstColumn="0" w:lastColumn="0" w:oddVBand="0" w:evenVBand="0" w:oddHBand="0" w:evenHBand="0" w:firstRowFirstColumn="0" w:firstRowLastColumn="0" w:lastRowFirstColumn="0" w:lastRowLastColumn="0"/>
              <w:rPr>
                <w:rFonts w:cstheme="minorHAnsi"/>
                <w:i/>
                <w:iCs/>
                <w:color w:val="545454" w:themeColor="text2" w:themeTint="BF"/>
                <w:sz w:val="20"/>
                <w:szCs w:val="20"/>
              </w:rPr>
            </w:pPr>
            <w:r w:rsidRPr="00DC6A7E">
              <w:rPr>
                <w:rFonts w:cstheme="minorHAnsi"/>
                <w:i/>
                <w:iCs/>
                <w:color w:val="545454" w:themeColor="text2" w:themeTint="BF"/>
                <w:sz w:val="20"/>
                <w:szCs w:val="20"/>
              </w:rPr>
              <w:t xml:space="preserve">Have you considered whether you can use </w:t>
            </w:r>
            <w:r w:rsidR="000F38B0">
              <w:rPr>
                <w:rFonts w:cstheme="minorHAnsi"/>
                <w:i/>
                <w:iCs/>
                <w:color w:val="545454" w:themeColor="text2" w:themeTint="BF"/>
                <w:sz w:val="20"/>
                <w:szCs w:val="20"/>
              </w:rPr>
              <w:t>existing</w:t>
            </w:r>
            <w:r w:rsidRPr="00DC6A7E">
              <w:rPr>
                <w:rFonts w:cstheme="minorHAnsi"/>
                <w:i/>
                <w:iCs/>
                <w:color w:val="545454" w:themeColor="text2" w:themeTint="BF"/>
                <w:sz w:val="20"/>
                <w:szCs w:val="20"/>
              </w:rPr>
              <w:t xml:space="preserve"> resources instead of varying the contract? </w:t>
            </w:r>
          </w:p>
          <w:p w14:paraId="13426F85" w14:textId="224021C3" w:rsidR="00AD43B3" w:rsidRDefault="00AD43B3" w:rsidP="00DC6A7E">
            <w:pPr>
              <w:pStyle w:val="ListParagraph"/>
              <w:numPr>
                <w:ilvl w:val="0"/>
                <w:numId w:val="14"/>
              </w:numPr>
              <w:spacing w:after="0" w:line="276" w:lineRule="auto"/>
              <w:cnfStyle w:val="000000000000" w:firstRow="0" w:lastRow="0" w:firstColumn="0" w:lastColumn="0" w:oddVBand="0" w:evenVBand="0" w:oddHBand="0" w:evenHBand="0" w:firstRowFirstColumn="0" w:firstRowLastColumn="0" w:lastRowFirstColumn="0" w:lastRowLastColumn="0"/>
              <w:rPr>
                <w:rFonts w:cstheme="minorHAnsi"/>
                <w:i/>
                <w:iCs/>
                <w:color w:val="545454" w:themeColor="text2" w:themeTint="BF"/>
                <w:sz w:val="20"/>
                <w:szCs w:val="20"/>
              </w:rPr>
            </w:pPr>
            <w:r w:rsidRPr="00DC6A7E">
              <w:rPr>
                <w:rFonts w:cstheme="minorHAnsi"/>
                <w:i/>
                <w:iCs/>
                <w:color w:val="545454" w:themeColor="text2" w:themeTint="BF"/>
                <w:sz w:val="20"/>
                <w:szCs w:val="20"/>
              </w:rPr>
              <w:t xml:space="preserve">Have you reviewed the Department of Finance’s guidance on </w:t>
            </w:r>
            <w:hyperlink r:id="rId23" w:history="1">
              <w:r w:rsidRPr="00E87433">
                <w:rPr>
                  <w:rStyle w:val="Hyperlink"/>
                  <w:rFonts w:cstheme="minorHAnsi"/>
                  <w:i/>
                  <w:iCs/>
                  <w:color w:val="007DB6" w:themeColor="accent3"/>
                  <w:sz w:val="20"/>
                  <w:szCs w:val="20"/>
                </w:rPr>
                <w:t>Extending a contract through variation</w:t>
              </w:r>
            </w:hyperlink>
            <w:r w:rsidRPr="00DC6A7E">
              <w:rPr>
                <w:rFonts w:cstheme="minorHAnsi"/>
                <w:i/>
                <w:iCs/>
                <w:color w:val="545454" w:themeColor="text2" w:themeTint="BF"/>
                <w:sz w:val="20"/>
                <w:szCs w:val="20"/>
              </w:rPr>
              <w:t xml:space="preserve">? </w:t>
            </w:r>
          </w:p>
          <w:p w14:paraId="69090572" w14:textId="5F90DD09" w:rsidR="000A0C31" w:rsidRPr="00DC6A7E" w:rsidRDefault="000A0C31" w:rsidP="00DC6A7E">
            <w:pPr>
              <w:pStyle w:val="ListParagraph"/>
              <w:numPr>
                <w:ilvl w:val="0"/>
                <w:numId w:val="14"/>
              </w:numPr>
              <w:spacing w:after="0" w:line="276" w:lineRule="auto"/>
              <w:cnfStyle w:val="000000000000" w:firstRow="0" w:lastRow="0" w:firstColumn="0" w:lastColumn="0" w:oddVBand="0" w:evenVBand="0" w:oddHBand="0" w:evenHBand="0" w:firstRowFirstColumn="0" w:firstRowLastColumn="0" w:lastRowFirstColumn="0" w:lastRowLastColumn="0"/>
              <w:rPr>
                <w:rFonts w:cstheme="minorHAnsi"/>
                <w:i/>
                <w:iCs/>
                <w:color w:val="545454" w:themeColor="text2" w:themeTint="BF"/>
                <w:sz w:val="20"/>
                <w:szCs w:val="20"/>
              </w:rPr>
            </w:pPr>
            <w:r>
              <w:rPr>
                <w:rFonts w:cstheme="minorHAnsi"/>
                <w:i/>
                <w:iCs/>
                <w:color w:val="545454" w:themeColor="text2" w:themeTint="BF"/>
                <w:sz w:val="20"/>
                <w:szCs w:val="20"/>
              </w:rPr>
              <w:t>Have you r</w:t>
            </w:r>
            <w:r w:rsidR="00B12467">
              <w:rPr>
                <w:rFonts w:cstheme="minorHAnsi"/>
                <w:i/>
                <w:iCs/>
                <w:color w:val="545454" w:themeColor="text2" w:themeTint="BF"/>
                <w:sz w:val="20"/>
                <w:szCs w:val="20"/>
              </w:rPr>
              <w:t xml:space="preserve">eviewed the </w:t>
            </w:r>
            <w:hyperlink r:id="rId24" w:history="1">
              <w:r w:rsidR="00B12467" w:rsidRPr="00432465">
                <w:rPr>
                  <w:rStyle w:val="Hyperlink"/>
                  <w:rFonts w:cstheme="minorHAnsi"/>
                  <w:i/>
                  <w:iCs/>
                  <w:sz w:val="20"/>
                  <w:szCs w:val="20"/>
                </w:rPr>
                <w:t>Procurement Policy Note on senior oversight of contract variations</w:t>
              </w:r>
            </w:hyperlink>
            <w:r w:rsidR="00B12467">
              <w:rPr>
                <w:rFonts w:cstheme="minorHAnsi"/>
                <w:i/>
                <w:iCs/>
                <w:color w:val="545454" w:themeColor="text2" w:themeTint="BF"/>
                <w:sz w:val="20"/>
                <w:szCs w:val="20"/>
              </w:rPr>
              <w:t>?</w:t>
            </w:r>
          </w:p>
          <w:p w14:paraId="76BCF17E" w14:textId="5C90A799" w:rsidR="00AD43B3" w:rsidRPr="00DC6A7E" w:rsidRDefault="00913AC8" w:rsidP="00DC6A7E">
            <w:pPr>
              <w:pStyle w:val="ListParagraph"/>
              <w:numPr>
                <w:ilvl w:val="1"/>
                <w:numId w:val="14"/>
              </w:numPr>
              <w:spacing w:after="0" w:line="276" w:lineRule="auto"/>
              <w:ind w:left="772"/>
              <w:cnfStyle w:val="000000000000" w:firstRow="0" w:lastRow="0" w:firstColumn="0" w:lastColumn="0" w:oddVBand="0" w:evenVBand="0" w:oddHBand="0" w:evenHBand="0" w:firstRowFirstColumn="0" w:firstRowLastColumn="0" w:lastRowFirstColumn="0" w:lastRowLastColumn="0"/>
              <w:rPr>
                <w:rFonts w:cstheme="minorHAnsi"/>
                <w:i/>
                <w:iCs/>
                <w:color w:val="545454" w:themeColor="text2" w:themeTint="BF"/>
                <w:sz w:val="20"/>
                <w:szCs w:val="20"/>
              </w:rPr>
            </w:pPr>
            <w:r>
              <w:rPr>
                <w:rFonts w:cstheme="minorHAnsi"/>
                <w:i/>
                <w:iCs/>
                <w:color w:val="545454" w:themeColor="text2" w:themeTint="BF"/>
                <w:sz w:val="20"/>
                <w:szCs w:val="20"/>
              </w:rPr>
              <w:t>It is recommended that you</w:t>
            </w:r>
            <w:r w:rsidRPr="00DC6A7E">
              <w:rPr>
                <w:rFonts w:cstheme="minorHAnsi"/>
                <w:i/>
                <w:iCs/>
                <w:color w:val="545454" w:themeColor="text2" w:themeTint="BF"/>
                <w:sz w:val="20"/>
                <w:szCs w:val="20"/>
              </w:rPr>
              <w:t xml:space="preserve"> </w:t>
            </w:r>
            <w:r w:rsidR="00AD43B3" w:rsidRPr="00DC6A7E">
              <w:rPr>
                <w:rFonts w:cstheme="minorHAnsi"/>
                <w:i/>
                <w:iCs/>
                <w:color w:val="545454" w:themeColor="text2" w:themeTint="BF"/>
                <w:sz w:val="20"/>
                <w:szCs w:val="20"/>
              </w:rPr>
              <w:t>document:</w:t>
            </w:r>
          </w:p>
          <w:p w14:paraId="4989671C" w14:textId="2564CA2F" w:rsidR="00AD43B3" w:rsidRPr="00DC6A7E" w:rsidRDefault="00811386" w:rsidP="00DC6A7E">
            <w:pPr>
              <w:pStyle w:val="ListParagraph"/>
              <w:numPr>
                <w:ilvl w:val="2"/>
                <w:numId w:val="14"/>
              </w:numPr>
              <w:spacing w:after="0" w:line="276" w:lineRule="auto"/>
              <w:ind w:left="1197"/>
              <w:cnfStyle w:val="000000000000" w:firstRow="0" w:lastRow="0" w:firstColumn="0" w:lastColumn="0" w:oddVBand="0" w:evenVBand="0" w:oddHBand="0" w:evenHBand="0" w:firstRowFirstColumn="0" w:firstRowLastColumn="0" w:lastRowFirstColumn="0" w:lastRowLastColumn="0"/>
              <w:rPr>
                <w:rFonts w:cstheme="minorHAnsi"/>
                <w:i/>
                <w:iCs/>
                <w:color w:val="545454" w:themeColor="text2" w:themeTint="BF"/>
                <w:sz w:val="20"/>
                <w:szCs w:val="20"/>
              </w:rPr>
            </w:pPr>
            <w:r>
              <w:rPr>
                <w:rFonts w:cstheme="minorHAnsi"/>
                <w:i/>
                <w:iCs/>
                <w:color w:val="545454" w:themeColor="text2" w:themeTint="BF"/>
                <w:sz w:val="20"/>
                <w:szCs w:val="20"/>
              </w:rPr>
              <w:t>T</w:t>
            </w:r>
            <w:r w:rsidR="00AD43B3" w:rsidRPr="00DC6A7E">
              <w:rPr>
                <w:rFonts w:cstheme="minorHAnsi"/>
                <w:i/>
                <w:iCs/>
                <w:color w:val="545454" w:themeColor="text2" w:themeTint="BF"/>
                <w:sz w:val="20"/>
                <w:szCs w:val="20"/>
              </w:rPr>
              <w:t>he basis for the variation</w:t>
            </w:r>
            <w:r w:rsidR="009F77E3">
              <w:rPr>
                <w:rFonts w:cstheme="minorHAnsi"/>
                <w:i/>
                <w:iCs/>
                <w:color w:val="545454" w:themeColor="text2" w:themeTint="BF"/>
                <w:sz w:val="20"/>
                <w:szCs w:val="20"/>
              </w:rPr>
              <w:t>.</w:t>
            </w:r>
          </w:p>
          <w:p w14:paraId="37456C39" w14:textId="26AD2400" w:rsidR="00AD43B3" w:rsidRPr="00DC6A7E" w:rsidRDefault="003D2393" w:rsidP="00DC6A7E">
            <w:pPr>
              <w:pStyle w:val="ListParagraph"/>
              <w:numPr>
                <w:ilvl w:val="2"/>
                <w:numId w:val="14"/>
              </w:numPr>
              <w:spacing w:after="0" w:line="276" w:lineRule="auto"/>
              <w:ind w:left="1197"/>
              <w:cnfStyle w:val="000000000000" w:firstRow="0" w:lastRow="0" w:firstColumn="0" w:lastColumn="0" w:oddVBand="0" w:evenVBand="0" w:oddHBand="0" w:evenHBand="0" w:firstRowFirstColumn="0" w:firstRowLastColumn="0" w:lastRowFirstColumn="0" w:lastRowLastColumn="0"/>
              <w:rPr>
                <w:rFonts w:cstheme="minorHAnsi"/>
                <w:i/>
                <w:iCs/>
                <w:color w:val="545454" w:themeColor="text2" w:themeTint="BF"/>
                <w:sz w:val="20"/>
                <w:szCs w:val="20"/>
              </w:rPr>
            </w:pPr>
            <w:r>
              <w:rPr>
                <w:rFonts w:cstheme="minorHAnsi"/>
                <w:i/>
                <w:iCs/>
                <w:color w:val="545454" w:themeColor="text2" w:themeTint="BF"/>
                <w:sz w:val="20"/>
                <w:szCs w:val="20"/>
              </w:rPr>
              <w:t>Whether</w:t>
            </w:r>
            <w:r w:rsidRPr="00DC6A7E">
              <w:rPr>
                <w:rFonts w:cstheme="minorHAnsi"/>
                <w:i/>
                <w:iCs/>
                <w:color w:val="545454" w:themeColor="text2" w:themeTint="BF"/>
                <w:sz w:val="20"/>
                <w:szCs w:val="20"/>
              </w:rPr>
              <w:t xml:space="preserve"> </w:t>
            </w:r>
            <w:r w:rsidR="00AD43B3" w:rsidRPr="00DC6A7E">
              <w:rPr>
                <w:rFonts w:cstheme="minorHAnsi"/>
                <w:i/>
                <w:iCs/>
                <w:color w:val="545454" w:themeColor="text2" w:themeTint="BF"/>
                <w:sz w:val="20"/>
                <w:szCs w:val="20"/>
              </w:rPr>
              <w:t xml:space="preserve">this variation </w:t>
            </w:r>
            <w:r w:rsidR="00616A64">
              <w:rPr>
                <w:rFonts w:cstheme="minorHAnsi"/>
                <w:i/>
                <w:iCs/>
                <w:color w:val="545454" w:themeColor="text2" w:themeTint="BF"/>
                <w:sz w:val="20"/>
                <w:szCs w:val="20"/>
              </w:rPr>
              <w:t xml:space="preserve">is </w:t>
            </w:r>
            <w:r w:rsidR="00AD43B3" w:rsidRPr="00DC6A7E">
              <w:rPr>
                <w:rFonts w:cstheme="minorHAnsi"/>
                <w:i/>
                <w:iCs/>
                <w:color w:val="545454" w:themeColor="text2" w:themeTint="BF"/>
                <w:sz w:val="20"/>
                <w:szCs w:val="20"/>
              </w:rPr>
              <w:t>considered a major change in scope</w:t>
            </w:r>
            <w:r w:rsidR="009F77E3">
              <w:rPr>
                <w:rFonts w:cstheme="minorHAnsi"/>
                <w:i/>
                <w:iCs/>
                <w:color w:val="545454" w:themeColor="text2" w:themeTint="BF"/>
                <w:sz w:val="20"/>
                <w:szCs w:val="20"/>
              </w:rPr>
              <w:t>.</w:t>
            </w:r>
          </w:p>
          <w:p w14:paraId="7D559262" w14:textId="5B4ACCF2" w:rsidR="00AD43B3" w:rsidRPr="00DC6A7E" w:rsidRDefault="00AD43B3" w:rsidP="00DC6A7E">
            <w:pPr>
              <w:pStyle w:val="ListParagraph"/>
              <w:numPr>
                <w:ilvl w:val="2"/>
                <w:numId w:val="14"/>
              </w:numPr>
              <w:spacing w:after="0" w:line="276" w:lineRule="auto"/>
              <w:ind w:left="1197"/>
              <w:cnfStyle w:val="000000000000" w:firstRow="0" w:lastRow="0" w:firstColumn="0" w:lastColumn="0" w:oddVBand="0" w:evenVBand="0" w:oddHBand="0" w:evenHBand="0" w:firstRowFirstColumn="0" w:firstRowLastColumn="0" w:lastRowFirstColumn="0" w:lastRowLastColumn="0"/>
              <w:rPr>
                <w:rFonts w:cstheme="minorHAnsi"/>
                <w:i/>
                <w:iCs/>
                <w:color w:val="545454" w:themeColor="text2" w:themeTint="BF"/>
                <w:sz w:val="20"/>
                <w:szCs w:val="20"/>
              </w:rPr>
            </w:pPr>
            <w:r w:rsidRPr="00DC6A7E">
              <w:rPr>
                <w:rFonts w:cstheme="minorHAnsi"/>
                <w:i/>
                <w:iCs/>
                <w:color w:val="545454" w:themeColor="text2" w:themeTint="BF"/>
                <w:sz w:val="20"/>
                <w:szCs w:val="20"/>
              </w:rPr>
              <w:t xml:space="preserve">Whether any </w:t>
            </w:r>
            <w:r w:rsidR="00FF77C1">
              <w:rPr>
                <w:rFonts w:cstheme="minorHAnsi"/>
                <w:i/>
                <w:iCs/>
                <w:color w:val="545454" w:themeColor="text2" w:themeTint="BF"/>
                <w:sz w:val="20"/>
                <w:szCs w:val="20"/>
              </w:rPr>
              <w:t xml:space="preserve">changes to </w:t>
            </w:r>
            <w:r w:rsidR="00EC6281">
              <w:rPr>
                <w:rFonts w:cstheme="minorHAnsi"/>
                <w:i/>
                <w:iCs/>
                <w:color w:val="545454" w:themeColor="text2" w:themeTint="BF"/>
                <w:sz w:val="20"/>
                <w:szCs w:val="20"/>
              </w:rPr>
              <w:t xml:space="preserve">the </w:t>
            </w:r>
            <w:r w:rsidRPr="00DC6A7E">
              <w:rPr>
                <w:rFonts w:cstheme="minorHAnsi"/>
                <w:i/>
                <w:iCs/>
                <w:color w:val="545454" w:themeColor="text2" w:themeTint="BF"/>
                <w:sz w:val="20"/>
                <w:szCs w:val="20"/>
              </w:rPr>
              <w:t xml:space="preserve">terms and conditions are </w:t>
            </w:r>
            <w:r w:rsidR="004221A5">
              <w:rPr>
                <w:rFonts w:cstheme="minorHAnsi"/>
                <w:i/>
                <w:iCs/>
                <w:color w:val="545454" w:themeColor="text2" w:themeTint="BF"/>
                <w:sz w:val="20"/>
                <w:szCs w:val="20"/>
              </w:rPr>
              <w:t>being proposed</w:t>
            </w:r>
            <w:r w:rsidR="009F77E3">
              <w:rPr>
                <w:rFonts w:cstheme="minorHAnsi"/>
                <w:i/>
                <w:iCs/>
                <w:color w:val="545454" w:themeColor="text2" w:themeTint="BF"/>
                <w:sz w:val="20"/>
                <w:szCs w:val="20"/>
              </w:rPr>
              <w:t>.</w:t>
            </w:r>
            <w:r w:rsidRPr="00DC6A7E">
              <w:rPr>
                <w:rFonts w:cstheme="minorHAnsi"/>
                <w:i/>
                <w:iCs/>
                <w:color w:val="545454" w:themeColor="text2" w:themeTint="BF"/>
                <w:sz w:val="20"/>
                <w:szCs w:val="20"/>
              </w:rPr>
              <w:t xml:space="preserve"> </w:t>
            </w:r>
          </w:p>
          <w:p w14:paraId="56DDA4F9" w14:textId="1ED94057" w:rsidR="00AD43B3" w:rsidRPr="00DC6A7E" w:rsidRDefault="00AD43B3" w:rsidP="00DC6A7E">
            <w:pPr>
              <w:pStyle w:val="ListParagraph"/>
              <w:numPr>
                <w:ilvl w:val="2"/>
                <w:numId w:val="14"/>
              </w:numPr>
              <w:spacing w:after="0" w:line="276" w:lineRule="auto"/>
              <w:ind w:left="1197"/>
              <w:cnfStyle w:val="000000000000" w:firstRow="0" w:lastRow="0" w:firstColumn="0" w:lastColumn="0" w:oddVBand="0" w:evenVBand="0" w:oddHBand="0" w:evenHBand="0" w:firstRowFirstColumn="0" w:firstRowLastColumn="0" w:lastRowFirstColumn="0" w:lastRowLastColumn="0"/>
              <w:rPr>
                <w:rFonts w:cstheme="minorHAnsi"/>
                <w:i/>
                <w:iCs/>
                <w:color w:val="545454" w:themeColor="text2" w:themeTint="BF"/>
                <w:sz w:val="20"/>
                <w:szCs w:val="20"/>
              </w:rPr>
            </w:pPr>
            <w:r w:rsidRPr="00DC6A7E">
              <w:rPr>
                <w:rFonts w:cstheme="minorHAnsi"/>
                <w:i/>
                <w:iCs/>
                <w:color w:val="545454" w:themeColor="text2" w:themeTint="BF"/>
                <w:sz w:val="20"/>
                <w:szCs w:val="20"/>
              </w:rPr>
              <w:t>Details on the additional proposed time and value and proposed new maximum contract value including GST</w:t>
            </w:r>
            <w:r w:rsidR="00F94718">
              <w:rPr>
                <w:rFonts w:cstheme="minorHAnsi"/>
                <w:i/>
                <w:iCs/>
                <w:color w:val="545454" w:themeColor="text2" w:themeTint="BF"/>
                <w:sz w:val="20"/>
                <w:szCs w:val="20"/>
              </w:rPr>
              <w:t>.</w:t>
            </w:r>
            <w:r w:rsidRPr="00DC6A7E">
              <w:rPr>
                <w:rFonts w:cstheme="minorHAnsi"/>
                <w:i/>
                <w:iCs/>
                <w:color w:val="545454" w:themeColor="text2" w:themeTint="BF"/>
                <w:sz w:val="20"/>
                <w:szCs w:val="20"/>
              </w:rPr>
              <w:t xml:space="preserve"> </w:t>
            </w:r>
          </w:p>
          <w:p w14:paraId="100EC98A" w14:textId="440B593E" w:rsidR="00AD43B3" w:rsidRPr="00DC6A7E" w:rsidRDefault="00811386" w:rsidP="00DC6A7E">
            <w:pPr>
              <w:pStyle w:val="ListParagraph"/>
              <w:numPr>
                <w:ilvl w:val="2"/>
                <w:numId w:val="14"/>
              </w:numPr>
              <w:spacing w:after="0" w:line="276" w:lineRule="auto"/>
              <w:ind w:left="1197"/>
              <w:cnfStyle w:val="000000000000" w:firstRow="0" w:lastRow="0" w:firstColumn="0" w:lastColumn="0" w:oddVBand="0" w:evenVBand="0" w:oddHBand="0" w:evenHBand="0" w:firstRowFirstColumn="0" w:firstRowLastColumn="0" w:lastRowFirstColumn="0" w:lastRowLastColumn="0"/>
              <w:rPr>
                <w:rFonts w:cstheme="minorHAnsi"/>
                <w:i/>
                <w:iCs/>
                <w:color w:val="545454" w:themeColor="text2" w:themeTint="BF"/>
                <w:sz w:val="20"/>
                <w:szCs w:val="20"/>
              </w:rPr>
            </w:pPr>
            <w:r>
              <w:rPr>
                <w:rFonts w:cstheme="minorHAnsi"/>
                <w:i/>
                <w:iCs/>
                <w:color w:val="545454" w:themeColor="text2" w:themeTint="BF"/>
                <w:sz w:val="20"/>
                <w:szCs w:val="20"/>
              </w:rPr>
              <w:t>Whether</w:t>
            </w:r>
            <w:r w:rsidRPr="00DC6A7E">
              <w:rPr>
                <w:rFonts w:cstheme="minorHAnsi"/>
                <w:i/>
                <w:iCs/>
                <w:color w:val="545454" w:themeColor="text2" w:themeTint="BF"/>
                <w:sz w:val="20"/>
                <w:szCs w:val="20"/>
              </w:rPr>
              <w:t xml:space="preserve"> </w:t>
            </w:r>
            <w:r w:rsidR="00AD43B3" w:rsidRPr="00DC6A7E">
              <w:rPr>
                <w:rFonts w:cstheme="minorHAnsi"/>
                <w:i/>
                <w:iCs/>
                <w:color w:val="545454" w:themeColor="text2" w:themeTint="BF"/>
                <w:sz w:val="20"/>
                <w:szCs w:val="20"/>
              </w:rPr>
              <w:t xml:space="preserve">this variation </w:t>
            </w:r>
            <w:r>
              <w:rPr>
                <w:rFonts w:cstheme="minorHAnsi"/>
                <w:i/>
                <w:iCs/>
                <w:color w:val="545454" w:themeColor="text2" w:themeTint="BF"/>
                <w:sz w:val="20"/>
                <w:szCs w:val="20"/>
              </w:rPr>
              <w:t xml:space="preserve">may </w:t>
            </w:r>
            <w:r w:rsidR="00AD43B3" w:rsidRPr="00DC6A7E">
              <w:rPr>
                <w:rFonts w:cstheme="minorHAnsi"/>
                <w:i/>
                <w:iCs/>
                <w:color w:val="545454" w:themeColor="text2" w:themeTint="BF"/>
                <w:sz w:val="20"/>
                <w:szCs w:val="20"/>
              </w:rPr>
              <w:t>compromise the original value for money assessment that took place for the original approach to market/request for quote</w:t>
            </w:r>
            <w:r w:rsidR="003E15B3">
              <w:rPr>
                <w:rFonts w:cstheme="minorHAnsi"/>
                <w:i/>
                <w:iCs/>
                <w:color w:val="545454" w:themeColor="text2" w:themeTint="BF"/>
                <w:sz w:val="20"/>
                <w:szCs w:val="20"/>
              </w:rPr>
              <w:t>.</w:t>
            </w:r>
          </w:p>
          <w:p w14:paraId="225667E2" w14:textId="77777777" w:rsidR="00AD43B3" w:rsidRPr="00DC6A7E" w:rsidRDefault="00AD43B3" w:rsidP="00DC6A7E">
            <w:pPr>
              <w:pStyle w:val="ListParagraph"/>
              <w:numPr>
                <w:ilvl w:val="3"/>
                <w:numId w:val="14"/>
              </w:numPr>
              <w:spacing w:after="0" w:line="276" w:lineRule="auto"/>
              <w:ind w:left="1623"/>
              <w:cnfStyle w:val="000000000000" w:firstRow="0" w:lastRow="0" w:firstColumn="0" w:lastColumn="0" w:oddVBand="0" w:evenVBand="0" w:oddHBand="0" w:evenHBand="0" w:firstRowFirstColumn="0" w:firstRowLastColumn="0" w:lastRowFirstColumn="0" w:lastRowLastColumn="0"/>
              <w:rPr>
                <w:rFonts w:cstheme="minorHAnsi"/>
                <w:i/>
                <w:iCs/>
                <w:color w:val="545454" w:themeColor="text2" w:themeTint="BF"/>
                <w:sz w:val="20"/>
                <w:szCs w:val="20"/>
              </w:rPr>
            </w:pPr>
            <w:r w:rsidRPr="00DC6A7E">
              <w:rPr>
                <w:rFonts w:cstheme="minorHAnsi"/>
                <w:i/>
                <w:iCs/>
                <w:color w:val="545454" w:themeColor="text2" w:themeTint="BF"/>
                <w:sz w:val="20"/>
                <w:szCs w:val="20"/>
              </w:rPr>
              <w:t xml:space="preserve"> i.e. had this additional scope been included as part of the original approach to market, could this have resulted in a different value for money outcome and proposals from tenderers; and</w:t>
            </w:r>
          </w:p>
          <w:p w14:paraId="0AC51C77" w14:textId="77777777" w:rsidR="009659BA" w:rsidRPr="009659BA" w:rsidRDefault="003E15B3" w:rsidP="00DC6A7E">
            <w:pPr>
              <w:pStyle w:val="ListParagraph"/>
              <w:numPr>
                <w:ilvl w:val="2"/>
                <w:numId w:val="14"/>
              </w:numPr>
              <w:spacing w:after="0" w:line="276" w:lineRule="auto"/>
              <w:ind w:left="1197"/>
              <w:cnfStyle w:val="000000000000" w:firstRow="0" w:lastRow="0" w:firstColumn="0" w:lastColumn="0" w:oddVBand="0" w:evenVBand="0" w:oddHBand="0" w:evenHBand="0" w:firstRowFirstColumn="0" w:firstRowLastColumn="0" w:lastRowFirstColumn="0" w:lastRowLastColumn="0"/>
              <w:rPr>
                <w:rFonts w:cstheme="minorHAnsi"/>
                <w:i/>
                <w:color w:val="545454" w:themeColor="text2" w:themeTint="BF"/>
                <w:sz w:val="20"/>
                <w:szCs w:val="20"/>
                <w:lang w:val="en-US" w:eastAsia="ja-JP"/>
              </w:rPr>
            </w:pPr>
            <w:r>
              <w:rPr>
                <w:rFonts w:cstheme="minorHAnsi"/>
                <w:i/>
                <w:iCs/>
                <w:color w:val="545454" w:themeColor="text2" w:themeTint="BF"/>
                <w:sz w:val="20"/>
                <w:szCs w:val="20"/>
              </w:rPr>
              <w:t>Whether</w:t>
            </w:r>
            <w:r w:rsidRPr="00DC6A7E">
              <w:rPr>
                <w:rFonts w:cstheme="minorHAnsi"/>
                <w:i/>
                <w:iCs/>
                <w:color w:val="545454" w:themeColor="text2" w:themeTint="BF"/>
                <w:sz w:val="20"/>
                <w:szCs w:val="20"/>
              </w:rPr>
              <w:t xml:space="preserve"> </w:t>
            </w:r>
            <w:r w:rsidR="00031942">
              <w:rPr>
                <w:rFonts w:cstheme="minorHAnsi"/>
                <w:i/>
                <w:iCs/>
                <w:color w:val="545454" w:themeColor="text2" w:themeTint="BF"/>
                <w:sz w:val="20"/>
                <w:szCs w:val="20"/>
              </w:rPr>
              <w:t>the variation</w:t>
            </w:r>
            <w:r w:rsidR="00031942" w:rsidRPr="00DC6A7E">
              <w:rPr>
                <w:rFonts w:cstheme="minorHAnsi"/>
                <w:i/>
                <w:iCs/>
                <w:color w:val="545454" w:themeColor="text2" w:themeTint="BF"/>
                <w:sz w:val="20"/>
                <w:szCs w:val="20"/>
              </w:rPr>
              <w:t xml:space="preserve"> </w:t>
            </w:r>
            <w:r w:rsidR="00AD43B3" w:rsidRPr="00DC6A7E">
              <w:rPr>
                <w:rFonts w:cstheme="minorHAnsi"/>
                <w:i/>
                <w:iCs/>
                <w:color w:val="545454" w:themeColor="text2" w:themeTint="BF"/>
                <w:sz w:val="20"/>
                <w:szCs w:val="20"/>
              </w:rPr>
              <w:t>represent</w:t>
            </w:r>
            <w:r>
              <w:rPr>
                <w:rFonts w:cstheme="minorHAnsi"/>
                <w:i/>
                <w:iCs/>
                <w:color w:val="545454" w:themeColor="text2" w:themeTint="BF"/>
                <w:sz w:val="20"/>
                <w:szCs w:val="20"/>
              </w:rPr>
              <w:t>s</w:t>
            </w:r>
            <w:r w:rsidR="00AD43B3" w:rsidRPr="00DC6A7E">
              <w:rPr>
                <w:rFonts w:cstheme="minorHAnsi"/>
                <w:i/>
                <w:iCs/>
                <w:color w:val="545454" w:themeColor="text2" w:themeTint="BF"/>
                <w:sz w:val="20"/>
                <w:szCs w:val="20"/>
              </w:rPr>
              <w:t xml:space="preserve"> value for money</w:t>
            </w:r>
            <w:r>
              <w:rPr>
                <w:rFonts w:cstheme="minorHAnsi"/>
                <w:i/>
                <w:iCs/>
                <w:color w:val="545454" w:themeColor="text2" w:themeTint="BF"/>
                <w:sz w:val="20"/>
                <w:szCs w:val="20"/>
              </w:rPr>
              <w:t>.</w:t>
            </w:r>
            <w:r>
              <w:rPr>
                <w:rFonts w:cstheme="minorHAnsi"/>
                <w:i/>
                <w:iCs/>
                <w:color w:val="545454" w:themeColor="text2" w:themeTint="BF"/>
                <w:sz w:val="20"/>
                <w:szCs w:val="20"/>
              </w:rPr>
              <w:br/>
            </w:r>
            <w:r>
              <w:rPr>
                <w:rFonts w:cstheme="minorHAnsi"/>
                <w:i/>
                <w:iCs/>
                <w:color w:val="545454" w:themeColor="text2" w:themeTint="BF"/>
                <w:sz w:val="20"/>
                <w:szCs w:val="20"/>
              </w:rPr>
              <w:br/>
            </w:r>
            <w:r>
              <w:rPr>
                <w:rFonts w:cstheme="minorHAnsi"/>
                <w:i/>
                <w:iCs/>
                <w:color w:val="545454" w:themeColor="text2" w:themeTint="BF"/>
                <w:sz w:val="20"/>
                <w:szCs w:val="20"/>
              </w:rPr>
              <w:br/>
            </w:r>
            <w:r>
              <w:rPr>
                <w:rFonts w:cstheme="minorHAnsi"/>
                <w:i/>
                <w:iCs/>
                <w:color w:val="545454" w:themeColor="text2" w:themeTint="BF"/>
                <w:sz w:val="20"/>
                <w:szCs w:val="20"/>
              </w:rPr>
              <w:br/>
            </w:r>
            <w:r>
              <w:rPr>
                <w:rFonts w:cstheme="minorHAnsi"/>
                <w:i/>
                <w:iCs/>
                <w:color w:val="545454" w:themeColor="text2" w:themeTint="BF"/>
                <w:sz w:val="20"/>
                <w:szCs w:val="20"/>
              </w:rPr>
              <w:br/>
            </w:r>
            <w:r>
              <w:rPr>
                <w:rFonts w:cstheme="minorHAnsi"/>
                <w:i/>
                <w:iCs/>
                <w:color w:val="545454" w:themeColor="text2" w:themeTint="BF"/>
                <w:sz w:val="20"/>
                <w:szCs w:val="20"/>
              </w:rPr>
              <w:br/>
            </w:r>
            <w:r>
              <w:rPr>
                <w:rFonts w:cstheme="minorHAnsi"/>
                <w:i/>
                <w:iCs/>
                <w:color w:val="545454" w:themeColor="text2" w:themeTint="BF"/>
                <w:sz w:val="20"/>
                <w:szCs w:val="20"/>
              </w:rPr>
              <w:br/>
            </w:r>
            <w:r>
              <w:rPr>
                <w:rFonts w:cstheme="minorHAnsi"/>
                <w:i/>
                <w:iCs/>
                <w:color w:val="545454" w:themeColor="text2" w:themeTint="BF"/>
                <w:sz w:val="20"/>
                <w:szCs w:val="20"/>
              </w:rPr>
              <w:br/>
            </w:r>
            <w:r>
              <w:rPr>
                <w:rFonts w:cstheme="minorHAnsi"/>
                <w:i/>
                <w:iCs/>
                <w:color w:val="545454" w:themeColor="text2" w:themeTint="BF"/>
                <w:sz w:val="20"/>
                <w:szCs w:val="20"/>
              </w:rPr>
              <w:br/>
            </w:r>
            <w:r>
              <w:rPr>
                <w:rFonts w:cstheme="minorHAnsi"/>
                <w:i/>
                <w:iCs/>
                <w:color w:val="545454" w:themeColor="text2" w:themeTint="BF"/>
                <w:sz w:val="20"/>
                <w:szCs w:val="20"/>
              </w:rPr>
              <w:br/>
            </w:r>
          </w:p>
          <w:p w14:paraId="135DF5F9" w14:textId="77777777" w:rsidR="009659BA" w:rsidRDefault="009659BA" w:rsidP="009659BA">
            <w:pPr>
              <w:spacing w:after="0" w:line="276" w:lineRule="auto"/>
              <w:cnfStyle w:val="000000000000" w:firstRow="0" w:lastRow="0" w:firstColumn="0" w:lastColumn="0" w:oddVBand="0" w:evenVBand="0" w:oddHBand="0" w:evenHBand="0" w:firstRowFirstColumn="0" w:firstRowLastColumn="0" w:lastRowFirstColumn="0" w:lastRowLastColumn="0"/>
              <w:rPr>
                <w:rFonts w:cstheme="minorHAnsi"/>
                <w:i/>
                <w:iCs/>
                <w:color w:val="545454" w:themeColor="text2" w:themeTint="BF"/>
                <w:sz w:val="20"/>
                <w:szCs w:val="20"/>
              </w:rPr>
            </w:pPr>
          </w:p>
          <w:p w14:paraId="46D8B1F8" w14:textId="77777777" w:rsidR="009659BA" w:rsidRDefault="009659BA" w:rsidP="009659BA">
            <w:pPr>
              <w:spacing w:after="0" w:line="276" w:lineRule="auto"/>
              <w:cnfStyle w:val="000000000000" w:firstRow="0" w:lastRow="0" w:firstColumn="0" w:lastColumn="0" w:oddVBand="0" w:evenVBand="0" w:oddHBand="0" w:evenHBand="0" w:firstRowFirstColumn="0" w:firstRowLastColumn="0" w:lastRowFirstColumn="0" w:lastRowLastColumn="0"/>
              <w:rPr>
                <w:rFonts w:cstheme="minorHAnsi"/>
                <w:i/>
                <w:iCs/>
                <w:color w:val="545454" w:themeColor="text2" w:themeTint="BF"/>
                <w:sz w:val="20"/>
                <w:szCs w:val="20"/>
              </w:rPr>
            </w:pPr>
          </w:p>
          <w:p w14:paraId="13EE035E" w14:textId="77777777" w:rsidR="009659BA" w:rsidRDefault="009659BA" w:rsidP="009659BA">
            <w:pPr>
              <w:spacing w:after="0" w:line="276" w:lineRule="auto"/>
              <w:cnfStyle w:val="000000000000" w:firstRow="0" w:lastRow="0" w:firstColumn="0" w:lastColumn="0" w:oddVBand="0" w:evenVBand="0" w:oddHBand="0" w:evenHBand="0" w:firstRowFirstColumn="0" w:firstRowLastColumn="0" w:lastRowFirstColumn="0" w:lastRowLastColumn="0"/>
              <w:rPr>
                <w:rFonts w:cstheme="minorHAnsi"/>
                <w:i/>
                <w:iCs/>
                <w:color w:val="545454" w:themeColor="text2" w:themeTint="BF"/>
                <w:sz w:val="20"/>
                <w:szCs w:val="20"/>
              </w:rPr>
            </w:pPr>
          </w:p>
          <w:p w14:paraId="027D5181" w14:textId="023059B4" w:rsidR="00AD43B3" w:rsidRPr="009659BA" w:rsidRDefault="003E15B3" w:rsidP="009659BA">
            <w:pPr>
              <w:spacing w:after="0" w:line="276" w:lineRule="auto"/>
              <w:cnfStyle w:val="000000000000" w:firstRow="0" w:lastRow="0" w:firstColumn="0" w:lastColumn="0" w:oddVBand="0" w:evenVBand="0" w:oddHBand="0" w:evenHBand="0" w:firstRowFirstColumn="0" w:firstRowLastColumn="0" w:lastRowFirstColumn="0" w:lastRowLastColumn="0"/>
              <w:rPr>
                <w:rFonts w:cstheme="minorHAnsi"/>
                <w:i/>
                <w:color w:val="545454" w:themeColor="text2" w:themeTint="BF"/>
                <w:sz w:val="20"/>
                <w:szCs w:val="20"/>
                <w:lang w:val="en-US" w:eastAsia="ja-JP"/>
              </w:rPr>
            </w:pPr>
            <w:r w:rsidRPr="009659BA">
              <w:rPr>
                <w:rFonts w:cstheme="minorHAnsi"/>
                <w:i/>
                <w:iCs/>
                <w:color w:val="545454" w:themeColor="text2" w:themeTint="BF"/>
                <w:sz w:val="20"/>
                <w:szCs w:val="20"/>
              </w:rPr>
              <w:br/>
            </w:r>
            <w:r w:rsidRPr="009659BA">
              <w:rPr>
                <w:rFonts w:cstheme="minorHAnsi"/>
                <w:i/>
                <w:iCs/>
                <w:color w:val="545454" w:themeColor="text2" w:themeTint="BF"/>
                <w:sz w:val="20"/>
                <w:szCs w:val="20"/>
              </w:rPr>
              <w:br/>
            </w:r>
            <w:r w:rsidRPr="009659BA">
              <w:rPr>
                <w:rFonts w:cstheme="minorHAnsi"/>
                <w:i/>
                <w:iCs/>
                <w:color w:val="545454" w:themeColor="text2" w:themeTint="BF"/>
                <w:sz w:val="20"/>
                <w:szCs w:val="20"/>
              </w:rPr>
              <w:br/>
            </w:r>
            <w:r w:rsidRPr="009659BA">
              <w:rPr>
                <w:rFonts w:cstheme="minorHAnsi"/>
                <w:i/>
                <w:iCs/>
                <w:color w:val="545454" w:themeColor="text2" w:themeTint="BF"/>
                <w:sz w:val="20"/>
                <w:szCs w:val="20"/>
              </w:rPr>
              <w:br/>
            </w:r>
          </w:p>
        </w:tc>
      </w:tr>
    </w:tbl>
    <w:p w14:paraId="7A27CB73" w14:textId="3FCA08B1" w:rsidR="005D3E0C" w:rsidRPr="007D09F5" w:rsidRDefault="005D3E0C" w:rsidP="00301C05">
      <w:pPr>
        <w:rPr>
          <w:sz w:val="4"/>
          <w:szCs w:val="4"/>
        </w:rPr>
      </w:pPr>
    </w:p>
    <w:sectPr w:rsidR="005D3E0C" w:rsidRPr="007D09F5" w:rsidSect="00AD43B3">
      <w:headerReference w:type="default" r:id="rId25"/>
      <w:footerReference w:type="default" r:id="rId26"/>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85777" w14:textId="77777777" w:rsidR="004A2A15" w:rsidRDefault="004A2A15" w:rsidP="00EF4574">
      <w:pPr>
        <w:spacing w:after="0" w:line="240" w:lineRule="auto"/>
      </w:pPr>
      <w:r>
        <w:separator/>
      </w:r>
    </w:p>
    <w:p w14:paraId="7FD05DEC" w14:textId="77777777" w:rsidR="004A2A15" w:rsidRDefault="004A2A15"/>
  </w:endnote>
  <w:endnote w:type="continuationSeparator" w:id="0">
    <w:p w14:paraId="3B5F9C1C" w14:textId="77777777" w:rsidR="004A2A15" w:rsidRDefault="004A2A15" w:rsidP="00EF4574">
      <w:pPr>
        <w:spacing w:after="0" w:line="240" w:lineRule="auto"/>
      </w:pPr>
      <w:r>
        <w:continuationSeparator/>
      </w:r>
    </w:p>
    <w:p w14:paraId="5DF4A3A1" w14:textId="77777777" w:rsidR="004A2A15" w:rsidRDefault="004A2A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useoSans-500">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D9EC4" w14:textId="37B85083" w:rsidR="005D3E0C" w:rsidRPr="00375BD3" w:rsidRDefault="007350CB" w:rsidP="004D6DF9">
    <w:pPr>
      <w:pStyle w:val="Footerstyle"/>
    </w:pPr>
    <w:r w:rsidRPr="007350CB">
      <w:t>Consultancy Procurement Checklist</w:t>
    </w:r>
    <w:r w:rsidR="00375BD3" w:rsidRPr="00375BD3">
      <w:ptab w:relativeTo="margin" w:alignment="right" w:leader="none"/>
    </w:r>
    <w:r w:rsidR="005D3E0C" w:rsidRPr="00375BD3">
      <w:fldChar w:fldCharType="begin"/>
    </w:r>
    <w:r w:rsidR="005D3E0C" w:rsidRPr="00375BD3">
      <w:instrText xml:space="preserve"> PAGE   \* MERGEFORMAT </w:instrText>
    </w:r>
    <w:r w:rsidR="005D3E0C" w:rsidRPr="00375BD3">
      <w:fldChar w:fldCharType="separate"/>
    </w:r>
    <w:r w:rsidR="00A57A97" w:rsidRPr="00375BD3">
      <w:t>2</w:t>
    </w:r>
    <w:r w:rsidR="005D3E0C" w:rsidRPr="00375BD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C775B" w14:textId="77777777" w:rsidR="004A2A15" w:rsidRDefault="004A2A15" w:rsidP="0020122A">
      <w:pPr>
        <w:pStyle w:val="FootnoteSeparator"/>
      </w:pPr>
    </w:p>
  </w:footnote>
  <w:footnote w:type="continuationSeparator" w:id="0">
    <w:p w14:paraId="6407B498" w14:textId="77777777" w:rsidR="004A2A15" w:rsidRDefault="004A2A15" w:rsidP="00EF4574">
      <w:pPr>
        <w:spacing w:after="0" w:line="240" w:lineRule="auto"/>
      </w:pPr>
      <w:r>
        <w:continuationSeparator/>
      </w:r>
    </w:p>
    <w:p w14:paraId="16A80B5B" w14:textId="77777777" w:rsidR="004A2A15" w:rsidRDefault="004A2A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450A9" w14:textId="3A1C9FD6" w:rsidR="003B66A4" w:rsidRDefault="001341BB">
    <w:pPr>
      <w:pStyle w:val="Header"/>
    </w:pPr>
    <w:r>
      <w:rPr>
        <w:noProof/>
        <w14:ligatures w14:val="none"/>
      </w:rPr>
      <w:drawing>
        <wp:anchor distT="0" distB="0" distL="114300" distR="114300" simplePos="0" relativeHeight="251658240" behindDoc="1" locked="0" layoutInCell="1" allowOverlap="1" wp14:anchorId="772CAA62" wp14:editId="6B1E1C27">
          <wp:simplePos x="0" y="0"/>
          <wp:positionH relativeFrom="page">
            <wp:align>left</wp:align>
          </wp:positionH>
          <wp:positionV relativeFrom="paragraph">
            <wp:posOffset>-362309</wp:posOffset>
          </wp:positionV>
          <wp:extent cx="7624471" cy="724619"/>
          <wp:effectExtent l="0" t="0" r="0" b="0"/>
          <wp:wrapNone/>
          <wp:docPr id="29039834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39834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50458" cy="74609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2770"/>
    <w:multiLevelType w:val="hybridMultilevel"/>
    <w:tmpl w:val="A45AA71C"/>
    <w:lvl w:ilvl="0" w:tplc="A89C1A24">
      <w:start w:val="1"/>
      <w:numFmt w:val="bullet"/>
      <w:lvlText w:val=""/>
      <w:lvlJc w:val="left"/>
      <w:pPr>
        <w:ind w:left="360" w:hanging="360"/>
      </w:pPr>
      <w:rPr>
        <w:rFonts w:ascii="Symbol" w:hAnsi="Symbol" w:hint="default"/>
        <w:color w:val="323232" w:themeColor="text2" w:themeTint="E6"/>
      </w:rPr>
    </w:lvl>
    <w:lvl w:ilvl="1" w:tplc="1F766084">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60205D"/>
    <w:multiLevelType w:val="hybridMultilevel"/>
    <w:tmpl w:val="93362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247E08"/>
    <w:multiLevelType w:val="hybridMultilevel"/>
    <w:tmpl w:val="85BA98E6"/>
    <w:lvl w:ilvl="0" w:tplc="FFFFFFFF">
      <w:start w:val="1"/>
      <w:numFmt w:val="bullet"/>
      <w:lvlText w:val=""/>
      <w:lvlJc w:val="left"/>
      <w:pPr>
        <w:ind w:left="360" w:hanging="360"/>
      </w:pPr>
      <w:rPr>
        <w:rFonts w:ascii="Symbol" w:hAnsi="Symbol" w:hint="default"/>
      </w:rPr>
    </w:lvl>
    <w:lvl w:ilvl="1" w:tplc="1F766084">
      <w:start w:val="1"/>
      <w:numFmt w:val="bullet"/>
      <w:lvlText w:val="­"/>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A2F6B80"/>
    <w:multiLevelType w:val="multilevel"/>
    <w:tmpl w:val="437081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0D896D1E"/>
    <w:multiLevelType w:val="hybridMultilevel"/>
    <w:tmpl w:val="1E8EA1BC"/>
    <w:lvl w:ilvl="0" w:tplc="5844B538">
      <w:start w:val="1"/>
      <w:numFmt w:val="bullet"/>
      <w:lvlText w:val=""/>
      <w:lvlJc w:val="left"/>
      <w:pPr>
        <w:ind w:left="360" w:hanging="360"/>
      </w:pPr>
      <w:rPr>
        <w:rFonts w:ascii="Symbol" w:hAnsi="Symbol" w:hint="default"/>
        <w:color w:val="323232" w:themeColor="text2" w:themeTint="E6"/>
      </w:rPr>
    </w:lvl>
    <w:lvl w:ilvl="1" w:tplc="3F46F498">
      <w:start w:val="1"/>
      <w:numFmt w:val="bullet"/>
      <w:lvlText w:val="­"/>
      <w:lvlJc w:val="left"/>
      <w:pPr>
        <w:ind w:left="1080" w:hanging="360"/>
      </w:pPr>
      <w:rPr>
        <w:rFonts w:ascii="Courier New" w:hAnsi="Courier New" w:hint="default"/>
        <w:color w:val="323232" w:themeColor="text2" w:themeTint="E6"/>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188C57B0"/>
    <w:multiLevelType w:val="hybridMultilevel"/>
    <w:tmpl w:val="D8C80366"/>
    <w:lvl w:ilvl="0" w:tplc="AFF25DF6">
      <w:start w:val="1"/>
      <w:numFmt w:val="decimal"/>
      <w:pStyle w:val="Tableheading"/>
      <w:lvlText w:val="%1."/>
      <w:lvlJc w:val="left"/>
      <w:pPr>
        <w:ind w:left="360" w:hanging="36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8E963F3"/>
    <w:multiLevelType w:val="hybridMultilevel"/>
    <w:tmpl w:val="B9CC7C50"/>
    <w:lvl w:ilvl="0" w:tplc="FFFFFFFF">
      <w:start w:val="1"/>
      <w:numFmt w:val="bullet"/>
      <w:lvlText w:val=""/>
      <w:lvlJc w:val="left"/>
      <w:pPr>
        <w:ind w:left="720" w:hanging="360"/>
      </w:pPr>
      <w:rPr>
        <w:rFonts w:ascii="Symbol" w:hAnsi="Symbol" w:hint="default"/>
      </w:rPr>
    </w:lvl>
    <w:lvl w:ilvl="1" w:tplc="1F766084">
      <w:start w:val="1"/>
      <w:numFmt w:val="bullet"/>
      <w:lvlText w:val="­"/>
      <w:lvlJc w:val="left"/>
      <w:pPr>
        <w:ind w:left="108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15C6F10"/>
    <w:multiLevelType w:val="hybridMultilevel"/>
    <w:tmpl w:val="2A2C49DE"/>
    <w:lvl w:ilvl="0" w:tplc="599AFF56">
      <w:start w:val="1"/>
      <w:numFmt w:val="bullet"/>
      <w:lvlText w:val=""/>
      <w:lvlJc w:val="left"/>
      <w:pPr>
        <w:ind w:left="360" w:hanging="360"/>
      </w:pPr>
      <w:rPr>
        <w:rFonts w:ascii="Symbol" w:hAnsi="Symbol" w:hint="default"/>
        <w:color w:val="545454" w:themeColor="text2" w:themeTint="BF"/>
      </w:rPr>
    </w:lvl>
    <w:lvl w:ilvl="1" w:tplc="1F766084">
      <w:start w:val="1"/>
      <w:numFmt w:val="bullet"/>
      <w:lvlText w:val="­"/>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B9B159F"/>
    <w:multiLevelType w:val="multilevel"/>
    <w:tmpl w:val="1F963B46"/>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9" w15:restartNumberingAfterBreak="0">
    <w:nsid w:val="2DB77E4A"/>
    <w:multiLevelType w:val="hybridMultilevel"/>
    <w:tmpl w:val="46F479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7ED47C6"/>
    <w:multiLevelType w:val="hybridMultilevel"/>
    <w:tmpl w:val="19E242F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C566558"/>
    <w:multiLevelType w:val="hybridMultilevel"/>
    <w:tmpl w:val="371A55DE"/>
    <w:lvl w:ilvl="0" w:tplc="0C090001">
      <w:start w:val="1"/>
      <w:numFmt w:val="bullet"/>
      <w:lvlText w:val=""/>
      <w:lvlJc w:val="left"/>
      <w:pPr>
        <w:ind w:left="360" w:hanging="360"/>
      </w:pPr>
      <w:rPr>
        <w:rFonts w:ascii="Symbol" w:hAnsi="Symbol" w:hint="default"/>
      </w:rPr>
    </w:lvl>
    <w:lvl w:ilvl="1" w:tplc="1F766084">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0ED0064"/>
    <w:multiLevelType w:val="hybridMultilevel"/>
    <w:tmpl w:val="469E899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E794F03"/>
    <w:multiLevelType w:val="hybridMultilevel"/>
    <w:tmpl w:val="CA104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5"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6" w15:restartNumberingAfterBreak="0">
    <w:nsid w:val="6B80622E"/>
    <w:multiLevelType w:val="hybridMultilevel"/>
    <w:tmpl w:val="9D4E5424"/>
    <w:lvl w:ilvl="0" w:tplc="EC5E7EE2">
      <w:start w:val="1"/>
      <w:numFmt w:val="bullet"/>
      <w:lvlText w:val=""/>
      <w:lvlJc w:val="left"/>
      <w:pPr>
        <w:ind w:left="720" w:hanging="360"/>
      </w:pPr>
      <w:rPr>
        <w:rFonts w:ascii="Symbol" w:hAnsi="Symbol" w:hint="default"/>
        <w:color w:val="545454" w:themeColor="text2" w:themeTint="BF"/>
      </w:rPr>
    </w:lvl>
    <w:lvl w:ilvl="1" w:tplc="1F766084">
      <w:start w:val="1"/>
      <w:numFmt w:val="bullet"/>
      <w:lvlText w:val="­"/>
      <w:lvlJc w:val="left"/>
      <w:pPr>
        <w:ind w:left="1080" w:hanging="360"/>
      </w:pPr>
      <w:rPr>
        <w:rFonts w:ascii="Courier New" w:hAnsi="Courier New" w:hint="default"/>
      </w:rPr>
    </w:lvl>
    <w:lvl w:ilvl="2" w:tplc="655AC9CC">
      <w:start w:val="1"/>
      <w:numFmt w:val="bullet"/>
      <w:lvlText w:val=""/>
      <w:lvlJc w:val="left"/>
      <w:pPr>
        <w:ind w:left="2160" w:hanging="360"/>
      </w:pPr>
      <w:rPr>
        <w:rFonts w:ascii="Wingdings" w:hAnsi="Wingdings" w:hint="default"/>
        <w:color w:val="545454" w:themeColor="text2" w:themeTint="BF"/>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3107305"/>
    <w:multiLevelType w:val="multilevel"/>
    <w:tmpl w:val="79262C7A"/>
    <w:styleLink w:val="BulletsList"/>
    <w:lvl w:ilvl="0">
      <w:start w:val="1"/>
      <w:numFmt w:val="bullet"/>
      <w:pStyle w:val="Bullet1"/>
      <w:lvlText w:val=""/>
      <w:lvlJc w:val="left"/>
      <w:pPr>
        <w:ind w:left="568" w:hanging="284"/>
      </w:pPr>
      <w:rPr>
        <w:rFonts w:ascii="Symbol" w:hAnsi="Symbol" w:hint="default"/>
      </w:rPr>
    </w:lvl>
    <w:lvl w:ilvl="1">
      <w:start w:val="1"/>
      <w:numFmt w:val="bullet"/>
      <w:pStyle w:val="Bullet2"/>
      <w:lvlText w:val="–"/>
      <w:lvlJc w:val="left"/>
      <w:pPr>
        <w:ind w:left="852" w:hanging="284"/>
      </w:pPr>
      <w:rPr>
        <w:rFonts w:ascii="Arial" w:hAnsi="Arial" w:hint="default"/>
      </w:rPr>
    </w:lvl>
    <w:lvl w:ilvl="2">
      <w:start w:val="1"/>
      <w:numFmt w:val="bullet"/>
      <w:pStyle w:val="Bullet3"/>
      <w:lvlText w:val="»"/>
      <w:lvlJc w:val="left"/>
      <w:pPr>
        <w:ind w:left="1136" w:hanging="284"/>
      </w:pPr>
      <w:rPr>
        <w:rFonts w:ascii="Arial" w:hAnsi="Arial" w:hint="default"/>
      </w:rPr>
    </w:lvl>
    <w:lvl w:ilvl="3">
      <w:start w:val="1"/>
      <w:numFmt w:val="decimal"/>
      <w:lvlText w:val="(%4)"/>
      <w:lvlJc w:val="left"/>
      <w:pPr>
        <w:ind w:left="1420" w:hanging="284"/>
      </w:pPr>
      <w:rPr>
        <w:rFonts w:hint="default"/>
      </w:rPr>
    </w:lvl>
    <w:lvl w:ilvl="4">
      <w:start w:val="1"/>
      <w:numFmt w:val="lowerLetter"/>
      <w:lvlText w:val="(%5)"/>
      <w:lvlJc w:val="left"/>
      <w:pPr>
        <w:ind w:left="1704" w:hanging="284"/>
      </w:pPr>
      <w:rPr>
        <w:rFonts w:hint="default"/>
      </w:rPr>
    </w:lvl>
    <w:lvl w:ilvl="5">
      <w:start w:val="1"/>
      <w:numFmt w:val="lowerRoman"/>
      <w:lvlText w:val="(%6)"/>
      <w:lvlJc w:val="left"/>
      <w:pPr>
        <w:ind w:left="1988" w:hanging="284"/>
      </w:pPr>
      <w:rPr>
        <w:rFonts w:hint="default"/>
      </w:rPr>
    </w:lvl>
    <w:lvl w:ilvl="6">
      <w:start w:val="1"/>
      <w:numFmt w:val="decimal"/>
      <w:lvlText w:val="%7."/>
      <w:lvlJc w:val="left"/>
      <w:pPr>
        <w:ind w:left="2272" w:hanging="284"/>
      </w:pPr>
      <w:rPr>
        <w:rFonts w:hint="default"/>
      </w:rPr>
    </w:lvl>
    <w:lvl w:ilvl="7">
      <w:start w:val="1"/>
      <w:numFmt w:val="lowerLetter"/>
      <w:lvlText w:val="%8."/>
      <w:lvlJc w:val="left"/>
      <w:pPr>
        <w:ind w:left="2556" w:hanging="284"/>
      </w:pPr>
      <w:rPr>
        <w:rFonts w:hint="default"/>
      </w:rPr>
    </w:lvl>
    <w:lvl w:ilvl="8">
      <w:start w:val="1"/>
      <w:numFmt w:val="lowerRoman"/>
      <w:lvlText w:val="%9."/>
      <w:lvlJc w:val="left"/>
      <w:pPr>
        <w:ind w:left="2840" w:hanging="284"/>
      </w:pPr>
      <w:rPr>
        <w:rFonts w:hint="default"/>
      </w:rPr>
    </w:lvl>
  </w:abstractNum>
  <w:num w:numId="1" w16cid:durableId="1163086956">
    <w:abstractNumId w:val="17"/>
  </w:num>
  <w:num w:numId="2" w16cid:durableId="17287237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368285">
    <w:abstractNumId w:val="3"/>
  </w:num>
  <w:num w:numId="4" w16cid:durableId="15622798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4632745">
    <w:abstractNumId w:val="8"/>
  </w:num>
  <w:num w:numId="6" w16cid:durableId="3772445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7343305">
    <w:abstractNumId w:val="14"/>
  </w:num>
  <w:num w:numId="8" w16cid:durableId="1466657515">
    <w:abstractNumId w:val="15"/>
  </w:num>
  <w:num w:numId="9" w16cid:durableId="388500580">
    <w:abstractNumId w:val="17"/>
  </w:num>
  <w:num w:numId="10" w16cid:durableId="1555386414">
    <w:abstractNumId w:val="3"/>
  </w:num>
  <w:num w:numId="11" w16cid:durableId="222522555">
    <w:abstractNumId w:val="8"/>
  </w:num>
  <w:num w:numId="12" w16cid:durableId="895094309">
    <w:abstractNumId w:val="4"/>
  </w:num>
  <w:num w:numId="13" w16cid:durableId="969482331">
    <w:abstractNumId w:val="16"/>
  </w:num>
  <w:num w:numId="14" w16cid:durableId="935333592">
    <w:abstractNumId w:val="7"/>
  </w:num>
  <w:num w:numId="15" w16cid:durableId="341131763">
    <w:abstractNumId w:val="11"/>
  </w:num>
  <w:num w:numId="16" w16cid:durableId="1658024924">
    <w:abstractNumId w:val="0"/>
  </w:num>
  <w:num w:numId="17" w16cid:durableId="1846820842">
    <w:abstractNumId w:val="12"/>
  </w:num>
  <w:num w:numId="18" w16cid:durableId="941259668">
    <w:abstractNumId w:val="10"/>
  </w:num>
  <w:num w:numId="19" w16cid:durableId="660232050">
    <w:abstractNumId w:val="1"/>
  </w:num>
  <w:num w:numId="20" w16cid:durableId="48388029">
    <w:abstractNumId w:val="9"/>
  </w:num>
  <w:num w:numId="21" w16cid:durableId="1003821972">
    <w:abstractNumId w:val="5"/>
  </w:num>
  <w:num w:numId="22" w16cid:durableId="1382827280">
    <w:abstractNumId w:val="2"/>
  </w:num>
  <w:num w:numId="23" w16cid:durableId="519591570">
    <w:abstractNumId w:val="6"/>
  </w:num>
  <w:num w:numId="24" w16cid:durableId="1394081896">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3B3"/>
    <w:rsid w:val="000010C8"/>
    <w:rsid w:val="00002C37"/>
    <w:rsid w:val="00010ED2"/>
    <w:rsid w:val="00017CAC"/>
    <w:rsid w:val="000211DF"/>
    <w:rsid w:val="00021AF7"/>
    <w:rsid w:val="0002782F"/>
    <w:rsid w:val="00031942"/>
    <w:rsid w:val="00034534"/>
    <w:rsid w:val="0003776A"/>
    <w:rsid w:val="00052E15"/>
    <w:rsid w:val="00054E4D"/>
    <w:rsid w:val="00055BBE"/>
    <w:rsid w:val="00060073"/>
    <w:rsid w:val="000603C7"/>
    <w:rsid w:val="00065F67"/>
    <w:rsid w:val="0007064B"/>
    <w:rsid w:val="00071404"/>
    <w:rsid w:val="000774A8"/>
    <w:rsid w:val="000827EA"/>
    <w:rsid w:val="000829F4"/>
    <w:rsid w:val="00084414"/>
    <w:rsid w:val="00090E35"/>
    <w:rsid w:val="00093075"/>
    <w:rsid w:val="000940E9"/>
    <w:rsid w:val="00096F17"/>
    <w:rsid w:val="000A0C31"/>
    <w:rsid w:val="000A4B30"/>
    <w:rsid w:val="000A6624"/>
    <w:rsid w:val="000A6A8B"/>
    <w:rsid w:val="000B6C3C"/>
    <w:rsid w:val="000B6E48"/>
    <w:rsid w:val="000C2A48"/>
    <w:rsid w:val="000C3C95"/>
    <w:rsid w:val="000C5F75"/>
    <w:rsid w:val="000C7582"/>
    <w:rsid w:val="000D155D"/>
    <w:rsid w:val="000D60B1"/>
    <w:rsid w:val="000E1389"/>
    <w:rsid w:val="000E6128"/>
    <w:rsid w:val="000E7E57"/>
    <w:rsid w:val="000F370E"/>
    <w:rsid w:val="000F38B0"/>
    <w:rsid w:val="000F732A"/>
    <w:rsid w:val="00123DC5"/>
    <w:rsid w:val="001313DB"/>
    <w:rsid w:val="00131EF4"/>
    <w:rsid w:val="00133D8C"/>
    <w:rsid w:val="001341BB"/>
    <w:rsid w:val="001348C9"/>
    <w:rsid w:val="00134A36"/>
    <w:rsid w:val="00136530"/>
    <w:rsid w:val="00137266"/>
    <w:rsid w:val="00140E92"/>
    <w:rsid w:val="00141989"/>
    <w:rsid w:val="00141C72"/>
    <w:rsid w:val="00143B56"/>
    <w:rsid w:val="00144712"/>
    <w:rsid w:val="00144C9A"/>
    <w:rsid w:val="00147D77"/>
    <w:rsid w:val="001541EA"/>
    <w:rsid w:val="00156181"/>
    <w:rsid w:val="0015634F"/>
    <w:rsid w:val="0015639C"/>
    <w:rsid w:val="001612A4"/>
    <w:rsid w:val="00166A7D"/>
    <w:rsid w:val="00170DF8"/>
    <w:rsid w:val="001714B8"/>
    <w:rsid w:val="00173EB2"/>
    <w:rsid w:val="0017684B"/>
    <w:rsid w:val="00185DDC"/>
    <w:rsid w:val="00186B8A"/>
    <w:rsid w:val="001922AE"/>
    <w:rsid w:val="0019448E"/>
    <w:rsid w:val="001952F1"/>
    <w:rsid w:val="001A2397"/>
    <w:rsid w:val="001A465C"/>
    <w:rsid w:val="001B394C"/>
    <w:rsid w:val="001C1243"/>
    <w:rsid w:val="001C190C"/>
    <w:rsid w:val="001D0CCE"/>
    <w:rsid w:val="001D1CCF"/>
    <w:rsid w:val="001D4114"/>
    <w:rsid w:val="001D7EB4"/>
    <w:rsid w:val="001E0EB7"/>
    <w:rsid w:val="001E0F50"/>
    <w:rsid w:val="001E1DC0"/>
    <w:rsid w:val="001E243D"/>
    <w:rsid w:val="001E2D46"/>
    <w:rsid w:val="001F1AC5"/>
    <w:rsid w:val="001F4825"/>
    <w:rsid w:val="00200B6C"/>
    <w:rsid w:val="0020122A"/>
    <w:rsid w:val="00204C2D"/>
    <w:rsid w:val="00205D97"/>
    <w:rsid w:val="002104CC"/>
    <w:rsid w:val="002210C3"/>
    <w:rsid w:val="002219AD"/>
    <w:rsid w:val="00221D7D"/>
    <w:rsid w:val="00222755"/>
    <w:rsid w:val="0022472B"/>
    <w:rsid w:val="00226244"/>
    <w:rsid w:val="00232247"/>
    <w:rsid w:val="002325A1"/>
    <w:rsid w:val="002335E7"/>
    <w:rsid w:val="00240A8D"/>
    <w:rsid w:val="00241B12"/>
    <w:rsid w:val="00244008"/>
    <w:rsid w:val="00244697"/>
    <w:rsid w:val="0025074D"/>
    <w:rsid w:val="002534DB"/>
    <w:rsid w:val="00253A1E"/>
    <w:rsid w:val="00253F06"/>
    <w:rsid w:val="00267239"/>
    <w:rsid w:val="002728D4"/>
    <w:rsid w:val="00275792"/>
    <w:rsid w:val="00285997"/>
    <w:rsid w:val="0028602A"/>
    <w:rsid w:val="00297103"/>
    <w:rsid w:val="002B7879"/>
    <w:rsid w:val="002C09E2"/>
    <w:rsid w:val="002C0BE9"/>
    <w:rsid w:val="002C384B"/>
    <w:rsid w:val="002D5BA1"/>
    <w:rsid w:val="002D7CE4"/>
    <w:rsid w:val="002F0549"/>
    <w:rsid w:val="002F0B67"/>
    <w:rsid w:val="002F4284"/>
    <w:rsid w:val="002F5017"/>
    <w:rsid w:val="002F6BB7"/>
    <w:rsid w:val="00301144"/>
    <w:rsid w:val="00301C05"/>
    <w:rsid w:val="00305057"/>
    <w:rsid w:val="00305BDE"/>
    <w:rsid w:val="00305C77"/>
    <w:rsid w:val="003148B7"/>
    <w:rsid w:val="003158C3"/>
    <w:rsid w:val="0031744B"/>
    <w:rsid w:val="00322A10"/>
    <w:rsid w:val="003269F7"/>
    <w:rsid w:val="003274CD"/>
    <w:rsid w:val="00334215"/>
    <w:rsid w:val="00335645"/>
    <w:rsid w:val="0034191D"/>
    <w:rsid w:val="003422BC"/>
    <w:rsid w:val="003431BF"/>
    <w:rsid w:val="00343F88"/>
    <w:rsid w:val="003458DF"/>
    <w:rsid w:val="00350575"/>
    <w:rsid w:val="0035119D"/>
    <w:rsid w:val="00351C23"/>
    <w:rsid w:val="00356A04"/>
    <w:rsid w:val="00364C83"/>
    <w:rsid w:val="00365D86"/>
    <w:rsid w:val="00371101"/>
    <w:rsid w:val="00371DD0"/>
    <w:rsid w:val="00373CEA"/>
    <w:rsid w:val="00375BD3"/>
    <w:rsid w:val="00381F32"/>
    <w:rsid w:val="0038337B"/>
    <w:rsid w:val="00391419"/>
    <w:rsid w:val="00393167"/>
    <w:rsid w:val="0039724D"/>
    <w:rsid w:val="003A58B2"/>
    <w:rsid w:val="003A71C5"/>
    <w:rsid w:val="003A7B1E"/>
    <w:rsid w:val="003B2870"/>
    <w:rsid w:val="003B4F12"/>
    <w:rsid w:val="003B66A4"/>
    <w:rsid w:val="003C09C5"/>
    <w:rsid w:val="003C0E5E"/>
    <w:rsid w:val="003C122A"/>
    <w:rsid w:val="003C447E"/>
    <w:rsid w:val="003C616E"/>
    <w:rsid w:val="003D2393"/>
    <w:rsid w:val="003D3123"/>
    <w:rsid w:val="003D379A"/>
    <w:rsid w:val="003D6485"/>
    <w:rsid w:val="003E15B3"/>
    <w:rsid w:val="003E1943"/>
    <w:rsid w:val="003E1FBD"/>
    <w:rsid w:val="003E64D6"/>
    <w:rsid w:val="003E7DE2"/>
    <w:rsid w:val="003F337F"/>
    <w:rsid w:val="0040022A"/>
    <w:rsid w:val="0040229D"/>
    <w:rsid w:val="00407F43"/>
    <w:rsid w:val="00413E8C"/>
    <w:rsid w:val="00414071"/>
    <w:rsid w:val="004150C4"/>
    <w:rsid w:val="00415C9A"/>
    <w:rsid w:val="00416DAD"/>
    <w:rsid w:val="004221A5"/>
    <w:rsid w:val="0042292C"/>
    <w:rsid w:val="00423F31"/>
    <w:rsid w:val="0042430F"/>
    <w:rsid w:val="00425772"/>
    <w:rsid w:val="0042635F"/>
    <w:rsid w:val="0042797B"/>
    <w:rsid w:val="00431899"/>
    <w:rsid w:val="00431C20"/>
    <w:rsid w:val="00432465"/>
    <w:rsid w:val="00433D84"/>
    <w:rsid w:val="00436FDA"/>
    <w:rsid w:val="00437E87"/>
    <w:rsid w:val="0044100D"/>
    <w:rsid w:val="004416AE"/>
    <w:rsid w:val="00453F5A"/>
    <w:rsid w:val="00454799"/>
    <w:rsid w:val="00456443"/>
    <w:rsid w:val="004566D5"/>
    <w:rsid w:val="00460114"/>
    <w:rsid w:val="00460FF2"/>
    <w:rsid w:val="004647CA"/>
    <w:rsid w:val="0046787C"/>
    <w:rsid w:val="00472D2C"/>
    <w:rsid w:val="004801B6"/>
    <w:rsid w:val="00480327"/>
    <w:rsid w:val="00480F45"/>
    <w:rsid w:val="0048444A"/>
    <w:rsid w:val="00484B16"/>
    <w:rsid w:val="00485D68"/>
    <w:rsid w:val="00486804"/>
    <w:rsid w:val="00490025"/>
    <w:rsid w:val="00491250"/>
    <w:rsid w:val="004925C7"/>
    <w:rsid w:val="004931ED"/>
    <w:rsid w:val="00493A8E"/>
    <w:rsid w:val="00496094"/>
    <w:rsid w:val="004A2A15"/>
    <w:rsid w:val="004A366E"/>
    <w:rsid w:val="004A37D3"/>
    <w:rsid w:val="004A6872"/>
    <w:rsid w:val="004A709A"/>
    <w:rsid w:val="004B3775"/>
    <w:rsid w:val="004B6024"/>
    <w:rsid w:val="004C1B32"/>
    <w:rsid w:val="004C2A06"/>
    <w:rsid w:val="004C33E1"/>
    <w:rsid w:val="004C5512"/>
    <w:rsid w:val="004D261D"/>
    <w:rsid w:val="004D6DF9"/>
    <w:rsid w:val="004E001E"/>
    <w:rsid w:val="004E058F"/>
    <w:rsid w:val="004E22F8"/>
    <w:rsid w:val="004E2629"/>
    <w:rsid w:val="004E3B87"/>
    <w:rsid w:val="004E615C"/>
    <w:rsid w:val="004F0C72"/>
    <w:rsid w:val="004F2485"/>
    <w:rsid w:val="004F5438"/>
    <w:rsid w:val="004F610C"/>
    <w:rsid w:val="00505E1A"/>
    <w:rsid w:val="005067C6"/>
    <w:rsid w:val="00510921"/>
    <w:rsid w:val="00510AD3"/>
    <w:rsid w:val="00513348"/>
    <w:rsid w:val="0051574A"/>
    <w:rsid w:val="005202B1"/>
    <w:rsid w:val="005234DE"/>
    <w:rsid w:val="00523836"/>
    <w:rsid w:val="00524C5B"/>
    <w:rsid w:val="00526031"/>
    <w:rsid w:val="00527F36"/>
    <w:rsid w:val="00532B4D"/>
    <w:rsid w:val="00533B5D"/>
    <w:rsid w:val="0053697B"/>
    <w:rsid w:val="00540798"/>
    <w:rsid w:val="005409E2"/>
    <w:rsid w:val="00543B22"/>
    <w:rsid w:val="00550294"/>
    <w:rsid w:val="00554E7D"/>
    <w:rsid w:val="005570E8"/>
    <w:rsid w:val="00557A42"/>
    <w:rsid w:val="00557F34"/>
    <w:rsid w:val="00561984"/>
    <w:rsid w:val="00562839"/>
    <w:rsid w:val="00576395"/>
    <w:rsid w:val="00576566"/>
    <w:rsid w:val="0057691E"/>
    <w:rsid w:val="00576E2E"/>
    <w:rsid w:val="00577E57"/>
    <w:rsid w:val="00583C59"/>
    <w:rsid w:val="00585015"/>
    <w:rsid w:val="005904E5"/>
    <w:rsid w:val="0059095D"/>
    <w:rsid w:val="00594C66"/>
    <w:rsid w:val="00595215"/>
    <w:rsid w:val="005970EA"/>
    <w:rsid w:val="005A1C0A"/>
    <w:rsid w:val="005A65FF"/>
    <w:rsid w:val="005B0768"/>
    <w:rsid w:val="005B1127"/>
    <w:rsid w:val="005C00F0"/>
    <w:rsid w:val="005C37F0"/>
    <w:rsid w:val="005C7C4E"/>
    <w:rsid w:val="005D1946"/>
    <w:rsid w:val="005D2D36"/>
    <w:rsid w:val="005D3E0C"/>
    <w:rsid w:val="005D4CE7"/>
    <w:rsid w:val="005D5DF6"/>
    <w:rsid w:val="005D72C9"/>
    <w:rsid w:val="005E1BC8"/>
    <w:rsid w:val="005E5ED6"/>
    <w:rsid w:val="005E70A2"/>
    <w:rsid w:val="005E7664"/>
    <w:rsid w:val="005F1CED"/>
    <w:rsid w:val="0060430D"/>
    <w:rsid w:val="00604E0F"/>
    <w:rsid w:val="00606C95"/>
    <w:rsid w:val="00607F32"/>
    <w:rsid w:val="00616A64"/>
    <w:rsid w:val="006177FF"/>
    <w:rsid w:val="00621D56"/>
    <w:rsid w:val="00623BA1"/>
    <w:rsid w:val="0062561A"/>
    <w:rsid w:val="006325AB"/>
    <w:rsid w:val="006346BC"/>
    <w:rsid w:val="006451CF"/>
    <w:rsid w:val="00645300"/>
    <w:rsid w:val="00647DEC"/>
    <w:rsid w:val="00650664"/>
    <w:rsid w:val="00650F71"/>
    <w:rsid w:val="0066011A"/>
    <w:rsid w:val="00661966"/>
    <w:rsid w:val="006623DE"/>
    <w:rsid w:val="00665EBF"/>
    <w:rsid w:val="00666291"/>
    <w:rsid w:val="0066652A"/>
    <w:rsid w:val="00671DEF"/>
    <w:rsid w:val="00672643"/>
    <w:rsid w:val="00674195"/>
    <w:rsid w:val="00674AF5"/>
    <w:rsid w:val="0067665C"/>
    <w:rsid w:val="00682167"/>
    <w:rsid w:val="00695797"/>
    <w:rsid w:val="006A17B9"/>
    <w:rsid w:val="006A1BCA"/>
    <w:rsid w:val="006A2734"/>
    <w:rsid w:val="006A7436"/>
    <w:rsid w:val="006B1ACE"/>
    <w:rsid w:val="006B31CE"/>
    <w:rsid w:val="006B7578"/>
    <w:rsid w:val="006C1AAB"/>
    <w:rsid w:val="006C414E"/>
    <w:rsid w:val="006C42AF"/>
    <w:rsid w:val="006C4DD1"/>
    <w:rsid w:val="006C6503"/>
    <w:rsid w:val="006C6855"/>
    <w:rsid w:val="006D1367"/>
    <w:rsid w:val="006D2189"/>
    <w:rsid w:val="006D5B6D"/>
    <w:rsid w:val="006D7A56"/>
    <w:rsid w:val="006E6FBF"/>
    <w:rsid w:val="006F21A8"/>
    <w:rsid w:val="006F3D51"/>
    <w:rsid w:val="006F6781"/>
    <w:rsid w:val="006F7625"/>
    <w:rsid w:val="006F78E8"/>
    <w:rsid w:val="00701E7C"/>
    <w:rsid w:val="00702786"/>
    <w:rsid w:val="00703F29"/>
    <w:rsid w:val="00706582"/>
    <w:rsid w:val="0070781A"/>
    <w:rsid w:val="00707944"/>
    <w:rsid w:val="00711D8E"/>
    <w:rsid w:val="00712672"/>
    <w:rsid w:val="00724DA3"/>
    <w:rsid w:val="007250E3"/>
    <w:rsid w:val="007256FA"/>
    <w:rsid w:val="00727B9C"/>
    <w:rsid w:val="007303E1"/>
    <w:rsid w:val="007318D8"/>
    <w:rsid w:val="00732C1E"/>
    <w:rsid w:val="00734E3F"/>
    <w:rsid w:val="007350CB"/>
    <w:rsid w:val="00735EFE"/>
    <w:rsid w:val="00736746"/>
    <w:rsid w:val="00736985"/>
    <w:rsid w:val="00737A13"/>
    <w:rsid w:val="007509A6"/>
    <w:rsid w:val="00750C72"/>
    <w:rsid w:val="00755521"/>
    <w:rsid w:val="00756140"/>
    <w:rsid w:val="0075645F"/>
    <w:rsid w:val="00757EEF"/>
    <w:rsid w:val="007626B0"/>
    <w:rsid w:val="00763749"/>
    <w:rsid w:val="00767E23"/>
    <w:rsid w:val="007734E9"/>
    <w:rsid w:val="00777080"/>
    <w:rsid w:val="0078083E"/>
    <w:rsid w:val="00780BDB"/>
    <w:rsid w:val="00786180"/>
    <w:rsid w:val="007A13D2"/>
    <w:rsid w:val="007A2698"/>
    <w:rsid w:val="007A2AB6"/>
    <w:rsid w:val="007A4341"/>
    <w:rsid w:val="007A4629"/>
    <w:rsid w:val="007A4DB5"/>
    <w:rsid w:val="007A5DFF"/>
    <w:rsid w:val="007B1D84"/>
    <w:rsid w:val="007B2124"/>
    <w:rsid w:val="007B317C"/>
    <w:rsid w:val="007B6200"/>
    <w:rsid w:val="007D01A0"/>
    <w:rsid w:val="007D09F5"/>
    <w:rsid w:val="007D29D9"/>
    <w:rsid w:val="007D2E86"/>
    <w:rsid w:val="007D3156"/>
    <w:rsid w:val="007D5271"/>
    <w:rsid w:val="007D55D8"/>
    <w:rsid w:val="007D6F68"/>
    <w:rsid w:val="007D7E3D"/>
    <w:rsid w:val="007E2435"/>
    <w:rsid w:val="007E4139"/>
    <w:rsid w:val="007E7555"/>
    <w:rsid w:val="007F20DF"/>
    <w:rsid w:val="007F74F6"/>
    <w:rsid w:val="00800BA1"/>
    <w:rsid w:val="00801B9F"/>
    <w:rsid w:val="00804FE0"/>
    <w:rsid w:val="00806840"/>
    <w:rsid w:val="0081025D"/>
    <w:rsid w:val="00811386"/>
    <w:rsid w:val="00815605"/>
    <w:rsid w:val="00815670"/>
    <w:rsid w:val="008204B1"/>
    <w:rsid w:val="00824661"/>
    <w:rsid w:val="0082589D"/>
    <w:rsid w:val="008258C9"/>
    <w:rsid w:val="00833704"/>
    <w:rsid w:val="0084277A"/>
    <w:rsid w:val="008443C4"/>
    <w:rsid w:val="00844F50"/>
    <w:rsid w:val="00847733"/>
    <w:rsid w:val="00853478"/>
    <w:rsid w:val="00856952"/>
    <w:rsid w:val="008656E6"/>
    <w:rsid w:val="008668EE"/>
    <w:rsid w:val="0087522B"/>
    <w:rsid w:val="00875342"/>
    <w:rsid w:val="00875A8D"/>
    <w:rsid w:val="0088067C"/>
    <w:rsid w:val="00880B3F"/>
    <w:rsid w:val="0088136C"/>
    <w:rsid w:val="00884041"/>
    <w:rsid w:val="00885ECA"/>
    <w:rsid w:val="00887864"/>
    <w:rsid w:val="008929AE"/>
    <w:rsid w:val="0089332D"/>
    <w:rsid w:val="00894E70"/>
    <w:rsid w:val="00896B2D"/>
    <w:rsid w:val="00897E9C"/>
    <w:rsid w:val="008B1119"/>
    <w:rsid w:val="008B5632"/>
    <w:rsid w:val="008B62C7"/>
    <w:rsid w:val="008B6F8C"/>
    <w:rsid w:val="008D3898"/>
    <w:rsid w:val="008D4A99"/>
    <w:rsid w:val="008E279B"/>
    <w:rsid w:val="008E5655"/>
    <w:rsid w:val="008E72FB"/>
    <w:rsid w:val="008F4933"/>
    <w:rsid w:val="008F7462"/>
    <w:rsid w:val="00901735"/>
    <w:rsid w:val="0090309A"/>
    <w:rsid w:val="009037EC"/>
    <w:rsid w:val="00910346"/>
    <w:rsid w:val="00910823"/>
    <w:rsid w:val="00913AC8"/>
    <w:rsid w:val="00914839"/>
    <w:rsid w:val="0092076C"/>
    <w:rsid w:val="00922E71"/>
    <w:rsid w:val="0092346A"/>
    <w:rsid w:val="009344C9"/>
    <w:rsid w:val="0093483E"/>
    <w:rsid w:val="009358AC"/>
    <w:rsid w:val="00940726"/>
    <w:rsid w:val="00941F5A"/>
    <w:rsid w:val="00943359"/>
    <w:rsid w:val="0094726B"/>
    <w:rsid w:val="00947562"/>
    <w:rsid w:val="00952274"/>
    <w:rsid w:val="009534EF"/>
    <w:rsid w:val="00955889"/>
    <w:rsid w:val="009571FF"/>
    <w:rsid w:val="00957D5D"/>
    <w:rsid w:val="009659BA"/>
    <w:rsid w:val="009669F3"/>
    <w:rsid w:val="0097791B"/>
    <w:rsid w:val="009806D6"/>
    <w:rsid w:val="00985FF8"/>
    <w:rsid w:val="00987AD9"/>
    <w:rsid w:val="00990B93"/>
    <w:rsid w:val="00991508"/>
    <w:rsid w:val="0099243B"/>
    <w:rsid w:val="009949C6"/>
    <w:rsid w:val="009A2846"/>
    <w:rsid w:val="009A2DA7"/>
    <w:rsid w:val="009A5737"/>
    <w:rsid w:val="009B05A2"/>
    <w:rsid w:val="009B3472"/>
    <w:rsid w:val="009B4D3B"/>
    <w:rsid w:val="009B7333"/>
    <w:rsid w:val="009C7BDB"/>
    <w:rsid w:val="009D0CC3"/>
    <w:rsid w:val="009D23B6"/>
    <w:rsid w:val="009D3979"/>
    <w:rsid w:val="009D507D"/>
    <w:rsid w:val="009D7407"/>
    <w:rsid w:val="009E0866"/>
    <w:rsid w:val="009E3CD5"/>
    <w:rsid w:val="009E5012"/>
    <w:rsid w:val="009E561B"/>
    <w:rsid w:val="009F2C65"/>
    <w:rsid w:val="009F77E3"/>
    <w:rsid w:val="00A05899"/>
    <w:rsid w:val="00A12F81"/>
    <w:rsid w:val="00A138A7"/>
    <w:rsid w:val="00A1469A"/>
    <w:rsid w:val="00A14F7C"/>
    <w:rsid w:val="00A20E8E"/>
    <w:rsid w:val="00A229A1"/>
    <w:rsid w:val="00A24A62"/>
    <w:rsid w:val="00A308A8"/>
    <w:rsid w:val="00A31C9F"/>
    <w:rsid w:val="00A327DD"/>
    <w:rsid w:val="00A32F17"/>
    <w:rsid w:val="00A351F9"/>
    <w:rsid w:val="00A4269F"/>
    <w:rsid w:val="00A431F1"/>
    <w:rsid w:val="00A43E7E"/>
    <w:rsid w:val="00A452F7"/>
    <w:rsid w:val="00A53242"/>
    <w:rsid w:val="00A53C12"/>
    <w:rsid w:val="00A549FD"/>
    <w:rsid w:val="00A57A97"/>
    <w:rsid w:val="00A603EC"/>
    <w:rsid w:val="00A6182D"/>
    <w:rsid w:val="00A6461F"/>
    <w:rsid w:val="00A64BEA"/>
    <w:rsid w:val="00A67A17"/>
    <w:rsid w:val="00A760E9"/>
    <w:rsid w:val="00A82CC9"/>
    <w:rsid w:val="00A91727"/>
    <w:rsid w:val="00A92503"/>
    <w:rsid w:val="00A94E9F"/>
    <w:rsid w:val="00A96925"/>
    <w:rsid w:val="00AA0221"/>
    <w:rsid w:val="00AA0BAA"/>
    <w:rsid w:val="00AA2DB2"/>
    <w:rsid w:val="00AA3B9A"/>
    <w:rsid w:val="00AA3E7E"/>
    <w:rsid w:val="00AB19CF"/>
    <w:rsid w:val="00AB3692"/>
    <w:rsid w:val="00AB533F"/>
    <w:rsid w:val="00AB619E"/>
    <w:rsid w:val="00AB642F"/>
    <w:rsid w:val="00AB6A37"/>
    <w:rsid w:val="00AB6D4E"/>
    <w:rsid w:val="00AB6EB7"/>
    <w:rsid w:val="00AC086A"/>
    <w:rsid w:val="00AC1308"/>
    <w:rsid w:val="00AC164A"/>
    <w:rsid w:val="00AC2BF1"/>
    <w:rsid w:val="00AC4BBD"/>
    <w:rsid w:val="00AD037F"/>
    <w:rsid w:val="00AD2524"/>
    <w:rsid w:val="00AD301B"/>
    <w:rsid w:val="00AD3EEF"/>
    <w:rsid w:val="00AD43B3"/>
    <w:rsid w:val="00AE618C"/>
    <w:rsid w:val="00AE6C8C"/>
    <w:rsid w:val="00AF14ED"/>
    <w:rsid w:val="00AF17D6"/>
    <w:rsid w:val="00AF2050"/>
    <w:rsid w:val="00AF60AB"/>
    <w:rsid w:val="00B02B16"/>
    <w:rsid w:val="00B06A6D"/>
    <w:rsid w:val="00B07395"/>
    <w:rsid w:val="00B1089E"/>
    <w:rsid w:val="00B10D03"/>
    <w:rsid w:val="00B12467"/>
    <w:rsid w:val="00B13F31"/>
    <w:rsid w:val="00B21AAF"/>
    <w:rsid w:val="00B21F3E"/>
    <w:rsid w:val="00B22140"/>
    <w:rsid w:val="00B22ABE"/>
    <w:rsid w:val="00B23364"/>
    <w:rsid w:val="00B23DD8"/>
    <w:rsid w:val="00B26A2D"/>
    <w:rsid w:val="00B330CF"/>
    <w:rsid w:val="00B35A7B"/>
    <w:rsid w:val="00B40FEE"/>
    <w:rsid w:val="00B4600D"/>
    <w:rsid w:val="00B4636A"/>
    <w:rsid w:val="00B47CB1"/>
    <w:rsid w:val="00B53529"/>
    <w:rsid w:val="00B56576"/>
    <w:rsid w:val="00B60352"/>
    <w:rsid w:val="00B60DC8"/>
    <w:rsid w:val="00B61F6A"/>
    <w:rsid w:val="00B63615"/>
    <w:rsid w:val="00B70F4D"/>
    <w:rsid w:val="00B72E11"/>
    <w:rsid w:val="00B73093"/>
    <w:rsid w:val="00B76CA9"/>
    <w:rsid w:val="00B770C4"/>
    <w:rsid w:val="00B80412"/>
    <w:rsid w:val="00B8077B"/>
    <w:rsid w:val="00B84006"/>
    <w:rsid w:val="00B866E6"/>
    <w:rsid w:val="00B87887"/>
    <w:rsid w:val="00B9166C"/>
    <w:rsid w:val="00B96886"/>
    <w:rsid w:val="00BA10B8"/>
    <w:rsid w:val="00BA7996"/>
    <w:rsid w:val="00BA79CD"/>
    <w:rsid w:val="00BB26C5"/>
    <w:rsid w:val="00BB3476"/>
    <w:rsid w:val="00BB79A3"/>
    <w:rsid w:val="00BB7C01"/>
    <w:rsid w:val="00BC0054"/>
    <w:rsid w:val="00BC49D6"/>
    <w:rsid w:val="00BC75D7"/>
    <w:rsid w:val="00BD0545"/>
    <w:rsid w:val="00BD1C40"/>
    <w:rsid w:val="00BD5605"/>
    <w:rsid w:val="00BE0497"/>
    <w:rsid w:val="00BF4DE6"/>
    <w:rsid w:val="00BF72BD"/>
    <w:rsid w:val="00BF77EE"/>
    <w:rsid w:val="00C158A7"/>
    <w:rsid w:val="00C16891"/>
    <w:rsid w:val="00C23AE5"/>
    <w:rsid w:val="00C24AC4"/>
    <w:rsid w:val="00C27965"/>
    <w:rsid w:val="00C32A7C"/>
    <w:rsid w:val="00C42531"/>
    <w:rsid w:val="00C42CDE"/>
    <w:rsid w:val="00C44F66"/>
    <w:rsid w:val="00C723E9"/>
    <w:rsid w:val="00C76B4F"/>
    <w:rsid w:val="00C77FAB"/>
    <w:rsid w:val="00C8057F"/>
    <w:rsid w:val="00C93649"/>
    <w:rsid w:val="00C937DA"/>
    <w:rsid w:val="00C970D6"/>
    <w:rsid w:val="00CA32E2"/>
    <w:rsid w:val="00CA33B1"/>
    <w:rsid w:val="00CA37B1"/>
    <w:rsid w:val="00CA68A4"/>
    <w:rsid w:val="00CB1959"/>
    <w:rsid w:val="00CB262B"/>
    <w:rsid w:val="00CC2053"/>
    <w:rsid w:val="00CC5439"/>
    <w:rsid w:val="00CC7248"/>
    <w:rsid w:val="00CE2CC5"/>
    <w:rsid w:val="00CF0423"/>
    <w:rsid w:val="00CF0D3A"/>
    <w:rsid w:val="00D0296C"/>
    <w:rsid w:val="00D1025A"/>
    <w:rsid w:val="00D16486"/>
    <w:rsid w:val="00D169D0"/>
    <w:rsid w:val="00D16A0C"/>
    <w:rsid w:val="00D16BE6"/>
    <w:rsid w:val="00D20F82"/>
    <w:rsid w:val="00D21A9D"/>
    <w:rsid w:val="00D21FCA"/>
    <w:rsid w:val="00D2253C"/>
    <w:rsid w:val="00D22869"/>
    <w:rsid w:val="00D23BA1"/>
    <w:rsid w:val="00D32C15"/>
    <w:rsid w:val="00D34166"/>
    <w:rsid w:val="00D37A6C"/>
    <w:rsid w:val="00D43779"/>
    <w:rsid w:val="00D459B6"/>
    <w:rsid w:val="00D46D82"/>
    <w:rsid w:val="00D55F55"/>
    <w:rsid w:val="00D652DD"/>
    <w:rsid w:val="00D655D0"/>
    <w:rsid w:val="00D70038"/>
    <w:rsid w:val="00D7670B"/>
    <w:rsid w:val="00D77D91"/>
    <w:rsid w:val="00D77E81"/>
    <w:rsid w:val="00D83FFC"/>
    <w:rsid w:val="00D91422"/>
    <w:rsid w:val="00D93F8E"/>
    <w:rsid w:val="00D9432F"/>
    <w:rsid w:val="00D94F72"/>
    <w:rsid w:val="00D97679"/>
    <w:rsid w:val="00DA2394"/>
    <w:rsid w:val="00DA2BA4"/>
    <w:rsid w:val="00DA67CA"/>
    <w:rsid w:val="00DB0417"/>
    <w:rsid w:val="00DB6D69"/>
    <w:rsid w:val="00DB78ED"/>
    <w:rsid w:val="00DC0640"/>
    <w:rsid w:val="00DC0A95"/>
    <w:rsid w:val="00DC430B"/>
    <w:rsid w:val="00DC474C"/>
    <w:rsid w:val="00DC6A7E"/>
    <w:rsid w:val="00DC6AF4"/>
    <w:rsid w:val="00DD0DA7"/>
    <w:rsid w:val="00DD2D78"/>
    <w:rsid w:val="00DD4D9C"/>
    <w:rsid w:val="00DD556E"/>
    <w:rsid w:val="00DD58D8"/>
    <w:rsid w:val="00DD5AA2"/>
    <w:rsid w:val="00DD66E1"/>
    <w:rsid w:val="00DD7F13"/>
    <w:rsid w:val="00DE4865"/>
    <w:rsid w:val="00DF1772"/>
    <w:rsid w:val="00DF25F7"/>
    <w:rsid w:val="00DF2D21"/>
    <w:rsid w:val="00DF3B3B"/>
    <w:rsid w:val="00DF4AB6"/>
    <w:rsid w:val="00DF5B95"/>
    <w:rsid w:val="00E00515"/>
    <w:rsid w:val="00E0348E"/>
    <w:rsid w:val="00E058DF"/>
    <w:rsid w:val="00E10F3B"/>
    <w:rsid w:val="00E129E2"/>
    <w:rsid w:val="00E1310B"/>
    <w:rsid w:val="00E15D31"/>
    <w:rsid w:val="00E20A7E"/>
    <w:rsid w:val="00E24434"/>
    <w:rsid w:val="00E2677C"/>
    <w:rsid w:val="00E3058B"/>
    <w:rsid w:val="00E3142D"/>
    <w:rsid w:val="00E357B7"/>
    <w:rsid w:val="00E36583"/>
    <w:rsid w:val="00E37A35"/>
    <w:rsid w:val="00E37E6E"/>
    <w:rsid w:val="00E43A35"/>
    <w:rsid w:val="00E44D53"/>
    <w:rsid w:val="00E45AC5"/>
    <w:rsid w:val="00E53800"/>
    <w:rsid w:val="00E53A20"/>
    <w:rsid w:val="00E56026"/>
    <w:rsid w:val="00E56CBC"/>
    <w:rsid w:val="00E57AE0"/>
    <w:rsid w:val="00E6081F"/>
    <w:rsid w:val="00E61F17"/>
    <w:rsid w:val="00E62C52"/>
    <w:rsid w:val="00E66371"/>
    <w:rsid w:val="00E66683"/>
    <w:rsid w:val="00E670BA"/>
    <w:rsid w:val="00E6785A"/>
    <w:rsid w:val="00E67BE9"/>
    <w:rsid w:val="00E733D1"/>
    <w:rsid w:val="00E751DE"/>
    <w:rsid w:val="00E7699C"/>
    <w:rsid w:val="00E86552"/>
    <w:rsid w:val="00E86BF5"/>
    <w:rsid w:val="00E87433"/>
    <w:rsid w:val="00E914A6"/>
    <w:rsid w:val="00E91B07"/>
    <w:rsid w:val="00EA00D0"/>
    <w:rsid w:val="00EA04B2"/>
    <w:rsid w:val="00EA20F3"/>
    <w:rsid w:val="00EA3271"/>
    <w:rsid w:val="00EA7064"/>
    <w:rsid w:val="00EB1BAB"/>
    <w:rsid w:val="00EC2ECE"/>
    <w:rsid w:val="00EC5594"/>
    <w:rsid w:val="00EC6281"/>
    <w:rsid w:val="00ED30A6"/>
    <w:rsid w:val="00ED43D1"/>
    <w:rsid w:val="00EE14A1"/>
    <w:rsid w:val="00EE3105"/>
    <w:rsid w:val="00EE3D9C"/>
    <w:rsid w:val="00EE4EE1"/>
    <w:rsid w:val="00EE6EE0"/>
    <w:rsid w:val="00EF180F"/>
    <w:rsid w:val="00EF2EA7"/>
    <w:rsid w:val="00EF3761"/>
    <w:rsid w:val="00EF4574"/>
    <w:rsid w:val="00EF48F9"/>
    <w:rsid w:val="00EF7DC5"/>
    <w:rsid w:val="00F14FF9"/>
    <w:rsid w:val="00F17C3E"/>
    <w:rsid w:val="00F20008"/>
    <w:rsid w:val="00F2684E"/>
    <w:rsid w:val="00F37F22"/>
    <w:rsid w:val="00F479D7"/>
    <w:rsid w:val="00F56B6E"/>
    <w:rsid w:val="00F577FE"/>
    <w:rsid w:val="00F66723"/>
    <w:rsid w:val="00F6721F"/>
    <w:rsid w:val="00F70B32"/>
    <w:rsid w:val="00F7105D"/>
    <w:rsid w:val="00F71670"/>
    <w:rsid w:val="00F729EF"/>
    <w:rsid w:val="00F74EAA"/>
    <w:rsid w:val="00F77CAE"/>
    <w:rsid w:val="00F839AD"/>
    <w:rsid w:val="00F84E00"/>
    <w:rsid w:val="00F9043F"/>
    <w:rsid w:val="00F94718"/>
    <w:rsid w:val="00F94A2A"/>
    <w:rsid w:val="00F96BB9"/>
    <w:rsid w:val="00FA13DE"/>
    <w:rsid w:val="00FA273F"/>
    <w:rsid w:val="00FA2F54"/>
    <w:rsid w:val="00FB267C"/>
    <w:rsid w:val="00FB2A57"/>
    <w:rsid w:val="00FB44AA"/>
    <w:rsid w:val="00FB477B"/>
    <w:rsid w:val="00FB75C9"/>
    <w:rsid w:val="00FC0C08"/>
    <w:rsid w:val="00FC3A3D"/>
    <w:rsid w:val="00FC4468"/>
    <w:rsid w:val="00FC5DBD"/>
    <w:rsid w:val="00FD054E"/>
    <w:rsid w:val="00FD2F92"/>
    <w:rsid w:val="00FE03F9"/>
    <w:rsid w:val="00FE6D51"/>
    <w:rsid w:val="00FF06B0"/>
    <w:rsid w:val="00FF12F4"/>
    <w:rsid w:val="00FF25F9"/>
    <w:rsid w:val="00FF30B7"/>
    <w:rsid w:val="00FF77C1"/>
    <w:rsid w:val="4CD14B73"/>
    <w:rsid w:val="55EF6B3D"/>
    <w:rsid w:val="57C2688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C780F"/>
  <w15:docId w15:val="{E82B0239-4098-4A3D-BC37-4AF052A8D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3B3"/>
    <w:pPr>
      <w:spacing w:after="160" w:line="278" w:lineRule="auto"/>
    </w:pPr>
    <w:rPr>
      <w:kern w:val="2"/>
      <w:sz w:val="24"/>
      <w:szCs w:val="24"/>
      <w14:ligatures w14:val="standardContextual"/>
    </w:rPr>
  </w:style>
  <w:style w:type="paragraph" w:styleId="Heading1">
    <w:name w:val="heading 1"/>
    <w:basedOn w:val="Normal"/>
    <w:next w:val="Normal"/>
    <w:link w:val="Heading1Char"/>
    <w:autoRedefine/>
    <w:uiPriority w:val="9"/>
    <w:qFormat/>
    <w:rsid w:val="008929AE"/>
    <w:pPr>
      <w:keepNext/>
      <w:keepLines/>
      <w:spacing w:before="360" w:after="120" w:line="460" w:lineRule="atLeast"/>
      <w:contextualSpacing/>
      <w:outlineLvl w:val="0"/>
    </w:pPr>
    <w:rPr>
      <w:rFonts w:asciiTheme="majorHAnsi" w:eastAsiaTheme="majorEastAsia" w:hAnsiTheme="majorHAnsi" w:cstheme="majorBidi"/>
      <w:bCs/>
      <w:color w:val="007DB6" w:themeColor="accent3"/>
      <w:sz w:val="40"/>
      <w:szCs w:val="28"/>
    </w:rPr>
  </w:style>
  <w:style w:type="paragraph" w:styleId="Heading2">
    <w:name w:val="heading 2"/>
    <w:basedOn w:val="Heading1"/>
    <w:next w:val="Normal"/>
    <w:link w:val="Heading2Char"/>
    <w:uiPriority w:val="9"/>
    <w:unhideWhenUsed/>
    <w:qFormat/>
    <w:rsid w:val="008929AE"/>
    <w:pPr>
      <w:spacing w:line="400" w:lineRule="atLeast"/>
      <w:outlineLvl w:val="1"/>
    </w:pPr>
    <w:rPr>
      <w:bCs w:val="0"/>
      <w:sz w:val="34"/>
      <w:szCs w:val="26"/>
    </w:rPr>
  </w:style>
  <w:style w:type="paragraph" w:styleId="Heading3">
    <w:name w:val="heading 3"/>
    <w:basedOn w:val="Heading2"/>
    <w:next w:val="Normal"/>
    <w:link w:val="Heading3Char"/>
    <w:uiPriority w:val="9"/>
    <w:unhideWhenUsed/>
    <w:qFormat/>
    <w:rsid w:val="008929AE"/>
    <w:pPr>
      <w:spacing w:line="340" w:lineRule="atLeast"/>
      <w:outlineLvl w:val="2"/>
    </w:pPr>
    <w:rPr>
      <w:bCs/>
      <w:sz w:val="30"/>
    </w:rPr>
  </w:style>
  <w:style w:type="paragraph" w:styleId="Heading4">
    <w:name w:val="heading 4"/>
    <w:basedOn w:val="Heading3"/>
    <w:next w:val="Normal"/>
    <w:link w:val="Heading4Char"/>
    <w:uiPriority w:val="9"/>
    <w:unhideWhenUsed/>
    <w:qFormat/>
    <w:rsid w:val="008929AE"/>
    <w:pPr>
      <w:spacing w:before="240" w:line="300" w:lineRule="atLeast"/>
      <w:outlineLvl w:val="3"/>
    </w:pPr>
    <w:rPr>
      <w:iCs/>
      <w:sz w:val="26"/>
    </w:rPr>
  </w:style>
  <w:style w:type="paragraph" w:styleId="Heading5">
    <w:name w:val="heading 5"/>
    <w:basedOn w:val="Heading4"/>
    <w:next w:val="Normal"/>
    <w:link w:val="Heading5Char"/>
    <w:uiPriority w:val="9"/>
    <w:semiHidden/>
    <w:unhideWhenUsed/>
    <w:qFormat/>
    <w:rsid w:val="008929AE"/>
    <w:pPr>
      <w:outlineLvl w:val="4"/>
    </w:pPr>
    <w:rPr>
      <w:i/>
      <w:sz w:val="22"/>
    </w:rPr>
  </w:style>
  <w:style w:type="paragraph" w:styleId="Heading6">
    <w:name w:val="heading 6"/>
    <w:basedOn w:val="Heading5"/>
    <w:next w:val="Normal"/>
    <w:link w:val="Heading6Char"/>
    <w:uiPriority w:val="9"/>
    <w:semiHidden/>
    <w:unhideWhenUsed/>
    <w:qFormat/>
    <w:rsid w:val="008929AE"/>
    <w:pPr>
      <w:spacing w:before="40"/>
      <w:outlineLvl w:val="5"/>
    </w:pPr>
    <w:rPr>
      <w:color w:val="1471A5" w:themeColor="accent1" w:themeShade="7F"/>
    </w:rPr>
  </w:style>
  <w:style w:type="paragraph" w:styleId="Heading7">
    <w:name w:val="heading 7"/>
    <w:basedOn w:val="Heading6"/>
    <w:next w:val="Normal"/>
    <w:link w:val="Heading7Char"/>
    <w:uiPriority w:val="9"/>
    <w:semiHidden/>
    <w:unhideWhenUsed/>
    <w:qFormat/>
    <w:rsid w:val="008929AE"/>
    <w:pPr>
      <w:outlineLvl w:val="6"/>
    </w:pPr>
    <w:rPr>
      <w:i w:val="0"/>
      <w:iCs w:val="0"/>
    </w:rPr>
  </w:style>
  <w:style w:type="paragraph" w:styleId="Heading8">
    <w:name w:val="heading 8"/>
    <w:basedOn w:val="Heading7"/>
    <w:next w:val="Normal"/>
    <w:link w:val="Heading8Char"/>
    <w:uiPriority w:val="9"/>
    <w:semiHidden/>
    <w:unhideWhenUsed/>
    <w:qFormat/>
    <w:rsid w:val="008929AE"/>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8929AE"/>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9AE"/>
    <w:rPr>
      <w:rFonts w:asciiTheme="majorHAnsi" w:eastAsiaTheme="majorEastAsia" w:hAnsiTheme="majorHAnsi" w:cstheme="majorBidi"/>
      <w:bCs/>
      <w:color w:val="007DB6" w:themeColor="accent3"/>
      <w:sz w:val="40"/>
      <w:szCs w:val="28"/>
    </w:rPr>
  </w:style>
  <w:style w:type="character" w:customStyle="1" w:styleId="Heading2Char">
    <w:name w:val="Heading 2 Char"/>
    <w:basedOn w:val="DefaultParagraphFont"/>
    <w:link w:val="Heading2"/>
    <w:uiPriority w:val="9"/>
    <w:rsid w:val="008929AE"/>
    <w:rPr>
      <w:rFonts w:asciiTheme="majorHAnsi" w:eastAsiaTheme="majorEastAsia" w:hAnsiTheme="majorHAnsi" w:cstheme="majorBidi"/>
      <w:color w:val="007DB6" w:themeColor="accent3"/>
      <w:sz w:val="34"/>
      <w:szCs w:val="26"/>
    </w:rPr>
  </w:style>
  <w:style w:type="character" w:customStyle="1" w:styleId="Heading3Char">
    <w:name w:val="Heading 3 Char"/>
    <w:basedOn w:val="DefaultParagraphFont"/>
    <w:link w:val="Heading3"/>
    <w:uiPriority w:val="9"/>
    <w:rsid w:val="008929AE"/>
    <w:rPr>
      <w:rFonts w:asciiTheme="majorHAnsi" w:eastAsiaTheme="majorEastAsia" w:hAnsiTheme="majorHAnsi" w:cstheme="majorBidi"/>
      <w:bCs/>
      <w:color w:val="007DB6" w:themeColor="accent3"/>
      <w:sz w:val="30"/>
      <w:szCs w:val="26"/>
    </w:rPr>
  </w:style>
  <w:style w:type="paragraph" w:customStyle="1" w:styleId="NormalIndented">
    <w:name w:val="Normal Indented"/>
    <w:basedOn w:val="Normal"/>
    <w:qFormat/>
    <w:rsid w:val="008929AE"/>
    <w:pPr>
      <w:ind w:left="284"/>
    </w:pPr>
  </w:style>
  <w:style w:type="paragraph" w:styleId="Title">
    <w:name w:val="Title"/>
    <w:basedOn w:val="Heading1"/>
    <w:next w:val="Normal"/>
    <w:link w:val="TitleChar"/>
    <w:uiPriority w:val="10"/>
    <w:qFormat/>
    <w:rsid w:val="008929AE"/>
    <w:pPr>
      <w:spacing w:before="720"/>
    </w:pPr>
    <w:rPr>
      <w:color w:val="auto"/>
    </w:rPr>
  </w:style>
  <w:style w:type="character" w:customStyle="1" w:styleId="TitleChar">
    <w:name w:val="Title Char"/>
    <w:basedOn w:val="DefaultParagraphFont"/>
    <w:link w:val="Title"/>
    <w:uiPriority w:val="10"/>
    <w:rsid w:val="008929AE"/>
    <w:rPr>
      <w:rFonts w:asciiTheme="majorHAnsi" w:eastAsiaTheme="majorEastAsia" w:hAnsiTheme="majorHAnsi" w:cstheme="majorBidi"/>
      <w:bCs/>
      <w:sz w:val="40"/>
      <w:szCs w:val="28"/>
    </w:rPr>
  </w:style>
  <w:style w:type="paragraph" w:styleId="Subtitle">
    <w:name w:val="Subtitle"/>
    <w:basedOn w:val="Title"/>
    <w:next w:val="Normal"/>
    <w:link w:val="SubtitleChar"/>
    <w:uiPriority w:val="11"/>
    <w:qFormat/>
    <w:rsid w:val="008929AE"/>
    <w:pPr>
      <w:numPr>
        <w:ilvl w:val="1"/>
      </w:numPr>
      <w:spacing w:before="0" w:after="480" w:line="260" w:lineRule="atLeast"/>
    </w:pPr>
    <w:rPr>
      <w:b/>
      <w:iCs/>
      <w:sz w:val="28"/>
      <w:szCs w:val="24"/>
    </w:rPr>
  </w:style>
  <w:style w:type="character" w:customStyle="1" w:styleId="SubtitleChar">
    <w:name w:val="Subtitle Char"/>
    <w:basedOn w:val="DefaultParagraphFont"/>
    <w:link w:val="Subtitle"/>
    <w:uiPriority w:val="11"/>
    <w:rsid w:val="008929AE"/>
    <w:rPr>
      <w:rFonts w:asciiTheme="majorHAnsi" w:eastAsiaTheme="majorEastAsia" w:hAnsiTheme="majorHAnsi" w:cstheme="majorBidi"/>
      <w:b/>
      <w:bCs/>
      <w:iCs/>
      <w:sz w:val="28"/>
      <w:szCs w:val="24"/>
    </w:rPr>
  </w:style>
  <w:style w:type="paragraph" w:customStyle="1" w:styleId="Bullet1">
    <w:name w:val="Bullet 1"/>
    <w:basedOn w:val="Normal"/>
    <w:qFormat/>
    <w:rsid w:val="008929AE"/>
    <w:pPr>
      <w:numPr>
        <w:numId w:val="9"/>
      </w:numPr>
      <w:spacing w:before="120"/>
    </w:pPr>
  </w:style>
  <w:style w:type="paragraph" w:customStyle="1" w:styleId="Bullet2">
    <w:name w:val="Bullet 2"/>
    <w:basedOn w:val="Bullet1"/>
    <w:qFormat/>
    <w:rsid w:val="008929AE"/>
    <w:pPr>
      <w:numPr>
        <w:ilvl w:val="1"/>
      </w:numPr>
    </w:pPr>
  </w:style>
  <w:style w:type="paragraph" w:customStyle="1" w:styleId="Bullet3">
    <w:name w:val="Bullet 3"/>
    <w:basedOn w:val="Bullet2"/>
    <w:qFormat/>
    <w:rsid w:val="008929AE"/>
    <w:pPr>
      <w:numPr>
        <w:ilvl w:val="2"/>
      </w:numPr>
    </w:pPr>
  </w:style>
  <w:style w:type="paragraph" w:customStyle="1" w:styleId="NumberedList1">
    <w:name w:val="Numbered List 1"/>
    <w:basedOn w:val="Normal"/>
    <w:qFormat/>
    <w:rsid w:val="008929AE"/>
    <w:pPr>
      <w:numPr>
        <w:numId w:val="10"/>
      </w:numPr>
    </w:pPr>
  </w:style>
  <w:style w:type="paragraph" w:customStyle="1" w:styleId="NumberedList2">
    <w:name w:val="Numbered List 2"/>
    <w:basedOn w:val="NumberedList1"/>
    <w:qFormat/>
    <w:rsid w:val="008929AE"/>
    <w:pPr>
      <w:numPr>
        <w:ilvl w:val="1"/>
      </w:numPr>
      <w:spacing w:before="120"/>
    </w:pPr>
  </w:style>
  <w:style w:type="paragraph" w:customStyle="1" w:styleId="NumberedList3">
    <w:name w:val="Numbered List 3"/>
    <w:basedOn w:val="NumberedList2"/>
    <w:qFormat/>
    <w:rsid w:val="008929AE"/>
    <w:pPr>
      <w:numPr>
        <w:ilvl w:val="2"/>
      </w:numPr>
    </w:pPr>
  </w:style>
  <w:style w:type="paragraph" w:customStyle="1" w:styleId="Heading1Numbered">
    <w:name w:val="Heading 1 Numbered"/>
    <w:basedOn w:val="Heading1"/>
    <w:next w:val="Normal"/>
    <w:qFormat/>
    <w:rsid w:val="008929AE"/>
    <w:pPr>
      <w:numPr>
        <w:numId w:val="11"/>
      </w:numPr>
    </w:pPr>
  </w:style>
  <w:style w:type="paragraph" w:customStyle="1" w:styleId="Heading2Numbered">
    <w:name w:val="Heading 2 Numbered"/>
    <w:basedOn w:val="Heading2"/>
    <w:next w:val="Normal"/>
    <w:qFormat/>
    <w:rsid w:val="008929AE"/>
    <w:pPr>
      <w:numPr>
        <w:ilvl w:val="1"/>
        <w:numId w:val="11"/>
      </w:numPr>
    </w:pPr>
    <w:rPr>
      <w:bCs/>
    </w:rPr>
  </w:style>
  <w:style w:type="paragraph" w:customStyle="1" w:styleId="Heading3Numbered">
    <w:name w:val="Heading 3 Numbered"/>
    <w:basedOn w:val="Heading3"/>
    <w:next w:val="Normal"/>
    <w:qFormat/>
    <w:rsid w:val="008929AE"/>
    <w:pPr>
      <w:numPr>
        <w:ilvl w:val="2"/>
        <w:numId w:val="11"/>
      </w:numPr>
    </w:pPr>
    <w:rPr>
      <w:szCs w:val="22"/>
    </w:rPr>
  </w:style>
  <w:style w:type="numbering" w:customStyle="1" w:styleId="BulletsList">
    <w:name w:val="Bullets List"/>
    <w:uiPriority w:val="99"/>
    <w:rsid w:val="00F2684E"/>
    <w:pPr>
      <w:numPr>
        <w:numId w:val="1"/>
      </w:numPr>
    </w:pPr>
  </w:style>
  <w:style w:type="numbering" w:customStyle="1" w:styleId="Numberedlist">
    <w:name w:val="Numbered list"/>
    <w:uiPriority w:val="99"/>
    <w:rsid w:val="00F2684E"/>
    <w:pPr>
      <w:numPr>
        <w:numId w:val="3"/>
      </w:numPr>
    </w:pPr>
  </w:style>
  <w:style w:type="numbering" w:customStyle="1" w:styleId="HeadingsList">
    <w:name w:val="Headings List"/>
    <w:uiPriority w:val="99"/>
    <w:rsid w:val="001E1DC0"/>
    <w:pPr>
      <w:numPr>
        <w:numId w:val="5"/>
      </w:numPr>
    </w:pPr>
  </w:style>
  <w:style w:type="table" w:styleId="PlainTable2">
    <w:name w:val="Plain Table 2"/>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8929AE"/>
    <w:pPr>
      <w:contextualSpacing w:val="0"/>
      <w:outlineLvl w:val="9"/>
    </w:pPr>
    <w:rPr>
      <w:bCs w:val="0"/>
      <w:szCs w:val="32"/>
      <w:lang w:val="en-US"/>
    </w:rPr>
  </w:style>
  <w:style w:type="character" w:customStyle="1" w:styleId="Heading4Char">
    <w:name w:val="Heading 4 Char"/>
    <w:basedOn w:val="DefaultParagraphFont"/>
    <w:link w:val="Heading4"/>
    <w:uiPriority w:val="9"/>
    <w:rsid w:val="008929AE"/>
    <w:rPr>
      <w:rFonts w:asciiTheme="majorHAnsi" w:eastAsiaTheme="majorEastAsia" w:hAnsiTheme="majorHAnsi" w:cstheme="majorBidi"/>
      <w:bCs/>
      <w:iCs/>
      <w:color w:val="007DB6" w:themeColor="accent3"/>
      <w:sz w:val="26"/>
      <w:szCs w:val="26"/>
    </w:rPr>
  </w:style>
  <w:style w:type="paragraph" w:styleId="TOC1">
    <w:name w:val="toc 1"/>
    <w:basedOn w:val="Normal"/>
    <w:next w:val="Normal"/>
    <w:autoRedefine/>
    <w:uiPriority w:val="39"/>
    <w:unhideWhenUsed/>
    <w:rsid w:val="00C27965"/>
    <w:pPr>
      <w:tabs>
        <w:tab w:val="left" w:pos="454"/>
        <w:tab w:val="right" w:pos="9072"/>
      </w:tabs>
      <w:spacing w:after="180" w:line="230" w:lineRule="atLeast"/>
    </w:pPr>
    <w:rPr>
      <w:b/>
      <w:sz w:val="23"/>
    </w:rPr>
  </w:style>
  <w:style w:type="paragraph" w:styleId="TOC2">
    <w:name w:val="toc 2"/>
    <w:basedOn w:val="Normal"/>
    <w:next w:val="Normal"/>
    <w:autoRedefine/>
    <w:uiPriority w:val="39"/>
    <w:unhideWhenUsed/>
    <w:rsid w:val="00C27965"/>
    <w:pPr>
      <w:tabs>
        <w:tab w:val="left" w:pos="454"/>
        <w:tab w:val="right" w:pos="9072"/>
      </w:tabs>
      <w:spacing w:after="180" w:line="230" w:lineRule="atLeast"/>
      <w:ind w:left="738" w:hanging="454"/>
    </w:pPr>
  </w:style>
  <w:style w:type="paragraph" w:styleId="TOC3">
    <w:name w:val="toc 3"/>
    <w:basedOn w:val="Normal"/>
    <w:next w:val="Normal"/>
    <w:autoRedefine/>
    <w:uiPriority w:val="39"/>
    <w:unhideWhenUsed/>
    <w:rsid w:val="00880B3F"/>
    <w:pPr>
      <w:tabs>
        <w:tab w:val="left" w:pos="1134"/>
        <w:tab w:val="right" w:pos="9072"/>
      </w:tabs>
      <w:spacing w:before="60"/>
      <w:ind w:left="1134" w:hanging="680"/>
    </w:pPr>
  </w:style>
  <w:style w:type="paragraph" w:styleId="Header">
    <w:name w:val="header"/>
    <w:basedOn w:val="Normal"/>
    <w:link w:val="HeaderChar"/>
    <w:uiPriority w:val="99"/>
    <w:unhideWhenUsed/>
    <w:rsid w:val="00DB6D69"/>
    <w:pPr>
      <w:tabs>
        <w:tab w:val="center" w:pos="4513"/>
        <w:tab w:val="right" w:pos="9026"/>
      </w:tabs>
      <w:spacing w:after="0" w:line="180" w:lineRule="atLeast"/>
      <w:jc w:val="right"/>
    </w:pPr>
    <w:rPr>
      <w:sz w:val="14"/>
    </w:rPr>
  </w:style>
  <w:style w:type="paragraph" w:styleId="TOC4">
    <w:name w:val="toc 4"/>
    <w:basedOn w:val="Normal"/>
    <w:next w:val="Normal"/>
    <w:autoRedefine/>
    <w:uiPriority w:val="39"/>
    <w:unhideWhenUsed/>
    <w:rsid w:val="0035119D"/>
    <w:pPr>
      <w:spacing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pacing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pacing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pacing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7"/>
      </w:numPr>
    </w:pPr>
  </w:style>
  <w:style w:type="paragraph" w:styleId="TOC8">
    <w:name w:val="toc 8"/>
    <w:basedOn w:val="Normal"/>
    <w:next w:val="Normal"/>
    <w:autoRedefine/>
    <w:uiPriority w:val="39"/>
    <w:unhideWhenUsed/>
    <w:rsid w:val="0035119D"/>
    <w:pPr>
      <w:spacing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pacing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8929AE"/>
    <w:pPr>
      <w:pBdr>
        <w:bottom w:val="single" w:sz="4" w:space="6" w:color="85CAF0" w:themeColor="accent1"/>
      </w:pBdr>
    </w:pPr>
  </w:style>
  <w:style w:type="table" w:styleId="TableGrid">
    <w:name w:val="Table Grid"/>
    <w:basedOn w:val="TableNormal"/>
    <w:uiPriority w:val="59"/>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B6D69"/>
    <w:rPr>
      <w:sz w:val="14"/>
    </w:rPr>
  </w:style>
  <w:style w:type="numbering" w:customStyle="1" w:styleId="FigureTitles">
    <w:name w:val="Figure Titles"/>
    <w:uiPriority w:val="99"/>
    <w:rsid w:val="006346BC"/>
    <w:pPr>
      <w:numPr>
        <w:numId w:val="8"/>
      </w:numPr>
    </w:pPr>
  </w:style>
  <w:style w:type="character" w:styleId="Hyperlink">
    <w:name w:val="Hyperlink"/>
    <w:basedOn w:val="DefaultParagraphFont"/>
    <w:uiPriority w:val="99"/>
    <w:rsid w:val="008929AE"/>
    <w:rPr>
      <w:rFonts w:asciiTheme="minorHAnsi" w:hAnsiTheme="minorHAnsi" w:cs="MuseoSans-500"/>
      <w:color w:val="0070C0"/>
      <w:u w:val="single" w:color="0070C0"/>
    </w:rPr>
  </w:style>
  <w:style w:type="character" w:styleId="IntenseEmphasis">
    <w:name w:val="Intense Emphasis"/>
    <w:basedOn w:val="DefaultParagraphFont"/>
    <w:uiPriority w:val="21"/>
    <w:qFormat/>
    <w:rsid w:val="008929AE"/>
    <w:rPr>
      <w:b/>
      <w:i/>
      <w:iCs/>
      <w:color w:val="auto"/>
    </w:rPr>
  </w:style>
  <w:style w:type="character" w:styleId="Strong">
    <w:name w:val="Strong"/>
    <w:basedOn w:val="DefaultParagraphFont"/>
    <w:uiPriority w:val="22"/>
    <w:qFormat/>
    <w:rsid w:val="008929AE"/>
    <w:rPr>
      <w:b/>
      <w:bCs/>
    </w:rPr>
  </w:style>
  <w:style w:type="character" w:styleId="Emphasis">
    <w:name w:val="Emphasis"/>
    <w:basedOn w:val="DefaultParagraphFont"/>
    <w:uiPriority w:val="20"/>
    <w:qFormat/>
    <w:rsid w:val="008929AE"/>
    <w:rPr>
      <w:i/>
      <w:iCs/>
    </w:rPr>
  </w:style>
  <w:style w:type="character" w:customStyle="1" w:styleId="Heading5Char">
    <w:name w:val="Heading 5 Char"/>
    <w:basedOn w:val="DefaultParagraphFont"/>
    <w:link w:val="Heading5"/>
    <w:uiPriority w:val="9"/>
    <w:semiHidden/>
    <w:rsid w:val="008929AE"/>
    <w:rPr>
      <w:rFonts w:asciiTheme="majorHAnsi" w:eastAsiaTheme="majorEastAsia" w:hAnsiTheme="majorHAnsi" w:cstheme="majorBidi"/>
      <w:bCs/>
      <w:i/>
      <w:iCs/>
      <w:color w:val="007DB6" w:themeColor="accent3"/>
      <w:szCs w:val="26"/>
    </w:rPr>
  </w:style>
  <w:style w:type="paragraph" w:styleId="Caption">
    <w:name w:val="caption"/>
    <w:basedOn w:val="Normal"/>
    <w:next w:val="Normal"/>
    <w:uiPriority w:val="35"/>
    <w:unhideWhenUsed/>
    <w:qFormat/>
    <w:rsid w:val="008929AE"/>
    <w:pPr>
      <w:spacing w:before="200" w:after="120"/>
    </w:pPr>
    <w:rPr>
      <w:b/>
      <w:iCs/>
      <w:color w:val="000000" w:themeColor="text1"/>
      <w:szCs w:val="18"/>
    </w:rPr>
  </w:style>
  <w:style w:type="paragraph" w:styleId="Footer">
    <w:name w:val="footer"/>
    <w:basedOn w:val="Normal"/>
    <w:link w:val="FooterChar"/>
    <w:uiPriority w:val="99"/>
    <w:unhideWhenUsed/>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FB44AA"/>
    <w:rPr>
      <w:sz w:val="14"/>
    </w:rPr>
  </w:style>
  <w:style w:type="character" w:customStyle="1" w:styleId="Heading6Char">
    <w:name w:val="Heading 6 Char"/>
    <w:basedOn w:val="DefaultParagraphFont"/>
    <w:link w:val="Heading6"/>
    <w:uiPriority w:val="9"/>
    <w:semiHidden/>
    <w:rsid w:val="008929AE"/>
    <w:rPr>
      <w:rFonts w:asciiTheme="majorHAnsi" w:eastAsiaTheme="majorEastAsia" w:hAnsiTheme="majorHAnsi" w:cstheme="majorBidi"/>
      <w:bCs/>
      <w:i/>
      <w:iCs/>
      <w:color w:val="1471A5" w:themeColor="accent1" w:themeShade="7F"/>
      <w:szCs w:val="26"/>
    </w:rPr>
  </w:style>
  <w:style w:type="character" w:customStyle="1" w:styleId="Heading7Char">
    <w:name w:val="Heading 7 Char"/>
    <w:basedOn w:val="DefaultParagraphFont"/>
    <w:link w:val="Heading7"/>
    <w:uiPriority w:val="9"/>
    <w:semiHidden/>
    <w:rsid w:val="008929AE"/>
    <w:rPr>
      <w:rFonts w:asciiTheme="majorHAnsi" w:eastAsiaTheme="majorEastAsia" w:hAnsiTheme="majorHAnsi" w:cstheme="majorBidi"/>
      <w:bCs/>
      <w:color w:val="1471A5" w:themeColor="accent1" w:themeShade="7F"/>
      <w:szCs w:val="26"/>
    </w:rPr>
  </w:style>
  <w:style w:type="character" w:customStyle="1" w:styleId="Heading8Char">
    <w:name w:val="Heading 8 Char"/>
    <w:basedOn w:val="DefaultParagraphFont"/>
    <w:link w:val="Heading8"/>
    <w:uiPriority w:val="9"/>
    <w:semiHidden/>
    <w:rsid w:val="008929AE"/>
    <w:rPr>
      <w:rFonts w:asciiTheme="majorHAnsi" w:eastAsiaTheme="majorEastAsia" w:hAnsiTheme="majorHAnsi" w:cstheme="majorBidi"/>
      <w:bCs/>
      <w:color w:val="272727" w:themeColor="text1" w:themeTint="D8"/>
      <w:sz w:val="21"/>
      <w:szCs w:val="21"/>
    </w:rPr>
  </w:style>
  <w:style w:type="character" w:customStyle="1" w:styleId="Heading9Char">
    <w:name w:val="Heading 9 Char"/>
    <w:basedOn w:val="DefaultParagraphFont"/>
    <w:link w:val="Heading9"/>
    <w:uiPriority w:val="9"/>
    <w:semiHidden/>
    <w:rsid w:val="008929AE"/>
    <w:rPr>
      <w:rFonts w:asciiTheme="majorHAnsi" w:eastAsiaTheme="majorEastAsia" w:hAnsiTheme="majorHAnsi" w:cstheme="majorBidi"/>
      <w:bCs/>
      <w:i/>
      <w:iCs/>
      <w:color w:val="272727" w:themeColor="text1" w:themeTint="D8"/>
      <w:sz w:val="21"/>
      <w:szCs w:val="21"/>
    </w:rPr>
  </w:style>
  <w:style w:type="paragraph" w:customStyle="1" w:styleId="Boxed1Text">
    <w:name w:val="Boxed 1 Text"/>
    <w:basedOn w:val="Normal"/>
    <w:rsid w:val="008929AE"/>
    <w:pPr>
      <w:pBdr>
        <w:top w:val="single" w:sz="4" w:space="14" w:color="D6EDFA"/>
        <w:left w:val="single" w:sz="4" w:space="14" w:color="D6EDFA"/>
        <w:bottom w:val="single" w:sz="4" w:space="14" w:color="D6EDFA"/>
        <w:right w:val="single" w:sz="4" w:space="14" w:color="D6EDFA"/>
      </w:pBdr>
      <w:shd w:val="clear" w:color="auto" w:fill="D6EDFA"/>
      <w:ind w:left="284" w:right="284"/>
    </w:pPr>
  </w:style>
  <w:style w:type="paragraph" w:customStyle="1" w:styleId="Boxed1Heading">
    <w:name w:val="Boxed 1 Heading"/>
    <w:basedOn w:val="Boxed1Text"/>
    <w:rsid w:val="008929AE"/>
    <w:rPr>
      <w:b/>
    </w:rPr>
  </w:style>
  <w:style w:type="paragraph" w:customStyle="1" w:styleId="Boxed2Text">
    <w:name w:val="Boxed 2 Text"/>
    <w:basedOn w:val="Boxed1Text"/>
    <w:rsid w:val="008929AE"/>
    <w:pPr>
      <w:pBdr>
        <w:top w:val="single" w:sz="4" w:space="14" w:color="5FB4E1" w:themeColor="accent2"/>
        <w:left w:val="single" w:sz="4" w:space="14" w:color="5FB4E1" w:themeColor="accent2"/>
        <w:bottom w:val="single" w:sz="4" w:space="14" w:color="5FB4E1" w:themeColor="accent2"/>
        <w:right w:val="single" w:sz="4" w:space="14" w:color="5FB4E1" w:themeColor="accent2"/>
      </w:pBdr>
      <w:shd w:val="clear" w:color="auto" w:fill="5FB4E1" w:themeFill="accent2"/>
    </w:pPr>
  </w:style>
  <w:style w:type="paragraph" w:customStyle="1" w:styleId="Boxed2Heading">
    <w:name w:val="Boxed 2 Heading"/>
    <w:basedOn w:val="Boxed2Text"/>
    <w:rsid w:val="008929AE"/>
    <w:rPr>
      <w:b/>
    </w:rPr>
  </w:style>
  <w:style w:type="character" w:styleId="PageNumber">
    <w:name w:val="page number"/>
    <w:basedOn w:val="DefaultParagraphFont"/>
    <w:uiPriority w:val="99"/>
    <w:unhideWhenUsed/>
    <w:rsid w:val="00DB6D69"/>
  </w:style>
  <w:style w:type="table" w:styleId="TableGridLight">
    <w:name w:val="Grid Table Light"/>
    <w:basedOn w:val="TableNormal"/>
    <w:uiPriority w:val="40"/>
    <w:rsid w:val="000D60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ance1">
    <w:name w:val="Finance 1"/>
    <w:basedOn w:val="TableNormal"/>
    <w:uiPriority w:val="99"/>
    <w:rsid w:val="00AD43B3"/>
    <w:pPr>
      <w:spacing w:before="60" w:after="60" w:line="200" w:lineRule="atLeast"/>
    </w:pPr>
    <w:rPr>
      <w:sz w:val="16"/>
    </w:rPr>
    <w:tblPr>
      <w:tblStyleRowBandSize w:val="1"/>
      <w:tblStyleColBandSize w:val="1"/>
      <w:tblBorders>
        <w:top w:val="single" w:sz="4" w:space="0" w:color="1C1C1C" w:themeColor="text2"/>
        <w:bottom w:val="single" w:sz="4" w:space="0" w:color="1C1C1C" w:themeColor="text2"/>
        <w:insideH w:val="single" w:sz="4" w:space="0" w:color="1C1C1C" w:themeColor="text2"/>
      </w:tblBorders>
      <w:tblCellMar>
        <w:left w:w="85" w:type="dxa"/>
        <w:right w:w="85" w:type="dxa"/>
      </w:tblCellMar>
    </w:tblPr>
    <w:trPr>
      <w:cantSplit/>
    </w:trPr>
    <w:tblStylePr w:type="firstRow">
      <w:rPr>
        <w:b/>
      </w:rPr>
      <w:tblPr/>
      <w:tcPr>
        <w:shd w:val="clear" w:color="auto" w:fill="85CAF0" w:themeFill="accent1"/>
      </w:tcPr>
    </w:tblStylePr>
    <w:tblStylePr w:type="lastRow">
      <w:tblPr/>
      <w:tcPr>
        <w:shd w:val="clear" w:color="auto" w:fill="1C1C1C" w:themeFill="text2"/>
      </w:tcPr>
    </w:tblStylePr>
    <w:tblStylePr w:type="firstCol">
      <w:tblPr/>
      <w:tcPr>
        <w:shd w:val="clear" w:color="auto" w:fill="F2F2F2" w:themeFill="background1" w:themeFillShade="F2"/>
      </w:tcPr>
    </w:tblStylePr>
    <w:tblStylePr w:type="lastCol">
      <w:tblPr/>
      <w:tcPr>
        <w:shd w:val="clear" w:color="auto" w:fill="BFBFBF" w:themeFill="background1" w:themeFillShade="BF"/>
      </w:tcPr>
    </w:tblStylePr>
    <w:tblStylePr w:type="band1Vert">
      <w:tblPr/>
      <w:tcPr>
        <w:shd w:val="clear" w:color="auto" w:fill="E2E3E2" w:themeFill="background2"/>
      </w:tcPr>
    </w:tblStylePr>
    <w:tblStylePr w:type="band2Vert">
      <w:tblPr/>
      <w:tcPr>
        <w:shd w:val="clear" w:color="auto" w:fill="FFFFFF" w:themeFill="background1"/>
      </w:tcPr>
    </w:tblStylePr>
    <w:tblStylePr w:type="band1Horz">
      <w:tblPr/>
      <w:tcPr>
        <w:shd w:val="clear" w:color="auto" w:fill="E2E3E2"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8929AE"/>
    <w:pPr>
      <w:spacing w:before="60"/>
    </w:pPr>
    <w:rPr>
      <w:sz w:val="18"/>
    </w:rPr>
  </w:style>
  <w:style w:type="paragraph" w:customStyle="1" w:styleId="TableSourceNotes">
    <w:name w:val="Table Source Notes"/>
    <w:basedOn w:val="TableText"/>
    <w:qFormat/>
    <w:rsid w:val="008929AE"/>
    <w:pPr>
      <w:spacing w:before="120" w:line="240" w:lineRule="atLeast"/>
      <w:ind w:left="284" w:hanging="284"/>
      <w:contextualSpacing/>
    </w:pPr>
  </w:style>
  <w:style w:type="paragraph" w:styleId="FootnoteText">
    <w:name w:val="footnote text"/>
    <w:basedOn w:val="Normal"/>
    <w:link w:val="FootnoteTextChar"/>
    <w:uiPriority w:val="99"/>
    <w:semiHidden/>
    <w:unhideWhenUsed/>
    <w:rsid w:val="00AB19CF"/>
    <w:pPr>
      <w:spacing w:after="0" w:line="200" w:lineRule="atLeast"/>
      <w:ind w:left="284" w:hanging="284"/>
    </w:pPr>
    <w:rPr>
      <w:sz w:val="16"/>
      <w:szCs w:val="20"/>
    </w:rPr>
  </w:style>
  <w:style w:type="character" w:customStyle="1" w:styleId="FootnoteTextChar">
    <w:name w:val="Footnote Text Char"/>
    <w:basedOn w:val="DefaultParagraphFont"/>
    <w:link w:val="FootnoteText"/>
    <w:uiPriority w:val="99"/>
    <w:semiHidden/>
    <w:rsid w:val="00AB19CF"/>
    <w:rPr>
      <w:sz w:val="16"/>
      <w:szCs w:val="20"/>
    </w:rPr>
  </w:style>
  <w:style w:type="character" w:styleId="FootnoteReference">
    <w:name w:val="footnote reference"/>
    <w:basedOn w:val="DefaultParagraphFont"/>
    <w:uiPriority w:val="99"/>
    <w:semiHidden/>
    <w:unhideWhenUsed/>
    <w:rsid w:val="0020122A"/>
    <w:rPr>
      <w:vertAlign w:val="superscript"/>
    </w:rPr>
  </w:style>
  <w:style w:type="paragraph" w:customStyle="1" w:styleId="FootnoteSeparator">
    <w:name w:val="Footnote Separator"/>
    <w:basedOn w:val="Normal"/>
    <w:qFormat/>
    <w:rsid w:val="008929AE"/>
    <w:pPr>
      <w:pBdr>
        <w:top w:val="single" w:sz="2" w:space="1" w:color="auto"/>
      </w:pBdr>
      <w:spacing w:after="0" w:line="240" w:lineRule="auto"/>
    </w:pPr>
  </w:style>
  <w:style w:type="character" w:styleId="PlaceholderText">
    <w:name w:val="Placeholder Text"/>
    <w:basedOn w:val="DefaultParagraphFont"/>
    <w:uiPriority w:val="99"/>
    <w:semiHidden/>
    <w:rsid w:val="000A6A8B"/>
    <w:rPr>
      <w:color w:val="808080"/>
    </w:rPr>
  </w:style>
  <w:style w:type="character" w:customStyle="1" w:styleId="Classification">
    <w:name w:val="Classification"/>
    <w:basedOn w:val="DefaultParagraphFont"/>
    <w:uiPriority w:val="1"/>
    <w:qFormat/>
    <w:rsid w:val="008929AE"/>
    <w:rPr>
      <w:b/>
      <w:caps/>
      <w:smallCaps w:val="0"/>
      <w:sz w:val="24"/>
    </w:rPr>
  </w:style>
  <w:style w:type="paragraph" w:styleId="ListParagraph">
    <w:name w:val="List Paragraph"/>
    <w:basedOn w:val="Normal"/>
    <w:link w:val="ListParagraphChar"/>
    <w:uiPriority w:val="34"/>
    <w:qFormat/>
    <w:rsid w:val="008929AE"/>
    <w:pPr>
      <w:ind w:left="720"/>
      <w:contextualSpacing/>
    </w:pPr>
  </w:style>
  <w:style w:type="paragraph" w:styleId="IntenseQuote">
    <w:name w:val="Intense Quote"/>
    <w:basedOn w:val="Normal"/>
    <w:next w:val="Normal"/>
    <w:link w:val="IntenseQuoteChar"/>
    <w:uiPriority w:val="30"/>
    <w:qFormat/>
    <w:rsid w:val="008929AE"/>
    <w:pPr>
      <w:pBdr>
        <w:top w:val="single" w:sz="4" w:space="10" w:color="85CAF0" w:themeColor="accent1"/>
        <w:bottom w:val="single" w:sz="4" w:space="10" w:color="85CAF0" w:themeColor="accent1"/>
      </w:pBdr>
      <w:spacing w:before="360" w:after="360"/>
      <w:ind w:left="864" w:right="864"/>
      <w:jc w:val="center"/>
    </w:pPr>
    <w:rPr>
      <w:i/>
      <w:iCs/>
      <w:color w:val="007DB6" w:themeColor="accent3"/>
    </w:rPr>
  </w:style>
  <w:style w:type="character" w:customStyle="1" w:styleId="IntenseQuoteChar">
    <w:name w:val="Intense Quote Char"/>
    <w:basedOn w:val="DefaultParagraphFont"/>
    <w:link w:val="IntenseQuote"/>
    <w:uiPriority w:val="30"/>
    <w:rsid w:val="008929AE"/>
    <w:rPr>
      <w:i/>
      <w:iCs/>
      <w:color w:val="007DB6" w:themeColor="accent3"/>
    </w:rPr>
  </w:style>
  <w:style w:type="character" w:styleId="IntenseReference">
    <w:name w:val="Intense Reference"/>
    <w:basedOn w:val="DefaultParagraphFont"/>
    <w:uiPriority w:val="32"/>
    <w:qFormat/>
    <w:rsid w:val="008929AE"/>
    <w:rPr>
      <w:b/>
      <w:bCs/>
      <w:smallCaps/>
      <w:color w:val="007DB6" w:themeColor="accent3"/>
      <w:spacing w:val="5"/>
    </w:rPr>
  </w:style>
  <w:style w:type="paragraph" w:customStyle="1" w:styleId="Footerstyle">
    <w:name w:val="Footer style"/>
    <w:basedOn w:val="Footer"/>
    <w:link w:val="FooterstyleChar"/>
    <w:qFormat/>
    <w:rsid w:val="008929AE"/>
    <w:pPr>
      <w:pBdr>
        <w:top w:val="single" w:sz="4" w:space="8" w:color="85CAF0" w:themeColor="accent1"/>
      </w:pBdr>
    </w:pPr>
    <w:rPr>
      <w:noProof/>
    </w:rPr>
  </w:style>
  <w:style w:type="character" w:customStyle="1" w:styleId="FooterstyleChar">
    <w:name w:val="Footer style Char"/>
    <w:basedOn w:val="FooterChar"/>
    <w:link w:val="Footerstyle"/>
    <w:rsid w:val="008929AE"/>
    <w:rPr>
      <w:noProof/>
      <w:sz w:val="14"/>
    </w:rPr>
  </w:style>
  <w:style w:type="paragraph" w:customStyle="1" w:styleId="DOFBullet1">
    <w:name w:val="DOF_Bullet 1"/>
    <w:basedOn w:val="Normal"/>
    <w:rsid w:val="008B1119"/>
    <w:pPr>
      <w:spacing w:before="120"/>
    </w:pPr>
  </w:style>
  <w:style w:type="paragraph" w:customStyle="1" w:styleId="DOFBullet2">
    <w:name w:val="DOF_Bullet 2"/>
    <w:basedOn w:val="DOFBullet1"/>
    <w:rsid w:val="008B1119"/>
    <w:pPr>
      <w:numPr>
        <w:ilvl w:val="1"/>
      </w:numPr>
    </w:pPr>
  </w:style>
  <w:style w:type="paragraph" w:customStyle="1" w:styleId="DOFBullet3">
    <w:name w:val="DOF_Bullet 3"/>
    <w:basedOn w:val="DOFBullet2"/>
    <w:rsid w:val="008B1119"/>
    <w:pPr>
      <w:numPr>
        <w:ilvl w:val="2"/>
      </w:numPr>
    </w:pPr>
  </w:style>
  <w:style w:type="paragraph" w:customStyle="1" w:styleId="DOFHeading1Numbered">
    <w:name w:val="DOF_Heading 1 Numbered"/>
    <w:basedOn w:val="Heading1"/>
    <w:next w:val="Normal"/>
    <w:rsid w:val="008B1119"/>
  </w:style>
  <w:style w:type="paragraph" w:customStyle="1" w:styleId="DOFHeading2Numbered">
    <w:name w:val="DOF_Heading 2 Numbered"/>
    <w:basedOn w:val="Heading2"/>
    <w:next w:val="Normal"/>
    <w:rsid w:val="008B1119"/>
    <w:rPr>
      <w:bCs/>
    </w:rPr>
  </w:style>
  <w:style w:type="paragraph" w:customStyle="1" w:styleId="DOFHeading3Numbered">
    <w:name w:val="DOF_Heading 3 Numbered"/>
    <w:basedOn w:val="Heading3"/>
    <w:next w:val="Normal"/>
    <w:rsid w:val="008B1119"/>
    <w:rPr>
      <w:szCs w:val="22"/>
    </w:rPr>
  </w:style>
  <w:style w:type="paragraph" w:customStyle="1" w:styleId="DOFIntroPara">
    <w:name w:val="DOF_Intro Para"/>
    <w:basedOn w:val="Normal"/>
    <w:rsid w:val="008B1119"/>
    <w:pPr>
      <w:pBdr>
        <w:bottom w:val="single" w:sz="4" w:space="6" w:color="85CAF0" w:themeColor="accent1"/>
      </w:pBdr>
    </w:pPr>
  </w:style>
  <w:style w:type="paragraph" w:customStyle="1" w:styleId="DOFBoxedText1">
    <w:name w:val="DOF_Boxed Text 1"/>
    <w:basedOn w:val="Normal"/>
    <w:rsid w:val="008B1119"/>
    <w:pPr>
      <w:pBdr>
        <w:top w:val="single" w:sz="4" w:space="14" w:color="E6F4FC" w:themeColor="accent1" w:themeTint="33"/>
        <w:left w:val="single" w:sz="4" w:space="14" w:color="E6F4FC" w:themeColor="accent1" w:themeTint="33"/>
        <w:bottom w:val="single" w:sz="4" w:space="14" w:color="E6F4FC" w:themeColor="accent1" w:themeTint="33"/>
        <w:right w:val="single" w:sz="4" w:space="14" w:color="E6F4FC" w:themeColor="accent1" w:themeTint="33"/>
      </w:pBdr>
      <w:shd w:val="clear" w:color="auto" w:fill="E6F4FC" w:themeFill="accent1" w:themeFillTint="33"/>
      <w:ind w:left="284" w:right="284"/>
    </w:pPr>
  </w:style>
  <w:style w:type="paragraph" w:customStyle="1" w:styleId="DOFBoxedHeading1">
    <w:name w:val="DOF_Boxed Heading 1"/>
    <w:basedOn w:val="DOFBoxedText1"/>
    <w:rsid w:val="008B1119"/>
    <w:rPr>
      <w:b/>
    </w:rPr>
  </w:style>
  <w:style w:type="paragraph" w:customStyle="1" w:styleId="DOFBoxedText2">
    <w:name w:val="DOF_Boxed Text 2"/>
    <w:basedOn w:val="DOFBoxedText1"/>
    <w:rsid w:val="008B1119"/>
    <w:pPr>
      <w:pBdr>
        <w:top w:val="single" w:sz="4" w:space="14" w:color="85CAF0" w:themeColor="accent1"/>
        <w:left w:val="single" w:sz="4" w:space="14" w:color="85CAF0" w:themeColor="accent1"/>
        <w:bottom w:val="single" w:sz="4" w:space="14" w:color="85CAF0" w:themeColor="accent1"/>
        <w:right w:val="single" w:sz="4" w:space="14" w:color="85CAF0" w:themeColor="accent1"/>
      </w:pBdr>
      <w:shd w:val="clear" w:color="auto" w:fill="85CAF0" w:themeFill="accent1"/>
    </w:pPr>
  </w:style>
  <w:style w:type="paragraph" w:customStyle="1" w:styleId="DOFBoxedHeading2">
    <w:name w:val="DOF_Boxed Heading 2"/>
    <w:basedOn w:val="DOFBoxedText2"/>
    <w:rsid w:val="008B1119"/>
    <w:rPr>
      <w:b/>
    </w:rPr>
  </w:style>
  <w:style w:type="paragraph" w:customStyle="1" w:styleId="DOFFootnoteSeparator">
    <w:name w:val="DOF_Footnote Separator"/>
    <w:basedOn w:val="Normal"/>
    <w:rsid w:val="008B1119"/>
    <w:pPr>
      <w:pBdr>
        <w:top w:val="single" w:sz="2" w:space="1" w:color="auto"/>
      </w:pBdr>
      <w:spacing w:after="0" w:line="240" w:lineRule="auto"/>
    </w:pPr>
  </w:style>
  <w:style w:type="paragraph" w:customStyle="1" w:styleId="DOFFooterstyle">
    <w:name w:val="DOF_Footer style"/>
    <w:basedOn w:val="Footer"/>
    <w:link w:val="DOFFooterstyleChar"/>
    <w:rsid w:val="008B1119"/>
    <w:pPr>
      <w:pBdr>
        <w:top w:val="single" w:sz="4" w:space="8" w:color="85CAF0" w:themeColor="accent1"/>
      </w:pBdr>
    </w:pPr>
    <w:rPr>
      <w:noProof/>
    </w:rPr>
  </w:style>
  <w:style w:type="character" w:customStyle="1" w:styleId="DOFFooterstyleChar">
    <w:name w:val="DOF_Footer style Char"/>
    <w:basedOn w:val="FooterChar"/>
    <w:link w:val="DOFFooterstyle"/>
    <w:rsid w:val="008B1119"/>
    <w:rPr>
      <w:noProof/>
      <w:sz w:val="14"/>
    </w:rPr>
  </w:style>
  <w:style w:type="character" w:styleId="SubtleReference">
    <w:name w:val="Subtle Reference"/>
    <w:basedOn w:val="DefaultParagraphFont"/>
    <w:uiPriority w:val="31"/>
    <w:qFormat/>
    <w:rsid w:val="008929AE"/>
    <w:rPr>
      <w:smallCaps/>
      <w:color w:val="5A5A5A" w:themeColor="text1" w:themeTint="A5"/>
    </w:rPr>
  </w:style>
  <w:style w:type="paragraph" w:customStyle="1" w:styleId="Audit">
    <w:name w:val="Audit"/>
    <w:rsid w:val="008929AE"/>
    <w:pPr>
      <w:spacing w:before="240" w:line="480" w:lineRule="atLeast"/>
    </w:pPr>
    <w:rPr>
      <w:rFonts w:eastAsiaTheme="majorEastAsia" w:cstheme="minorHAnsi"/>
      <w:b/>
      <w:color w:val="1C1C1C" w:themeColor="text2"/>
      <w:sz w:val="28"/>
      <w:szCs w:val="28"/>
    </w:rPr>
  </w:style>
  <w:style w:type="paragraph" w:customStyle="1" w:styleId="BoxedText1">
    <w:name w:val="Boxed Text 1"/>
    <w:basedOn w:val="Normal"/>
    <w:qFormat/>
    <w:rsid w:val="008929AE"/>
    <w:pPr>
      <w:pBdr>
        <w:top w:val="single" w:sz="4" w:space="14" w:color="E6F4FC" w:themeColor="accent1" w:themeTint="33"/>
        <w:left w:val="single" w:sz="4" w:space="14" w:color="E6F4FC" w:themeColor="accent1" w:themeTint="33"/>
        <w:bottom w:val="single" w:sz="4" w:space="14" w:color="E6F4FC" w:themeColor="accent1" w:themeTint="33"/>
        <w:right w:val="single" w:sz="4" w:space="14" w:color="E6F4FC" w:themeColor="accent1" w:themeTint="33"/>
      </w:pBdr>
      <w:shd w:val="clear" w:color="auto" w:fill="E6F4FC" w:themeFill="accent1" w:themeFillTint="33"/>
      <w:ind w:left="284" w:right="284"/>
    </w:pPr>
  </w:style>
  <w:style w:type="paragraph" w:customStyle="1" w:styleId="BoxedHeading1">
    <w:name w:val="Boxed Heading 1"/>
    <w:basedOn w:val="BoxedText1"/>
    <w:qFormat/>
    <w:rsid w:val="008929AE"/>
    <w:rPr>
      <w:b/>
    </w:rPr>
  </w:style>
  <w:style w:type="paragraph" w:customStyle="1" w:styleId="BoxedText2">
    <w:name w:val="Boxed Text 2"/>
    <w:basedOn w:val="BoxedText1"/>
    <w:qFormat/>
    <w:rsid w:val="008929AE"/>
    <w:pPr>
      <w:pBdr>
        <w:top w:val="single" w:sz="4" w:space="14" w:color="85CAF0" w:themeColor="accent1"/>
        <w:left w:val="single" w:sz="4" w:space="14" w:color="85CAF0" w:themeColor="accent1"/>
        <w:bottom w:val="single" w:sz="4" w:space="14" w:color="85CAF0" w:themeColor="accent1"/>
        <w:right w:val="single" w:sz="4" w:space="14" w:color="85CAF0" w:themeColor="accent1"/>
      </w:pBdr>
      <w:shd w:val="clear" w:color="auto" w:fill="85CAF0" w:themeFill="accent1"/>
    </w:pPr>
  </w:style>
  <w:style w:type="paragraph" w:customStyle="1" w:styleId="BoxedHeading2">
    <w:name w:val="Boxed Heading 2"/>
    <w:basedOn w:val="BoxedText2"/>
    <w:qFormat/>
    <w:rsid w:val="008929AE"/>
    <w:rPr>
      <w:b/>
    </w:rPr>
  </w:style>
  <w:style w:type="character" w:styleId="UnresolvedMention">
    <w:name w:val="Unresolved Mention"/>
    <w:basedOn w:val="DefaultParagraphFont"/>
    <w:uiPriority w:val="99"/>
    <w:semiHidden/>
    <w:unhideWhenUsed/>
    <w:rsid w:val="008929AE"/>
    <w:rPr>
      <w:color w:val="605E5C"/>
      <w:shd w:val="clear" w:color="auto" w:fill="E1DFDD"/>
    </w:rPr>
  </w:style>
  <w:style w:type="paragraph" w:customStyle="1" w:styleId="Default">
    <w:name w:val="Default"/>
    <w:rsid w:val="00AD43B3"/>
    <w:pPr>
      <w:autoSpaceDE w:val="0"/>
      <w:autoSpaceDN w:val="0"/>
      <w:adjustRightInd w:val="0"/>
      <w:spacing w:after="0" w:line="240" w:lineRule="auto"/>
    </w:pPr>
    <w:rPr>
      <w:rFonts w:ascii="Tahoma" w:eastAsia="Times New Roman" w:hAnsi="Tahoma" w:cs="Tahoma"/>
      <w:color w:val="000000"/>
      <w:sz w:val="24"/>
      <w:szCs w:val="24"/>
      <w:lang w:eastAsia="en-AU"/>
    </w:rPr>
  </w:style>
  <w:style w:type="table" w:styleId="ListTable2-Accent3">
    <w:name w:val="List Table 2 Accent 3"/>
    <w:basedOn w:val="TableNormal"/>
    <w:uiPriority w:val="47"/>
    <w:rsid w:val="00AD43B3"/>
    <w:pPr>
      <w:spacing w:after="0" w:line="240" w:lineRule="auto"/>
    </w:pPr>
    <w:tblPr>
      <w:tblStyleRowBandSize w:val="1"/>
      <w:tblStyleColBandSize w:val="1"/>
      <w:tblInd w:w="0" w:type="nil"/>
      <w:tblBorders>
        <w:top w:val="single" w:sz="4" w:space="0" w:color="3AC1FF" w:themeColor="accent3" w:themeTint="99"/>
        <w:bottom w:val="single" w:sz="4" w:space="0" w:color="3AC1FF" w:themeColor="accent3" w:themeTint="99"/>
        <w:insideH w:val="single" w:sz="4" w:space="0" w:color="3AC1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DEAFF" w:themeFill="accent3" w:themeFillTint="33"/>
      </w:tcPr>
    </w:tblStylePr>
    <w:tblStylePr w:type="band1Horz">
      <w:tblPr/>
      <w:tcPr>
        <w:shd w:val="clear" w:color="auto" w:fill="BDEAFF" w:themeFill="accent3" w:themeFillTint="33"/>
      </w:tcPr>
    </w:tblStylePr>
  </w:style>
  <w:style w:type="paragraph" w:customStyle="1" w:styleId="Tableheading">
    <w:name w:val="Table heading"/>
    <w:basedOn w:val="ListParagraph"/>
    <w:link w:val="TableheadingChar"/>
    <w:qFormat/>
    <w:rsid w:val="002335E7"/>
    <w:pPr>
      <w:framePr w:hSpace="180" w:wrap="around" w:vAnchor="text" w:hAnchor="margin" w:xAlign="center" w:y="722"/>
      <w:numPr>
        <w:numId w:val="21"/>
      </w:numPr>
      <w:spacing w:before="60" w:after="360" w:line="240" w:lineRule="auto"/>
    </w:pPr>
    <w:rPr>
      <w:rFonts w:cstheme="minorHAnsi"/>
      <w:b/>
      <w:color w:val="000000" w:themeColor="text1"/>
      <w:sz w:val="20"/>
      <w:szCs w:val="20"/>
    </w:rPr>
  </w:style>
  <w:style w:type="character" w:customStyle="1" w:styleId="ListParagraphChar">
    <w:name w:val="List Paragraph Char"/>
    <w:basedOn w:val="DefaultParagraphFont"/>
    <w:link w:val="ListParagraph"/>
    <w:uiPriority w:val="34"/>
    <w:rsid w:val="002335E7"/>
    <w:rPr>
      <w:kern w:val="2"/>
      <w:sz w:val="24"/>
      <w:szCs w:val="24"/>
      <w14:ligatures w14:val="standardContextual"/>
    </w:rPr>
  </w:style>
  <w:style w:type="character" w:customStyle="1" w:styleId="TableheadingChar">
    <w:name w:val="Table heading Char"/>
    <w:basedOn w:val="ListParagraphChar"/>
    <w:link w:val="Tableheading"/>
    <w:rsid w:val="002335E7"/>
    <w:rPr>
      <w:rFonts w:cstheme="minorHAnsi"/>
      <w:b/>
      <w:color w:val="000000" w:themeColor="text1"/>
      <w:kern w:val="2"/>
      <w:sz w:val="20"/>
      <w:szCs w:val="20"/>
      <w14:ligatures w14:val="standardContextual"/>
    </w:rPr>
  </w:style>
  <w:style w:type="paragraph" w:customStyle="1" w:styleId="Comments">
    <w:name w:val="Comments"/>
    <w:basedOn w:val="Normal"/>
    <w:link w:val="CommentsChar"/>
    <w:qFormat/>
    <w:rsid w:val="007256FA"/>
    <w:pPr>
      <w:framePr w:hSpace="180" w:wrap="around" w:vAnchor="text" w:hAnchor="margin" w:xAlign="center" w:y="722"/>
      <w:spacing w:before="60" w:after="120" w:line="240" w:lineRule="auto"/>
    </w:pPr>
    <w:rPr>
      <w:rFonts w:cstheme="minorHAnsi"/>
      <w:b/>
      <w:bCs/>
      <w:color w:val="161716" w:themeColor="background2" w:themeShade="1A"/>
      <w:szCs w:val="20"/>
    </w:rPr>
  </w:style>
  <w:style w:type="character" w:customStyle="1" w:styleId="CommentsChar">
    <w:name w:val="Comments Char"/>
    <w:basedOn w:val="DefaultParagraphFont"/>
    <w:link w:val="Comments"/>
    <w:rsid w:val="007256FA"/>
    <w:rPr>
      <w:rFonts w:cstheme="minorHAnsi"/>
      <w:b/>
      <w:bCs/>
      <w:color w:val="161716" w:themeColor="background2" w:themeShade="1A"/>
      <w:kern w:val="2"/>
      <w:sz w:val="24"/>
      <w:szCs w:val="20"/>
      <w14:ligatures w14:val="standardContextual"/>
    </w:rPr>
  </w:style>
  <w:style w:type="paragraph" w:styleId="Revision">
    <w:name w:val="Revision"/>
    <w:hidden/>
    <w:uiPriority w:val="99"/>
    <w:semiHidden/>
    <w:rsid w:val="00EF180F"/>
    <w:pPr>
      <w:spacing w:after="0" w:line="240" w:lineRule="auto"/>
    </w:pPr>
    <w:rPr>
      <w:kern w:val="2"/>
      <w:sz w:val="24"/>
      <w:szCs w:val="24"/>
      <w14:ligatures w14:val="standardContextual"/>
    </w:rPr>
  </w:style>
  <w:style w:type="character" w:styleId="CommentReference">
    <w:name w:val="annotation reference"/>
    <w:basedOn w:val="DefaultParagraphFont"/>
    <w:uiPriority w:val="99"/>
    <w:semiHidden/>
    <w:unhideWhenUsed/>
    <w:rsid w:val="007A4341"/>
    <w:rPr>
      <w:sz w:val="16"/>
      <w:szCs w:val="16"/>
    </w:rPr>
  </w:style>
  <w:style w:type="paragraph" w:styleId="CommentText">
    <w:name w:val="annotation text"/>
    <w:basedOn w:val="Normal"/>
    <w:link w:val="CommentTextChar"/>
    <w:uiPriority w:val="99"/>
    <w:unhideWhenUsed/>
    <w:rsid w:val="007A4341"/>
    <w:pPr>
      <w:spacing w:line="240" w:lineRule="auto"/>
    </w:pPr>
    <w:rPr>
      <w:sz w:val="20"/>
      <w:szCs w:val="20"/>
    </w:rPr>
  </w:style>
  <w:style w:type="character" w:customStyle="1" w:styleId="CommentTextChar">
    <w:name w:val="Comment Text Char"/>
    <w:basedOn w:val="DefaultParagraphFont"/>
    <w:link w:val="CommentText"/>
    <w:uiPriority w:val="99"/>
    <w:rsid w:val="007A4341"/>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7A4341"/>
    <w:rPr>
      <w:b/>
      <w:bCs/>
    </w:rPr>
  </w:style>
  <w:style w:type="character" w:customStyle="1" w:styleId="CommentSubjectChar">
    <w:name w:val="Comment Subject Char"/>
    <w:basedOn w:val="CommentTextChar"/>
    <w:link w:val="CommentSubject"/>
    <w:uiPriority w:val="99"/>
    <w:semiHidden/>
    <w:rsid w:val="007A4341"/>
    <w:rPr>
      <w:b/>
      <w:bCs/>
      <w:kern w:val="2"/>
      <w:sz w:val="20"/>
      <w:szCs w:val="20"/>
      <w14:ligatures w14:val="standardContextual"/>
    </w:rPr>
  </w:style>
  <w:style w:type="character" w:styleId="FollowedHyperlink">
    <w:name w:val="FollowedHyperlink"/>
    <w:basedOn w:val="DefaultParagraphFont"/>
    <w:uiPriority w:val="99"/>
    <w:semiHidden/>
    <w:unhideWhenUsed/>
    <w:rsid w:val="001E0EB7"/>
    <w:rPr>
      <w:color w:val="007DB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05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finance.gov.au/publications/resource-management-guides/procurement-publishing-and-reporting-obligations-rmg-423/characteristics-consultancy-contracts-and-common-example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apsc.gov.au/initiatives-and-programs/workforce-information/aps-strategic-commissioning-framework/resources-toolkit-strategic-commissioning-framework/outsourcing-limited-circumstance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finance.gov.au/government/procurement/buying-australian-government/contract-characteristic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inance.gov.au/government/procurement/procurement-policy-notes/reporting-consultancy-contracts-valued-2-million-or-more" TargetMode="External"/><Relationship Id="rId20" Type="http://schemas.openxmlformats.org/officeDocument/2006/relationships/hyperlink" Target="https://www.apsc.gov.au/initiatives-and-programs/workforce-information/aps-strategic-commissioning-framework/resources-toolkit-strategic-commissioning-framework/core-wor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finance.gov.au/government/procurement/procurement-policy-notes/procurement-policy-note-senior-oversight-contract-variations" TargetMode="External"/><Relationship Id="rId5" Type="http://schemas.openxmlformats.org/officeDocument/2006/relationships/customXml" Target="../customXml/item5.xml"/><Relationship Id="rId15" Type="http://schemas.openxmlformats.org/officeDocument/2006/relationships/hyperlink" Target="https://www.finance.gov.au/government/procurement" TargetMode="External"/><Relationship Id="rId23" Type="http://schemas.openxmlformats.org/officeDocument/2006/relationships/hyperlink" Target="https://www.finance.gov.au/government/procurement/buying-australian-government/contracts-end-dates"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apsc.gov.au/publication/aps-strategic-commissioning-framewor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inance.gov.au/government/procurement/commonwealth-procurement-rules" TargetMode="External"/><Relationship Id="rId22" Type="http://schemas.openxmlformats.org/officeDocument/2006/relationships/hyperlink" Target="https://www.apsc.gov.au/publication/aps-strategic-commissioning-framewor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RNAT\Downloads\Short%20Word%20template_polygon_blue.dotx" TargetMode="External"/></Relationships>
</file>

<file path=word/theme/theme1.xml><?xml version="1.0" encoding="utf-8"?>
<a:theme xmlns:a="http://schemas.openxmlformats.org/drawingml/2006/main" name="Finance 1 Blue">
  <a:themeElements>
    <a:clrScheme name="Finance Brand">
      <a:dk1>
        <a:sysClr val="windowText" lastClr="000000"/>
      </a:dk1>
      <a:lt1>
        <a:sysClr val="window" lastClr="FFFFFF"/>
      </a:lt1>
      <a:dk2>
        <a:srgbClr val="1C1C1C"/>
      </a:dk2>
      <a:lt2>
        <a:srgbClr val="E2E3E2"/>
      </a:lt2>
      <a:accent1>
        <a:srgbClr val="85CAF0"/>
      </a:accent1>
      <a:accent2>
        <a:srgbClr val="5FB4E1"/>
      </a:accent2>
      <a:accent3>
        <a:srgbClr val="007DB6"/>
      </a:accent3>
      <a:accent4>
        <a:srgbClr val="F6EB61"/>
      </a:accent4>
      <a:accent5>
        <a:srgbClr val="B4B5DF"/>
      </a:accent5>
      <a:accent6>
        <a:srgbClr val="9CDBD9"/>
      </a:accent6>
      <a:hlink>
        <a:srgbClr val="007DB6"/>
      </a:hlink>
      <a:folHlink>
        <a:srgbClr val="007DB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1 Blue" id="{F0E8012F-52C4-4285-8588-15EF98A0938A}" vid="{1F551BCA-87CD-4010-B1B7-2E689DDB7D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4b2c377-c74f-46b8-b62e-9cefa93d8fc8" ContentTypeId="0x010100B7B479F47583304BA8B631462CC772D7" PreviousValue="tru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D59CCE06084ED44E95089959EE3EF843" ma:contentTypeVersion="38" ma:contentTypeDescription="Create a new document." ma:contentTypeScope="" ma:versionID="02f839d7758f24c3902d13b7a156f128">
  <xsd:schema xmlns:xsd="http://www.w3.org/2001/XMLSchema" xmlns:xs="http://www.w3.org/2001/XMLSchema" xmlns:p="http://schemas.microsoft.com/office/2006/metadata/properties" xmlns:ns1="http://schemas.microsoft.com/sharepoint/v3" xmlns:ns2="a334ba3b-e131-42d3-95f3-2728f5a41884" xmlns:ns3="6a7e9632-768a-49bf-85ac-c69233ab2a52" xmlns:ns4="a573d58f-b117-4c45-ac98-1630dfc86f2e" targetNamespace="http://schemas.microsoft.com/office/2006/metadata/properties" ma:root="true" ma:fieldsID="f29f9c4ab66a22979169976f58250736" ns1:_="" ns2:_="" ns3:_="" ns4:_="">
    <xsd:import namespace="http://schemas.microsoft.com/sharepoint/v3"/>
    <xsd:import namespace="a334ba3b-e131-42d3-95f3-2728f5a41884"/>
    <xsd:import namespace="6a7e9632-768a-49bf-85ac-c69233ab2a52"/>
    <xsd:import namespace="a573d58f-b117-4c45-ac98-1630dfc86f2e"/>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SharedWithDetails" minOccurs="0"/>
                <xsd:element ref="ns4:MediaServiceMetadata" minOccurs="0"/>
                <xsd:element ref="ns4:MediaServiceFastMetadata" minOccurs="0"/>
                <xsd:element ref="ns4:lcf76f155ced4ddcb4097134ff3c332f"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3:SharedWithUsers" minOccurs="0"/>
                <xsd:element ref="ns3:_dlc_DocId" minOccurs="0"/>
                <xsd:element ref="ns3:_dlc_DocIdUrl" minOccurs="0"/>
                <xsd:element ref="ns3:_dlc_DocIdPersistId" minOccurs="0"/>
                <xsd:element ref="ns4:MediaServiceObjectDetectorVersions" minOccurs="0"/>
                <xsd:element ref="ns4: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caacbf05-312e-440f-b8bf-74a2a74e492c}"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2;#Procurement Policy|db21f25d-32db-47c1-972a-c84366a309ce"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caacbf05-312e-440f-b8bf-74a2a74e492c}"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3" nillable="true" ma:displayName="Document ID Value" ma:description="The value of the document ID assigned to this item." ma:indexed="true" ma:internalName="_dlc_DocId" ma:readOnly="true">
      <xsd:simpleType>
        <xsd:restriction base="dms:Text"/>
      </xsd:simpleType>
    </xsd:element>
    <xsd:element name="_dlc_DocIdUrl" ma:index="3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73d58f-b117-4c45-ac98-1630dfc86f2e"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f934ccb37d6451ba60cdb89c1817167 xmlns="a334ba3b-e131-42d3-95f3-2728f5a41884">
      <Terms xmlns="http://schemas.microsoft.com/office/infopath/2007/PartnerControls"/>
    </of934ccb37d6451ba60cdb89c1817167>
    <TaxCatchAll xmlns="a334ba3b-e131-42d3-95f3-2728f5a41884">
      <Value>16</Value>
    </TaxCatchAll>
    <e0fcb3f570964638902a63147cd98219 xmlns="a334ba3b-e131-42d3-95f3-2728f5a41884">
      <Terms xmlns="http://schemas.microsoft.com/office/infopath/2007/PartnerControls"/>
    </e0fcb3f570964638902a63147cd98219>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f0888ba7078d4a1bac90b097c1ed0fad>
    <_dlc_DocId xmlns="6a7e9632-768a-49bf-85ac-c69233ab2a52">FIN33643-1949075089-22922</_dlc_DocId>
    <_dlc_DocIdUrl xmlns="6a7e9632-768a-49bf-85ac-c69233ab2a52">
      <Url>https://financegovau.sharepoint.com/sites/M365_DoF_50033643/_layouts/15/DocIdRedir.aspx?ID=FIN33643-1949075089-22922</Url>
      <Description>FIN33643-1949075089-22922</Description>
    </_dlc_DocIdUrl>
    <Security_x0020_Classification xmlns="a334ba3b-e131-42d3-95f3-2728f5a41884">OFFICIAL</Security_x0020_Classification>
    <Original_x0020_Date_x0020_Created xmlns="a334ba3b-e131-42d3-95f3-2728f5a41884" xsi:nil="true"/>
    <_ip_UnifiedCompliancePolicyUIAction xmlns="http://schemas.microsoft.com/sharepoint/v3" xsi:nil="true"/>
    <lcf76f155ced4ddcb4097134ff3c332f xmlns="a573d58f-b117-4c45-ac98-1630dfc86f2e">
      <Terms xmlns="http://schemas.microsoft.com/office/infopath/2007/PartnerControls"/>
    </lcf76f155ced4ddcb4097134ff3c332f>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645DF99-94DE-4E02-9F9E-AD95320C45FD}">
  <ds:schemaRefs>
    <ds:schemaRef ds:uri="Microsoft.SharePoint.Taxonomy.ContentTypeSync"/>
  </ds:schemaRefs>
</ds:datastoreItem>
</file>

<file path=customXml/itemProps2.xml><?xml version="1.0" encoding="utf-8"?>
<ds:datastoreItem xmlns:ds="http://schemas.openxmlformats.org/officeDocument/2006/customXml" ds:itemID="{9D6B7D7D-C910-4C95-819D-95B9F88B164F}">
  <ds:schemaRefs>
    <ds:schemaRef ds:uri="http://schemas.openxmlformats.org/officeDocument/2006/bibliography"/>
  </ds:schemaRefs>
</ds:datastoreItem>
</file>

<file path=customXml/itemProps3.xml><?xml version="1.0" encoding="utf-8"?>
<ds:datastoreItem xmlns:ds="http://schemas.openxmlformats.org/officeDocument/2006/customXml" ds:itemID="{2CA9A178-11D7-4244-BD3A-E032B6049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6a7e9632-768a-49bf-85ac-c69233ab2a52"/>
    <ds:schemaRef ds:uri="a573d58f-b117-4c45-ac98-1630dfc86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179CF8-371E-46D3-AF80-8AC64C751BDA}">
  <ds:schemaRefs>
    <ds:schemaRef ds:uri="http://schemas.microsoft.com/office/2006/metadata/properties"/>
    <ds:schemaRef ds:uri="http://schemas.microsoft.com/office/infopath/2007/PartnerControls"/>
    <ds:schemaRef ds:uri="a334ba3b-e131-42d3-95f3-2728f5a41884"/>
    <ds:schemaRef ds:uri="6a7e9632-768a-49bf-85ac-c69233ab2a52"/>
    <ds:schemaRef ds:uri="http://schemas.microsoft.com/sharepoint/v3"/>
    <ds:schemaRef ds:uri="a573d58f-b117-4c45-ac98-1630dfc86f2e"/>
  </ds:schemaRefs>
</ds:datastoreItem>
</file>

<file path=customXml/itemProps5.xml><?xml version="1.0" encoding="utf-8"?>
<ds:datastoreItem xmlns:ds="http://schemas.openxmlformats.org/officeDocument/2006/customXml" ds:itemID="{E0A7B4BE-163D-45C7-93E4-48693812A325}">
  <ds:schemaRefs>
    <ds:schemaRef ds:uri="http://schemas.microsoft.com/sharepoint/v3/contenttype/forms"/>
  </ds:schemaRefs>
</ds:datastoreItem>
</file>

<file path=customXml/itemProps6.xml><?xml version="1.0" encoding="utf-8"?>
<ds:datastoreItem xmlns:ds="http://schemas.openxmlformats.org/officeDocument/2006/customXml" ds:itemID="{225C199A-25DE-4A89-A673-34C426E0870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Short Word template_polygon_blue.dotx</Template>
  <TotalTime>0</TotalTime>
  <Pages>4</Pages>
  <Words>934</Words>
  <Characters>5120</Characters>
  <Application>Microsoft Office Word</Application>
  <DocSecurity>0</DocSecurity>
  <Lines>158</Lines>
  <Paragraphs>49</Paragraphs>
  <ScaleCrop>false</ScaleCrop>
  <Company>Department of Finance</Company>
  <LinksUpToDate>false</LinksUpToDate>
  <CharactersWithSpaces>6069</CharactersWithSpaces>
  <SharedDoc>false</SharedDoc>
  <HLinks>
    <vt:vector size="54" baseType="variant">
      <vt:variant>
        <vt:i4>7995491</vt:i4>
      </vt:variant>
      <vt:variant>
        <vt:i4>24</vt:i4>
      </vt:variant>
      <vt:variant>
        <vt:i4>0</vt:i4>
      </vt:variant>
      <vt:variant>
        <vt:i4>5</vt:i4>
      </vt:variant>
      <vt:variant>
        <vt:lpwstr>https://www.finance.gov.au/government/procurement/buying-australian-government/contracts-end-dates</vt:lpwstr>
      </vt:variant>
      <vt:variant>
        <vt:lpwstr/>
      </vt:variant>
      <vt:variant>
        <vt:i4>786510</vt:i4>
      </vt:variant>
      <vt:variant>
        <vt:i4>21</vt:i4>
      </vt:variant>
      <vt:variant>
        <vt:i4>0</vt:i4>
      </vt:variant>
      <vt:variant>
        <vt:i4>5</vt:i4>
      </vt:variant>
      <vt:variant>
        <vt:lpwstr>https://www.apsc.gov.au/publication/aps-strategic-commissioning-framework</vt:lpwstr>
      </vt:variant>
      <vt:variant>
        <vt:lpwstr/>
      </vt:variant>
      <vt:variant>
        <vt:i4>7864366</vt:i4>
      </vt:variant>
      <vt:variant>
        <vt:i4>18</vt:i4>
      </vt:variant>
      <vt:variant>
        <vt:i4>0</vt:i4>
      </vt:variant>
      <vt:variant>
        <vt:i4>5</vt:i4>
      </vt:variant>
      <vt:variant>
        <vt:lpwstr>https://www.apsc.gov.au/initiatives-and-programs/workforce-information/aps-strategic-commissioning-framework/resources-toolkit-strategic-commissioning-framework/outsourcing-limited-circumstances</vt:lpwstr>
      </vt:variant>
      <vt:variant>
        <vt:lpwstr/>
      </vt:variant>
      <vt:variant>
        <vt:i4>4128802</vt:i4>
      </vt:variant>
      <vt:variant>
        <vt:i4>15</vt:i4>
      </vt:variant>
      <vt:variant>
        <vt:i4>0</vt:i4>
      </vt:variant>
      <vt:variant>
        <vt:i4>5</vt:i4>
      </vt:variant>
      <vt:variant>
        <vt:lpwstr>https://www.apsc.gov.au/initiatives-and-programs/workforce-information/aps-strategic-commissioning-framework/resources-toolkit-strategic-commissioning-framework/core-work</vt:lpwstr>
      </vt:variant>
      <vt:variant>
        <vt:lpwstr/>
      </vt:variant>
      <vt:variant>
        <vt:i4>786510</vt:i4>
      </vt:variant>
      <vt:variant>
        <vt:i4>12</vt:i4>
      </vt:variant>
      <vt:variant>
        <vt:i4>0</vt:i4>
      </vt:variant>
      <vt:variant>
        <vt:i4>5</vt:i4>
      </vt:variant>
      <vt:variant>
        <vt:lpwstr>https://www.apsc.gov.au/publication/aps-strategic-commissioning-framework</vt:lpwstr>
      </vt:variant>
      <vt:variant>
        <vt:lpwstr/>
      </vt:variant>
      <vt:variant>
        <vt:i4>1966080</vt:i4>
      </vt:variant>
      <vt:variant>
        <vt:i4>9</vt:i4>
      </vt:variant>
      <vt:variant>
        <vt:i4>0</vt:i4>
      </vt:variant>
      <vt:variant>
        <vt:i4>5</vt:i4>
      </vt:variant>
      <vt:variant>
        <vt:lpwstr>https://www.finance.gov.au/publications/resource-management-guides/procurement-publishing-and-reporting-obligations-rmg-423/characteristics-consultancy-contracts-and-common-examples</vt:lpwstr>
      </vt:variant>
      <vt:variant>
        <vt:lpwstr/>
      </vt:variant>
      <vt:variant>
        <vt:i4>2359414</vt:i4>
      </vt:variant>
      <vt:variant>
        <vt:i4>6</vt:i4>
      </vt:variant>
      <vt:variant>
        <vt:i4>0</vt:i4>
      </vt:variant>
      <vt:variant>
        <vt:i4>5</vt:i4>
      </vt:variant>
      <vt:variant>
        <vt:lpwstr>https://www.finance.gov.au/government/procurement/buying-australian-government/contract-characteristics</vt:lpwstr>
      </vt:variant>
      <vt:variant>
        <vt:lpwstr/>
      </vt:variant>
      <vt:variant>
        <vt:i4>1441795</vt:i4>
      </vt:variant>
      <vt:variant>
        <vt:i4>3</vt:i4>
      </vt:variant>
      <vt:variant>
        <vt:i4>0</vt:i4>
      </vt:variant>
      <vt:variant>
        <vt:i4>5</vt:i4>
      </vt:variant>
      <vt:variant>
        <vt:lpwstr>https://www.finance.gov.au/government/procurement</vt:lpwstr>
      </vt:variant>
      <vt:variant>
        <vt:lpwstr/>
      </vt:variant>
      <vt:variant>
        <vt:i4>4653060</vt:i4>
      </vt:variant>
      <vt:variant>
        <vt:i4>0</vt:i4>
      </vt:variant>
      <vt:variant>
        <vt:i4>0</vt:i4>
      </vt:variant>
      <vt:variant>
        <vt:i4>5</vt:i4>
      </vt:variant>
      <vt:variant>
        <vt:lpwstr>https://www.finance.gov.au/government/procurement/commonwealth-procurement-rules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Consultancy procurement checklist</dc:title>
  <dc:subject/>
  <dc:creator>Department of Finance</dc:creator>
  <cp:keywords>[SEC=OFFICIAL]</cp:keywords>
  <dc:description/>
  <dcterms:created xsi:type="dcterms:W3CDTF">2026-06-22T04:38:00Z</dcterms:created>
  <dcterms:modified xsi:type="dcterms:W3CDTF">2026-06-22T04:38:00Z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PM_SecurityClassification">
    <vt:lpwstr>OFFICIAL</vt:lpwstr>
  </property>
  <property fmtid="{D5CDD505-2E9C-101B-9397-08002B2CF9AE}" pid="6" name="PMHMAC">
    <vt:lpwstr>v=2022.1;a=SHA256;h=93E597FF056311F47AE93B9A952FC452B25A3DE2CFAD386F86FC178832FC88BE</vt:lpwstr>
  </property>
  <property fmtid="{D5CDD505-2E9C-101B-9397-08002B2CF9AE}" pid="7" name="PM_Qualifier">
    <vt:lpwstr/>
  </property>
  <property fmtid="{D5CDD505-2E9C-101B-9397-08002B2CF9AE}" pid="8" name="PM_Note">
    <vt:lpwstr/>
  </property>
  <property fmtid="{D5CDD505-2E9C-101B-9397-08002B2CF9AE}" pid="9" name="PM_OriginationTimeStamp">
    <vt:lpwstr>2026-02-18T03:44:14Z</vt:lpwstr>
  </property>
  <property fmtid="{D5CDD505-2E9C-101B-9397-08002B2CF9AE}" pid="10" name="PM_ProtectiveMarkingValue_Header">
    <vt:lpwstr>OFFICIAL</vt:lpwstr>
  </property>
  <property fmtid="{D5CDD505-2E9C-101B-9397-08002B2CF9AE}" pid="11" name="PM_Markers">
    <vt:lpwstr/>
  </property>
  <property fmtid="{D5CDD505-2E9C-101B-9397-08002B2CF9AE}" pid="12" name="PM_Display">
    <vt:lpwstr>OFFICIAL</vt:lpwstr>
  </property>
  <property fmtid="{D5CDD505-2E9C-101B-9397-08002B2CF9AE}" pid="13" name="PM_InsertionValue">
    <vt:lpwstr>OFFICIAL</vt:lpwstr>
  </property>
  <property fmtid="{D5CDD505-2E9C-101B-9397-08002B2CF9AE}" pid="14" name="PM_Originator_Hash_SHA1">
    <vt:lpwstr>CB6B937BFB40E311A8B54CC6CE52299B2D467F50</vt:lpwstr>
  </property>
  <property fmtid="{D5CDD505-2E9C-101B-9397-08002B2CF9AE}" pid="15" name="PM_DisplayValueSecClassificationWithQualifier">
    <vt:lpwstr>OFFICIAL</vt:lpwstr>
  </property>
  <property fmtid="{D5CDD505-2E9C-101B-9397-08002B2CF9AE}" pid="16" name="PM_ProtectiveMarkingValue_Footer">
    <vt:lpwstr>OFFICIAL</vt:lpwstr>
  </property>
  <property fmtid="{D5CDD505-2E9C-101B-9397-08002B2CF9AE}" pid="17" name="PM_Originating_FileId">
    <vt:lpwstr>B1D716C70F444F8BA1449F99C53FF073</vt:lpwstr>
  </property>
  <property fmtid="{D5CDD505-2E9C-101B-9397-08002B2CF9AE}" pid="18" name="PM_ProtectiveMarkingImage_Header">
    <vt:lpwstr>C:\Program Files\Common Files\janusNET Shared\janusSEAL\Images\DocumentSlashBlue.png</vt:lpwstr>
  </property>
  <property fmtid="{D5CDD505-2E9C-101B-9397-08002B2CF9AE}" pid="19" name="PM_ProtectiveMarkingImage_Footer">
    <vt:lpwstr>C:\Program Files\Common Files\janusNET Shared\janusSEAL\Images\DocumentSlashBlue.png</vt:lpwstr>
  </property>
  <property fmtid="{D5CDD505-2E9C-101B-9397-08002B2CF9AE}" pid="20" name="PM_OriginatorUserAccountName_SHA256">
    <vt:lpwstr>2CEFAA23C6218C107CD6555A1826BB24F1709810B942540014E1FFC301896001</vt:lpwstr>
  </property>
  <property fmtid="{D5CDD505-2E9C-101B-9397-08002B2CF9AE}" pid="21" name="PM_OriginatorDomainName_SHA256">
    <vt:lpwstr>325440F6CA31C4C3BCE4433552DC42928CAAD3E2731ABE35FDE729ECEB763AF0</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F89B0A77C2EB43FA57C0F623203B65B6</vt:lpwstr>
  </property>
  <property fmtid="{D5CDD505-2E9C-101B-9397-08002B2CF9AE}" pid="25" name="PM_Hash_Salt">
    <vt:lpwstr>CDD2DE970DD6F99012D94484CB363C3E</vt:lpwstr>
  </property>
  <property fmtid="{D5CDD505-2E9C-101B-9397-08002B2CF9AE}" pid="26" name="PM_Hash_SHA1">
    <vt:lpwstr>560F39B61C207AE96FA73EF3F2C66E6E54095B51</vt:lpwstr>
  </property>
  <property fmtid="{D5CDD505-2E9C-101B-9397-08002B2CF9AE}" pid="27" name="PM_SecurityClassification_Prev">
    <vt:lpwstr>OFFICIAL</vt:lpwstr>
  </property>
  <property fmtid="{D5CDD505-2E9C-101B-9397-08002B2CF9AE}" pid="28" name="PM_Qualifier_Prev">
    <vt:lpwstr/>
  </property>
  <property fmtid="{D5CDD505-2E9C-101B-9397-08002B2CF9AE}" pid="29" name="MSIP_Label_87d6481e-ccdd-4ab6-8b26-05a0df5699e7_ActionId">
    <vt:lpwstr>c8b2038e6df949bfadfff847901e28f7</vt:lpwstr>
  </property>
  <property fmtid="{D5CDD505-2E9C-101B-9397-08002B2CF9AE}" pid="30" name="MSIP_Label_87d6481e-ccdd-4ab6-8b26-05a0df5699e7_Name">
    <vt:lpwstr>OFFICIAL</vt:lpwstr>
  </property>
  <property fmtid="{D5CDD505-2E9C-101B-9397-08002B2CF9AE}" pid="31" name="MSIP_Label_87d6481e-ccdd-4ab6-8b26-05a0df5699e7_SetDate">
    <vt:lpwstr>2026-02-18T03:44:14Z</vt:lpwstr>
  </property>
  <property fmtid="{D5CDD505-2E9C-101B-9397-08002B2CF9AE}" pid="32" name="MSIP_Label_87d6481e-ccdd-4ab6-8b26-05a0df5699e7_Method">
    <vt:lpwstr>Privileged</vt:lpwstr>
  </property>
  <property fmtid="{D5CDD505-2E9C-101B-9397-08002B2CF9AE}" pid="33" name="MSIP_Label_87d6481e-ccdd-4ab6-8b26-05a0df5699e7_SiteId">
    <vt:lpwstr>08954cee-4782-4ff6-9ad5-1997dccef4b0</vt:lpwstr>
  </property>
  <property fmtid="{D5CDD505-2E9C-101B-9397-08002B2CF9AE}" pid="34" name="MSIP_Label_87d6481e-ccdd-4ab6-8b26-05a0df5699e7_Enabled">
    <vt:lpwstr>true</vt:lpwstr>
  </property>
  <property fmtid="{D5CDD505-2E9C-101B-9397-08002B2CF9AE}" pid="35" name="MSIP_Label_87d6481e-ccdd-4ab6-8b26-05a0df5699e7_ContentBits">
    <vt:lpwstr>0</vt:lpwstr>
  </property>
  <property fmtid="{D5CDD505-2E9C-101B-9397-08002B2CF9AE}" pid="36" name="ContentTypeId">
    <vt:lpwstr>0x010100B7B479F47583304BA8B631462CC772D700D59CCE06084ED44E95089959EE3EF843</vt:lpwstr>
  </property>
  <property fmtid="{D5CDD505-2E9C-101B-9397-08002B2CF9AE}" pid="37" name="TaxKeyword">
    <vt:lpwstr>16;#[SEC=OFFICIAL]|07351cc0-de73-4913-be2f-56f124cbf8bb</vt:lpwstr>
  </property>
  <property fmtid="{D5CDD505-2E9C-101B-9397-08002B2CF9AE}" pid="38" name="f0888ba7078d4a1bac90b097c1ed0fad0">
    <vt:lpwstr>Department of Finance|fd660e8f-8f31-49bd-92a3-d31d4da31afe</vt:lpwstr>
  </property>
  <property fmtid="{D5CDD505-2E9C-101B-9397-08002B2CF9AE}" pid="39" name="of934ccb37d6451ba60cdb89c18171670">
    <vt:lpwstr>Department of Finance|fd660e8f-8f31-49bd-92a3-d31d4da31afe</vt:lpwstr>
  </property>
  <property fmtid="{D5CDD505-2E9C-101B-9397-08002B2CF9AE}" pid="40" name="e0fcb3f570964638902a63147cd982190">
    <vt:lpwstr>SCB Advisory and People Services|599d6fb9-80fc-4131-9905-2bf48332faf9</vt:lpwstr>
  </property>
  <property fmtid="{D5CDD505-2E9C-101B-9397-08002B2CF9AE}" pid="41" name="Initiating Entity">
    <vt:lpwstr/>
  </property>
  <property fmtid="{D5CDD505-2E9C-101B-9397-08002B2CF9AE}" pid="42" name="Organisation Unit">
    <vt:lpwstr/>
  </property>
  <property fmtid="{D5CDD505-2E9C-101B-9397-08002B2CF9AE}" pid="43" name="_dlc_DocIdItemGuid">
    <vt:lpwstr>7d21859a-a0ee-45dd-901c-6191f8942e63</vt:lpwstr>
  </property>
  <property fmtid="{D5CDD505-2E9C-101B-9397-08002B2CF9AE}" pid="44" name="About Entity">
    <vt:lpwstr/>
  </property>
  <property fmtid="{D5CDD505-2E9C-101B-9397-08002B2CF9AE}" pid="45" name="Organisation_x0020_Unit">
    <vt:lpwstr/>
  </property>
  <property fmtid="{D5CDD505-2E9C-101B-9397-08002B2CF9AE}" pid="46" name="MediaServiceImageTags">
    <vt:lpwstr/>
  </property>
  <property fmtid="{D5CDD505-2E9C-101B-9397-08002B2CF9AE}" pid="47" name="About_x0020_Entity">
    <vt:lpwstr/>
  </property>
  <property fmtid="{D5CDD505-2E9C-101B-9397-08002B2CF9AE}" pid="48" name="Function_x0020_and_x0020_Activity">
    <vt:lpwstr/>
  </property>
  <property fmtid="{D5CDD505-2E9C-101B-9397-08002B2CF9AE}" pid="49" name="lcf76f155ced4ddcb4097134ff3c332f">
    <vt:lpwstr/>
  </property>
  <property fmtid="{D5CDD505-2E9C-101B-9397-08002B2CF9AE}" pid="50" name="lf395e0388bc45bfb8642f07b9d090f40">
    <vt:lpwstr/>
  </property>
  <property fmtid="{D5CDD505-2E9C-101B-9397-08002B2CF9AE}" pid="51" name="Initiating_x0020_Entity">
    <vt:lpwstr/>
  </property>
  <property fmtid="{D5CDD505-2E9C-101B-9397-08002B2CF9AE}" pid="52" name="Function and Activity">
    <vt:lpwstr/>
  </property>
  <property fmtid="{D5CDD505-2E9C-101B-9397-08002B2CF9AE}" pid="53" name="docLang">
    <vt:lpwstr>en</vt:lpwstr>
  </property>
  <property fmtid="{D5CDD505-2E9C-101B-9397-08002B2CF9AE}" pid="54" name="PM_Expires">
    <vt:lpwstr/>
  </property>
  <property fmtid="{D5CDD505-2E9C-101B-9397-08002B2CF9AE}" pid="55" name="PM_DownTo">
    <vt:lpwstr/>
  </property>
</Properties>
</file>