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CD88" w14:textId="77777777" w:rsidR="000A0A28" w:rsidRPr="00F6457C" w:rsidRDefault="000A0A28" w:rsidP="000A0A28">
      <w:pPr>
        <w:rPr>
          <w:b/>
          <w:bCs/>
        </w:rPr>
      </w:pPr>
      <w:r w:rsidRPr="00F6457C">
        <w:rPr>
          <w:b/>
          <w:bCs/>
        </w:rPr>
        <w:t xml:space="preserve">Template for Pay </w:t>
      </w:r>
      <w:r>
        <w:rPr>
          <w:b/>
          <w:bCs/>
        </w:rPr>
        <w:t>O</w:t>
      </w:r>
      <w:r w:rsidRPr="00F6457C">
        <w:rPr>
          <w:b/>
          <w:bCs/>
        </w:rPr>
        <w:t>n</w:t>
      </w:r>
      <w:r>
        <w:rPr>
          <w:b/>
          <w:bCs/>
        </w:rPr>
        <w:t>-</w:t>
      </w:r>
      <w:r w:rsidRPr="00F6457C">
        <w:rPr>
          <w:b/>
          <w:bCs/>
        </w:rPr>
        <w:t>Time or Pay Interest Policy reporting on entity’s website</w:t>
      </w:r>
      <w:r>
        <w:rPr>
          <w:b/>
          <w:bCs/>
        </w:rPr>
        <w:t xml:space="preserve"> </w:t>
      </w:r>
    </w:p>
    <w:p w14:paraId="3E35AC14" w14:textId="77777777" w:rsidR="000A0A28" w:rsidRPr="00EB6FE5" w:rsidRDefault="000A0A28" w:rsidP="000A0A28">
      <w:pPr>
        <w:rPr>
          <w:rFonts w:cstheme="minorHAnsi"/>
        </w:rPr>
      </w:pPr>
      <w:r w:rsidRPr="00EB6FE5">
        <w:t xml:space="preserve">This </w:t>
      </w:r>
      <w:r>
        <w:t xml:space="preserve">table below provides information on </w:t>
      </w:r>
      <w:r w:rsidRPr="00EB6FE5">
        <w:t xml:space="preserve">[entity]’s application of the Australian Government </w:t>
      </w:r>
      <w:hyperlink r:id="rId12" w:history="1">
        <w:r w:rsidRPr="00EB6FE5">
          <w:rPr>
            <w:rStyle w:val="Hyperlink"/>
          </w:rPr>
          <w:t xml:space="preserve"> Supplier Pay On</w:t>
        </w:r>
        <w:r w:rsidRPr="00EB6FE5">
          <w:rPr>
            <w:rStyle w:val="Hyperlink"/>
          </w:rPr>
          <w:noBreakHyphen/>
          <w:t>Time or Pay Interest Policy</w:t>
        </w:r>
      </w:hyperlink>
      <w:r w:rsidRPr="00EB6FE5">
        <w:t xml:space="preserve"> for the 20</w:t>
      </w:r>
      <w:r>
        <w:t>25-26</w:t>
      </w:r>
      <w:r w:rsidRPr="00EB6FE5">
        <w:t xml:space="preserve"> financial year</w:t>
      </w:r>
      <w:r w:rsidRPr="00EB6FE5">
        <w:rPr>
          <w:rFonts w:cstheme="minorHAnsi"/>
        </w:rPr>
        <w:t xml:space="preserve">. </w:t>
      </w:r>
    </w:p>
    <w:p w14:paraId="2C1754A8" w14:textId="77777777" w:rsidR="000A0A28" w:rsidRDefault="000A0A28" w:rsidP="000A0A28">
      <w:r>
        <w:t>The Pay On</w:t>
      </w:r>
      <w:r>
        <w:noBreakHyphen/>
        <w:t>Time or Pay Interest Policy requires non</w:t>
      </w:r>
      <w:r>
        <w:noBreakHyphen/>
        <w:t xml:space="preserve">corporate Commonwealth entities </w:t>
      </w:r>
      <w:r w:rsidRPr="003D339F">
        <w:t>(NCE</w:t>
      </w:r>
      <w:r>
        <w:t>s</w:t>
      </w:r>
      <w:r w:rsidRPr="003D339F">
        <w:t>)</w:t>
      </w:r>
      <w:r>
        <w:t xml:space="preserve">, to pay eligible invoices within: </w:t>
      </w:r>
    </w:p>
    <w:p w14:paraId="16177F42" w14:textId="77777777" w:rsidR="000A0A28" w:rsidRDefault="000A0A28" w:rsidP="000A0A28">
      <w:pPr>
        <w:pStyle w:val="ListParagraph"/>
        <w:numPr>
          <w:ilvl w:val="0"/>
          <w:numId w:val="1"/>
        </w:numPr>
      </w:pPr>
      <w:r>
        <w:t>five calendar days for electronic invoices (</w:t>
      </w:r>
      <w:proofErr w:type="spellStart"/>
      <w:r>
        <w:t>eInvoices</w:t>
      </w:r>
      <w:proofErr w:type="spellEnd"/>
      <w:r>
        <w:t xml:space="preserve">) </w:t>
      </w:r>
      <w:r w:rsidRPr="00D6233F">
        <w:rPr>
          <w:b/>
          <w:bCs/>
        </w:rPr>
        <w:t>or</w:t>
      </w:r>
    </w:p>
    <w:p w14:paraId="1E79D2BB" w14:textId="77777777" w:rsidR="000A0A28" w:rsidRDefault="000A0A28" w:rsidP="000A0A28">
      <w:pPr>
        <w:pStyle w:val="ListParagraph"/>
        <w:numPr>
          <w:ilvl w:val="0"/>
          <w:numId w:val="1"/>
        </w:numPr>
      </w:pPr>
      <w:r>
        <w:t xml:space="preserve">twenty calendar days for all other invoices, unless a shorter payment period was agreed between the NCE and a supplier.  </w:t>
      </w:r>
    </w:p>
    <w:p w14:paraId="42961BE9" w14:textId="77777777" w:rsidR="000A0A28" w:rsidRDefault="000A0A28" w:rsidP="000A0A28">
      <w:r>
        <w:t>Where payment is</w:t>
      </w:r>
      <w:r w:rsidRPr="00B12771">
        <w:t xml:space="preserve"> not made in full </w:t>
      </w:r>
      <w:r>
        <w:t>and on time, NCEs are required to</w:t>
      </w:r>
      <w:r w:rsidRPr="00B12771">
        <w:t xml:space="preserve"> pay interest to the supplier on the outstanding amount </w:t>
      </w:r>
      <w:r>
        <w:t>if</w:t>
      </w:r>
      <w:r w:rsidRPr="00B12771">
        <w:t xml:space="preserve"> </w:t>
      </w:r>
      <w:r>
        <w:t xml:space="preserve">the interest accrued is more than </w:t>
      </w:r>
      <w:r w:rsidRPr="00B12771">
        <w:t>$100</w:t>
      </w:r>
      <w:r>
        <w:t>.</w:t>
      </w:r>
      <w:r w:rsidRPr="00B12771" w:rsidDel="0032009D">
        <w:t xml:space="preserve"> </w:t>
      </w:r>
      <w:r>
        <w:t xml:space="preserve">Interest is payable at the general interest charge rate available from the </w:t>
      </w:r>
      <w:hyperlink r:id="rId13" w:history="1">
        <w:r w:rsidRPr="00571293">
          <w:rPr>
            <w:rStyle w:val="Hyperlink"/>
          </w:rPr>
          <w:t>ATO</w:t>
        </w:r>
      </w:hyperlink>
      <w:r w:rsidRPr="00A52295">
        <w:t>,</w:t>
      </w:r>
      <w:r>
        <w:t xml:space="preserve"> calculated for each calendar day from the day after the payment is due up to and including the day the payment is made.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99"/>
        <w:gridCol w:w="1457"/>
        <w:gridCol w:w="1374"/>
        <w:gridCol w:w="927"/>
        <w:gridCol w:w="1668"/>
        <w:gridCol w:w="1515"/>
        <w:gridCol w:w="1036"/>
      </w:tblGrid>
      <w:tr w:rsidR="000A0A28" w:rsidRPr="001C58AF" w14:paraId="520BF087" w14:textId="77777777" w:rsidTr="000A0A28">
        <w:tc>
          <w:tcPr>
            <w:tcW w:w="1799" w:type="dxa"/>
          </w:tcPr>
          <w:p w14:paraId="13B99A88" w14:textId="77777777" w:rsidR="000A0A28" w:rsidRPr="001C58AF" w:rsidRDefault="000A0A28" w:rsidP="00CB3D7D"/>
        </w:tc>
        <w:tc>
          <w:tcPr>
            <w:tcW w:w="1457" w:type="dxa"/>
          </w:tcPr>
          <w:p w14:paraId="526A0190" w14:textId="77777777" w:rsidR="000A0A28" w:rsidRPr="00FB63C1" w:rsidRDefault="000A0A28" w:rsidP="00CB3D7D">
            <w:pPr>
              <w:rPr>
                <w:sz w:val="20"/>
                <w:szCs w:val="20"/>
              </w:rPr>
            </w:pPr>
            <w:r w:rsidRPr="00FB63C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FB63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</w:t>
            </w:r>
            <w:r w:rsidRPr="00FB63C1">
              <w:rPr>
                <w:sz w:val="20"/>
                <w:szCs w:val="20"/>
              </w:rPr>
              <w:br/>
              <w:t xml:space="preserve">Percentage (%) </w:t>
            </w:r>
            <w:r w:rsidRPr="00FB63C1">
              <w:rPr>
                <w:sz w:val="20"/>
                <w:szCs w:val="20"/>
              </w:rPr>
              <w:br/>
              <w:t xml:space="preserve">of invoices paid </w:t>
            </w:r>
            <w:r w:rsidRPr="00FB63C1">
              <w:rPr>
                <w:sz w:val="20"/>
                <w:szCs w:val="20"/>
              </w:rPr>
              <w:br/>
              <w:t xml:space="preserve">within 20 days </w:t>
            </w:r>
            <w:r w:rsidRPr="00FB63C1">
              <w:rPr>
                <w:sz w:val="20"/>
                <w:szCs w:val="20"/>
              </w:rPr>
              <w:br/>
              <w:t>by number</w:t>
            </w:r>
          </w:p>
        </w:tc>
        <w:tc>
          <w:tcPr>
            <w:tcW w:w="1374" w:type="dxa"/>
          </w:tcPr>
          <w:p w14:paraId="47CAC6F5" w14:textId="77777777" w:rsidR="000A0A28" w:rsidRDefault="000A0A28" w:rsidP="00CB3D7D">
            <w:pPr>
              <w:rPr>
                <w:sz w:val="20"/>
                <w:szCs w:val="20"/>
              </w:rPr>
            </w:pPr>
            <w:r w:rsidRPr="00FB63C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FB63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</w:t>
            </w:r>
            <w:r w:rsidRPr="00FB63C1">
              <w:rPr>
                <w:sz w:val="20"/>
                <w:szCs w:val="20"/>
              </w:rPr>
              <w:br/>
              <w:t xml:space="preserve">Percentage (%) of invoices paid </w:t>
            </w:r>
          </w:p>
          <w:p w14:paraId="493F7015" w14:textId="77777777" w:rsidR="000A0A28" w:rsidRDefault="000A0A28" w:rsidP="00CB3D7D">
            <w:pPr>
              <w:rPr>
                <w:sz w:val="20"/>
                <w:szCs w:val="20"/>
              </w:rPr>
            </w:pPr>
            <w:r w:rsidRPr="00FB63C1">
              <w:rPr>
                <w:sz w:val="20"/>
                <w:szCs w:val="20"/>
              </w:rPr>
              <w:t xml:space="preserve">within 20 days </w:t>
            </w:r>
          </w:p>
          <w:p w14:paraId="21BBAF9F" w14:textId="77777777" w:rsidR="000A0A28" w:rsidRPr="00FB63C1" w:rsidRDefault="000A0A28" w:rsidP="00CB3D7D">
            <w:pPr>
              <w:rPr>
                <w:sz w:val="20"/>
                <w:szCs w:val="20"/>
              </w:rPr>
            </w:pPr>
            <w:r w:rsidRPr="00FB63C1">
              <w:rPr>
                <w:sz w:val="20"/>
                <w:szCs w:val="20"/>
              </w:rPr>
              <w:t xml:space="preserve">by </w:t>
            </w:r>
            <w:r>
              <w:rPr>
                <w:sz w:val="20"/>
                <w:szCs w:val="20"/>
              </w:rPr>
              <w:t>value</w:t>
            </w:r>
          </w:p>
        </w:tc>
        <w:tc>
          <w:tcPr>
            <w:tcW w:w="927" w:type="dxa"/>
          </w:tcPr>
          <w:p w14:paraId="384D2002" w14:textId="77777777" w:rsidR="000A0A28" w:rsidRPr="00FB63C1" w:rsidRDefault="000A0A28" w:rsidP="00CB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value of invoices</w:t>
            </w:r>
          </w:p>
        </w:tc>
        <w:tc>
          <w:tcPr>
            <w:tcW w:w="1668" w:type="dxa"/>
          </w:tcPr>
          <w:p w14:paraId="01D1BDE1" w14:textId="77777777" w:rsidR="000A0A28" w:rsidRDefault="000A0A28" w:rsidP="00CB3D7D">
            <w:pPr>
              <w:rPr>
                <w:sz w:val="20"/>
                <w:szCs w:val="20"/>
              </w:rPr>
            </w:pPr>
            <w:r w:rsidRPr="00FB63C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FB63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</w:t>
            </w:r>
            <w:r w:rsidRPr="00FB63C1">
              <w:rPr>
                <w:sz w:val="20"/>
                <w:szCs w:val="20"/>
              </w:rPr>
              <w:br/>
              <w:t xml:space="preserve">Percentage (%) of </w:t>
            </w:r>
            <w:proofErr w:type="spellStart"/>
            <w:r>
              <w:rPr>
                <w:sz w:val="20"/>
                <w:szCs w:val="20"/>
              </w:rPr>
              <w:t>eI</w:t>
            </w:r>
            <w:r w:rsidRPr="00FB63C1">
              <w:rPr>
                <w:sz w:val="20"/>
                <w:szCs w:val="20"/>
              </w:rPr>
              <w:t>nvoices</w:t>
            </w:r>
            <w:proofErr w:type="spellEnd"/>
            <w:r w:rsidRPr="00FB63C1">
              <w:rPr>
                <w:sz w:val="20"/>
                <w:szCs w:val="20"/>
              </w:rPr>
              <w:t xml:space="preserve"> paid within</w:t>
            </w:r>
            <w:r>
              <w:rPr>
                <w:sz w:val="20"/>
                <w:szCs w:val="20"/>
              </w:rPr>
              <w:t xml:space="preserve"> 5</w:t>
            </w:r>
            <w:r w:rsidRPr="00FB63C1">
              <w:rPr>
                <w:sz w:val="20"/>
                <w:szCs w:val="20"/>
              </w:rPr>
              <w:t xml:space="preserve"> days </w:t>
            </w:r>
          </w:p>
          <w:p w14:paraId="666E0959" w14:textId="77777777" w:rsidR="000A0A28" w:rsidRPr="00FB63C1" w:rsidRDefault="000A0A28" w:rsidP="00CB3D7D">
            <w:pPr>
              <w:rPr>
                <w:sz w:val="20"/>
                <w:szCs w:val="20"/>
              </w:rPr>
            </w:pPr>
            <w:r w:rsidRPr="00FB63C1">
              <w:rPr>
                <w:sz w:val="20"/>
                <w:szCs w:val="20"/>
              </w:rPr>
              <w:t>by number</w:t>
            </w:r>
          </w:p>
        </w:tc>
        <w:tc>
          <w:tcPr>
            <w:tcW w:w="1515" w:type="dxa"/>
          </w:tcPr>
          <w:p w14:paraId="26698669" w14:textId="77777777" w:rsidR="000A0A28" w:rsidRDefault="000A0A28" w:rsidP="00CB3D7D">
            <w:pPr>
              <w:rPr>
                <w:sz w:val="20"/>
                <w:szCs w:val="20"/>
              </w:rPr>
            </w:pPr>
            <w:r w:rsidRPr="00FB63C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FB63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</w:t>
            </w:r>
            <w:r w:rsidRPr="00FB63C1">
              <w:rPr>
                <w:sz w:val="20"/>
                <w:szCs w:val="20"/>
              </w:rPr>
              <w:br/>
              <w:t xml:space="preserve">Percentage (%) of </w:t>
            </w:r>
            <w:proofErr w:type="spellStart"/>
            <w:r>
              <w:rPr>
                <w:sz w:val="20"/>
                <w:szCs w:val="20"/>
              </w:rPr>
              <w:t>eI</w:t>
            </w:r>
            <w:r w:rsidRPr="00FB63C1">
              <w:rPr>
                <w:sz w:val="20"/>
                <w:szCs w:val="20"/>
              </w:rPr>
              <w:t>nvoices</w:t>
            </w:r>
            <w:proofErr w:type="spellEnd"/>
            <w:r w:rsidRPr="00FB63C1">
              <w:rPr>
                <w:sz w:val="20"/>
                <w:szCs w:val="20"/>
              </w:rPr>
              <w:t xml:space="preserve"> paid within </w:t>
            </w:r>
            <w:r>
              <w:rPr>
                <w:sz w:val="20"/>
                <w:szCs w:val="20"/>
              </w:rPr>
              <w:t>5</w:t>
            </w:r>
            <w:r w:rsidRPr="00FB63C1">
              <w:rPr>
                <w:sz w:val="20"/>
                <w:szCs w:val="20"/>
              </w:rPr>
              <w:t xml:space="preserve"> days </w:t>
            </w:r>
          </w:p>
          <w:p w14:paraId="395623EA" w14:textId="77777777" w:rsidR="000A0A28" w:rsidRPr="00FB63C1" w:rsidRDefault="000A0A28" w:rsidP="00CB3D7D">
            <w:pPr>
              <w:rPr>
                <w:sz w:val="20"/>
                <w:szCs w:val="20"/>
              </w:rPr>
            </w:pPr>
            <w:r w:rsidRPr="00FB63C1">
              <w:rPr>
                <w:sz w:val="20"/>
                <w:szCs w:val="20"/>
              </w:rPr>
              <w:t xml:space="preserve">by </w:t>
            </w:r>
            <w:r>
              <w:rPr>
                <w:sz w:val="20"/>
                <w:szCs w:val="20"/>
              </w:rPr>
              <w:t>value</w:t>
            </w:r>
          </w:p>
        </w:tc>
        <w:tc>
          <w:tcPr>
            <w:tcW w:w="1036" w:type="dxa"/>
          </w:tcPr>
          <w:p w14:paraId="38ACA392" w14:textId="77777777" w:rsidR="000A0A28" w:rsidRPr="00FB63C1" w:rsidRDefault="000A0A28" w:rsidP="00CB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value of </w:t>
            </w:r>
            <w:proofErr w:type="spellStart"/>
            <w:r>
              <w:rPr>
                <w:sz w:val="20"/>
                <w:szCs w:val="20"/>
              </w:rPr>
              <w:t>eInvoices</w:t>
            </w:r>
            <w:proofErr w:type="spellEnd"/>
          </w:p>
        </w:tc>
      </w:tr>
      <w:tr w:rsidR="000A0A28" w:rsidRPr="001C58AF" w14:paraId="3EA0E2C5" w14:textId="77777777" w:rsidTr="000A0A28">
        <w:tc>
          <w:tcPr>
            <w:tcW w:w="1799" w:type="dxa"/>
          </w:tcPr>
          <w:p w14:paraId="2F1758BD" w14:textId="77777777" w:rsidR="000A0A28" w:rsidRPr="001C58AF" w:rsidRDefault="000A0A28" w:rsidP="00CB3D7D">
            <w:r>
              <w:t>Eligible invoices up to $1 million (GST inclusive)</w:t>
            </w:r>
          </w:p>
        </w:tc>
        <w:tc>
          <w:tcPr>
            <w:tcW w:w="1457" w:type="dxa"/>
          </w:tcPr>
          <w:p w14:paraId="2DB42181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14:paraId="72761958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37B729C0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08C96A11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14:paraId="31F6D44F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653BB523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</w:tr>
      <w:tr w:rsidR="000A0A28" w:rsidRPr="001C58AF" w14:paraId="000A39C2" w14:textId="77777777" w:rsidTr="000A0A28">
        <w:tc>
          <w:tcPr>
            <w:tcW w:w="1799" w:type="dxa"/>
          </w:tcPr>
          <w:p w14:paraId="3D287E5A" w14:textId="77777777" w:rsidR="000A0A28" w:rsidRDefault="000A0A28" w:rsidP="00CB3D7D">
            <w:r>
              <w:t>All eligible invoices (GST inclusive)</w:t>
            </w:r>
          </w:p>
        </w:tc>
        <w:tc>
          <w:tcPr>
            <w:tcW w:w="1457" w:type="dxa"/>
          </w:tcPr>
          <w:p w14:paraId="558413EB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14:paraId="46FCF450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71358803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2DAFCAF6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14:paraId="4C09FA2F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35CFCD78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</w:tr>
    </w:tbl>
    <w:p w14:paraId="23566DB1" w14:textId="77777777" w:rsidR="000A0A28" w:rsidRDefault="000A0A28" w:rsidP="000A0A28"/>
    <w:tbl>
      <w:tblPr>
        <w:tblStyle w:val="TableGrid"/>
        <w:tblW w:w="9830" w:type="dxa"/>
        <w:tblLook w:val="04A0" w:firstRow="1" w:lastRow="0" w:firstColumn="1" w:lastColumn="0" w:noHBand="0" w:noVBand="1"/>
      </w:tblPr>
      <w:tblGrid>
        <w:gridCol w:w="4248"/>
        <w:gridCol w:w="2800"/>
        <w:gridCol w:w="2782"/>
      </w:tblGrid>
      <w:tr w:rsidR="000A0A28" w:rsidRPr="00FB63C1" w14:paraId="4EC13BB0" w14:textId="77777777" w:rsidTr="000A0A28">
        <w:trPr>
          <w:trHeight w:val="964"/>
        </w:trPr>
        <w:tc>
          <w:tcPr>
            <w:tcW w:w="4248" w:type="dxa"/>
          </w:tcPr>
          <w:p w14:paraId="45BAEB34" w14:textId="77777777" w:rsidR="000A0A28" w:rsidRPr="001C58AF" w:rsidRDefault="000A0A28" w:rsidP="00CB3D7D">
            <w:r>
              <w:t>I</w:t>
            </w:r>
            <w:r w:rsidRPr="00CE6990">
              <w:t xml:space="preserve">nterest paid on late </w:t>
            </w:r>
            <w:r>
              <w:t xml:space="preserve">paid </w:t>
            </w:r>
            <w:r w:rsidRPr="00CE6990">
              <w:t xml:space="preserve">invoices and </w:t>
            </w:r>
            <w:proofErr w:type="spellStart"/>
            <w:r w:rsidRPr="00CE6990">
              <w:t>eInvoices</w:t>
            </w:r>
            <w:proofErr w:type="spellEnd"/>
          </w:p>
        </w:tc>
        <w:tc>
          <w:tcPr>
            <w:tcW w:w="2800" w:type="dxa"/>
          </w:tcPr>
          <w:p w14:paraId="2EDE1171" w14:textId="77777777" w:rsidR="000A0A28" w:rsidRPr="00FB63C1" w:rsidRDefault="000A0A28" w:rsidP="00CB3D7D">
            <w:pPr>
              <w:rPr>
                <w:sz w:val="20"/>
                <w:szCs w:val="20"/>
              </w:rPr>
            </w:pPr>
            <w:r w:rsidRPr="00FB63C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FB63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</w:t>
            </w:r>
            <w:r w:rsidRPr="00FB63C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interest paid on late invoices due payment in 20 days</w:t>
            </w:r>
          </w:p>
        </w:tc>
        <w:tc>
          <w:tcPr>
            <w:tcW w:w="2782" w:type="dxa"/>
          </w:tcPr>
          <w:p w14:paraId="184FF6F1" w14:textId="77777777" w:rsidR="000A0A28" w:rsidRPr="00FB63C1" w:rsidRDefault="000A0A28" w:rsidP="00CB3D7D">
            <w:pPr>
              <w:rPr>
                <w:sz w:val="20"/>
                <w:szCs w:val="20"/>
              </w:rPr>
            </w:pPr>
            <w:r w:rsidRPr="00FB63C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FB63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26</w:t>
            </w:r>
            <w:r w:rsidRPr="00FB63C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interest paid on late </w:t>
            </w:r>
            <w:proofErr w:type="spellStart"/>
            <w:r>
              <w:rPr>
                <w:sz w:val="20"/>
                <w:szCs w:val="20"/>
              </w:rPr>
              <w:t>eInvoices</w:t>
            </w:r>
            <w:proofErr w:type="spellEnd"/>
            <w:r>
              <w:rPr>
                <w:sz w:val="20"/>
                <w:szCs w:val="20"/>
              </w:rPr>
              <w:t xml:space="preserve"> due payment in 5 days</w:t>
            </w:r>
          </w:p>
        </w:tc>
      </w:tr>
      <w:tr w:rsidR="000A0A28" w:rsidRPr="00FB63C1" w14:paraId="1285B1C7" w14:textId="77777777" w:rsidTr="000A0A28">
        <w:trPr>
          <w:trHeight w:val="296"/>
        </w:trPr>
        <w:tc>
          <w:tcPr>
            <w:tcW w:w="4248" w:type="dxa"/>
          </w:tcPr>
          <w:p w14:paraId="661BBB5B" w14:textId="77777777" w:rsidR="000A0A28" w:rsidRPr="001C58AF" w:rsidRDefault="000A0A28" w:rsidP="00CB3D7D"/>
        </w:tc>
        <w:tc>
          <w:tcPr>
            <w:tcW w:w="2800" w:type="dxa"/>
          </w:tcPr>
          <w:p w14:paraId="50EF8BE4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2" w:type="dxa"/>
          </w:tcPr>
          <w:p w14:paraId="10D69102" w14:textId="77777777" w:rsidR="000A0A28" w:rsidRPr="00FB63C1" w:rsidRDefault="000A0A28" w:rsidP="00CB3D7D">
            <w:pPr>
              <w:jc w:val="right"/>
              <w:rPr>
                <w:sz w:val="20"/>
                <w:szCs w:val="20"/>
              </w:rPr>
            </w:pPr>
          </w:p>
        </w:tc>
      </w:tr>
    </w:tbl>
    <w:p w14:paraId="2E01CDAD" w14:textId="77777777" w:rsidR="000A0A28" w:rsidRDefault="000A0A28" w:rsidP="000A0A28"/>
    <w:p w14:paraId="163C2A09" w14:textId="77777777" w:rsidR="000A0A28" w:rsidRDefault="000A0A28" w:rsidP="000A0A28"/>
    <w:p w14:paraId="418AC11A" w14:textId="77777777" w:rsidR="0003122C" w:rsidRDefault="0003122C"/>
    <w:sectPr w:rsidR="0003122C" w:rsidSect="000A0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0A08" w14:textId="77777777" w:rsidR="00F316D2" w:rsidRDefault="00F316D2">
      <w:pPr>
        <w:spacing w:after="0" w:line="240" w:lineRule="auto"/>
      </w:pPr>
      <w:r>
        <w:separator/>
      </w:r>
    </w:p>
  </w:endnote>
  <w:endnote w:type="continuationSeparator" w:id="0">
    <w:p w14:paraId="2DCF9656" w14:textId="77777777" w:rsidR="00F316D2" w:rsidRDefault="00F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FA66" w14:textId="77777777" w:rsidR="00F316D2" w:rsidRDefault="00F316D2">
      <w:pPr>
        <w:spacing w:after="0" w:line="240" w:lineRule="auto"/>
      </w:pPr>
      <w:r>
        <w:separator/>
      </w:r>
    </w:p>
  </w:footnote>
  <w:footnote w:type="continuationSeparator" w:id="0">
    <w:p w14:paraId="4B5FF25F" w14:textId="77777777" w:rsidR="00F316D2" w:rsidRDefault="00F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E724B"/>
    <w:multiLevelType w:val="hybridMultilevel"/>
    <w:tmpl w:val="06C2A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02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28"/>
    <w:rsid w:val="00000AAB"/>
    <w:rsid w:val="0003122C"/>
    <w:rsid w:val="000A0A28"/>
    <w:rsid w:val="00297583"/>
    <w:rsid w:val="002A0D1C"/>
    <w:rsid w:val="00310A0E"/>
    <w:rsid w:val="003D44DE"/>
    <w:rsid w:val="00557378"/>
    <w:rsid w:val="0069779F"/>
    <w:rsid w:val="00992347"/>
    <w:rsid w:val="00D24822"/>
    <w:rsid w:val="00D826D8"/>
    <w:rsid w:val="00F3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55FFA"/>
  <w15:chartTrackingRefBased/>
  <w15:docId w15:val="{9AF7AAEC-21F2-4B4E-9E09-DDD4958D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28"/>
  </w:style>
  <w:style w:type="paragraph" w:styleId="Heading1">
    <w:name w:val="heading 1"/>
    <w:basedOn w:val="Normal"/>
    <w:next w:val="Normal"/>
    <w:link w:val="Heading1Char"/>
    <w:uiPriority w:val="9"/>
    <w:qFormat/>
    <w:rsid w:val="000A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A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0A0A28"/>
    <w:rPr>
      <w:color w:val="3A6FAF"/>
      <w:u w:val="none"/>
    </w:rPr>
  </w:style>
  <w:style w:type="table" w:styleId="TableGrid">
    <w:name w:val="Table Grid"/>
    <w:basedOn w:val="TableNormal"/>
    <w:uiPriority w:val="39"/>
    <w:rsid w:val="000A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to.gov.au/Rates/General-interest-charge-(GIC)-rates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inance.gov.au/publications/resource-management-guides/supplier-pay-time-or-pay-interest-policy-rmg-41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lcf76f155ced4ddcb4097134ff3c332f xmlns="a573d58f-b117-4c45-ac98-1630dfc86f2e">
      <Terms xmlns="http://schemas.microsoft.com/office/infopath/2007/PartnerControls"/>
    </lcf76f155ced4ddcb4097134ff3c332f>
    <TaxCatchAll xmlns="a334ba3b-e131-42d3-95f3-2728f5a41884">
      <Value>16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 Policy</TermName>
          <TermId xmlns="http://schemas.microsoft.com/office/infopath/2007/PartnerControls">db21f25d-32db-47c1-972a-c84366a309ce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FIN33643-1949075089-22622</_dlc_DocId>
    <_dlc_DocIdUrl xmlns="6a7e9632-768a-49bf-85ac-c69233ab2a52">
      <Url>https://financegovau.sharepoint.com/sites/M365_DoF_50033643/_layouts/15/DocIdRedir.aspx?ID=FIN33643-1949075089-22622</Url>
      <Description>FIN33643-1949075089-22622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D59CCE06084ED44E95089959EE3EF843" ma:contentTypeVersion="38" ma:contentTypeDescription="Create a new document." ma:contentTypeScope="" ma:versionID="02f839d7758f24c3902d13b7a156f128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a7e9632-768a-49bf-85ac-c69233ab2a52" xmlns:ns4="a573d58f-b117-4c45-ac98-1630dfc86f2e" targetNamespace="http://schemas.microsoft.com/office/2006/metadata/properties" ma:root="true" ma:fieldsID="f29f9c4ab66a22979169976f58250736" ns1:_="" ns2:_="" ns3:_="" ns4:_="">
    <xsd:import namespace="http://schemas.microsoft.com/sharepoint/v3"/>
    <xsd:import namespace="a334ba3b-e131-42d3-95f3-2728f5a41884"/>
    <xsd:import namespace="6a7e9632-768a-49bf-85ac-c69233ab2a52"/>
    <xsd:import namespace="a573d58f-b117-4c45-ac98-1630dfc86f2e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caacbf05-312e-440f-b8bf-74a2a74e492c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Procurement Policy|db21f25d-32db-47c1-972a-c84366a309c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aacbf05-312e-440f-b8bf-74a2a74e492c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3d58f-b117-4c45-ac98-1630dfc86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650E1-C346-49B6-BE5C-8D1E24EDD9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34ba3b-e131-42d3-95f3-2728f5a41884"/>
    <ds:schemaRef ds:uri="a573d58f-b117-4c45-ac98-1630dfc86f2e"/>
    <ds:schemaRef ds:uri="6a7e9632-768a-49bf-85ac-c69233ab2a52"/>
  </ds:schemaRefs>
</ds:datastoreItem>
</file>

<file path=customXml/itemProps2.xml><?xml version="1.0" encoding="utf-8"?>
<ds:datastoreItem xmlns:ds="http://schemas.openxmlformats.org/officeDocument/2006/customXml" ds:itemID="{8C9ED3AC-F94A-4199-940C-B56F4FB2B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87373-6C02-4D1E-BDCB-9BDF45B505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7F941A-8162-4121-9EEF-386157AC41C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2DEEEE1-A3D8-449B-8810-F9980C204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a7e9632-768a-49bf-85ac-c69233ab2a52"/>
    <ds:schemaRef ds:uri="a573d58f-b117-4c45-ac98-1630dfc86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1245</Characters>
  <Application>Microsoft Office Word</Application>
  <DocSecurity>0</DocSecurity>
  <Lines>78</Lines>
  <Paragraphs>21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Yeoh, Mel</dc:creator>
  <cp:keywords>[SEC=OFFICIAL]</cp:keywords>
  <dc:description/>
  <cp:lastModifiedBy>Fitzgerald, Andrew</cp:lastModifiedBy>
  <cp:revision>2</cp:revision>
  <dcterms:created xsi:type="dcterms:W3CDTF">2026-05-20T02:08:00Z</dcterms:created>
  <dcterms:modified xsi:type="dcterms:W3CDTF">2026-05-20T02:08:00Z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v=2022.1;a=SHA256;h=46842F3B4308318F3B06A8A7CFE0327E64619FB3D3CE5AC3D937D0AF09AC3248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2026-05-18T03:28:46Z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20BDCFE6947724F891BAB363F8FDB79521E398CC665E8FF32A97DBC8BCDF0CA6</vt:lpwstr>
  </property>
  <property fmtid="{D5CDD505-2E9C-101B-9397-08002B2CF9AE}" pid="16" name="MSIP_Label_87d6481e-ccdd-4ab6-8b26-05a0df5699e7_SetDate">
    <vt:lpwstr>2026-05-18T03:28:46Z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59b25d5301604a968cbe0e7fa9c80bdb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C9BC698CDE4A42E939A793685EBD6549FE546749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3AD62E3B183F4C6E9AF65CD49B8F3ABC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785129F55E35AF3CE2B8155770CD0443</vt:lpwstr>
  </property>
  <property fmtid="{D5CDD505-2E9C-101B-9397-08002B2CF9AE}" pid="32" name="PM_Hash_Salt">
    <vt:lpwstr>BB73F6284A7D910E4AC47AF15F8F5C09</vt:lpwstr>
  </property>
  <property fmtid="{D5CDD505-2E9C-101B-9397-08002B2CF9AE}" pid="33" name="PM_Hash_SHA1">
    <vt:lpwstr>0D383B6198CF8C7C04784A477CCC0648D6FD2C93</vt:lpwstr>
  </property>
  <property fmtid="{D5CDD505-2E9C-101B-9397-08002B2CF9AE}" pid="34" name="ContentTypeId">
    <vt:lpwstr>0x010100B7B479F47583304BA8B631462CC772D700D59CCE06084ED44E95089959EE3EF843</vt:lpwstr>
  </property>
  <property fmtid="{D5CDD505-2E9C-101B-9397-08002B2CF9AE}" pid="35" name="TaxKeyword">
    <vt:lpwstr>16;#[SEC=OFFICIAL]|07351cc0-de73-4913-be2f-56f124cbf8bb</vt:lpwstr>
  </property>
  <property fmtid="{D5CDD505-2E9C-101B-9397-08002B2CF9AE}" pid="36" name="Organisation_x0020_Unit">
    <vt:lpwstr>2;#Procurement Policy|db21f25d-32db-47c1-972a-c84366a309ce</vt:lpwstr>
  </property>
  <property fmtid="{D5CDD505-2E9C-101B-9397-08002B2CF9AE}" pid="37" name="MediaServiceImageTags">
    <vt:lpwstr/>
  </property>
  <property fmtid="{D5CDD505-2E9C-101B-9397-08002B2CF9AE}" pid="38" name="About_x0020_Entity">
    <vt:lpwstr>1;#Department of Finance|fd660e8f-8f31-49bd-92a3-d31d4da31afe</vt:lpwstr>
  </property>
  <property fmtid="{D5CDD505-2E9C-101B-9397-08002B2CF9AE}" pid="39" name="Function_x0020_and_x0020_Activity">
    <vt:lpwstr/>
  </property>
  <property fmtid="{D5CDD505-2E9C-101B-9397-08002B2CF9AE}" pid="40" name="Initiating_x0020_Entity">
    <vt:lpwstr>1;#Department of Finance|fd660e8f-8f31-49bd-92a3-d31d4da31afe</vt:lpwstr>
  </property>
  <property fmtid="{D5CDD505-2E9C-101B-9397-08002B2CF9AE}" pid="41" name="Organisation Unit">
    <vt:lpwstr>2;#Procurement Policy|db21f25d-32db-47c1-972a-c84366a309ce</vt:lpwstr>
  </property>
  <property fmtid="{D5CDD505-2E9C-101B-9397-08002B2CF9AE}" pid="42" name="About Entity">
    <vt:lpwstr>1;#Department of Finance|fd660e8f-8f31-49bd-92a3-d31d4da31afe</vt:lpwstr>
  </property>
  <property fmtid="{D5CDD505-2E9C-101B-9397-08002B2CF9AE}" pid="43" name="Initiating Entity">
    <vt:lpwstr>1;#Department of Finance|fd660e8f-8f31-49bd-92a3-d31d4da31afe</vt:lpwstr>
  </property>
  <property fmtid="{D5CDD505-2E9C-101B-9397-08002B2CF9AE}" pid="44" name="Function and Activity">
    <vt:lpwstr/>
  </property>
  <property fmtid="{D5CDD505-2E9C-101B-9397-08002B2CF9AE}" pid="45" name="_dlc_DocIdItemGuid">
    <vt:lpwstr>fec76aa5-8eb0-4080-a7bc-2eccfc82037d</vt:lpwstr>
  </property>
  <property fmtid="{D5CDD505-2E9C-101B-9397-08002B2CF9AE}" pid="46" name="docLang">
    <vt:lpwstr>en</vt:lpwstr>
  </property>
  <property fmtid="{D5CDD505-2E9C-101B-9397-08002B2CF9AE}" pid="47" name="PM_SecurityClassification_Prev">
    <vt:lpwstr>OFFICIAL</vt:lpwstr>
  </property>
  <property fmtid="{D5CDD505-2E9C-101B-9397-08002B2CF9AE}" pid="48" name="PM_Qualifier_Prev">
    <vt:lpwstr/>
  </property>
</Properties>
</file>