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019DA24D" w:rsidR="00B770C4" w:rsidRPr="0024452C" w:rsidRDefault="0051765B" w:rsidP="0024452C">
      <w:pPr>
        <w:pStyle w:val="Title"/>
        <w:spacing w:after="0"/>
      </w:pPr>
      <w:bookmarkStart w:id="0" w:name="_Toc53573191"/>
      <w:bookmarkStart w:id="1" w:name="_Toc53573619"/>
      <w:r w:rsidRPr="0024452C">
        <w:rPr>
          <w:noProof/>
        </w:rPr>
        <w:drawing>
          <wp:anchor distT="0" distB="0" distL="114300" distR="114300" simplePos="0" relativeHeight="251658240"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D12EBD">
        <w:t>National Data Sharing Work Program</w:t>
      </w:r>
    </w:p>
    <w:p w14:paraId="63BAD294" w14:textId="74E724C8" w:rsidR="00075C05" w:rsidRPr="0024452C" w:rsidRDefault="00075C05" w:rsidP="0024452C">
      <w:pPr>
        <w:pStyle w:val="Heading1"/>
        <w:spacing w:before="0"/>
        <w:rPr>
          <w:sz w:val="32"/>
          <w:szCs w:val="32"/>
        </w:rPr>
      </w:pPr>
    </w:p>
    <w:p w14:paraId="0767FFAE" w14:textId="18B86463" w:rsidR="00B770C4" w:rsidRPr="00B770C4" w:rsidRDefault="00284737" w:rsidP="0024452C">
      <w:pPr>
        <w:pStyle w:val="Subtitle"/>
        <w:spacing w:before="240"/>
      </w:pPr>
      <w:r>
        <w:t>Factsheet</w:t>
      </w:r>
    </w:p>
    <w:bookmarkEnd w:id="0"/>
    <w:bookmarkEnd w:id="1"/>
    <w:p w14:paraId="7E33320C" w14:textId="3A8EA744" w:rsidR="009A2E61" w:rsidRPr="00D670BF" w:rsidRDefault="009A2E61" w:rsidP="00E63A8D">
      <w:pPr>
        <w:pStyle w:val="Heading2"/>
        <w:rPr>
          <w:rStyle w:val="Strong"/>
          <w:b w:val="0"/>
          <w:bCs w:val="0"/>
        </w:rPr>
      </w:pPr>
      <w:r w:rsidRPr="00D670BF">
        <w:rPr>
          <w:rStyle w:val="Strong"/>
          <w:b w:val="0"/>
          <w:bCs w:val="0"/>
        </w:rPr>
        <w:t>Overview</w:t>
      </w:r>
    </w:p>
    <w:p w14:paraId="6E23AAC8" w14:textId="2A7026C6" w:rsidR="00B36201" w:rsidRPr="00B36201" w:rsidRDefault="00B36201" w:rsidP="00B36201">
      <w:pPr>
        <w:rPr>
          <w:rStyle w:val="Strong"/>
          <w:rFonts w:cstheme="minorHAnsi"/>
          <w:b w:val="0"/>
          <w:bCs w:val="0"/>
        </w:rPr>
      </w:pPr>
      <w:r w:rsidRPr="00B36201">
        <w:rPr>
          <w:rStyle w:val="Strong"/>
          <w:rFonts w:cstheme="minorHAnsi"/>
          <w:b w:val="0"/>
          <w:bCs w:val="0"/>
        </w:rPr>
        <w:t xml:space="preserve">In July 2021 National Cabinet signed the </w:t>
      </w:r>
      <w:hyperlink r:id="rId14" w:history="1">
        <w:r w:rsidRPr="00F1137E">
          <w:rPr>
            <w:rStyle w:val="Hyperlink"/>
            <w:rFonts w:cstheme="minorHAnsi"/>
          </w:rPr>
          <w:t>Intergovernmental Agreement on Data Sharing (IGA)</w:t>
        </w:r>
      </w:hyperlink>
      <w:r w:rsidRPr="00B36201">
        <w:rPr>
          <w:rStyle w:val="Strong"/>
          <w:rFonts w:cstheme="minorHAnsi"/>
          <w:b w:val="0"/>
          <w:bCs w:val="0"/>
        </w:rPr>
        <w:t>. The IGA is an agreement by the Australian Government and all state and territory governments to share data across jurisdictions as a default position, where it can be done securely, safely, lawfully and ethically.</w:t>
      </w:r>
    </w:p>
    <w:p w14:paraId="7C0B9F0C" w14:textId="6689FFAD" w:rsidR="00B36201" w:rsidRDefault="00B36201" w:rsidP="00B36201">
      <w:pPr>
        <w:rPr>
          <w:rStyle w:val="Strong"/>
          <w:rFonts w:cstheme="minorHAnsi"/>
          <w:b w:val="0"/>
          <w:bCs w:val="0"/>
        </w:rPr>
      </w:pPr>
      <w:r w:rsidRPr="00B36201">
        <w:rPr>
          <w:rStyle w:val="Strong"/>
          <w:rFonts w:cstheme="minorHAnsi"/>
          <w:b w:val="0"/>
          <w:bCs w:val="0"/>
        </w:rPr>
        <w:t xml:space="preserve">The IGA is implemented through the </w:t>
      </w:r>
      <w:hyperlink r:id="rId15" w:history="1">
        <w:r w:rsidRPr="00D72091">
          <w:rPr>
            <w:rStyle w:val="Hyperlink"/>
            <w:rFonts w:cstheme="minorHAnsi"/>
          </w:rPr>
          <w:t>Data and Digital Ministers Meeting (DDMM)</w:t>
        </w:r>
      </w:hyperlink>
      <w:r w:rsidRPr="00B36201">
        <w:rPr>
          <w:rStyle w:val="Strong"/>
          <w:rFonts w:cstheme="minorHAnsi"/>
          <w:b w:val="0"/>
          <w:bCs w:val="0"/>
        </w:rPr>
        <w:t xml:space="preserve"> and is supported by the National Data Sharing Work Program (Work Program). The mechanism to establish the Work Program is set out in the IGA. The Work Program implements the IGA by embedding it in data sharing practices. </w:t>
      </w:r>
    </w:p>
    <w:p w14:paraId="2AFB6D63" w14:textId="66888D4F" w:rsidR="00F303CB" w:rsidRPr="00B36201" w:rsidRDefault="00F303CB" w:rsidP="00B36201">
      <w:pPr>
        <w:rPr>
          <w:rStyle w:val="Strong"/>
          <w:rFonts w:cstheme="minorHAnsi"/>
          <w:b w:val="0"/>
          <w:bCs w:val="0"/>
        </w:rPr>
      </w:pPr>
      <w:r w:rsidRPr="00B36201">
        <w:rPr>
          <w:rStyle w:val="Strong"/>
          <w:rFonts w:cstheme="minorHAnsi"/>
          <w:b w:val="0"/>
          <w:bCs w:val="0"/>
        </w:rPr>
        <w:t>The Work Program has facilitated projects in priority data sharing areas such as Closing the Gap Target 9B</w:t>
      </w:r>
      <w:r w:rsidR="004A425A">
        <w:rPr>
          <w:rStyle w:val="Strong"/>
          <w:rFonts w:cstheme="minorHAnsi"/>
          <w:b w:val="0"/>
          <w:bCs w:val="0"/>
        </w:rPr>
        <w:t>;</w:t>
      </w:r>
      <w:r w:rsidRPr="00B36201">
        <w:rPr>
          <w:rStyle w:val="Strong"/>
          <w:rFonts w:cstheme="minorHAnsi"/>
          <w:b w:val="0"/>
          <w:bCs w:val="0"/>
        </w:rPr>
        <w:t xml:space="preserve"> Family, </w:t>
      </w:r>
      <w:r w:rsidR="004A425A">
        <w:rPr>
          <w:rStyle w:val="Strong"/>
          <w:rFonts w:cstheme="minorHAnsi"/>
          <w:b w:val="0"/>
          <w:bCs w:val="0"/>
        </w:rPr>
        <w:t>d</w:t>
      </w:r>
      <w:r w:rsidRPr="00B36201">
        <w:rPr>
          <w:rStyle w:val="Strong"/>
          <w:rFonts w:cstheme="minorHAnsi"/>
          <w:b w:val="0"/>
          <w:bCs w:val="0"/>
        </w:rPr>
        <w:t xml:space="preserve">omestic and </w:t>
      </w:r>
      <w:r w:rsidR="004A425A">
        <w:rPr>
          <w:rStyle w:val="Strong"/>
          <w:rFonts w:cstheme="minorHAnsi"/>
          <w:b w:val="0"/>
          <w:bCs w:val="0"/>
        </w:rPr>
        <w:t>s</w:t>
      </w:r>
      <w:r w:rsidRPr="00B36201">
        <w:rPr>
          <w:rStyle w:val="Strong"/>
          <w:rFonts w:cstheme="minorHAnsi"/>
          <w:b w:val="0"/>
          <w:bCs w:val="0"/>
        </w:rPr>
        <w:t>exual violence</w:t>
      </w:r>
      <w:r w:rsidR="004A425A">
        <w:rPr>
          <w:rStyle w:val="Strong"/>
          <w:rFonts w:cstheme="minorHAnsi"/>
          <w:b w:val="0"/>
          <w:bCs w:val="0"/>
        </w:rPr>
        <w:t>;</w:t>
      </w:r>
      <w:r w:rsidRPr="00B36201">
        <w:rPr>
          <w:rStyle w:val="Strong"/>
          <w:rFonts w:cstheme="minorHAnsi"/>
          <w:b w:val="0"/>
          <w:bCs w:val="0"/>
        </w:rPr>
        <w:t xml:space="preserve"> Veterans’ health</w:t>
      </w:r>
      <w:r w:rsidR="004A425A">
        <w:rPr>
          <w:rStyle w:val="Strong"/>
          <w:rFonts w:cstheme="minorHAnsi"/>
          <w:b w:val="0"/>
          <w:bCs w:val="0"/>
        </w:rPr>
        <w:t>;</w:t>
      </w:r>
      <w:r w:rsidRPr="00B36201">
        <w:rPr>
          <w:rStyle w:val="Strong"/>
          <w:rFonts w:cstheme="minorHAnsi"/>
          <w:b w:val="0"/>
          <w:bCs w:val="0"/>
        </w:rPr>
        <w:t xml:space="preserve"> and </w:t>
      </w:r>
      <w:r w:rsidR="001D0DD0">
        <w:rPr>
          <w:rStyle w:val="Strong"/>
          <w:rFonts w:cstheme="minorHAnsi"/>
          <w:b w:val="0"/>
          <w:bCs w:val="0"/>
        </w:rPr>
        <w:t xml:space="preserve">defining </w:t>
      </w:r>
      <w:r w:rsidR="00F25294">
        <w:rPr>
          <w:rStyle w:val="Strong"/>
          <w:rFonts w:cstheme="minorHAnsi"/>
          <w:b w:val="0"/>
          <w:bCs w:val="0"/>
        </w:rPr>
        <w:t>Trusted Entities to enable future data sharing.</w:t>
      </w:r>
    </w:p>
    <w:p w14:paraId="4A47D091" w14:textId="77777777" w:rsidR="00FE5ADA" w:rsidRDefault="00FE5ADA" w:rsidP="00FE5ADA">
      <w:pPr>
        <w:pStyle w:val="Heading2"/>
        <w:rPr>
          <w:rStyle w:val="Strong"/>
          <w:rFonts w:cstheme="minorHAnsi"/>
          <w:b w:val="0"/>
          <w:bCs w:val="0"/>
        </w:rPr>
      </w:pPr>
      <w:r>
        <w:rPr>
          <w:rStyle w:val="Strong"/>
          <w:rFonts w:cstheme="minorHAnsi"/>
          <w:b w:val="0"/>
          <w:bCs w:val="0"/>
        </w:rPr>
        <w:t>Aims</w:t>
      </w:r>
    </w:p>
    <w:p w14:paraId="770156B5" w14:textId="1621FA86" w:rsidR="009E7977" w:rsidRDefault="00B36201" w:rsidP="00B36201">
      <w:pPr>
        <w:rPr>
          <w:rStyle w:val="Strong"/>
          <w:rFonts w:cstheme="minorHAnsi"/>
          <w:b w:val="0"/>
          <w:bCs w:val="0"/>
        </w:rPr>
      </w:pPr>
      <w:r w:rsidRPr="00B36201">
        <w:rPr>
          <w:rStyle w:val="Strong"/>
          <w:rFonts w:cstheme="minorHAnsi"/>
          <w:b w:val="0"/>
          <w:bCs w:val="0"/>
        </w:rPr>
        <w:t>The Work Program also aims to</w:t>
      </w:r>
      <w:r w:rsidR="009E7977">
        <w:rPr>
          <w:rStyle w:val="Strong"/>
          <w:rFonts w:cstheme="minorHAnsi"/>
          <w:b w:val="0"/>
          <w:bCs w:val="0"/>
        </w:rPr>
        <w:t>:</w:t>
      </w:r>
    </w:p>
    <w:p w14:paraId="72C5EDC8" w14:textId="77777777" w:rsidR="009E7977" w:rsidRDefault="00B36201" w:rsidP="009E7977">
      <w:pPr>
        <w:pStyle w:val="Bullet1"/>
        <w:rPr>
          <w:rStyle w:val="Strong"/>
          <w:rFonts w:cstheme="minorHAnsi"/>
          <w:b w:val="0"/>
          <w:bCs w:val="0"/>
        </w:rPr>
      </w:pPr>
      <w:r w:rsidRPr="00B36201">
        <w:rPr>
          <w:rStyle w:val="Strong"/>
          <w:rFonts w:cstheme="minorHAnsi"/>
          <w:b w:val="0"/>
          <w:bCs w:val="0"/>
        </w:rPr>
        <w:t>build trust and relationships</w:t>
      </w:r>
    </w:p>
    <w:p w14:paraId="3B50286F" w14:textId="77777777" w:rsidR="009E7977" w:rsidRDefault="00B36201" w:rsidP="009E7977">
      <w:pPr>
        <w:pStyle w:val="Bullet1"/>
        <w:rPr>
          <w:rStyle w:val="Strong"/>
          <w:rFonts w:cstheme="minorHAnsi"/>
          <w:b w:val="0"/>
          <w:bCs w:val="0"/>
        </w:rPr>
      </w:pPr>
      <w:r w:rsidRPr="00B36201">
        <w:rPr>
          <w:rStyle w:val="Strong"/>
          <w:rFonts w:cstheme="minorHAnsi"/>
          <w:b w:val="0"/>
          <w:bCs w:val="0"/>
        </w:rPr>
        <w:t>uplift capacity and capability in the Australian data ecosystem</w:t>
      </w:r>
    </w:p>
    <w:p w14:paraId="63A1760C" w14:textId="2B96620C" w:rsidR="004857A8" w:rsidRDefault="00B36201" w:rsidP="009E7977">
      <w:pPr>
        <w:pStyle w:val="Bullet1"/>
        <w:rPr>
          <w:rStyle w:val="Strong"/>
          <w:rFonts w:cstheme="minorHAnsi"/>
          <w:b w:val="0"/>
          <w:bCs w:val="0"/>
        </w:rPr>
      </w:pPr>
      <w:r w:rsidRPr="00B36201">
        <w:rPr>
          <w:rStyle w:val="Strong"/>
          <w:rFonts w:cstheme="minorHAnsi"/>
          <w:b w:val="0"/>
          <w:bCs w:val="0"/>
        </w:rPr>
        <w:t>develop robust, reusable data products</w:t>
      </w:r>
    </w:p>
    <w:p w14:paraId="38E6CC8F" w14:textId="4F171B14" w:rsidR="00A57245" w:rsidRDefault="00A57245" w:rsidP="00A57245">
      <w:pPr>
        <w:pStyle w:val="Heading2"/>
        <w:rPr>
          <w:rStyle w:val="Strong"/>
          <w:rFonts w:cstheme="minorHAnsi"/>
          <w:b w:val="0"/>
          <w:bCs w:val="0"/>
        </w:rPr>
      </w:pPr>
      <w:r>
        <w:rPr>
          <w:rStyle w:val="Strong"/>
          <w:rFonts w:cstheme="minorHAnsi"/>
          <w:b w:val="0"/>
          <w:bCs w:val="0"/>
        </w:rPr>
        <w:t>Process</w:t>
      </w:r>
    </w:p>
    <w:p w14:paraId="3A730E79" w14:textId="443A8E3D" w:rsidR="00B36201" w:rsidRPr="00B36201" w:rsidRDefault="00B36201" w:rsidP="004857A8">
      <w:pPr>
        <w:pStyle w:val="Bullet1"/>
        <w:numPr>
          <w:ilvl w:val="0"/>
          <w:numId w:val="0"/>
        </w:numPr>
        <w:rPr>
          <w:rStyle w:val="Strong"/>
          <w:rFonts w:cstheme="minorHAnsi"/>
          <w:b w:val="0"/>
          <w:bCs w:val="0"/>
        </w:rPr>
      </w:pPr>
      <w:r w:rsidRPr="00B36201">
        <w:rPr>
          <w:rStyle w:val="Strong"/>
          <w:rFonts w:cstheme="minorHAnsi"/>
          <w:b w:val="0"/>
          <w:bCs w:val="0"/>
        </w:rPr>
        <w:t xml:space="preserve">The Work Program seeks to uplift the national data sharing system by: </w:t>
      </w:r>
    </w:p>
    <w:p w14:paraId="03829353" w14:textId="77777777" w:rsidR="00FE5ADA" w:rsidRDefault="00B36201" w:rsidP="00A462B9">
      <w:pPr>
        <w:pStyle w:val="Bullet1"/>
        <w:rPr>
          <w:rStyle w:val="Strong"/>
          <w:rFonts w:cstheme="minorHAnsi"/>
          <w:b w:val="0"/>
          <w:bCs w:val="0"/>
        </w:rPr>
      </w:pPr>
      <w:r w:rsidRPr="00036CC9">
        <w:rPr>
          <w:rStyle w:val="Strong"/>
          <w:rFonts w:cstheme="minorHAnsi"/>
          <w:b w:val="0"/>
          <w:bCs w:val="0"/>
        </w:rPr>
        <w:t>focusing national effort on specific time-limited priority policy areas to deliver collaborative, inter-jurisdictional projects</w:t>
      </w:r>
    </w:p>
    <w:p w14:paraId="56CAABBD" w14:textId="19A88E7D" w:rsidR="00B36201" w:rsidRPr="00036CC9" w:rsidRDefault="00B36201" w:rsidP="00A462B9">
      <w:pPr>
        <w:pStyle w:val="Bullet1"/>
        <w:rPr>
          <w:rStyle w:val="Strong"/>
          <w:rFonts w:cstheme="minorHAnsi"/>
          <w:b w:val="0"/>
          <w:bCs w:val="0"/>
        </w:rPr>
      </w:pPr>
      <w:r w:rsidRPr="00036CC9">
        <w:rPr>
          <w:rStyle w:val="Strong"/>
          <w:rFonts w:cstheme="minorHAnsi"/>
          <w:b w:val="0"/>
          <w:bCs w:val="0"/>
        </w:rPr>
        <w:t>driving broader data sharing system reforms</w:t>
      </w:r>
    </w:p>
    <w:p w14:paraId="6ED70C5C" w14:textId="5A203C44" w:rsidR="00B36201" w:rsidRDefault="00B36201" w:rsidP="00B36201">
      <w:pPr>
        <w:rPr>
          <w:rStyle w:val="Strong"/>
          <w:rFonts w:cstheme="minorHAnsi"/>
          <w:b w:val="0"/>
          <w:bCs w:val="0"/>
        </w:rPr>
      </w:pPr>
      <w:r w:rsidRPr="00B36201">
        <w:rPr>
          <w:rStyle w:val="Strong"/>
          <w:rFonts w:cstheme="minorHAnsi"/>
          <w:b w:val="0"/>
          <w:bCs w:val="0"/>
        </w:rPr>
        <w:t>Operating in six-monthly sprints, the Work Program builds towards a future data sharing ‘end-state’ through specific, time-limited projects. The end state maps the goals for a well-functioning data sharing system, as agreed by Data and Digital Ministers on 25 March 2022</w:t>
      </w:r>
      <w:r w:rsidR="00084EFB">
        <w:rPr>
          <w:rStyle w:val="Strong"/>
          <w:rFonts w:cstheme="minorHAnsi"/>
          <w:b w:val="0"/>
          <w:bCs w:val="0"/>
        </w:rPr>
        <w:t>.</w:t>
      </w:r>
    </w:p>
    <w:p w14:paraId="4EB3AF26" w14:textId="670BF6F3" w:rsidR="003229D5" w:rsidRPr="00B36201" w:rsidRDefault="003229D5" w:rsidP="00B36201">
      <w:pPr>
        <w:rPr>
          <w:rStyle w:val="Strong"/>
          <w:rFonts w:cstheme="minorHAnsi"/>
          <w:b w:val="0"/>
          <w:bCs w:val="0"/>
        </w:rPr>
      </w:pPr>
      <w:r w:rsidRPr="00B36201">
        <w:rPr>
          <w:rStyle w:val="Strong"/>
          <w:rFonts w:cstheme="minorHAnsi"/>
          <w:b w:val="0"/>
          <w:bCs w:val="0"/>
        </w:rPr>
        <w:t>Portfolio based Work Program projects must be endorsed by a minimum of one relevant Commonwealth portfolio minister and relevant portfolio ministers from at least two states and/or territories. The Work Program is evaluated following each sprint, to identify opportunities for improvement and refinement.</w:t>
      </w:r>
    </w:p>
    <w:p w14:paraId="6DE95003" w14:textId="74788E50" w:rsidR="00AC44EB" w:rsidRDefault="00AC44EB" w:rsidP="00AC44EB">
      <w:pPr>
        <w:pStyle w:val="Heading2"/>
        <w:rPr>
          <w:rStyle w:val="Strong"/>
          <w:rFonts w:cstheme="minorHAnsi"/>
          <w:b w:val="0"/>
          <w:bCs w:val="0"/>
        </w:rPr>
      </w:pPr>
      <w:r>
        <w:rPr>
          <w:rStyle w:val="Strong"/>
          <w:rFonts w:cstheme="minorHAnsi"/>
          <w:b w:val="0"/>
          <w:bCs w:val="0"/>
        </w:rPr>
        <w:lastRenderedPageBreak/>
        <w:t>Benefits</w:t>
      </w:r>
    </w:p>
    <w:p w14:paraId="4B022387" w14:textId="3F7E5E02" w:rsidR="00B36201" w:rsidRPr="00B36201" w:rsidRDefault="00B36201" w:rsidP="00274348">
      <w:pPr>
        <w:pStyle w:val="Bullet1"/>
        <w:rPr>
          <w:rStyle w:val="Strong"/>
          <w:rFonts w:cstheme="minorHAnsi"/>
          <w:b w:val="0"/>
          <w:bCs w:val="0"/>
        </w:rPr>
      </w:pPr>
      <w:r w:rsidRPr="00B36201">
        <w:rPr>
          <w:rStyle w:val="Strong"/>
          <w:rFonts w:cstheme="minorHAnsi"/>
          <w:b w:val="0"/>
          <w:bCs w:val="0"/>
        </w:rPr>
        <w:t xml:space="preserve">Streamlined and consistent data access and transfer mechanisms. New systems are developed with common technical building blocks and interoperability considered. Data sharing governance and management maturity is more consistent across jurisdictions. </w:t>
      </w:r>
    </w:p>
    <w:p w14:paraId="2C19C07F" w14:textId="77777777" w:rsidR="00B36201" w:rsidRPr="00B36201" w:rsidRDefault="00B36201" w:rsidP="00274348">
      <w:pPr>
        <w:pStyle w:val="Bullet1"/>
        <w:rPr>
          <w:rStyle w:val="Strong"/>
          <w:rFonts w:cstheme="minorHAnsi"/>
          <w:b w:val="0"/>
          <w:bCs w:val="0"/>
        </w:rPr>
      </w:pPr>
      <w:r w:rsidRPr="00B36201">
        <w:rPr>
          <w:rStyle w:val="Strong"/>
          <w:rFonts w:cstheme="minorHAnsi"/>
          <w:b w:val="0"/>
          <w:bCs w:val="0"/>
        </w:rPr>
        <w:t xml:space="preserve">Increased visibility of initiatives and best practice informs decisions for investment in data sharing capabilities. There is national alignment on ICT investment for data sharing. </w:t>
      </w:r>
    </w:p>
    <w:p w14:paraId="72FA826E" w14:textId="77777777" w:rsidR="00B36201" w:rsidRPr="00B36201" w:rsidRDefault="00B36201" w:rsidP="00274348">
      <w:pPr>
        <w:pStyle w:val="Bullet1"/>
        <w:rPr>
          <w:rStyle w:val="Strong"/>
          <w:rFonts w:cstheme="minorHAnsi"/>
          <w:b w:val="0"/>
          <w:bCs w:val="0"/>
        </w:rPr>
      </w:pPr>
      <w:r w:rsidRPr="00B36201">
        <w:rPr>
          <w:rStyle w:val="Strong"/>
          <w:rFonts w:cstheme="minorHAnsi"/>
          <w:b w:val="0"/>
          <w:bCs w:val="0"/>
        </w:rPr>
        <w:t xml:space="preserve">Consistency in approval pathways for system-wide approaches to be agreed and implemented. There are appropriate and consistent approvals required for subject specific data access or sharing requests. </w:t>
      </w:r>
    </w:p>
    <w:p w14:paraId="0A225D59" w14:textId="77777777" w:rsidR="00B36201" w:rsidRPr="00B36201" w:rsidRDefault="00B36201" w:rsidP="00274348">
      <w:pPr>
        <w:pStyle w:val="Bullet1"/>
        <w:rPr>
          <w:rStyle w:val="Strong"/>
          <w:rFonts w:cstheme="minorHAnsi"/>
          <w:b w:val="0"/>
          <w:bCs w:val="0"/>
        </w:rPr>
      </w:pPr>
      <w:r w:rsidRPr="00B36201">
        <w:rPr>
          <w:rStyle w:val="Strong"/>
          <w:rFonts w:cstheme="minorHAnsi"/>
          <w:b w:val="0"/>
          <w:bCs w:val="0"/>
        </w:rPr>
        <w:t xml:space="preserve">Value of data to other jurisdictions is quantifiable. Investment decisions are informed by evidence of data value (social, economic). Data sharing is an enabler to maximise public benefit, data standards, quality and national interoperability. </w:t>
      </w:r>
    </w:p>
    <w:p w14:paraId="6363CA0A" w14:textId="77777777" w:rsidR="00B36201" w:rsidRPr="00B36201" w:rsidRDefault="00B36201" w:rsidP="00274348">
      <w:pPr>
        <w:pStyle w:val="Bullet1"/>
        <w:rPr>
          <w:rStyle w:val="Strong"/>
          <w:rFonts w:cstheme="minorHAnsi"/>
          <w:b w:val="0"/>
          <w:bCs w:val="0"/>
        </w:rPr>
      </w:pPr>
      <w:r w:rsidRPr="00B36201">
        <w:rPr>
          <w:rStyle w:val="Strong"/>
          <w:rFonts w:cstheme="minorHAnsi"/>
          <w:b w:val="0"/>
          <w:bCs w:val="0"/>
        </w:rPr>
        <w:t xml:space="preserve">Visibility of jurisdictions’ data sharing approaches drive alignment and trust; custodians make more informed decisions with better information. All jurisdictions have confidence there will be no adverse consequences to themselves, agencies or data subjects when sharing data. </w:t>
      </w:r>
    </w:p>
    <w:p w14:paraId="0DD144FD" w14:textId="736A6803" w:rsidR="003229D5" w:rsidRDefault="003229D5" w:rsidP="003229D5">
      <w:pPr>
        <w:pStyle w:val="Heading2"/>
        <w:rPr>
          <w:rStyle w:val="Strong"/>
          <w:rFonts w:cstheme="minorHAnsi"/>
          <w:b w:val="0"/>
          <w:bCs w:val="0"/>
        </w:rPr>
      </w:pPr>
      <w:r>
        <w:rPr>
          <w:rStyle w:val="Strong"/>
          <w:rFonts w:cstheme="minorHAnsi"/>
          <w:b w:val="0"/>
          <w:bCs w:val="0"/>
        </w:rPr>
        <w:t>IGA Review</w:t>
      </w:r>
    </w:p>
    <w:p w14:paraId="10824499" w14:textId="47DD3F46" w:rsidR="00B36201" w:rsidRPr="00B36201" w:rsidRDefault="00B36201" w:rsidP="00B36201">
      <w:pPr>
        <w:rPr>
          <w:rStyle w:val="Strong"/>
          <w:rFonts w:cstheme="minorHAnsi"/>
          <w:b w:val="0"/>
          <w:bCs w:val="0"/>
        </w:rPr>
      </w:pPr>
      <w:r w:rsidRPr="00B36201">
        <w:rPr>
          <w:rStyle w:val="Strong"/>
          <w:rFonts w:cstheme="minorHAnsi"/>
          <w:b w:val="0"/>
          <w:bCs w:val="0"/>
        </w:rPr>
        <w:t xml:space="preserve">The IGA was evaluated in September 2023, two years after commencement. Following that review, DDMM agreed Work Program sprints be limited to approximately four projects, and data sharing system reform projects with outstanding deliverables will be carried forward to the following sprint, subject to agreement of project leads, noting some pieces of work required additional time to achieve results. Ministers also agreed future Work Programs should have a targeted scope and prioritise projects with resourcing. </w:t>
      </w:r>
    </w:p>
    <w:p w14:paraId="383CBEE9" w14:textId="77777777" w:rsidR="0081616B" w:rsidRPr="0081616B" w:rsidRDefault="0081616B" w:rsidP="00E63A8D">
      <w:pPr>
        <w:pStyle w:val="Heading2"/>
        <w:rPr>
          <w:rStyle w:val="Strong"/>
          <w:rFonts w:cstheme="minorHAnsi"/>
          <w:b w:val="0"/>
          <w:bCs w:val="0"/>
        </w:rPr>
      </w:pPr>
      <w:r w:rsidRPr="0081616B">
        <w:rPr>
          <w:rStyle w:val="Strong"/>
          <w:rFonts w:cstheme="minorHAnsi"/>
          <w:b w:val="0"/>
          <w:bCs w:val="0"/>
        </w:rPr>
        <w:t>More information</w:t>
      </w:r>
    </w:p>
    <w:p w14:paraId="5278D650" w14:textId="61BBAE82" w:rsidR="007C7CD3" w:rsidRDefault="0081616B" w:rsidP="00D670BF">
      <w:pPr>
        <w:rPr>
          <w:rStyle w:val="Strong"/>
          <w:rFonts w:cstheme="minorHAnsi"/>
          <w:b w:val="0"/>
          <w:bCs w:val="0"/>
        </w:rPr>
      </w:pPr>
      <w:r w:rsidRPr="0081616B">
        <w:rPr>
          <w:rStyle w:val="Strong"/>
          <w:rFonts w:cstheme="minorHAnsi"/>
          <w:b w:val="0"/>
          <w:bCs w:val="0"/>
        </w:rPr>
        <w:t xml:space="preserve">The Intergovernmental Agreement on Data Sharing is available online at </w:t>
      </w:r>
      <w:hyperlink r:id="rId16" w:history="1">
        <w:r w:rsidR="007C7CD3" w:rsidRPr="00C24427">
          <w:rPr>
            <w:rStyle w:val="Hyperlink"/>
            <w:rFonts w:cstheme="minorHAnsi"/>
          </w:rPr>
          <w:t>https://federation.gov.au/about/agreements/intergovernmental-agreement-data-sharing</w:t>
        </w:r>
      </w:hyperlink>
      <w:r w:rsidR="007C7CD3">
        <w:rPr>
          <w:rStyle w:val="Strong"/>
          <w:rFonts w:cstheme="minorHAnsi"/>
          <w:b w:val="0"/>
          <w:bCs w:val="0"/>
        </w:rPr>
        <w:t>.</w:t>
      </w:r>
    </w:p>
    <w:p w14:paraId="4D5B54D5" w14:textId="509CA436" w:rsidR="0081616B" w:rsidRDefault="0081616B" w:rsidP="00D670BF">
      <w:pPr>
        <w:rPr>
          <w:rStyle w:val="Strong"/>
          <w:rFonts w:cstheme="minorHAnsi"/>
          <w:b w:val="0"/>
          <w:bCs w:val="0"/>
        </w:rPr>
      </w:pPr>
      <w:r w:rsidRPr="0081616B">
        <w:rPr>
          <w:rStyle w:val="Strong"/>
          <w:rFonts w:cstheme="minorHAnsi"/>
          <w:b w:val="0"/>
          <w:bCs w:val="0"/>
        </w:rPr>
        <w:t xml:space="preserve">If you have any questions about the </w:t>
      </w:r>
      <w:r w:rsidR="003817F7">
        <w:rPr>
          <w:rStyle w:val="Strong"/>
          <w:rFonts w:cstheme="minorHAnsi"/>
          <w:b w:val="0"/>
          <w:bCs w:val="0"/>
        </w:rPr>
        <w:t>National Data Sharing Work Program</w:t>
      </w:r>
      <w:r w:rsidRPr="0081616B">
        <w:rPr>
          <w:rStyle w:val="Strong"/>
          <w:rFonts w:cstheme="minorHAnsi"/>
          <w:b w:val="0"/>
          <w:bCs w:val="0"/>
        </w:rPr>
        <w:t xml:space="preserve">, please contact the Data and Digital Ministers Meeting Secretariat at </w:t>
      </w:r>
      <w:hyperlink r:id="rId17" w:history="1">
        <w:r w:rsidR="003A526C" w:rsidRPr="00C24427">
          <w:rPr>
            <w:rStyle w:val="Hyperlink"/>
            <w:rFonts w:cstheme="minorHAnsi"/>
          </w:rPr>
          <w:t>ddmm@finance.gov.au</w:t>
        </w:r>
      </w:hyperlink>
      <w:r w:rsidR="003A526C">
        <w:rPr>
          <w:rStyle w:val="Strong"/>
          <w:rFonts w:cstheme="minorHAnsi"/>
          <w:b w:val="0"/>
          <w:bCs w:val="0"/>
        </w:rPr>
        <w:t>.</w:t>
      </w:r>
    </w:p>
    <w:p w14:paraId="43D25056" w14:textId="77777777" w:rsidR="0081616B" w:rsidRPr="00EA7261" w:rsidRDefault="0081616B" w:rsidP="00D670BF">
      <w:pPr>
        <w:rPr>
          <w:rStyle w:val="Strong"/>
          <w:rFonts w:cstheme="minorHAnsi"/>
          <w:b w:val="0"/>
          <w:bCs w:val="0"/>
          <w:i/>
          <w:iCs/>
        </w:rPr>
      </w:pPr>
      <w:r w:rsidRPr="00EA7261">
        <w:rPr>
          <w:rStyle w:val="Strong"/>
          <w:rFonts w:cstheme="minorHAnsi"/>
          <w:b w:val="0"/>
          <w:bCs w:val="0"/>
          <w:i/>
          <w:iCs/>
        </w:rPr>
        <w:t xml:space="preserve">NOTE: The information in this fact sheet is to be used as a guide only. Advice should be sought in relation to individual circumstances. </w:t>
      </w:r>
    </w:p>
    <w:p w14:paraId="05C9D2F0" w14:textId="77777777" w:rsidR="00FB2C71" w:rsidRDefault="00FB2C71">
      <w:pPr>
        <w:suppressAutoHyphens w:val="0"/>
        <w:spacing w:before="0" w:after="120" w:line="440" w:lineRule="atLeast"/>
        <w:rPr>
          <w:rFonts w:cstheme="minorHAnsi"/>
          <w:sz w:val="18"/>
        </w:rPr>
      </w:pPr>
      <w:bookmarkStart w:id="2" w:name="_Attachment_A:_End-State"/>
      <w:bookmarkEnd w:id="2"/>
      <w:r>
        <w:rPr>
          <w:rFonts w:cstheme="minorHAnsi"/>
          <w:sz w:val="18"/>
        </w:rPr>
        <w:br w:type="page"/>
      </w:r>
    </w:p>
    <w:p w14:paraId="388E0489" w14:textId="77777777" w:rsidR="00B0594A" w:rsidRDefault="00B0594A" w:rsidP="00FB2C71">
      <w:pPr>
        <w:pStyle w:val="Heading2"/>
        <w:rPr>
          <w:noProof/>
          <w:lang w:eastAsia="en-AU"/>
        </w:rPr>
        <w:sectPr w:rsidR="00B0594A" w:rsidSect="00B0594A">
          <w:headerReference w:type="default" r:id="rId18"/>
          <w:footerReference w:type="default" r:id="rId19"/>
          <w:pgSz w:w="11906" w:h="16838" w:code="9"/>
          <w:pgMar w:top="1418" w:right="1418" w:bottom="1418" w:left="1418" w:header="567" w:footer="624" w:gutter="0"/>
          <w:cols w:space="708"/>
          <w:docGrid w:linePitch="360"/>
        </w:sectPr>
      </w:pPr>
    </w:p>
    <w:p w14:paraId="51C0DF4A" w14:textId="510DA8EF" w:rsidR="005D3E0C" w:rsidRDefault="00400206" w:rsidP="00FB2C71">
      <w:pPr>
        <w:pStyle w:val="Heading2"/>
        <w:rPr>
          <w:noProof/>
          <w:lang w:eastAsia="en-AU"/>
        </w:rPr>
      </w:pPr>
      <w:r>
        <w:rPr>
          <w:noProof/>
          <w:lang w:eastAsia="en-AU"/>
        </w:rPr>
        <w:lastRenderedPageBreak/>
        <w:t>End-State Goals</w:t>
      </w:r>
    </w:p>
    <w:p w14:paraId="44D2B807" w14:textId="0F1AA91E" w:rsidR="00843905" w:rsidRDefault="00545A6C" w:rsidP="0081616B">
      <w:pPr>
        <w:rPr>
          <w:rStyle w:val="Strong"/>
          <w:rFonts w:cstheme="minorHAnsi"/>
          <w:b w:val="0"/>
          <w:bCs w:val="0"/>
        </w:rPr>
      </w:pPr>
      <w:r w:rsidRPr="00B36201">
        <w:rPr>
          <w:rStyle w:val="Strong"/>
          <w:rFonts w:cstheme="minorHAnsi"/>
          <w:b w:val="0"/>
          <w:bCs w:val="0"/>
        </w:rPr>
        <w:t>The ‘end-state’ maps current challenges, proposed solutions, and desired outcomes to ensure projects build towards long-term objectives.</w:t>
      </w:r>
    </w:p>
    <w:p w14:paraId="21CD14C7" w14:textId="77777777" w:rsidR="0036363C" w:rsidRDefault="0036363C" w:rsidP="0081616B">
      <w:pPr>
        <w:rPr>
          <w:rStyle w:val="Strong"/>
          <w:rFonts w:cstheme="minorHAnsi"/>
          <w:b w:val="0"/>
          <w:bCs w:val="0"/>
        </w:rPr>
      </w:pPr>
    </w:p>
    <w:tbl>
      <w:tblPr>
        <w:tblStyle w:val="TableGrid"/>
        <w:tblW w:w="0" w:type="auto"/>
        <w:tblLook w:val="04A0" w:firstRow="1" w:lastRow="0" w:firstColumn="1" w:lastColumn="0" w:noHBand="0" w:noVBand="1"/>
      </w:tblPr>
      <w:tblGrid>
        <w:gridCol w:w="4390"/>
        <w:gridCol w:w="4677"/>
        <w:gridCol w:w="4925"/>
      </w:tblGrid>
      <w:tr w:rsidR="00A2728D" w:rsidRPr="00E17A82" w14:paraId="3ACCE0F2" w14:textId="77777777" w:rsidTr="00A669F6">
        <w:tc>
          <w:tcPr>
            <w:tcW w:w="4390" w:type="dxa"/>
          </w:tcPr>
          <w:p w14:paraId="1961D321" w14:textId="04FA9CD8" w:rsidR="00A2728D" w:rsidRPr="00A669F6" w:rsidRDefault="007E7DB0" w:rsidP="00A669F6">
            <w:pPr>
              <w:spacing w:before="0"/>
              <w:jc w:val="center"/>
              <w:rPr>
                <w:rStyle w:val="Strong"/>
                <w:rFonts w:cstheme="minorHAnsi"/>
                <w:sz w:val="28"/>
                <w:szCs w:val="28"/>
              </w:rPr>
            </w:pPr>
            <w:r w:rsidRPr="00A669F6">
              <w:rPr>
                <w:rStyle w:val="Strong"/>
                <w:rFonts w:cstheme="minorHAnsi"/>
                <w:sz w:val="28"/>
                <w:szCs w:val="28"/>
              </w:rPr>
              <w:t>Current Challenges</w:t>
            </w:r>
          </w:p>
        </w:tc>
        <w:tc>
          <w:tcPr>
            <w:tcW w:w="4677" w:type="dxa"/>
            <w:shd w:val="clear" w:color="auto" w:fill="EBF7F7" w:themeFill="accent1" w:themeFillTint="33"/>
          </w:tcPr>
          <w:p w14:paraId="58ED62A4" w14:textId="7159153A" w:rsidR="00A2728D" w:rsidRPr="00A669F6" w:rsidRDefault="004F7CB8" w:rsidP="00A669F6">
            <w:pPr>
              <w:spacing w:before="0"/>
              <w:jc w:val="center"/>
              <w:rPr>
                <w:rStyle w:val="Strong"/>
                <w:rFonts w:cstheme="minorHAnsi"/>
                <w:sz w:val="28"/>
                <w:szCs w:val="28"/>
              </w:rPr>
            </w:pPr>
            <w:r w:rsidRPr="00A669F6">
              <w:rPr>
                <w:rStyle w:val="Strong"/>
                <w:rFonts w:cstheme="minorHAnsi"/>
                <w:sz w:val="28"/>
                <w:szCs w:val="28"/>
              </w:rPr>
              <w:t>Solution</w:t>
            </w:r>
          </w:p>
        </w:tc>
        <w:tc>
          <w:tcPr>
            <w:tcW w:w="4925" w:type="dxa"/>
            <w:shd w:val="clear" w:color="auto" w:fill="C3E9E8" w:themeFill="accent1" w:themeFillTint="99"/>
          </w:tcPr>
          <w:p w14:paraId="25EE1CA0" w14:textId="10FA2293" w:rsidR="00A2728D" w:rsidRPr="00A669F6" w:rsidRDefault="000F2509" w:rsidP="00A669F6">
            <w:pPr>
              <w:spacing w:before="0"/>
              <w:jc w:val="center"/>
              <w:rPr>
                <w:rStyle w:val="Strong"/>
                <w:rFonts w:cstheme="minorHAnsi"/>
                <w:sz w:val="28"/>
                <w:szCs w:val="28"/>
              </w:rPr>
            </w:pPr>
            <w:r w:rsidRPr="00A669F6">
              <w:rPr>
                <w:rStyle w:val="Strong"/>
                <w:rFonts w:cstheme="minorHAnsi"/>
                <w:sz w:val="28"/>
                <w:szCs w:val="28"/>
              </w:rPr>
              <w:t>End-State</w:t>
            </w:r>
          </w:p>
        </w:tc>
      </w:tr>
      <w:tr w:rsidR="00A2728D" w:rsidRPr="00E17A82" w14:paraId="06F15D97" w14:textId="77777777" w:rsidTr="00A669F6">
        <w:tc>
          <w:tcPr>
            <w:tcW w:w="4390" w:type="dxa"/>
          </w:tcPr>
          <w:p w14:paraId="60DE6DF1" w14:textId="2E68C014" w:rsidR="00A2728D" w:rsidRPr="00E17A82" w:rsidRDefault="007E7DB0" w:rsidP="00E17A82">
            <w:pPr>
              <w:spacing w:before="0"/>
              <w:rPr>
                <w:rStyle w:val="Strong"/>
                <w:rFonts w:cstheme="minorHAnsi"/>
                <w:b w:val="0"/>
                <w:bCs w:val="0"/>
                <w:sz w:val="20"/>
                <w:szCs w:val="20"/>
              </w:rPr>
            </w:pPr>
            <w:r w:rsidRPr="00E17A82">
              <w:rPr>
                <w:rStyle w:val="Strong"/>
                <w:rFonts w:cstheme="minorHAnsi"/>
                <w:b w:val="0"/>
                <w:bCs w:val="0"/>
                <w:sz w:val="20"/>
                <w:szCs w:val="20"/>
              </w:rPr>
              <w:t>1. Jurisdictions have varying maturities in data governance and management. As a result, cannot share data in consistent and comparable ways - Interoperability is low.</w:t>
            </w:r>
          </w:p>
        </w:tc>
        <w:tc>
          <w:tcPr>
            <w:tcW w:w="4677" w:type="dxa"/>
            <w:shd w:val="clear" w:color="auto" w:fill="EBF7F7" w:themeFill="accent1" w:themeFillTint="33"/>
          </w:tcPr>
          <w:p w14:paraId="502CA212" w14:textId="0ABA1D2D" w:rsidR="00A2728D" w:rsidRPr="00E17A82" w:rsidRDefault="00E30501" w:rsidP="00E17A82">
            <w:pPr>
              <w:spacing w:before="0"/>
              <w:rPr>
                <w:rStyle w:val="Strong"/>
                <w:rFonts w:cstheme="minorHAnsi"/>
                <w:b w:val="0"/>
                <w:bCs w:val="0"/>
                <w:sz w:val="20"/>
                <w:szCs w:val="20"/>
              </w:rPr>
            </w:pPr>
            <w:r w:rsidRPr="00E17A82">
              <w:rPr>
                <w:rStyle w:val="Strong"/>
                <w:rFonts w:cstheme="minorHAnsi"/>
                <w:b w:val="0"/>
                <w:bCs w:val="0"/>
                <w:sz w:val="20"/>
                <w:szCs w:val="20"/>
              </w:rPr>
              <w:t>Uplift limited sophisticatio</w:t>
            </w:r>
            <w:r w:rsidR="00BA092B" w:rsidRPr="00E17A82">
              <w:rPr>
                <w:rStyle w:val="Strong"/>
                <w:rFonts w:cstheme="minorHAnsi"/>
                <w:b w:val="0"/>
                <w:bCs w:val="0"/>
                <w:sz w:val="20"/>
                <w:szCs w:val="20"/>
              </w:rPr>
              <w:t>n in national data sharing by</w:t>
            </w:r>
            <w:r w:rsidR="00EA4858" w:rsidRPr="00E17A82">
              <w:rPr>
                <w:rStyle w:val="Strong"/>
                <w:rFonts w:cstheme="minorHAnsi"/>
                <w:b w:val="0"/>
                <w:bCs w:val="0"/>
                <w:sz w:val="20"/>
                <w:szCs w:val="20"/>
              </w:rPr>
              <w:t xml:space="preserve"> developing common approache</w:t>
            </w:r>
            <w:r w:rsidR="009D16E1" w:rsidRPr="00E17A82">
              <w:rPr>
                <w:rStyle w:val="Strong"/>
                <w:rFonts w:cstheme="minorHAnsi"/>
                <w:b w:val="0"/>
                <w:bCs w:val="0"/>
                <w:sz w:val="20"/>
                <w:szCs w:val="20"/>
              </w:rPr>
              <w:t>s. Defi</w:t>
            </w:r>
            <w:r w:rsidR="00D52ED4" w:rsidRPr="00E17A82">
              <w:rPr>
                <w:rStyle w:val="Strong"/>
                <w:rFonts w:cstheme="minorHAnsi"/>
                <w:b w:val="0"/>
                <w:bCs w:val="0"/>
                <w:sz w:val="20"/>
                <w:szCs w:val="20"/>
              </w:rPr>
              <w:t>ne baseline dat</w:t>
            </w:r>
            <w:r w:rsidR="0053135D" w:rsidRPr="00E17A82">
              <w:rPr>
                <w:rStyle w:val="Strong"/>
                <w:rFonts w:cstheme="minorHAnsi"/>
                <w:b w:val="0"/>
                <w:bCs w:val="0"/>
                <w:sz w:val="20"/>
                <w:szCs w:val="20"/>
              </w:rPr>
              <w:t>a and use management capabilitie</w:t>
            </w:r>
            <w:r w:rsidR="007A10A1" w:rsidRPr="00E17A82">
              <w:rPr>
                <w:rStyle w:val="Strong"/>
                <w:rFonts w:cstheme="minorHAnsi"/>
                <w:b w:val="0"/>
                <w:bCs w:val="0"/>
                <w:sz w:val="20"/>
                <w:szCs w:val="20"/>
              </w:rPr>
              <w:t>s ac</w:t>
            </w:r>
            <w:r w:rsidR="003C4F71" w:rsidRPr="00E17A82">
              <w:rPr>
                <w:rStyle w:val="Strong"/>
                <w:rFonts w:cstheme="minorHAnsi"/>
                <w:b w:val="0"/>
                <w:bCs w:val="0"/>
                <w:sz w:val="20"/>
                <w:szCs w:val="20"/>
              </w:rPr>
              <w:t>ross Commonwealth, states and territory agencies to avoi</w:t>
            </w:r>
            <w:r w:rsidR="00621E6C" w:rsidRPr="00E17A82">
              <w:rPr>
                <w:rStyle w:val="Strong"/>
                <w:rFonts w:cstheme="minorHAnsi"/>
                <w:b w:val="0"/>
                <w:bCs w:val="0"/>
                <w:sz w:val="20"/>
                <w:szCs w:val="20"/>
              </w:rPr>
              <w:t>d further siloing and fragmentation.</w:t>
            </w:r>
          </w:p>
        </w:tc>
        <w:tc>
          <w:tcPr>
            <w:tcW w:w="4925" w:type="dxa"/>
            <w:shd w:val="clear" w:color="auto" w:fill="C3E9E8" w:themeFill="accent1" w:themeFillTint="99"/>
          </w:tcPr>
          <w:p w14:paraId="5B527F7A" w14:textId="33A77B6C" w:rsidR="00A2728D" w:rsidRPr="00E17A82" w:rsidRDefault="00E314F0" w:rsidP="00E17A82">
            <w:pPr>
              <w:spacing w:before="0"/>
              <w:rPr>
                <w:rStyle w:val="Strong"/>
                <w:rFonts w:cstheme="minorHAnsi"/>
                <w:b w:val="0"/>
                <w:bCs w:val="0"/>
                <w:sz w:val="20"/>
                <w:szCs w:val="20"/>
              </w:rPr>
            </w:pPr>
            <w:r w:rsidRPr="00E17A82">
              <w:rPr>
                <w:rStyle w:val="Strong"/>
                <w:rFonts w:cstheme="minorHAnsi"/>
                <w:b w:val="0"/>
                <w:bCs w:val="0"/>
                <w:sz w:val="20"/>
                <w:szCs w:val="20"/>
              </w:rPr>
              <w:t>Streamlined and consistent data access and transfer mechanisms. New systems</w:t>
            </w:r>
            <w:r w:rsidR="00EE44B2" w:rsidRPr="00E17A82">
              <w:rPr>
                <w:rStyle w:val="Strong"/>
                <w:rFonts w:cstheme="minorHAnsi"/>
                <w:b w:val="0"/>
                <w:bCs w:val="0"/>
                <w:sz w:val="20"/>
                <w:szCs w:val="20"/>
              </w:rPr>
              <w:t xml:space="preserve"> are developed with common technica</w:t>
            </w:r>
            <w:r w:rsidR="002B5B85" w:rsidRPr="00E17A82">
              <w:rPr>
                <w:rStyle w:val="Strong"/>
                <w:rFonts w:cstheme="minorHAnsi"/>
                <w:b w:val="0"/>
                <w:bCs w:val="0"/>
                <w:sz w:val="20"/>
                <w:szCs w:val="20"/>
              </w:rPr>
              <w:t>l building block</w:t>
            </w:r>
            <w:r w:rsidR="00CF7D4E" w:rsidRPr="00E17A82">
              <w:rPr>
                <w:rStyle w:val="Strong"/>
                <w:rFonts w:cstheme="minorHAnsi"/>
                <w:b w:val="0"/>
                <w:bCs w:val="0"/>
                <w:sz w:val="20"/>
                <w:szCs w:val="20"/>
              </w:rPr>
              <w:t>s and interoperability co</w:t>
            </w:r>
            <w:r w:rsidR="00ED2857" w:rsidRPr="00E17A82">
              <w:rPr>
                <w:rStyle w:val="Strong"/>
                <w:rFonts w:cstheme="minorHAnsi"/>
                <w:b w:val="0"/>
                <w:bCs w:val="0"/>
                <w:sz w:val="20"/>
                <w:szCs w:val="20"/>
              </w:rPr>
              <w:t>nsidered. Data sharing governance</w:t>
            </w:r>
            <w:r w:rsidR="009C1972" w:rsidRPr="00E17A82">
              <w:rPr>
                <w:rStyle w:val="Strong"/>
                <w:rFonts w:cstheme="minorHAnsi"/>
                <w:b w:val="0"/>
                <w:bCs w:val="0"/>
                <w:sz w:val="20"/>
                <w:szCs w:val="20"/>
              </w:rPr>
              <w:t xml:space="preserve"> and management</w:t>
            </w:r>
            <w:r w:rsidR="00B10B67" w:rsidRPr="00E17A82">
              <w:rPr>
                <w:rStyle w:val="Strong"/>
                <w:rFonts w:cstheme="minorHAnsi"/>
                <w:b w:val="0"/>
                <w:bCs w:val="0"/>
                <w:sz w:val="20"/>
                <w:szCs w:val="20"/>
              </w:rPr>
              <w:t xml:space="preserve"> maturity is more consistent across jurisdictions.</w:t>
            </w:r>
          </w:p>
        </w:tc>
      </w:tr>
      <w:tr w:rsidR="00A2728D" w:rsidRPr="00E17A82" w14:paraId="60966655" w14:textId="77777777" w:rsidTr="00A669F6">
        <w:tc>
          <w:tcPr>
            <w:tcW w:w="4390" w:type="dxa"/>
          </w:tcPr>
          <w:p w14:paraId="74A01D67" w14:textId="21FD71AA" w:rsidR="00A2728D" w:rsidRPr="00E17A82" w:rsidRDefault="00452334" w:rsidP="00E17A82">
            <w:pPr>
              <w:spacing w:before="0"/>
              <w:rPr>
                <w:rStyle w:val="Strong"/>
                <w:rFonts w:cstheme="minorHAnsi"/>
                <w:b w:val="0"/>
                <w:bCs w:val="0"/>
                <w:sz w:val="20"/>
                <w:szCs w:val="20"/>
              </w:rPr>
            </w:pPr>
            <w:r w:rsidRPr="00E17A82">
              <w:rPr>
                <w:rStyle w:val="Strong"/>
                <w:rFonts w:cstheme="minorHAnsi"/>
                <w:b w:val="0"/>
                <w:bCs w:val="0"/>
                <w:sz w:val="20"/>
                <w:szCs w:val="20"/>
              </w:rPr>
              <w:t>2. Limited availability of resources, potential to duplicate investments between Commonwealth, state and territories.</w:t>
            </w:r>
          </w:p>
        </w:tc>
        <w:tc>
          <w:tcPr>
            <w:tcW w:w="4677" w:type="dxa"/>
            <w:shd w:val="clear" w:color="auto" w:fill="EBF7F7" w:themeFill="accent1" w:themeFillTint="33"/>
          </w:tcPr>
          <w:p w14:paraId="3D94F76C" w14:textId="6772397A" w:rsidR="00A2728D" w:rsidRPr="00E17A82" w:rsidRDefault="00621E6C" w:rsidP="00E17A82">
            <w:pPr>
              <w:spacing w:before="0"/>
              <w:rPr>
                <w:rStyle w:val="Strong"/>
                <w:rFonts w:cstheme="minorHAnsi"/>
                <w:b w:val="0"/>
                <w:bCs w:val="0"/>
                <w:sz w:val="20"/>
                <w:szCs w:val="20"/>
              </w:rPr>
            </w:pPr>
            <w:r w:rsidRPr="00E17A82">
              <w:rPr>
                <w:rStyle w:val="Strong"/>
                <w:rFonts w:cstheme="minorHAnsi"/>
                <w:b w:val="0"/>
                <w:bCs w:val="0"/>
                <w:sz w:val="20"/>
                <w:szCs w:val="20"/>
              </w:rPr>
              <w:t>Ensure data sharing investments are efficient and leveraged by all jurisdictions.</w:t>
            </w:r>
          </w:p>
        </w:tc>
        <w:tc>
          <w:tcPr>
            <w:tcW w:w="4925" w:type="dxa"/>
            <w:shd w:val="clear" w:color="auto" w:fill="C3E9E8" w:themeFill="accent1" w:themeFillTint="99"/>
          </w:tcPr>
          <w:p w14:paraId="16E4BF95" w14:textId="7E19A484" w:rsidR="00A2728D" w:rsidRPr="00E17A82" w:rsidRDefault="00B1510A" w:rsidP="00E17A82">
            <w:pPr>
              <w:spacing w:before="0"/>
              <w:rPr>
                <w:rStyle w:val="Strong"/>
                <w:rFonts w:cstheme="minorHAnsi"/>
                <w:b w:val="0"/>
                <w:bCs w:val="0"/>
                <w:sz w:val="20"/>
                <w:szCs w:val="20"/>
              </w:rPr>
            </w:pPr>
            <w:r w:rsidRPr="00E17A82">
              <w:rPr>
                <w:rStyle w:val="Strong"/>
                <w:rFonts w:cstheme="minorHAnsi"/>
                <w:b w:val="0"/>
                <w:bCs w:val="0"/>
                <w:sz w:val="20"/>
                <w:szCs w:val="20"/>
              </w:rPr>
              <w:t xml:space="preserve">Increased visibility </w:t>
            </w:r>
            <w:r w:rsidR="0050045C" w:rsidRPr="00E17A82">
              <w:rPr>
                <w:rStyle w:val="Strong"/>
                <w:rFonts w:cstheme="minorHAnsi"/>
                <w:b w:val="0"/>
                <w:bCs w:val="0"/>
                <w:sz w:val="20"/>
                <w:szCs w:val="20"/>
              </w:rPr>
              <w:t>of initiatives</w:t>
            </w:r>
            <w:r w:rsidR="000D3466" w:rsidRPr="00E17A82">
              <w:rPr>
                <w:rStyle w:val="Strong"/>
                <w:rFonts w:cstheme="minorHAnsi"/>
                <w:b w:val="0"/>
                <w:bCs w:val="0"/>
                <w:sz w:val="20"/>
                <w:szCs w:val="20"/>
              </w:rPr>
              <w:t xml:space="preserve"> and best practice</w:t>
            </w:r>
            <w:r w:rsidR="006969ED" w:rsidRPr="00E17A82">
              <w:rPr>
                <w:rStyle w:val="Strong"/>
                <w:rFonts w:cstheme="minorHAnsi"/>
                <w:b w:val="0"/>
                <w:bCs w:val="0"/>
                <w:sz w:val="20"/>
                <w:szCs w:val="20"/>
              </w:rPr>
              <w:t xml:space="preserve"> infor</w:t>
            </w:r>
            <w:r w:rsidR="000A1BA6" w:rsidRPr="00E17A82">
              <w:rPr>
                <w:rStyle w:val="Strong"/>
                <w:rFonts w:cstheme="minorHAnsi"/>
                <w:b w:val="0"/>
                <w:bCs w:val="0"/>
                <w:sz w:val="20"/>
                <w:szCs w:val="20"/>
              </w:rPr>
              <w:t>m decisions</w:t>
            </w:r>
            <w:r w:rsidR="00CE5DEE" w:rsidRPr="00E17A82">
              <w:rPr>
                <w:rStyle w:val="Strong"/>
                <w:rFonts w:cstheme="minorHAnsi"/>
                <w:b w:val="0"/>
                <w:bCs w:val="0"/>
                <w:sz w:val="20"/>
                <w:szCs w:val="20"/>
              </w:rPr>
              <w:t xml:space="preserve"> </w:t>
            </w:r>
            <w:r w:rsidR="00B27962" w:rsidRPr="00E17A82">
              <w:rPr>
                <w:rStyle w:val="Strong"/>
                <w:rFonts w:cstheme="minorHAnsi"/>
                <w:b w:val="0"/>
                <w:bCs w:val="0"/>
                <w:sz w:val="20"/>
                <w:szCs w:val="20"/>
              </w:rPr>
              <w:t>for investment in</w:t>
            </w:r>
            <w:r w:rsidR="00EA37AE" w:rsidRPr="00E17A82">
              <w:rPr>
                <w:rStyle w:val="Strong"/>
                <w:rFonts w:cstheme="minorHAnsi"/>
                <w:b w:val="0"/>
                <w:bCs w:val="0"/>
                <w:sz w:val="20"/>
                <w:szCs w:val="20"/>
              </w:rPr>
              <w:t xml:space="preserve"> data sharing capabilitie</w:t>
            </w:r>
            <w:r w:rsidR="002C63C4" w:rsidRPr="00E17A82">
              <w:rPr>
                <w:rStyle w:val="Strong"/>
                <w:rFonts w:cstheme="minorHAnsi"/>
                <w:b w:val="0"/>
                <w:bCs w:val="0"/>
                <w:sz w:val="20"/>
                <w:szCs w:val="20"/>
              </w:rPr>
              <w:t>s. There is national alignment</w:t>
            </w:r>
            <w:r w:rsidR="009644D0" w:rsidRPr="00E17A82">
              <w:rPr>
                <w:rStyle w:val="Strong"/>
                <w:rFonts w:cstheme="minorHAnsi"/>
                <w:b w:val="0"/>
                <w:bCs w:val="0"/>
                <w:sz w:val="20"/>
                <w:szCs w:val="20"/>
              </w:rPr>
              <w:t xml:space="preserve"> on ICT investment</w:t>
            </w:r>
            <w:r w:rsidR="004469C4" w:rsidRPr="00E17A82">
              <w:rPr>
                <w:rStyle w:val="Strong"/>
                <w:rFonts w:cstheme="minorHAnsi"/>
                <w:b w:val="0"/>
                <w:bCs w:val="0"/>
                <w:sz w:val="20"/>
                <w:szCs w:val="20"/>
              </w:rPr>
              <w:t xml:space="preserve"> for data sharing.</w:t>
            </w:r>
          </w:p>
        </w:tc>
      </w:tr>
      <w:tr w:rsidR="00A2728D" w:rsidRPr="00E17A82" w14:paraId="2F15C036" w14:textId="77777777" w:rsidTr="00A669F6">
        <w:tc>
          <w:tcPr>
            <w:tcW w:w="4390" w:type="dxa"/>
          </w:tcPr>
          <w:p w14:paraId="04E0B55B" w14:textId="367581E8" w:rsidR="00A2728D" w:rsidRPr="00E17A82" w:rsidRDefault="00452334" w:rsidP="00E17A82">
            <w:pPr>
              <w:spacing w:before="0"/>
              <w:rPr>
                <w:rStyle w:val="Strong"/>
                <w:rFonts w:cstheme="minorHAnsi"/>
                <w:b w:val="0"/>
                <w:bCs w:val="0"/>
                <w:sz w:val="20"/>
                <w:szCs w:val="20"/>
              </w:rPr>
            </w:pPr>
            <w:r w:rsidRPr="00E17A82">
              <w:rPr>
                <w:rStyle w:val="Strong"/>
                <w:rFonts w:cstheme="minorHAnsi"/>
                <w:b w:val="0"/>
                <w:bCs w:val="0"/>
                <w:sz w:val="20"/>
                <w:szCs w:val="20"/>
              </w:rPr>
              <w:t>3. Uncertain approval pathways to adopting new system-wide national approaches, guidance and processes.</w:t>
            </w:r>
          </w:p>
        </w:tc>
        <w:tc>
          <w:tcPr>
            <w:tcW w:w="4677" w:type="dxa"/>
            <w:shd w:val="clear" w:color="auto" w:fill="EBF7F7" w:themeFill="accent1" w:themeFillTint="33"/>
          </w:tcPr>
          <w:p w14:paraId="3B9A1BCE" w14:textId="59845DA2" w:rsidR="00A2728D" w:rsidRPr="00E17A82" w:rsidRDefault="00621E6C" w:rsidP="00E17A82">
            <w:pPr>
              <w:spacing w:before="0"/>
              <w:rPr>
                <w:rStyle w:val="Strong"/>
                <w:rFonts w:cstheme="minorHAnsi"/>
                <w:b w:val="0"/>
                <w:bCs w:val="0"/>
                <w:sz w:val="20"/>
                <w:szCs w:val="20"/>
              </w:rPr>
            </w:pPr>
            <w:r w:rsidRPr="00E17A82">
              <w:rPr>
                <w:rStyle w:val="Strong"/>
                <w:rFonts w:cstheme="minorHAnsi"/>
                <w:b w:val="0"/>
                <w:bCs w:val="0"/>
                <w:sz w:val="20"/>
                <w:szCs w:val="20"/>
              </w:rPr>
              <w:t xml:space="preserve">Confirm approval pathways for nationally agreed </w:t>
            </w:r>
            <w:r w:rsidR="002C7606" w:rsidRPr="00E17A82">
              <w:rPr>
                <w:rStyle w:val="Strong"/>
                <w:rFonts w:cstheme="minorHAnsi"/>
                <w:b w:val="0"/>
                <w:bCs w:val="0"/>
                <w:sz w:val="20"/>
                <w:szCs w:val="20"/>
              </w:rPr>
              <w:t>Commonwealths to state/territory data sharing approaches</w:t>
            </w:r>
          </w:p>
        </w:tc>
        <w:tc>
          <w:tcPr>
            <w:tcW w:w="4925" w:type="dxa"/>
            <w:shd w:val="clear" w:color="auto" w:fill="C3E9E8" w:themeFill="accent1" w:themeFillTint="99"/>
          </w:tcPr>
          <w:p w14:paraId="22298D12" w14:textId="00A1B0E0" w:rsidR="00A2728D" w:rsidRPr="00E17A82" w:rsidRDefault="00F03E20" w:rsidP="00E17A82">
            <w:pPr>
              <w:spacing w:before="0"/>
              <w:rPr>
                <w:rStyle w:val="Strong"/>
                <w:rFonts w:cstheme="minorHAnsi"/>
                <w:b w:val="0"/>
                <w:bCs w:val="0"/>
                <w:sz w:val="20"/>
                <w:szCs w:val="20"/>
              </w:rPr>
            </w:pPr>
            <w:r w:rsidRPr="00E17A82">
              <w:rPr>
                <w:rStyle w:val="Strong"/>
                <w:rFonts w:cstheme="minorHAnsi"/>
                <w:b w:val="0"/>
                <w:bCs w:val="0"/>
                <w:sz w:val="20"/>
                <w:szCs w:val="20"/>
              </w:rPr>
              <w:t>Consistency in approval pathways for system-wide</w:t>
            </w:r>
            <w:r w:rsidR="005032B8" w:rsidRPr="00E17A82">
              <w:rPr>
                <w:rStyle w:val="Strong"/>
                <w:rFonts w:cstheme="minorHAnsi"/>
                <w:b w:val="0"/>
                <w:bCs w:val="0"/>
                <w:sz w:val="20"/>
                <w:szCs w:val="20"/>
              </w:rPr>
              <w:t xml:space="preserve"> approache</w:t>
            </w:r>
            <w:r w:rsidR="002328BF" w:rsidRPr="00E17A82">
              <w:rPr>
                <w:rStyle w:val="Strong"/>
                <w:rFonts w:cstheme="minorHAnsi"/>
                <w:b w:val="0"/>
                <w:bCs w:val="0"/>
                <w:sz w:val="20"/>
                <w:szCs w:val="20"/>
              </w:rPr>
              <w:t>s to be agreed and implemented. There are appropriate and consisten</w:t>
            </w:r>
            <w:r w:rsidR="0036363C" w:rsidRPr="00E17A82">
              <w:rPr>
                <w:rStyle w:val="Strong"/>
                <w:rFonts w:cstheme="minorHAnsi"/>
                <w:b w:val="0"/>
                <w:bCs w:val="0"/>
                <w:sz w:val="20"/>
                <w:szCs w:val="20"/>
              </w:rPr>
              <w:t>t</w:t>
            </w:r>
            <w:r w:rsidR="002328BF" w:rsidRPr="00E17A82">
              <w:rPr>
                <w:rStyle w:val="Strong"/>
                <w:rFonts w:cstheme="minorHAnsi"/>
                <w:b w:val="0"/>
                <w:bCs w:val="0"/>
                <w:sz w:val="20"/>
                <w:szCs w:val="20"/>
              </w:rPr>
              <w:t xml:space="preserve"> approva</w:t>
            </w:r>
            <w:r w:rsidR="00FA2F2A" w:rsidRPr="00E17A82">
              <w:rPr>
                <w:rStyle w:val="Strong"/>
                <w:rFonts w:cstheme="minorHAnsi"/>
                <w:b w:val="0"/>
                <w:bCs w:val="0"/>
                <w:sz w:val="20"/>
                <w:szCs w:val="20"/>
              </w:rPr>
              <w:t>ls required</w:t>
            </w:r>
            <w:r w:rsidR="0052324E" w:rsidRPr="00E17A82">
              <w:rPr>
                <w:rStyle w:val="Strong"/>
                <w:rFonts w:cstheme="minorHAnsi"/>
                <w:b w:val="0"/>
                <w:bCs w:val="0"/>
                <w:sz w:val="20"/>
                <w:szCs w:val="20"/>
              </w:rPr>
              <w:t xml:space="preserve"> for subject specific data access or sharing request</w:t>
            </w:r>
            <w:r w:rsidR="0036363C" w:rsidRPr="00E17A82">
              <w:rPr>
                <w:rStyle w:val="Strong"/>
                <w:rFonts w:cstheme="minorHAnsi"/>
                <w:b w:val="0"/>
                <w:bCs w:val="0"/>
                <w:sz w:val="20"/>
                <w:szCs w:val="20"/>
              </w:rPr>
              <w:t>s.</w:t>
            </w:r>
          </w:p>
        </w:tc>
      </w:tr>
      <w:tr w:rsidR="00A2728D" w:rsidRPr="00E17A82" w14:paraId="7ECA6D6D" w14:textId="77777777" w:rsidTr="00A669F6">
        <w:tc>
          <w:tcPr>
            <w:tcW w:w="4390" w:type="dxa"/>
          </w:tcPr>
          <w:p w14:paraId="707B94D5" w14:textId="546137E7" w:rsidR="00A2728D" w:rsidRPr="00E17A82" w:rsidRDefault="00452334" w:rsidP="00E17A82">
            <w:pPr>
              <w:spacing w:before="0"/>
              <w:rPr>
                <w:rStyle w:val="Strong"/>
                <w:rFonts w:cstheme="minorHAnsi"/>
                <w:b w:val="0"/>
                <w:bCs w:val="0"/>
                <w:sz w:val="20"/>
                <w:szCs w:val="20"/>
              </w:rPr>
            </w:pPr>
            <w:r w:rsidRPr="00E17A82">
              <w:rPr>
                <w:rStyle w:val="Strong"/>
                <w:rFonts w:cstheme="minorHAnsi"/>
                <w:b w:val="0"/>
                <w:bCs w:val="0"/>
                <w:sz w:val="20"/>
                <w:szCs w:val="20"/>
              </w:rPr>
              <w:t>4. Data sharing is viewed as activity with high overheads and inadequate resourcing. Data sharing relies on goodwill of data custodians.</w:t>
            </w:r>
          </w:p>
        </w:tc>
        <w:tc>
          <w:tcPr>
            <w:tcW w:w="4677" w:type="dxa"/>
            <w:shd w:val="clear" w:color="auto" w:fill="EBF7F7" w:themeFill="accent1" w:themeFillTint="33"/>
          </w:tcPr>
          <w:p w14:paraId="50099894" w14:textId="6DA75BB6" w:rsidR="00A2728D" w:rsidRPr="00E17A82" w:rsidRDefault="002C7606" w:rsidP="00E17A82">
            <w:pPr>
              <w:spacing w:before="0"/>
              <w:rPr>
                <w:rStyle w:val="Strong"/>
                <w:rFonts w:cstheme="minorHAnsi"/>
                <w:b w:val="0"/>
                <w:bCs w:val="0"/>
                <w:sz w:val="20"/>
                <w:szCs w:val="20"/>
              </w:rPr>
            </w:pPr>
            <w:r w:rsidRPr="00E17A82">
              <w:rPr>
                <w:rStyle w:val="Strong"/>
                <w:rFonts w:cstheme="minorHAnsi"/>
                <w:b w:val="0"/>
                <w:bCs w:val="0"/>
                <w:sz w:val="20"/>
                <w:szCs w:val="20"/>
              </w:rPr>
              <w:t>Clearly articulate the benefits of data sharing</w:t>
            </w:r>
            <w:r w:rsidR="00DD1FAD" w:rsidRPr="00E17A82">
              <w:rPr>
                <w:rStyle w:val="Strong"/>
                <w:rFonts w:cstheme="minorHAnsi"/>
                <w:b w:val="0"/>
                <w:bCs w:val="0"/>
                <w:sz w:val="20"/>
                <w:szCs w:val="20"/>
              </w:rPr>
              <w:t xml:space="preserve"> to government</w:t>
            </w:r>
            <w:r w:rsidR="00854223" w:rsidRPr="00E17A82">
              <w:rPr>
                <w:rStyle w:val="Strong"/>
                <w:rFonts w:cstheme="minorHAnsi"/>
                <w:b w:val="0"/>
                <w:bCs w:val="0"/>
                <w:sz w:val="20"/>
                <w:szCs w:val="20"/>
              </w:rPr>
              <w:t xml:space="preserve"> data practitioners and the public.</w:t>
            </w:r>
          </w:p>
        </w:tc>
        <w:tc>
          <w:tcPr>
            <w:tcW w:w="4925" w:type="dxa"/>
            <w:shd w:val="clear" w:color="auto" w:fill="C3E9E8" w:themeFill="accent1" w:themeFillTint="99"/>
          </w:tcPr>
          <w:p w14:paraId="1B2F4082" w14:textId="086B0482" w:rsidR="00A2728D" w:rsidRPr="00E17A82" w:rsidRDefault="0036363C" w:rsidP="00E17A82">
            <w:pPr>
              <w:spacing w:before="0"/>
              <w:rPr>
                <w:rStyle w:val="Strong"/>
                <w:rFonts w:cstheme="minorHAnsi"/>
                <w:b w:val="0"/>
                <w:bCs w:val="0"/>
                <w:sz w:val="20"/>
                <w:szCs w:val="20"/>
              </w:rPr>
            </w:pPr>
            <w:r w:rsidRPr="00E17A82">
              <w:rPr>
                <w:rStyle w:val="Strong"/>
                <w:rFonts w:cstheme="minorHAnsi"/>
                <w:b w:val="0"/>
                <w:bCs w:val="0"/>
                <w:sz w:val="20"/>
                <w:szCs w:val="20"/>
              </w:rPr>
              <w:t>Value of data to other jurisdictio</w:t>
            </w:r>
            <w:r w:rsidR="00A930FB" w:rsidRPr="00E17A82">
              <w:rPr>
                <w:rStyle w:val="Strong"/>
                <w:rFonts w:cstheme="minorHAnsi"/>
                <w:b w:val="0"/>
                <w:bCs w:val="0"/>
                <w:sz w:val="20"/>
                <w:szCs w:val="20"/>
              </w:rPr>
              <w:t xml:space="preserve">ns </w:t>
            </w:r>
            <w:r w:rsidR="006B5346" w:rsidRPr="00E17A82">
              <w:rPr>
                <w:rStyle w:val="Strong"/>
                <w:rFonts w:cstheme="minorHAnsi"/>
                <w:b w:val="0"/>
                <w:bCs w:val="0"/>
                <w:sz w:val="20"/>
                <w:szCs w:val="20"/>
              </w:rPr>
              <w:t>is quantifiable. Investment decisions are informe</w:t>
            </w:r>
            <w:r w:rsidR="000B13E4" w:rsidRPr="00E17A82">
              <w:rPr>
                <w:rStyle w:val="Strong"/>
                <w:rFonts w:cstheme="minorHAnsi"/>
                <w:b w:val="0"/>
                <w:bCs w:val="0"/>
                <w:sz w:val="20"/>
                <w:szCs w:val="20"/>
              </w:rPr>
              <w:t>d by evidence</w:t>
            </w:r>
            <w:r w:rsidR="00C52BC4" w:rsidRPr="00E17A82">
              <w:rPr>
                <w:rStyle w:val="Strong"/>
                <w:rFonts w:cstheme="minorHAnsi"/>
                <w:b w:val="0"/>
                <w:bCs w:val="0"/>
                <w:sz w:val="20"/>
                <w:szCs w:val="20"/>
              </w:rPr>
              <w:t xml:space="preserve"> of data value (</w:t>
            </w:r>
            <w:r w:rsidR="00ED678E" w:rsidRPr="00E17A82">
              <w:rPr>
                <w:rStyle w:val="Strong"/>
                <w:rFonts w:cstheme="minorHAnsi"/>
                <w:b w:val="0"/>
                <w:bCs w:val="0"/>
                <w:sz w:val="20"/>
                <w:szCs w:val="20"/>
              </w:rPr>
              <w:t>social, economic)</w:t>
            </w:r>
            <w:r w:rsidR="001D59EC" w:rsidRPr="00E17A82">
              <w:rPr>
                <w:rStyle w:val="Strong"/>
                <w:rFonts w:cstheme="minorHAnsi"/>
                <w:b w:val="0"/>
                <w:bCs w:val="0"/>
                <w:sz w:val="20"/>
                <w:szCs w:val="20"/>
              </w:rPr>
              <w:t>. Data sharing</w:t>
            </w:r>
            <w:r w:rsidR="002665ED" w:rsidRPr="00E17A82">
              <w:rPr>
                <w:rStyle w:val="Strong"/>
                <w:rFonts w:cstheme="minorHAnsi"/>
                <w:b w:val="0"/>
                <w:bCs w:val="0"/>
                <w:sz w:val="20"/>
                <w:szCs w:val="20"/>
              </w:rPr>
              <w:t xml:space="preserve"> is an enabler to maximise public benefit.</w:t>
            </w:r>
          </w:p>
        </w:tc>
      </w:tr>
      <w:tr w:rsidR="00A2728D" w:rsidRPr="00E17A82" w14:paraId="243B3845" w14:textId="77777777" w:rsidTr="00A669F6">
        <w:tc>
          <w:tcPr>
            <w:tcW w:w="4390" w:type="dxa"/>
          </w:tcPr>
          <w:p w14:paraId="36D4E343" w14:textId="0E8A0125" w:rsidR="00A2728D" w:rsidRPr="00E17A82" w:rsidRDefault="00452334" w:rsidP="00E17A82">
            <w:pPr>
              <w:spacing w:before="0"/>
              <w:rPr>
                <w:rStyle w:val="Strong"/>
                <w:rFonts w:cstheme="minorHAnsi"/>
                <w:b w:val="0"/>
                <w:bCs w:val="0"/>
                <w:sz w:val="20"/>
                <w:szCs w:val="20"/>
              </w:rPr>
            </w:pPr>
            <w:r w:rsidRPr="00E17A82">
              <w:rPr>
                <w:rStyle w:val="Strong"/>
                <w:rFonts w:cstheme="minorHAnsi"/>
                <w:b w:val="0"/>
                <w:bCs w:val="0"/>
                <w:sz w:val="20"/>
                <w:szCs w:val="20"/>
              </w:rPr>
              <w:t>5. There are trus</w:t>
            </w:r>
            <w:r w:rsidR="0070719B" w:rsidRPr="00E17A82">
              <w:rPr>
                <w:rStyle w:val="Strong"/>
                <w:rFonts w:cstheme="minorHAnsi"/>
                <w:b w:val="0"/>
                <w:bCs w:val="0"/>
                <w:sz w:val="20"/>
                <w:szCs w:val="20"/>
              </w:rPr>
              <w:t>t-driven barriers to data shari</w:t>
            </w:r>
            <w:r w:rsidR="00710521" w:rsidRPr="00E17A82">
              <w:rPr>
                <w:rStyle w:val="Strong"/>
                <w:rFonts w:cstheme="minorHAnsi"/>
                <w:b w:val="0"/>
                <w:bCs w:val="0"/>
                <w:sz w:val="20"/>
                <w:szCs w:val="20"/>
              </w:rPr>
              <w:t>ng. Agencie</w:t>
            </w:r>
            <w:r w:rsidR="002961CF" w:rsidRPr="00E17A82">
              <w:rPr>
                <w:rStyle w:val="Strong"/>
                <w:rFonts w:cstheme="minorHAnsi"/>
                <w:b w:val="0"/>
                <w:bCs w:val="0"/>
                <w:sz w:val="20"/>
                <w:szCs w:val="20"/>
              </w:rPr>
              <w:t>s may have low confidence that their data</w:t>
            </w:r>
            <w:r w:rsidR="009D4BFE" w:rsidRPr="00E17A82">
              <w:rPr>
                <w:rStyle w:val="Strong"/>
                <w:rFonts w:cstheme="minorHAnsi"/>
                <w:b w:val="0"/>
                <w:bCs w:val="0"/>
                <w:sz w:val="20"/>
                <w:szCs w:val="20"/>
              </w:rPr>
              <w:t xml:space="preserve"> will be </w:t>
            </w:r>
            <w:r w:rsidR="00F905E9" w:rsidRPr="00E17A82">
              <w:rPr>
                <w:rStyle w:val="Strong"/>
                <w:rFonts w:cstheme="minorHAnsi"/>
                <w:b w:val="0"/>
                <w:bCs w:val="0"/>
                <w:sz w:val="20"/>
                <w:szCs w:val="20"/>
              </w:rPr>
              <w:t>appropriately use</w:t>
            </w:r>
            <w:r w:rsidR="004F7CB8" w:rsidRPr="00E17A82">
              <w:rPr>
                <w:rStyle w:val="Strong"/>
                <w:rFonts w:cstheme="minorHAnsi"/>
                <w:b w:val="0"/>
                <w:bCs w:val="0"/>
                <w:sz w:val="20"/>
                <w:szCs w:val="20"/>
              </w:rPr>
              <w:t>d and managed by others.</w:t>
            </w:r>
          </w:p>
        </w:tc>
        <w:tc>
          <w:tcPr>
            <w:tcW w:w="4677" w:type="dxa"/>
            <w:shd w:val="clear" w:color="auto" w:fill="EBF7F7" w:themeFill="accent1" w:themeFillTint="33"/>
          </w:tcPr>
          <w:p w14:paraId="201F5423" w14:textId="10DBBFF4" w:rsidR="00A2728D" w:rsidRPr="00E17A82" w:rsidRDefault="00854223" w:rsidP="00E17A82">
            <w:pPr>
              <w:spacing w:before="0"/>
              <w:rPr>
                <w:rStyle w:val="Strong"/>
                <w:rFonts w:cstheme="minorHAnsi"/>
                <w:b w:val="0"/>
                <w:bCs w:val="0"/>
                <w:sz w:val="20"/>
                <w:szCs w:val="20"/>
              </w:rPr>
            </w:pPr>
            <w:r w:rsidRPr="00E17A82">
              <w:rPr>
                <w:rStyle w:val="Strong"/>
                <w:rFonts w:cstheme="minorHAnsi"/>
                <w:b w:val="0"/>
                <w:bCs w:val="0"/>
                <w:sz w:val="20"/>
                <w:szCs w:val="20"/>
              </w:rPr>
              <w:t>Increase confidence</w:t>
            </w:r>
            <w:r w:rsidR="00AE6691" w:rsidRPr="00E17A82">
              <w:rPr>
                <w:rStyle w:val="Strong"/>
                <w:rFonts w:cstheme="minorHAnsi"/>
                <w:b w:val="0"/>
                <w:bCs w:val="0"/>
                <w:sz w:val="20"/>
                <w:szCs w:val="20"/>
              </w:rPr>
              <w:t xml:space="preserve"> that shared data will be appropriatel</w:t>
            </w:r>
            <w:r w:rsidR="002F74EC" w:rsidRPr="00E17A82">
              <w:rPr>
                <w:rStyle w:val="Strong"/>
                <w:rFonts w:cstheme="minorHAnsi"/>
                <w:b w:val="0"/>
                <w:bCs w:val="0"/>
                <w:sz w:val="20"/>
                <w:szCs w:val="20"/>
              </w:rPr>
              <w:t>y used and manage</w:t>
            </w:r>
            <w:r w:rsidR="00565B26" w:rsidRPr="00E17A82">
              <w:rPr>
                <w:rStyle w:val="Strong"/>
                <w:rFonts w:cstheme="minorHAnsi"/>
                <w:b w:val="0"/>
                <w:bCs w:val="0"/>
                <w:sz w:val="20"/>
                <w:szCs w:val="20"/>
              </w:rPr>
              <w:t>d by others. Continue to bui</w:t>
            </w:r>
            <w:r w:rsidR="008804F9" w:rsidRPr="00E17A82">
              <w:rPr>
                <w:rStyle w:val="Strong"/>
                <w:rFonts w:cstheme="minorHAnsi"/>
                <w:b w:val="0"/>
                <w:bCs w:val="0"/>
                <w:sz w:val="20"/>
                <w:szCs w:val="20"/>
              </w:rPr>
              <w:t>ld on data practi</w:t>
            </w:r>
            <w:r w:rsidR="000F2509" w:rsidRPr="00E17A82">
              <w:rPr>
                <w:rStyle w:val="Strong"/>
                <w:rFonts w:cstheme="minorHAnsi"/>
                <w:b w:val="0"/>
                <w:bCs w:val="0"/>
                <w:sz w:val="20"/>
                <w:szCs w:val="20"/>
              </w:rPr>
              <w:t>ti</w:t>
            </w:r>
            <w:r w:rsidR="008804F9" w:rsidRPr="00E17A82">
              <w:rPr>
                <w:rStyle w:val="Strong"/>
                <w:rFonts w:cstheme="minorHAnsi"/>
                <w:b w:val="0"/>
                <w:bCs w:val="0"/>
                <w:sz w:val="20"/>
                <w:szCs w:val="20"/>
              </w:rPr>
              <w:t>oner relationshi</w:t>
            </w:r>
            <w:r w:rsidR="000F2509" w:rsidRPr="00E17A82">
              <w:rPr>
                <w:rStyle w:val="Strong"/>
                <w:rFonts w:cstheme="minorHAnsi"/>
                <w:b w:val="0"/>
                <w:bCs w:val="0"/>
                <w:sz w:val="20"/>
                <w:szCs w:val="20"/>
              </w:rPr>
              <w:t>ps established during COVID-19.</w:t>
            </w:r>
          </w:p>
        </w:tc>
        <w:tc>
          <w:tcPr>
            <w:tcW w:w="4925" w:type="dxa"/>
            <w:shd w:val="clear" w:color="auto" w:fill="C3E9E8" w:themeFill="accent1" w:themeFillTint="99"/>
          </w:tcPr>
          <w:p w14:paraId="6CEB9189" w14:textId="56E9B356" w:rsidR="00A2728D" w:rsidRPr="00E17A82" w:rsidRDefault="002665ED" w:rsidP="00E17A82">
            <w:pPr>
              <w:spacing w:before="0"/>
              <w:rPr>
                <w:rStyle w:val="Strong"/>
                <w:rFonts w:cstheme="minorHAnsi"/>
                <w:b w:val="0"/>
                <w:bCs w:val="0"/>
                <w:sz w:val="20"/>
                <w:szCs w:val="20"/>
              </w:rPr>
            </w:pPr>
            <w:r w:rsidRPr="00E17A82">
              <w:rPr>
                <w:rStyle w:val="Strong"/>
                <w:rFonts w:cstheme="minorHAnsi"/>
                <w:b w:val="0"/>
                <w:bCs w:val="0"/>
                <w:sz w:val="20"/>
                <w:szCs w:val="20"/>
              </w:rPr>
              <w:t>Visibility of jurisdictions’ data sharing</w:t>
            </w:r>
            <w:r w:rsidR="004205BA" w:rsidRPr="00E17A82">
              <w:rPr>
                <w:rStyle w:val="Strong"/>
                <w:rFonts w:cstheme="minorHAnsi"/>
                <w:b w:val="0"/>
                <w:bCs w:val="0"/>
                <w:sz w:val="20"/>
                <w:szCs w:val="20"/>
              </w:rPr>
              <w:t xml:space="preserve"> approached drive alignment and trust</w:t>
            </w:r>
            <w:r w:rsidR="00A25729" w:rsidRPr="00E17A82">
              <w:rPr>
                <w:rStyle w:val="Strong"/>
                <w:rFonts w:cstheme="minorHAnsi"/>
                <w:b w:val="0"/>
                <w:bCs w:val="0"/>
                <w:sz w:val="20"/>
                <w:szCs w:val="20"/>
              </w:rPr>
              <w:t>, custodians make more informed decisions with better information.</w:t>
            </w:r>
            <w:r w:rsidR="00515249" w:rsidRPr="00E17A82">
              <w:rPr>
                <w:rStyle w:val="Strong"/>
                <w:rFonts w:cstheme="minorHAnsi"/>
                <w:b w:val="0"/>
                <w:bCs w:val="0"/>
                <w:sz w:val="20"/>
                <w:szCs w:val="20"/>
              </w:rPr>
              <w:t xml:space="preserve"> All jurisdictions have confidence</w:t>
            </w:r>
            <w:r w:rsidR="00F7746A" w:rsidRPr="00E17A82">
              <w:rPr>
                <w:rStyle w:val="Strong"/>
                <w:rFonts w:cstheme="minorHAnsi"/>
                <w:b w:val="0"/>
                <w:bCs w:val="0"/>
                <w:sz w:val="20"/>
                <w:szCs w:val="20"/>
              </w:rPr>
              <w:t xml:space="preserve"> there will be no adverse consequences to themselves, agencies, or data subjects when sharing data.</w:t>
            </w:r>
          </w:p>
        </w:tc>
      </w:tr>
    </w:tbl>
    <w:p w14:paraId="1E46CF21" w14:textId="1416BECE" w:rsidR="003818F4" w:rsidRDefault="00691B53" w:rsidP="0087452D">
      <w:pPr>
        <w:pStyle w:val="Heading2"/>
      </w:pPr>
      <w:bookmarkStart w:id="3" w:name="_Attachment_B_–"/>
      <w:bookmarkEnd w:id="3"/>
      <w:r>
        <w:lastRenderedPageBreak/>
        <w:t>National data sharing work program gateways</w:t>
      </w:r>
    </w:p>
    <w:p w14:paraId="397DD181" w14:textId="4CC1EFE6" w:rsidR="00FB2C71" w:rsidRPr="00FB2C71" w:rsidRDefault="00C20A25" w:rsidP="00FB2C71">
      <w:r w:rsidRPr="005770B0">
        <w:rPr>
          <w:b/>
          <w:bCs/>
          <w:noProof/>
        </w:rPr>
        <w:drawing>
          <wp:anchor distT="0" distB="0" distL="114300" distR="114300" simplePos="0" relativeHeight="251658241" behindDoc="1" locked="0" layoutInCell="1" allowOverlap="1" wp14:anchorId="471D2F42" wp14:editId="48F29B59">
            <wp:simplePos x="0" y="0"/>
            <wp:positionH relativeFrom="margin">
              <wp:posOffset>-809625</wp:posOffset>
            </wp:positionH>
            <wp:positionV relativeFrom="page">
              <wp:posOffset>1849120</wp:posOffset>
            </wp:positionV>
            <wp:extent cx="10523349" cy="3091695"/>
            <wp:effectExtent l="0" t="0" r="0" b="0"/>
            <wp:wrapTight wrapText="bothSides">
              <wp:wrapPolygon edited="0">
                <wp:start x="0" y="0"/>
                <wp:lineTo x="0" y="21431"/>
                <wp:lineTo x="21545" y="21431"/>
                <wp:lineTo x="21545" y="0"/>
                <wp:lineTo x="0" y="0"/>
              </wp:wrapPolygon>
            </wp:wrapTight>
            <wp:docPr id="4" name="Picture 4" descr="A flow diagram showing the design, approval process and reporting of a National Data Sharing Work Program project.&#10;&#10;Projects are approved by Data and Analytics Working Group, the Senior Officials Group and the Data and Digital Ministers. Projects can be withdrawn or edited based on feedback provided at each step.&#10;&#10;The project deliverables are reviewed by the senior officials at the end of the program.">
              <a:extLst xmlns:a="http://schemas.openxmlformats.org/drawingml/2006/main">
                <a:ext uri="{FF2B5EF4-FFF2-40B4-BE49-F238E27FC236}">
                  <a16:creationId xmlns:a16="http://schemas.microsoft.com/office/drawing/2014/main" id="{F4A5125B-B31E-818F-ADA4-2D76C1CA3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ow diagram showing the design, approval process and reporting of a National Data Sharing Work Program project.&#10;&#10;Projects are approved by Data and Analytics Working Group, the Senior Officials Group and the Data and Digital Ministers. Projects can be withdrawn or edited based on feedback provided at each step.&#10;&#10;The project deliverables are reviewed by the senior officials at the end of the program.">
                      <a:extLst>
                        <a:ext uri="{FF2B5EF4-FFF2-40B4-BE49-F238E27FC236}">
                          <a16:creationId xmlns:a16="http://schemas.microsoft.com/office/drawing/2014/main" id="{F4A5125B-B31E-818F-ADA4-2D76C1CA30A2}"/>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23349" cy="3091695"/>
                    </a:xfrm>
                    <a:prstGeom prst="rect">
                      <a:avLst/>
                    </a:prstGeom>
                  </pic:spPr>
                </pic:pic>
              </a:graphicData>
            </a:graphic>
            <wp14:sizeRelH relativeFrom="margin">
              <wp14:pctWidth>0</wp14:pctWidth>
            </wp14:sizeRelH>
            <wp14:sizeRelV relativeFrom="margin">
              <wp14:pctHeight>0</wp14:pctHeight>
            </wp14:sizeRelV>
          </wp:anchor>
        </w:drawing>
      </w:r>
    </w:p>
    <w:sectPr w:rsidR="00FB2C71" w:rsidRPr="00FB2C71" w:rsidSect="00B0594A">
      <w:pgSz w:w="16838" w:h="11906" w:orient="landscape"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160C" w14:textId="77777777" w:rsidR="005220B8" w:rsidRDefault="005220B8" w:rsidP="00EF4574">
      <w:pPr>
        <w:spacing w:before="0" w:after="0" w:line="240" w:lineRule="auto"/>
      </w:pPr>
      <w:r>
        <w:separator/>
      </w:r>
    </w:p>
    <w:p w14:paraId="7E0986AC" w14:textId="77777777" w:rsidR="005220B8" w:rsidRDefault="005220B8"/>
  </w:endnote>
  <w:endnote w:type="continuationSeparator" w:id="0">
    <w:p w14:paraId="324E26FF" w14:textId="77777777" w:rsidR="005220B8" w:rsidRDefault="005220B8" w:rsidP="00EF4574">
      <w:pPr>
        <w:spacing w:before="0" w:after="0" w:line="240" w:lineRule="auto"/>
      </w:pPr>
      <w:r>
        <w:continuationSeparator/>
      </w:r>
    </w:p>
    <w:p w14:paraId="7B3AD8B4" w14:textId="77777777" w:rsidR="005220B8" w:rsidRDefault="00522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FCC" w14:textId="63F22A77" w:rsidR="005D3E0C" w:rsidRDefault="003873BF" w:rsidP="005D3E0C">
    <w:pPr>
      <w:pStyle w:val="Footer"/>
      <w:jc w:val="right"/>
      <w:rPr>
        <w:noProof/>
      </w:rPr>
    </w:pPr>
    <w:r w:rsidRPr="003873BF">
      <w:rPr>
        <w:noProof/>
      </w:rPr>
      <w:ptab w:relativeTo="margin" w:alignment="center" w:leader="none"/>
    </w:r>
    <w:r w:rsidRPr="003873BF">
      <w:rPr>
        <w:noProof/>
      </w:rPr>
      <w:ptab w:relativeTo="margin" w:alignment="right" w:leader="none"/>
    </w:r>
    <w:r w:rsidR="004C7FEA">
      <w:rPr>
        <w:noProof/>
      </w:rPr>
      <w:fldChar w:fldCharType="begin"/>
    </w:r>
    <w:r w:rsidR="004C7FEA">
      <w:rPr>
        <w:noProof/>
      </w:rPr>
      <w:instrText xml:space="preserve"> PAGE   \* MERGEFORMAT </w:instrText>
    </w:r>
    <w:r w:rsidR="004C7FEA">
      <w:rPr>
        <w:noProof/>
      </w:rPr>
      <w:fldChar w:fldCharType="separate"/>
    </w:r>
    <w:r w:rsidR="004C7FEA">
      <w:rPr>
        <w:noProof/>
      </w:rPr>
      <w:t>1</w:t>
    </w:r>
    <w:r w:rsidR="004C7F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990D" w14:textId="77777777" w:rsidR="005220B8" w:rsidRDefault="005220B8" w:rsidP="0020122A">
      <w:pPr>
        <w:pStyle w:val="FootnoteSeparator"/>
      </w:pPr>
    </w:p>
  </w:footnote>
  <w:footnote w:type="continuationSeparator" w:id="0">
    <w:p w14:paraId="35EABF1C" w14:textId="77777777" w:rsidR="005220B8" w:rsidRDefault="005220B8" w:rsidP="00EF4574">
      <w:pPr>
        <w:spacing w:before="0" w:after="0" w:line="240" w:lineRule="auto"/>
      </w:pPr>
      <w:r>
        <w:continuationSeparator/>
      </w:r>
    </w:p>
    <w:p w14:paraId="09B2546A" w14:textId="77777777" w:rsidR="005220B8" w:rsidRDefault="00522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3873" w14:textId="1FE31CB5" w:rsidR="005D3E0C" w:rsidRPr="00D1629D" w:rsidRDefault="00D1629D">
    <w:pPr>
      <w:pStyle w:val="Header"/>
      <w:rPr>
        <w:b/>
        <w:bCs/>
      </w:rPr>
    </w:pPr>
    <w:r w:rsidRPr="00D1629D">
      <w:rPr>
        <w:b/>
        <w:bCs/>
        <w:noProof/>
      </w:rPr>
      <w:t>National Data Sharing Work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17"/>
  </w:num>
  <w:num w:numId="2" w16cid:durableId="134246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0"/>
  </w:num>
  <w:num w:numId="4" w16cid:durableId="149356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2"/>
  </w:num>
  <w:num w:numId="6" w16cid:durableId="209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1"/>
  </w:num>
  <w:num w:numId="9" w16cid:durableId="1750541783">
    <w:abstractNumId w:val="15"/>
  </w:num>
  <w:num w:numId="10" w16cid:durableId="263198240">
    <w:abstractNumId w:val="16"/>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4"/>
  </w:num>
  <w:num w:numId="22" w16cid:durableId="1801419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5CF"/>
    <w:rsid w:val="00007BC8"/>
    <w:rsid w:val="0002782F"/>
    <w:rsid w:val="00027E7B"/>
    <w:rsid w:val="00032502"/>
    <w:rsid w:val="00036CC9"/>
    <w:rsid w:val="00037D20"/>
    <w:rsid w:val="00054E4D"/>
    <w:rsid w:val="000572F3"/>
    <w:rsid w:val="00057FFD"/>
    <w:rsid w:val="00060073"/>
    <w:rsid w:val="0006013E"/>
    <w:rsid w:val="000603C7"/>
    <w:rsid w:val="000613FC"/>
    <w:rsid w:val="00075C05"/>
    <w:rsid w:val="00082223"/>
    <w:rsid w:val="000829F4"/>
    <w:rsid w:val="00084EFB"/>
    <w:rsid w:val="00085391"/>
    <w:rsid w:val="000902A3"/>
    <w:rsid w:val="000919B7"/>
    <w:rsid w:val="00094283"/>
    <w:rsid w:val="00095640"/>
    <w:rsid w:val="000977BA"/>
    <w:rsid w:val="000A009F"/>
    <w:rsid w:val="000A039E"/>
    <w:rsid w:val="000A1BA6"/>
    <w:rsid w:val="000A4B30"/>
    <w:rsid w:val="000A6A8B"/>
    <w:rsid w:val="000B13E4"/>
    <w:rsid w:val="000B2A17"/>
    <w:rsid w:val="000B4EA0"/>
    <w:rsid w:val="000B542E"/>
    <w:rsid w:val="000C1084"/>
    <w:rsid w:val="000C2A48"/>
    <w:rsid w:val="000C3467"/>
    <w:rsid w:val="000C476A"/>
    <w:rsid w:val="000C5F75"/>
    <w:rsid w:val="000D3466"/>
    <w:rsid w:val="000D60B1"/>
    <w:rsid w:val="000E2361"/>
    <w:rsid w:val="000E66CD"/>
    <w:rsid w:val="000F2509"/>
    <w:rsid w:val="000F338D"/>
    <w:rsid w:val="000F6AB6"/>
    <w:rsid w:val="000F6F5C"/>
    <w:rsid w:val="00111E6B"/>
    <w:rsid w:val="00114354"/>
    <w:rsid w:val="00114716"/>
    <w:rsid w:val="001151B0"/>
    <w:rsid w:val="00122EE0"/>
    <w:rsid w:val="00130B00"/>
    <w:rsid w:val="00135639"/>
    <w:rsid w:val="00136530"/>
    <w:rsid w:val="00136ADD"/>
    <w:rsid w:val="0014084E"/>
    <w:rsid w:val="001425A0"/>
    <w:rsid w:val="001541EA"/>
    <w:rsid w:val="00157FDF"/>
    <w:rsid w:val="001612A4"/>
    <w:rsid w:val="00172906"/>
    <w:rsid w:val="00177431"/>
    <w:rsid w:val="00183A14"/>
    <w:rsid w:val="00187DC3"/>
    <w:rsid w:val="0019407E"/>
    <w:rsid w:val="001A43A5"/>
    <w:rsid w:val="001A6D94"/>
    <w:rsid w:val="001B42BD"/>
    <w:rsid w:val="001C2F06"/>
    <w:rsid w:val="001D0835"/>
    <w:rsid w:val="001D0DD0"/>
    <w:rsid w:val="001D59EC"/>
    <w:rsid w:val="001D7EB4"/>
    <w:rsid w:val="001E1DC0"/>
    <w:rsid w:val="001E2742"/>
    <w:rsid w:val="001E3DD9"/>
    <w:rsid w:val="001F22F8"/>
    <w:rsid w:val="001F2964"/>
    <w:rsid w:val="0020122A"/>
    <w:rsid w:val="00205068"/>
    <w:rsid w:val="0021028C"/>
    <w:rsid w:val="00221315"/>
    <w:rsid w:val="0022560D"/>
    <w:rsid w:val="00225734"/>
    <w:rsid w:val="002328BF"/>
    <w:rsid w:val="0023346F"/>
    <w:rsid w:val="002377CB"/>
    <w:rsid w:val="0024002B"/>
    <w:rsid w:val="0024452C"/>
    <w:rsid w:val="00246E4E"/>
    <w:rsid w:val="00262A5D"/>
    <w:rsid w:val="00265098"/>
    <w:rsid w:val="002665ED"/>
    <w:rsid w:val="00274348"/>
    <w:rsid w:val="002840E2"/>
    <w:rsid w:val="00284737"/>
    <w:rsid w:val="0028602A"/>
    <w:rsid w:val="002961CF"/>
    <w:rsid w:val="002A1F58"/>
    <w:rsid w:val="002A5F6B"/>
    <w:rsid w:val="002B0514"/>
    <w:rsid w:val="002B17B9"/>
    <w:rsid w:val="002B5B85"/>
    <w:rsid w:val="002B7879"/>
    <w:rsid w:val="002C0FAD"/>
    <w:rsid w:val="002C63C4"/>
    <w:rsid w:val="002C74D1"/>
    <w:rsid w:val="002C7606"/>
    <w:rsid w:val="002D3A4C"/>
    <w:rsid w:val="002D5BB7"/>
    <w:rsid w:val="002E0A28"/>
    <w:rsid w:val="002E0AF3"/>
    <w:rsid w:val="002E75D0"/>
    <w:rsid w:val="002F22BD"/>
    <w:rsid w:val="002F5017"/>
    <w:rsid w:val="002F74EC"/>
    <w:rsid w:val="002F76DF"/>
    <w:rsid w:val="00301144"/>
    <w:rsid w:val="00302A1D"/>
    <w:rsid w:val="00303124"/>
    <w:rsid w:val="003042C8"/>
    <w:rsid w:val="00312C33"/>
    <w:rsid w:val="003148B7"/>
    <w:rsid w:val="003158C3"/>
    <w:rsid w:val="003229D5"/>
    <w:rsid w:val="00322A0A"/>
    <w:rsid w:val="003254A6"/>
    <w:rsid w:val="003274CD"/>
    <w:rsid w:val="003350C7"/>
    <w:rsid w:val="003477E7"/>
    <w:rsid w:val="0035119D"/>
    <w:rsid w:val="00353006"/>
    <w:rsid w:val="00356325"/>
    <w:rsid w:val="00356892"/>
    <w:rsid w:val="0036363C"/>
    <w:rsid w:val="00365E9C"/>
    <w:rsid w:val="0036687F"/>
    <w:rsid w:val="0036717A"/>
    <w:rsid w:val="00370D73"/>
    <w:rsid w:val="003817F7"/>
    <w:rsid w:val="003818F4"/>
    <w:rsid w:val="003873BF"/>
    <w:rsid w:val="00390B69"/>
    <w:rsid w:val="003A3864"/>
    <w:rsid w:val="003A3DBB"/>
    <w:rsid w:val="003A526C"/>
    <w:rsid w:val="003A71C5"/>
    <w:rsid w:val="003B4E69"/>
    <w:rsid w:val="003B4F12"/>
    <w:rsid w:val="003B6B9C"/>
    <w:rsid w:val="003C0E5E"/>
    <w:rsid w:val="003C1526"/>
    <w:rsid w:val="003C4F71"/>
    <w:rsid w:val="003D64C6"/>
    <w:rsid w:val="003D6EA8"/>
    <w:rsid w:val="003F1923"/>
    <w:rsid w:val="003F493A"/>
    <w:rsid w:val="003F517D"/>
    <w:rsid w:val="00400206"/>
    <w:rsid w:val="004205BA"/>
    <w:rsid w:val="00423F31"/>
    <w:rsid w:val="00431899"/>
    <w:rsid w:val="00434D07"/>
    <w:rsid w:val="00437E87"/>
    <w:rsid w:val="00440867"/>
    <w:rsid w:val="004469C4"/>
    <w:rsid w:val="00452334"/>
    <w:rsid w:val="004540DF"/>
    <w:rsid w:val="004568BC"/>
    <w:rsid w:val="0046327F"/>
    <w:rsid w:val="00463CB7"/>
    <w:rsid w:val="00465B15"/>
    <w:rsid w:val="00470681"/>
    <w:rsid w:val="004711CF"/>
    <w:rsid w:val="00477780"/>
    <w:rsid w:val="004804FB"/>
    <w:rsid w:val="00482118"/>
    <w:rsid w:val="004857A8"/>
    <w:rsid w:val="00486804"/>
    <w:rsid w:val="004915D0"/>
    <w:rsid w:val="0049252F"/>
    <w:rsid w:val="004950B3"/>
    <w:rsid w:val="004A425A"/>
    <w:rsid w:val="004B206D"/>
    <w:rsid w:val="004B36F3"/>
    <w:rsid w:val="004B3775"/>
    <w:rsid w:val="004B3777"/>
    <w:rsid w:val="004C2A06"/>
    <w:rsid w:val="004C4739"/>
    <w:rsid w:val="004C76BD"/>
    <w:rsid w:val="004C7FEA"/>
    <w:rsid w:val="004E058F"/>
    <w:rsid w:val="004E3B87"/>
    <w:rsid w:val="004E6D84"/>
    <w:rsid w:val="004F10D2"/>
    <w:rsid w:val="004F3C29"/>
    <w:rsid w:val="004F7CB8"/>
    <w:rsid w:val="0050045C"/>
    <w:rsid w:val="005032B8"/>
    <w:rsid w:val="00505E2E"/>
    <w:rsid w:val="0050690A"/>
    <w:rsid w:val="00507E3E"/>
    <w:rsid w:val="00510921"/>
    <w:rsid w:val="00510AD3"/>
    <w:rsid w:val="00513348"/>
    <w:rsid w:val="00513FDB"/>
    <w:rsid w:val="00515249"/>
    <w:rsid w:val="0051765B"/>
    <w:rsid w:val="00521626"/>
    <w:rsid w:val="005220B8"/>
    <w:rsid w:val="0052324E"/>
    <w:rsid w:val="00523B78"/>
    <w:rsid w:val="00530B00"/>
    <w:rsid w:val="0053135D"/>
    <w:rsid w:val="00533B5D"/>
    <w:rsid w:val="00536924"/>
    <w:rsid w:val="00545A6C"/>
    <w:rsid w:val="005570E8"/>
    <w:rsid w:val="00562F99"/>
    <w:rsid w:val="00563B85"/>
    <w:rsid w:val="00565B26"/>
    <w:rsid w:val="00565C44"/>
    <w:rsid w:val="00576566"/>
    <w:rsid w:val="00583E82"/>
    <w:rsid w:val="00586560"/>
    <w:rsid w:val="005902B2"/>
    <w:rsid w:val="00591764"/>
    <w:rsid w:val="0059356C"/>
    <w:rsid w:val="005956E5"/>
    <w:rsid w:val="005970EA"/>
    <w:rsid w:val="005B0254"/>
    <w:rsid w:val="005B2C32"/>
    <w:rsid w:val="005B53A0"/>
    <w:rsid w:val="005C0A77"/>
    <w:rsid w:val="005C323E"/>
    <w:rsid w:val="005C37F0"/>
    <w:rsid w:val="005C4E51"/>
    <w:rsid w:val="005C679F"/>
    <w:rsid w:val="005D2D36"/>
    <w:rsid w:val="005D3E0C"/>
    <w:rsid w:val="005D54C5"/>
    <w:rsid w:val="005E01BB"/>
    <w:rsid w:val="006053FF"/>
    <w:rsid w:val="00605B59"/>
    <w:rsid w:val="0061425C"/>
    <w:rsid w:val="006158C0"/>
    <w:rsid w:val="00621E6C"/>
    <w:rsid w:val="0062257B"/>
    <w:rsid w:val="00623BA1"/>
    <w:rsid w:val="0062587D"/>
    <w:rsid w:val="00630D95"/>
    <w:rsid w:val="00632E65"/>
    <w:rsid w:val="006346BC"/>
    <w:rsid w:val="006416F8"/>
    <w:rsid w:val="00645300"/>
    <w:rsid w:val="00645DA3"/>
    <w:rsid w:val="00653B34"/>
    <w:rsid w:val="00654A09"/>
    <w:rsid w:val="00666291"/>
    <w:rsid w:val="0066652A"/>
    <w:rsid w:val="00667158"/>
    <w:rsid w:val="00671FB7"/>
    <w:rsid w:val="00673889"/>
    <w:rsid w:val="00677056"/>
    <w:rsid w:val="0067728B"/>
    <w:rsid w:val="006813B1"/>
    <w:rsid w:val="00682167"/>
    <w:rsid w:val="0068794C"/>
    <w:rsid w:val="00691068"/>
    <w:rsid w:val="00691B53"/>
    <w:rsid w:val="006924CB"/>
    <w:rsid w:val="006969ED"/>
    <w:rsid w:val="006A5749"/>
    <w:rsid w:val="006B240B"/>
    <w:rsid w:val="006B4E16"/>
    <w:rsid w:val="006B5346"/>
    <w:rsid w:val="006C1A2A"/>
    <w:rsid w:val="006C1C00"/>
    <w:rsid w:val="006C42AF"/>
    <w:rsid w:val="006C4DD1"/>
    <w:rsid w:val="006C74E3"/>
    <w:rsid w:val="006D6E92"/>
    <w:rsid w:val="006D79F6"/>
    <w:rsid w:val="006E032C"/>
    <w:rsid w:val="006E1F99"/>
    <w:rsid w:val="006E674C"/>
    <w:rsid w:val="006F1748"/>
    <w:rsid w:val="006F32A4"/>
    <w:rsid w:val="006F6411"/>
    <w:rsid w:val="00705B82"/>
    <w:rsid w:val="0070719B"/>
    <w:rsid w:val="00710521"/>
    <w:rsid w:val="00711D8E"/>
    <w:rsid w:val="00712672"/>
    <w:rsid w:val="00723FAB"/>
    <w:rsid w:val="00733844"/>
    <w:rsid w:val="00734E3F"/>
    <w:rsid w:val="00736985"/>
    <w:rsid w:val="00737A13"/>
    <w:rsid w:val="00740D7C"/>
    <w:rsid w:val="007509C1"/>
    <w:rsid w:val="007532A5"/>
    <w:rsid w:val="007549A7"/>
    <w:rsid w:val="00755521"/>
    <w:rsid w:val="0076784E"/>
    <w:rsid w:val="00772EF8"/>
    <w:rsid w:val="00775879"/>
    <w:rsid w:val="00777754"/>
    <w:rsid w:val="00793863"/>
    <w:rsid w:val="00797456"/>
    <w:rsid w:val="007A10A1"/>
    <w:rsid w:val="007A463A"/>
    <w:rsid w:val="007B33B1"/>
    <w:rsid w:val="007B6200"/>
    <w:rsid w:val="007C7CD3"/>
    <w:rsid w:val="007D29D9"/>
    <w:rsid w:val="007D5790"/>
    <w:rsid w:val="007E73F2"/>
    <w:rsid w:val="007E7DB0"/>
    <w:rsid w:val="00801B9F"/>
    <w:rsid w:val="00802BDD"/>
    <w:rsid w:val="00804880"/>
    <w:rsid w:val="008051C3"/>
    <w:rsid w:val="0080758B"/>
    <w:rsid w:val="00814B4B"/>
    <w:rsid w:val="0081616B"/>
    <w:rsid w:val="00822FD1"/>
    <w:rsid w:val="008238B3"/>
    <w:rsid w:val="0082589D"/>
    <w:rsid w:val="00843905"/>
    <w:rsid w:val="00854109"/>
    <w:rsid w:val="00854223"/>
    <w:rsid w:val="0085724A"/>
    <w:rsid w:val="00861F86"/>
    <w:rsid w:val="008647FF"/>
    <w:rsid w:val="008666D7"/>
    <w:rsid w:val="0086797E"/>
    <w:rsid w:val="00871E2F"/>
    <w:rsid w:val="0087452D"/>
    <w:rsid w:val="00876C2E"/>
    <w:rsid w:val="00877E94"/>
    <w:rsid w:val="008804F9"/>
    <w:rsid w:val="00880931"/>
    <w:rsid w:val="00880B3F"/>
    <w:rsid w:val="008818D0"/>
    <w:rsid w:val="00881F17"/>
    <w:rsid w:val="00883603"/>
    <w:rsid w:val="00891F42"/>
    <w:rsid w:val="008A0D52"/>
    <w:rsid w:val="008A3D1E"/>
    <w:rsid w:val="008B325E"/>
    <w:rsid w:val="008B62C7"/>
    <w:rsid w:val="008B6697"/>
    <w:rsid w:val="008B7F04"/>
    <w:rsid w:val="008C5995"/>
    <w:rsid w:val="008D1CFB"/>
    <w:rsid w:val="008D2757"/>
    <w:rsid w:val="008D4A99"/>
    <w:rsid w:val="008D5F36"/>
    <w:rsid w:val="008E49C9"/>
    <w:rsid w:val="008F2210"/>
    <w:rsid w:val="0090309A"/>
    <w:rsid w:val="00903986"/>
    <w:rsid w:val="00910823"/>
    <w:rsid w:val="00913E94"/>
    <w:rsid w:val="00925B1E"/>
    <w:rsid w:val="00925FE8"/>
    <w:rsid w:val="00926E31"/>
    <w:rsid w:val="009321F3"/>
    <w:rsid w:val="00937448"/>
    <w:rsid w:val="00941718"/>
    <w:rsid w:val="00941933"/>
    <w:rsid w:val="00945425"/>
    <w:rsid w:val="00953F48"/>
    <w:rsid w:val="009558D5"/>
    <w:rsid w:val="009564E9"/>
    <w:rsid w:val="00960EBE"/>
    <w:rsid w:val="00963E69"/>
    <w:rsid w:val="009644D0"/>
    <w:rsid w:val="00973CFB"/>
    <w:rsid w:val="009746F4"/>
    <w:rsid w:val="009A2DA7"/>
    <w:rsid w:val="009A2E61"/>
    <w:rsid w:val="009A7421"/>
    <w:rsid w:val="009B289C"/>
    <w:rsid w:val="009B3CA3"/>
    <w:rsid w:val="009B4D3B"/>
    <w:rsid w:val="009B6F14"/>
    <w:rsid w:val="009C1972"/>
    <w:rsid w:val="009C2875"/>
    <w:rsid w:val="009C3446"/>
    <w:rsid w:val="009C5A01"/>
    <w:rsid w:val="009C68D1"/>
    <w:rsid w:val="009D16E1"/>
    <w:rsid w:val="009D4BFE"/>
    <w:rsid w:val="009D7407"/>
    <w:rsid w:val="009E030D"/>
    <w:rsid w:val="009E05B0"/>
    <w:rsid w:val="009E0866"/>
    <w:rsid w:val="009E1725"/>
    <w:rsid w:val="009E1C40"/>
    <w:rsid w:val="009E4F8F"/>
    <w:rsid w:val="009E555E"/>
    <w:rsid w:val="009E7977"/>
    <w:rsid w:val="009F7585"/>
    <w:rsid w:val="00A101A2"/>
    <w:rsid w:val="00A13002"/>
    <w:rsid w:val="00A16318"/>
    <w:rsid w:val="00A165AC"/>
    <w:rsid w:val="00A20E8E"/>
    <w:rsid w:val="00A235AD"/>
    <w:rsid w:val="00A24A62"/>
    <w:rsid w:val="00A25729"/>
    <w:rsid w:val="00A25CCE"/>
    <w:rsid w:val="00A2728D"/>
    <w:rsid w:val="00A31C9F"/>
    <w:rsid w:val="00A54C38"/>
    <w:rsid w:val="00A55F12"/>
    <w:rsid w:val="00A57245"/>
    <w:rsid w:val="00A57A97"/>
    <w:rsid w:val="00A63432"/>
    <w:rsid w:val="00A669F6"/>
    <w:rsid w:val="00A702C0"/>
    <w:rsid w:val="00A7264B"/>
    <w:rsid w:val="00A930FB"/>
    <w:rsid w:val="00AA3ED7"/>
    <w:rsid w:val="00AA558D"/>
    <w:rsid w:val="00AB19CF"/>
    <w:rsid w:val="00AB2F0C"/>
    <w:rsid w:val="00AB37A1"/>
    <w:rsid w:val="00AC1145"/>
    <w:rsid w:val="00AC164A"/>
    <w:rsid w:val="00AC44EB"/>
    <w:rsid w:val="00AD0384"/>
    <w:rsid w:val="00AD7815"/>
    <w:rsid w:val="00AE2A51"/>
    <w:rsid w:val="00AE3A0A"/>
    <w:rsid w:val="00AE4B11"/>
    <w:rsid w:val="00AE6691"/>
    <w:rsid w:val="00AE7D56"/>
    <w:rsid w:val="00AF2050"/>
    <w:rsid w:val="00AF4529"/>
    <w:rsid w:val="00B01802"/>
    <w:rsid w:val="00B0594A"/>
    <w:rsid w:val="00B07CB6"/>
    <w:rsid w:val="00B10B67"/>
    <w:rsid w:val="00B12F24"/>
    <w:rsid w:val="00B1510A"/>
    <w:rsid w:val="00B16725"/>
    <w:rsid w:val="00B22B8E"/>
    <w:rsid w:val="00B26487"/>
    <w:rsid w:val="00B27962"/>
    <w:rsid w:val="00B32A6F"/>
    <w:rsid w:val="00B360C8"/>
    <w:rsid w:val="00B36201"/>
    <w:rsid w:val="00B40E67"/>
    <w:rsid w:val="00B410F6"/>
    <w:rsid w:val="00B45A94"/>
    <w:rsid w:val="00B4643B"/>
    <w:rsid w:val="00B510FB"/>
    <w:rsid w:val="00B53FDD"/>
    <w:rsid w:val="00B60352"/>
    <w:rsid w:val="00B644DF"/>
    <w:rsid w:val="00B65E55"/>
    <w:rsid w:val="00B66500"/>
    <w:rsid w:val="00B66526"/>
    <w:rsid w:val="00B770C4"/>
    <w:rsid w:val="00B77482"/>
    <w:rsid w:val="00B84F1C"/>
    <w:rsid w:val="00B974E5"/>
    <w:rsid w:val="00BA092B"/>
    <w:rsid w:val="00BA4ACD"/>
    <w:rsid w:val="00BA5177"/>
    <w:rsid w:val="00BB0331"/>
    <w:rsid w:val="00BB1F4B"/>
    <w:rsid w:val="00BB26C5"/>
    <w:rsid w:val="00BC1B10"/>
    <w:rsid w:val="00BC20B3"/>
    <w:rsid w:val="00BC3C48"/>
    <w:rsid w:val="00BD26D2"/>
    <w:rsid w:val="00BE1B7B"/>
    <w:rsid w:val="00BE1D17"/>
    <w:rsid w:val="00BF2DA6"/>
    <w:rsid w:val="00BF4DE6"/>
    <w:rsid w:val="00C035EB"/>
    <w:rsid w:val="00C04138"/>
    <w:rsid w:val="00C059B6"/>
    <w:rsid w:val="00C13039"/>
    <w:rsid w:val="00C17839"/>
    <w:rsid w:val="00C17F45"/>
    <w:rsid w:val="00C20784"/>
    <w:rsid w:val="00C20A25"/>
    <w:rsid w:val="00C22BA7"/>
    <w:rsid w:val="00C25488"/>
    <w:rsid w:val="00C27965"/>
    <w:rsid w:val="00C319F2"/>
    <w:rsid w:val="00C35DE9"/>
    <w:rsid w:val="00C40A2D"/>
    <w:rsid w:val="00C42CDE"/>
    <w:rsid w:val="00C52BC4"/>
    <w:rsid w:val="00C622CF"/>
    <w:rsid w:val="00C64A18"/>
    <w:rsid w:val="00C74D34"/>
    <w:rsid w:val="00C93FD5"/>
    <w:rsid w:val="00C96CCD"/>
    <w:rsid w:val="00CA0659"/>
    <w:rsid w:val="00CA29C3"/>
    <w:rsid w:val="00CA37B1"/>
    <w:rsid w:val="00CB1959"/>
    <w:rsid w:val="00CC76B3"/>
    <w:rsid w:val="00CD30E3"/>
    <w:rsid w:val="00CD5482"/>
    <w:rsid w:val="00CE3A36"/>
    <w:rsid w:val="00CE478F"/>
    <w:rsid w:val="00CE5D12"/>
    <w:rsid w:val="00CE5DEE"/>
    <w:rsid w:val="00CF7D4E"/>
    <w:rsid w:val="00D02794"/>
    <w:rsid w:val="00D0296C"/>
    <w:rsid w:val="00D12EBD"/>
    <w:rsid w:val="00D15AF5"/>
    <w:rsid w:val="00D1629D"/>
    <w:rsid w:val="00D2253C"/>
    <w:rsid w:val="00D22869"/>
    <w:rsid w:val="00D30FA5"/>
    <w:rsid w:val="00D312CD"/>
    <w:rsid w:val="00D313F1"/>
    <w:rsid w:val="00D447CB"/>
    <w:rsid w:val="00D46D82"/>
    <w:rsid w:val="00D52ED4"/>
    <w:rsid w:val="00D54987"/>
    <w:rsid w:val="00D63397"/>
    <w:rsid w:val="00D64AE4"/>
    <w:rsid w:val="00D66F02"/>
    <w:rsid w:val="00D670BF"/>
    <w:rsid w:val="00D71622"/>
    <w:rsid w:val="00D72091"/>
    <w:rsid w:val="00D82796"/>
    <w:rsid w:val="00D85746"/>
    <w:rsid w:val="00D87D0F"/>
    <w:rsid w:val="00DA3C73"/>
    <w:rsid w:val="00DB6D69"/>
    <w:rsid w:val="00DC430B"/>
    <w:rsid w:val="00DD0E0B"/>
    <w:rsid w:val="00DD1FAD"/>
    <w:rsid w:val="00DD4AE3"/>
    <w:rsid w:val="00DD76E5"/>
    <w:rsid w:val="00DE1795"/>
    <w:rsid w:val="00DF25F7"/>
    <w:rsid w:val="00E003F7"/>
    <w:rsid w:val="00E04501"/>
    <w:rsid w:val="00E04DD9"/>
    <w:rsid w:val="00E07B8D"/>
    <w:rsid w:val="00E17A82"/>
    <w:rsid w:val="00E201BD"/>
    <w:rsid w:val="00E22A84"/>
    <w:rsid w:val="00E266CE"/>
    <w:rsid w:val="00E30501"/>
    <w:rsid w:val="00E305C5"/>
    <w:rsid w:val="00E314F0"/>
    <w:rsid w:val="00E32B23"/>
    <w:rsid w:val="00E33C4A"/>
    <w:rsid w:val="00E34A7F"/>
    <w:rsid w:val="00E34EF8"/>
    <w:rsid w:val="00E34F2D"/>
    <w:rsid w:val="00E35174"/>
    <w:rsid w:val="00E35306"/>
    <w:rsid w:val="00E357B7"/>
    <w:rsid w:val="00E36BD4"/>
    <w:rsid w:val="00E400CC"/>
    <w:rsid w:val="00E432CE"/>
    <w:rsid w:val="00E44D53"/>
    <w:rsid w:val="00E53800"/>
    <w:rsid w:val="00E53A3B"/>
    <w:rsid w:val="00E57036"/>
    <w:rsid w:val="00E6081F"/>
    <w:rsid w:val="00E60F90"/>
    <w:rsid w:val="00E63A8D"/>
    <w:rsid w:val="00E6569A"/>
    <w:rsid w:val="00E72C26"/>
    <w:rsid w:val="00E740C0"/>
    <w:rsid w:val="00E7428A"/>
    <w:rsid w:val="00E758F8"/>
    <w:rsid w:val="00E773F3"/>
    <w:rsid w:val="00E87226"/>
    <w:rsid w:val="00E87B2B"/>
    <w:rsid w:val="00EA04B2"/>
    <w:rsid w:val="00EA20F3"/>
    <w:rsid w:val="00EA37AE"/>
    <w:rsid w:val="00EA4858"/>
    <w:rsid w:val="00EA5537"/>
    <w:rsid w:val="00EA7261"/>
    <w:rsid w:val="00EB36D7"/>
    <w:rsid w:val="00EC1FC0"/>
    <w:rsid w:val="00EC4E89"/>
    <w:rsid w:val="00ED033C"/>
    <w:rsid w:val="00ED2857"/>
    <w:rsid w:val="00ED43D1"/>
    <w:rsid w:val="00ED618C"/>
    <w:rsid w:val="00ED678E"/>
    <w:rsid w:val="00EE44B2"/>
    <w:rsid w:val="00EE4988"/>
    <w:rsid w:val="00EE4EE1"/>
    <w:rsid w:val="00EF4515"/>
    <w:rsid w:val="00EF4574"/>
    <w:rsid w:val="00EF6D43"/>
    <w:rsid w:val="00F024AC"/>
    <w:rsid w:val="00F03E20"/>
    <w:rsid w:val="00F07E30"/>
    <w:rsid w:val="00F1137E"/>
    <w:rsid w:val="00F13434"/>
    <w:rsid w:val="00F14D37"/>
    <w:rsid w:val="00F211AD"/>
    <w:rsid w:val="00F21F59"/>
    <w:rsid w:val="00F25294"/>
    <w:rsid w:val="00F258AA"/>
    <w:rsid w:val="00F2658E"/>
    <w:rsid w:val="00F2684E"/>
    <w:rsid w:val="00F303CB"/>
    <w:rsid w:val="00F501D0"/>
    <w:rsid w:val="00F5212E"/>
    <w:rsid w:val="00F53D2F"/>
    <w:rsid w:val="00F56796"/>
    <w:rsid w:val="00F60BDC"/>
    <w:rsid w:val="00F64197"/>
    <w:rsid w:val="00F729EF"/>
    <w:rsid w:val="00F7746A"/>
    <w:rsid w:val="00F77CAE"/>
    <w:rsid w:val="00F905E9"/>
    <w:rsid w:val="00F9121E"/>
    <w:rsid w:val="00F92CCF"/>
    <w:rsid w:val="00F96B8E"/>
    <w:rsid w:val="00F96BB9"/>
    <w:rsid w:val="00F97335"/>
    <w:rsid w:val="00FA10C6"/>
    <w:rsid w:val="00FA2F2A"/>
    <w:rsid w:val="00FB1B68"/>
    <w:rsid w:val="00FB2C71"/>
    <w:rsid w:val="00FB44AA"/>
    <w:rsid w:val="00FB4FA7"/>
    <w:rsid w:val="00FB514A"/>
    <w:rsid w:val="00FB78BA"/>
    <w:rsid w:val="00FC7FF1"/>
    <w:rsid w:val="00FD2B63"/>
    <w:rsid w:val="00FD5BF7"/>
    <w:rsid w:val="00FE06EC"/>
    <w:rsid w:val="00FE5ADA"/>
    <w:rsid w:val="00FE6D51"/>
    <w:rsid w:val="00FE7EA0"/>
    <w:rsid w:val="00FF613D"/>
    <w:rsid w:val="00FF6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CAEEC58D-58D1-48AF-AAA5-685DCBB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 w:type="paragraph" w:styleId="Revision">
    <w:name w:val="Revision"/>
    <w:hidden/>
    <w:uiPriority w:val="99"/>
    <w:semiHidden/>
    <w:rsid w:val="001D0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dmm@finance.gov.au" TargetMode="External"/><Relationship Id="rId2" Type="http://schemas.openxmlformats.org/officeDocument/2006/relationships/customXml" Target="../customXml/item2.xml"/><Relationship Id="rId16" Type="http://schemas.openxmlformats.org/officeDocument/2006/relationships/hyperlink" Target="https://federation.gov.au/about/agreements/intergovernmental-agreement-data-sharin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inance.gov.au/government/public-data/data-and-digital-ministers-meeting/intergovernmental-agreement-data-sharin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ublic-data/data-and-digital-ministers-meeting/intergovernmental-agreement-data-shar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FIN11408-1680745608-26742</_dlc_DocId>
    <_dlc_DocIdUrl xmlns="6a7e9632-768a-49bf-85ac-c69233ab2a52">
      <Url>https://financegovau.sharepoint.com/sites/M365_DoF_51011408/_layouts/15/DocIdRedir.aspx?ID=FIN11408-1680745608-26742</Url>
      <Description>FIN11408-1680745608-26742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2.xml><?xml version="1.0" encoding="utf-8"?>
<ds:datastoreItem xmlns:ds="http://schemas.openxmlformats.org/officeDocument/2006/customXml" ds:itemID="{351B311D-2670-4254-A154-2C4F17E83618}">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504ade58-52d8-45bd-a1d8-d9ddaa66ada1"/>
    <ds:schemaRef ds:uri="6a7e9632-768a-49bf-85ac-c69233ab2a52"/>
    <ds:schemaRef ds:uri="a334ba3b-e131-42d3-95f3-2728f5a41884"/>
    <ds:schemaRef ds:uri="http://schemas.microsoft.com/sharepoint/v3"/>
  </ds:schemaRefs>
</ds:datastoreItem>
</file>

<file path=customXml/itemProps3.xml><?xml version="1.0" encoding="utf-8"?>
<ds:datastoreItem xmlns:ds="http://schemas.openxmlformats.org/officeDocument/2006/customXml" ds:itemID="{75E397DE-D92A-42C0-91E1-35127BE11BF3}">
  <ds:schemaRefs>
    <ds:schemaRef ds:uri="http://schemas.microsoft.com/sharepoint/v3/contenttype/forms"/>
  </ds:schemaRefs>
</ds:datastoreItem>
</file>

<file path=customXml/itemProps4.xml><?xml version="1.0" encoding="utf-8"?>
<ds:datastoreItem xmlns:ds="http://schemas.openxmlformats.org/officeDocument/2006/customXml" ds:itemID="{92D89A76-EF5D-467F-8217-E55416B4FBE3}">
  <ds:schemaRefs>
    <ds:schemaRef ds:uri="http://schemas.microsoft.com/sharepoint/events"/>
  </ds:schemaRefs>
</ds:datastoreItem>
</file>

<file path=customXml/itemProps5.xml><?xml version="1.0" encoding="utf-8"?>
<ds:datastoreItem xmlns:ds="http://schemas.openxmlformats.org/officeDocument/2006/customXml" ds:itemID="{37FDAB4E-DC17-4B07-9C62-8CB79A8C3C37}">
  <ds:schemaRefs>
    <ds:schemaRef ds:uri="Microsoft.SharePoint.Taxonomy.ContentTypeSync"/>
  </ds:schemaRefs>
</ds:datastoreItem>
</file>

<file path=customXml/itemProps6.xml><?xml version="1.0" encoding="utf-8"?>
<ds:datastoreItem xmlns:ds="http://schemas.openxmlformats.org/officeDocument/2006/customXml" ds:itemID="{C6F529D7-DEE1-488E-BFB1-5FA9288D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0</TotalTime>
  <Pages>4</Pages>
  <Words>936</Words>
  <Characters>5809</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Links>
    <vt:vector size="36" baseType="variant">
      <vt:variant>
        <vt:i4>5898288</vt:i4>
      </vt:variant>
      <vt:variant>
        <vt:i4>15</vt:i4>
      </vt:variant>
      <vt:variant>
        <vt:i4>0</vt:i4>
      </vt:variant>
      <vt:variant>
        <vt:i4>5</vt:i4>
      </vt:variant>
      <vt:variant>
        <vt:lpwstr>mailto:ddmm@finance.gov.au</vt:lpwstr>
      </vt:variant>
      <vt:variant>
        <vt:lpwstr/>
      </vt:variant>
      <vt:variant>
        <vt:i4>3801203</vt:i4>
      </vt:variant>
      <vt:variant>
        <vt:i4>12</vt:i4>
      </vt:variant>
      <vt:variant>
        <vt:i4>0</vt:i4>
      </vt:variant>
      <vt:variant>
        <vt:i4>5</vt:i4>
      </vt:variant>
      <vt:variant>
        <vt:lpwstr>https://federation.gov.au/about/agreements/intergovernmental-agreement-data-sharing</vt:lpwstr>
      </vt:variant>
      <vt:variant>
        <vt:lpwstr/>
      </vt:variant>
      <vt:variant>
        <vt:i4>7667793</vt:i4>
      </vt:variant>
      <vt:variant>
        <vt:i4>9</vt:i4>
      </vt:variant>
      <vt:variant>
        <vt:i4>0</vt:i4>
      </vt:variant>
      <vt:variant>
        <vt:i4>5</vt:i4>
      </vt:variant>
      <vt:variant>
        <vt:lpwstr/>
      </vt:variant>
      <vt:variant>
        <vt:lpwstr>_Attachment_B_–</vt:lpwstr>
      </vt:variant>
      <vt:variant>
        <vt:i4>6684750</vt:i4>
      </vt:variant>
      <vt:variant>
        <vt:i4>6</vt:i4>
      </vt:variant>
      <vt:variant>
        <vt:i4>0</vt:i4>
      </vt:variant>
      <vt:variant>
        <vt:i4>5</vt:i4>
      </vt:variant>
      <vt:variant>
        <vt:lpwstr/>
      </vt:variant>
      <vt:variant>
        <vt:lpwstr>_Attachment_A:_End-State</vt:lpwstr>
      </vt:variant>
      <vt:variant>
        <vt:i4>1376262</vt:i4>
      </vt:variant>
      <vt:variant>
        <vt:i4>3</vt:i4>
      </vt:variant>
      <vt:variant>
        <vt:i4>0</vt:i4>
      </vt:variant>
      <vt:variant>
        <vt:i4>5</vt:i4>
      </vt:variant>
      <vt:variant>
        <vt:lpwstr>https://www.finance.gov.au/government/public-data/data-and-digital-ministers-meeting/intergovernmental-agreement-data-sharing</vt:lpwstr>
      </vt:variant>
      <vt:variant>
        <vt:lpwstr/>
      </vt:variant>
      <vt:variant>
        <vt:i4>1376262</vt:i4>
      </vt:variant>
      <vt:variant>
        <vt:i4>0</vt:i4>
      </vt:variant>
      <vt:variant>
        <vt:i4>0</vt:i4>
      </vt:variant>
      <vt:variant>
        <vt:i4>5</vt:i4>
      </vt:variant>
      <vt:variant>
        <vt:lpwstr>https://www.finance.gov.au/government/public-data/data-and-digital-ministers-meeting/intergovernmental-agreement-data-sharing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[SEC=OFFICIAL]</cp:keywords>
  <dc:description/>
  <cp:revision>3</cp:revision>
  <cp:lastPrinted>2013-10-29T09:49:00Z</cp:lastPrinted>
  <dcterms:created xsi:type="dcterms:W3CDTF">2026-02-05T05:43:00Z</dcterms:created>
  <dcterms:modified xsi:type="dcterms:W3CDTF">2026-02-05T05:56:00Z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v=2022.1;a=SHA256;h=182EDA9F17615357C6027492300FF410A802A72C9190352450C0FAD1853D280B</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2E75060944458ED88EA111AE45340297A60807EEB41F1D0DD44D1BD2AA4BE835</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66b9a4e2e584417aa6857fc255e94be3</vt:lpwstr>
  </property>
  <property fmtid="{D5CDD505-2E9C-101B-9397-08002B2CF9AE}" pid="20" name="PM_InsertionValue">
    <vt:lpwstr>OFFICIAL</vt:lpwstr>
  </property>
  <property fmtid="{D5CDD505-2E9C-101B-9397-08002B2CF9AE}" pid="21" name="PM_Originator_Hash_SHA1">
    <vt:lpwstr>DC913A4AA2945FA19FDC4B96751AC2B9A7C297ED</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5065DB5A725A0DD3EC1010B336E14158</vt:lpwstr>
  </property>
  <property fmtid="{D5CDD505-2E9C-101B-9397-08002B2CF9AE}" pid="32" name="PM_Hash_Salt">
    <vt:lpwstr>941A2E45CAEEEDC5AA5428E02A48855A</vt:lpwstr>
  </property>
  <property fmtid="{D5CDD505-2E9C-101B-9397-08002B2CF9AE}" pid="33" name="PM_Hash_SHA1">
    <vt:lpwstr>0083655429F466DAF7812039A9F380FA703A67BC</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Initiating Entity">
    <vt:lpwstr>1;#Department of Finance|fd660e8f-8f31-49bd-92a3-d31d4da31afe</vt:lpwstr>
  </property>
  <property fmtid="{D5CDD505-2E9C-101B-9397-08002B2CF9AE}" pid="39" name="Organisation Unit">
    <vt:lpwstr>2;#Intergovernmental Strategy|f43b7191-16eb-4f21-a2d7-119e52192e96</vt:lpwstr>
  </property>
  <property fmtid="{D5CDD505-2E9C-101B-9397-08002B2CF9AE}" pid="40" name="_dlc_DocIdItemGuid">
    <vt:lpwstr>7a88f01b-5bab-419b-a1fe-4b960fbfddc5</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Function and 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