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94F" w14:textId="157B2A53" w:rsidR="00B770C4" w:rsidRPr="0024452C" w:rsidRDefault="0051765B" w:rsidP="0024452C">
      <w:pPr>
        <w:pStyle w:val="Title"/>
        <w:spacing w:after="0"/>
      </w:pPr>
      <w:bookmarkStart w:id="0" w:name="_Toc53573191"/>
      <w:bookmarkStart w:id="1" w:name="_Toc53573619"/>
      <w:r w:rsidRPr="0024452C">
        <w:rPr>
          <w:noProof/>
        </w:rPr>
        <w:drawing>
          <wp:anchor distT="0" distB="0" distL="114300" distR="114300" simplePos="0" relativeHeight="251659264" behindDoc="1" locked="0" layoutInCell="1" allowOverlap="1" wp14:anchorId="4EDC49C4" wp14:editId="7406B25A">
            <wp:simplePos x="0" y="0"/>
            <wp:positionH relativeFrom="page">
              <wp:posOffset>-9525</wp:posOffset>
            </wp:positionH>
            <wp:positionV relativeFrom="paragraph">
              <wp:posOffset>-902031</wp:posOffset>
            </wp:positionV>
            <wp:extent cx="7578000" cy="2347760"/>
            <wp:effectExtent l="0" t="0" r="4445" b="0"/>
            <wp:wrapNone/>
            <wp:docPr id="652798846" name="Picture 1"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98846" name="Picture 1" descr="A blue background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8000" cy="2347760"/>
                    </a:xfrm>
                    <a:prstGeom prst="rect">
                      <a:avLst/>
                    </a:prstGeom>
                  </pic:spPr>
                </pic:pic>
              </a:graphicData>
            </a:graphic>
          </wp:anchor>
        </w:drawing>
      </w:r>
      <w:r w:rsidR="009A4EE4" w:rsidRPr="009A4EE4">
        <w:rPr>
          <w:noProof/>
        </w:rPr>
        <w:t>Intergovernmental Agreement on Data Sharing</w:t>
      </w:r>
    </w:p>
    <w:p w14:paraId="3EF7C446" w14:textId="77777777" w:rsidR="00553FE0" w:rsidRDefault="00553FE0" w:rsidP="0024452C">
      <w:pPr>
        <w:pStyle w:val="Subtitle"/>
        <w:spacing w:before="240"/>
      </w:pPr>
    </w:p>
    <w:p w14:paraId="0767FFAE" w14:textId="413C3CDD" w:rsidR="00B770C4" w:rsidRPr="00B770C4" w:rsidRDefault="00284737" w:rsidP="0024452C">
      <w:pPr>
        <w:pStyle w:val="Subtitle"/>
        <w:spacing w:before="240"/>
      </w:pPr>
      <w:r>
        <w:t>Factsheet</w:t>
      </w:r>
    </w:p>
    <w:bookmarkEnd w:id="0"/>
    <w:bookmarkEnd w:id="1"/>
    <w:p w14:paraId="7E33320C" w14:textId="3A8EA744" w:rsidR="009A2E61" w:rsidRPr="00D670BF" w:rsidRDefault="009A2E61" w:rsidP="00E63A8D">
      <w:pPr>
        <w:pStyle w:val="Heading2"/>
        <w:rPr>
          <w:rStyle w:val="Strong"/>
          <w:b w:val="0"/>
          <w:bCs w:val="0"/>
        </w:rPr>
      </w:pPr>
      <w:r w:rsidRPr="00D670BF">
        <w:rPr>
          <w:rStyle w:val="Strong"/>
          <w:b w:val="0"/>
          <w:bCs w:val="0"/>
        </w:rPr>
        <w:t>Overview</w:t>
      </w:r>
    </w:p>
    <w:p w14:paraId="0E751022" w14:textId="5BB3B46A" w:rsidR="0081616B" w:rsidRDefault="00EB5BD0" w:rsidP="00D670BF">
      <w:pPr>
        <w:rPr>
          <w:rStyle w:val="Strong"/>
          <w:rFonts w:cstheme="minorHAnsi"/>
          <w:b w:val="0"/>
          <w:bCs w:val="0"/>
        </w:rPr>
      </w:pPr>
      <w:r w:rsidRPr="00EB5BD0">
        <w:rPr>
          <w:rStyle w:val="Strong"/>
          <w:rFonts w:cstheme="minorHAnsi"/>
          <w:b w:val="0"/>
          <w:bCs w:val="0"/>
        </w:rPr>
        <w:t xml:space="preserve">The </w:t>
      </w:r>
      <w:hyperlink r:id="rId14" w:history="1">
        <w:r w:rsidRPr="00C00770">
          <w:rPr>
            <w:rStyle w:val="Hyperlink"/>
            <w:rFonts w:cstheme="minorHAnsi"/>
          </w:rPr>
          <w:t>Intergovernmental Agreement on Data Sharing (IGA)</w:t>
        </w:r>
      </w:hyperlink>
      <w:r w:rsidRPr="00EB5BD0">
        <w:rPr>
          <w:rStyle w:val="Strong"/>
          <w:rFonts w:cstheme="minorHAnsi"/>
          <w:b w:val="0"/>
          <w:bCs w:val="0"/>
        </w:rPr>
        <w:t xml:space="preserve"> was signed by National Cabinet on 9 July 2021 and reviewed by Data and Digital Ministers in September 2023. The IGA commits all jurisdictions to share public sector data by default, where it can be done securely, safely, lawfully and ethically. The IGA is implemented through the </w:t>
      </w:r>
      <w:hyperlink r:id="rId15" w:history="1">
        <w:r w:rsidRPr="00E06419">
          <w:rPr>
            <w:rStyle w:val="Hyperlink"/>
            <w:rFonts w:cstheme="minorHAnsi"/>
          </w:rPr>
          <w:t>Data and Digital Ministers Meeting (DDMM)</w:t>
        </w:r>
      </w:hyperlink>
      <w:r w:rsidRPr="00EB5BD0">
        <w:rPr>
          <w:rStyle w:val="Strong"/>
          <w:rFonts w:cstheme="minorHAnsi"/>
          <w:b w:val="0"/>
          <w:bCs w:val="0"/>
        </w:rPr>
        <w:t xml:space="preserve"> and is supported by the National Data Sharing Work Program.</w:t>
      </w:r>
    </w:p>
    <w:p w14:paraId="4A7EF48D" w14:textId="77777777" w:rsidR="00C57D68" w:rsidRDefault="00C57D68" w:rsidP="00D670BF">
      <w:pPr>
        <w:rPr>
          <w:rStyle w:val="Strong"/>
          <w:rFonts w:cstheme="minorHAnsi"/>
          <w:b w:val="0"/>
          <w:bCs w:val="0"/>
        </w:rPr>
      </w:pPr>
    </w:p>
    <w:p w14:paraId="51E0AFA2" w14:textId="1974F4FD" w:rsidR="00773AC0" w:rsidRDefault="00513EE1" w:rsidP="00C57D68">
      <w:pPr>
        <w:jc w:val="center"/>
        <w:rPr>
          <w:rStyle w:val="Strong"/>
          <w:rFonts w:cstheme="minorHAnsi"/>
          <w:b w:val="0"/>
          <w:bCs w:val="0"/>
        </w:rPr>
      </w:pPr>
      <w:r w:rsidRPr="009A6CC3">
        <w:rPr>
          <w:noProof/>
          <w:lang w:eastAsia="en-AU"/>
        </w:rPr>
        <w:drawing>
          <wp:inline distT="0" distB="0" distL="0" distR="0" wp14:anchorId="36E74D4D" wp14:editId="37B5F081">
            <wp:extent cx="2781300" cy="1962150"/>
            <wp:effectExtent l="0" t="0" r="0" b="0"/>
            <wp:docPr id="8" name="Picture 8" descr="A flowchart showing that the National Data Sharing Work Program is created by the Intergovernmental Agreement on Data Sharing, the Data and Digital Ministers.&#10;&#10;The Work program is supported by Project teams and Commonwealth, State and Territory representatives and exp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flowchart showing that the National Data Sharing Work Program is created by the Intergovernmental Agreement on Data Sharing, the Data and Digital Ministers.&#10;&#10;The Work program is supported by Project teams and Commonwealth, State and Territory representatives and exper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300" cy="1962150"/>
                    </a:xfrm>
                    <a:prstGeom prst="rect">
                      <a:avLst/>
                    </a:prstGeom>
                    <a:noFill/>
                  </pic:spPr>
                </pic:pic>
              </a:graphicData>
            </a:graphic>
          </wp:inline>
        </w:drawing>
      </w:r>
    </w:p>
    <w:p w14:paraId="4441A895" w14:textId="77777777" w:rsidR="00C57D68" w:rsidRDefault="00C57D68" w:rsidP="00C57D68">
      <w:pPr>
        <w:jc w:val="center"/>
        <w:rPr>
          <w:rStyle w:val="Strong"/>
          <w:rFonts w:cstheme="minorHAnsi"/>
          <w:b w:val="0"/>
          <w:bCs w:val="0"/>
        </w:rPr>
      </w:pPr>
    </w:p>
    <w:p w14:paraId="3DEA7C0E" w14:textId="77777777" w:rsidR="009F564D" w:rsidRPr="009F564D" w:rsidRDefault="009F564D" w:rsidP="007110EC">
      <w:pPr>
        <w:pStyle w:val="Heading2"/>
        <w:rPr>
          <w:rStyle w:val="Strong"/>
          <w:rFonts w:cstheme="minorHAnsi"/>
          <w:b w:val="0"/>
          <w:bCs w:val="0"/>
        </w:rPr>
      </w:pPr>
      <w:r w:rsidRPr="009F564D">
        <w:rPr>
          <w:rStyle w:val="Strong"/>
          <w:rFonts w:cstheme="minorHAnsi"/>
          <w:b w:val="0"/>
          <w:bCs w:val="0"/>
        </w:rPr>
        <w:t>The IGA does:</w:t>
      </w:r>
    </w:p>
    <w:p w14:paraId="67A5EEE3" w14:textId="3E0A6A8A" w:rsidR="009F564D" w:rsidRPr="009F564D" w:rsidRDefault="009F564D" w:rsidP="00377163">
      <w:pPr>
        <w:pStyle w:val="Bullet1"/>
        <w:rPr>
          <w:rStyle w:val="Strong"/>
          <w:rFonts w:cstheme="minorHAnsi"/>
          <w:b w:val="0"/>
          <w:bCs w:val="0"/>
        </w:rPr>
      </w:pPr>
      <w:r w:rsidRPr="009F564D">
        <w:rPr>
          <w:rStyle w:val="Strong"/>
          <w:rFonts w:cstheme="minorHAnsi"/>
          <w:b w:val="0"/>
          <w:bCs w:val="0"/>
        </w:rPr>
        <w:t>recognise data as a shared national asset and aims to maximise the value of data to deliver outstanding policies and services for Australians.</w:t>
      </w:r>
    </w:p>
    <w:p w14:paraId="63CA7772" w14:textId="6BEDB1BB" w:rsidR="009F564D" w:rsidRPr="009F564D" w:rsidRDefault="009F564D" w:rsidP="00377163">
      <w:pPr>
        <w:pStyle w:val="Bullet1"/>
        <w:rPr>
          <w:rStyle w:val="Strong"/>
          <w:rFonts w:cstheme="minorHAnsi"/>
          <w:b w:val="0"/>
          <w:bCs w:val="0"/>
        </w:rPr>
      </w:pPr>
      <w:r w:rsidRPr="009F564D">
        <w:rPr>
          <w:rStyle w:val="Strong"/>
          <w:rFonts w:cstheme="minorHAnsi"/>
          <w:b w:val="0"/>
          <w:bCs w:val="0"/>
        </w:rPr>
        <w:t>expect that governments will share data with each other for the design, development, and delivery of policies, programs and services, and other activities in the public interest.</w:t>
      </w:r>
    </w:p>
    <w:p w14:paraId="6955295A" w14:textId="77777777" w:rsidR="009F564D" w:rsidRPr="009F564D" w:rsidRDefault="009F564D" w:rsidP="00377163">
      <w:pPr>
        <w:pStyle w:val="Heading2"/>
        <w:rPr>
          <w:rStyle w:val="Strong"/>
          <w:rFonts w:cstheme="minorHAnsi"/>
          <w:b w:val="0"/>
          <w:bCs w:val="0"/>
        </w:rPr>
      </w:pPr>
      <w:r w:rsidRPr="009F564D">
        <w:rPr>
          <w:rStyle w:val="Strong"/>
          <w:rFonts w:cstheme="minorHAnsi"/>
          <w:b w:val="0"/>
          <w:bCs w:val="0"/>
        </w:rPr>
        <w:t>The IGA does not:</w:t>
      </w:r>
    </w:p>
    <w:p w14:paraId="032052D7" w14:textId="56FF44E9" w:rsidR="009F564D" w:rsidRPr="009F564D" w:rsidRDefault="009F564D" w:rsidP="00377163">
      <w:pPr>
        <w:pStyle w:val="Bullet1"/>
        <w:rPr>
          <w:rStyle w:val="Strong"/>
          <w:rFonts w:cstheme="minorHAnsi"/>
          <w:b w:val="0"/>
          <w:bCs w:val="0"/>
        </w:rPr>
      </w:pPr>
      <w:r w:rsidRPr="009F564D">
        <w:rPr>
          <w:rStyle w:val="Strong"/>
          <w:rFonts w:cstheme="minorHAnsi"/>
          <w:b w:val="0"/>
          <w:bCs w:val="0"/>
        </w:rPr>
        <w:t xml:space="preserve">change or override any existing data sharing agreements or legislation. It commits all parties to apply their best endeavours to share data across governments, including being responsive to requests and giving clear reasons for refusals. </w:t>
      </w:r>
    </w:p>
    <w:p w14:paraId="0A16C03A" w14:textId="77777777" w:rsidR="009F564D" w:rsidRPr="009F564D" w:rsidRDefault="009F564D" w:rsidP="00377163">
      <w:pPr>
        <w:pStyle w:val="Heading2"/>
        <w:rPr>
          <w:rStyle w:val="Strong"/>
          <w:rFonts w:cstheme="minorHAnsi"/>
          <w:b w:val="0"/>
          <w:bCs w:val="0"/>
        </w:rPr>
      </w:pPr>
      <w:r w:rsidRPr="009F564D">
        <w:rPr>
          <w:rStyle w:val="Strong"/>
          <w:rFonts w:cstheme="minorHAnsi"/>
          <w:b w:val="0"/>
          <w:bCs w:val="0"/>
        </w:rPr>
        <w:t>Applying the IGA</w:t>
      </w:r>
    </w:p>
    <w:p w14:paraId="25D91471" w14:textId="77777777" w:rsidR="009F564D" w:rsidRPr="009F564D" w:rsidRDefault="009F564D" w:rsidP="009F564D">
      <w:pPr>
        <w:rPr>
          <w:rStyle w:val="Strong"/>
          <w:rFonts w:cstheme="minorHAnsi"/>
          <w:b w:val="0"/>
          <w:bCs w:val="0"/>
        </w:rPr>
      </w:pPr>
      <w:r w:rsidRPr="009F564D">
        <w:rPr>
          <w:rStyle w:val="Strong"/>
          <w:rFonts w:cstheme="minorHAnsi"/>
          <w:b w:val="0"/>
          <w:bCs w:val="0"/>
        </w:rPr>
        <w:t>The IGA can be applied to cross-jurisdictional data sharing work. It can be used by data practitioners to help increase the volume and value of data sharing. Some ways to apply the IGA include:</w:t>
      </w:r>
    </w:p>
    <w:p w14:paraId="13F1F355" w14:textId="14290817" w:rsidR="009F564D" w:rsidRPr="009F564D" w:rsidRDefault="009F564D" w:rsidP="00377163">
      <w:pPr>
        <w:pStyle w:val="Bullet1"/>
        <w:rPr>
          <w:rStyle w:val="Strong"/>
          <w:rFonts w:cstheme="minorHAnsi"/>
          <w:b w:val="0"/>
          <w:bCs w:val="0"/>
        </w:rPr>
      </w:pPr>
      <w:r w:rsidRPr="009F564D">
        <w:rPr>
          <w:rStyle w:val="Strong"/>
          <w:rFonts w:cstheme="minorHAnsi"/>
          <w:b w:val="0"/>
          <w:bCs w:val="0"/>
        </w:rPr>
        <w:t>use best endeavours to share data by default. Review any policies, processes and systems to align with the IGA and its implementation.</w:t>
      </w:r>
    </w:p>
    <w:p w14:paraId="4410C8A0" w14:textId="6DBE4981" w:rsidR="009F564D" w:rsidRPr="009F564D" w:rsidRDefault="009F564D" w:rsidP="00377163">
      <w:pPr>
        <w:pStyle w:val="Bullet1"/>
        <w:rPr>
          <w:rStyle w:val="Strong"/>
          <w:rFonts w:cstheme="minorHAnsi"/>
          <w:b w:val="0"/>
          <w:bCs w:val="0"/>
        </w:rPr>
      </w:pPr>
      <w:r w:rsidRPr="009F564D">
        <w:rPr>
          <w:rStyle w:val="Strong"/>
          <w:rFonts w:cstheme="minorHAnsi"/>
          <w:b w:val="0"/>
          <w:bCs w:val="0"/>
        </w:rPr>
        <w:t>apply the guiding principles in the IGA to data sharing negotiations and incorporate relevant principles in data sharing agreements.</w:t>
      </w:r>
    </w:p>
    <w:p w14:paraId="52ED81EC" w14:textId="5D3D4C94" w:rsidR="009F564D" w:rsidRPr="009F564D" w:rsidRDefault="009F564D" w:rsidP="00377163">
      <w:pPr>
        <w:pStyle w:val="Bullet1"/>
        <w:rPr>
          <w:rStyle w:val="Strong"/>
          <w:rFonts w:cstheme="minorHAnsi"/>
          <w:b w:val="0"/>
          <w:bCs w:val="0"/>
        </w:rPr>
      </w:pPr>
      <w:r w:rsidRPr="009F564D">
        <w:rPr>
          <w:rStyle w:val="Strong"/>
          <w:rFonts w:cstheme="minorHAnsi"/>
          <w:b w:val="0"/>
          <w:bCs w:val="0"/>
        </w:rPr>
        <w:t>initiate a data request and apply the schedules in the IGA which set out requirements for data requests (Schedule E) and what to consider when assessing a request (Schedule B).</w:t>
      </w:r>
    </w:p>
    <w:p w14:paraId="7C9E0A28" w14:textId="54AB5CE7" w:rsidR="009F564D" w:rsidRPr="009F564D" w:rsidRDefault="009F564D" w:rsidP="00377163">
      <w:pPr>
        <w:pStyle w:val="Bullet1"/>
        <w:rPr>
          <w:rStyle w:val="Strong"/>
          <w:rFonts w:cstheme="minorHAnsi"/>
          <w:b w:val="0"/>
          <w:bCs w:val="0"/>
        </w:rPr>
      </w:pPr>
      <w:r w:rsidRPr="009F564D">
        <w:rPr>
          <w:rStyle w:val="Strong"/>
          <w:rFonts w:cstheme="minorHAnsi"/>
          <w:b w:val="0"/>
          <w:bCs w:val="0"/>
        </w:rPr>
        <w:t>talk to data custodians in your organisation about your data sharing policies and transfer mechanisms to ensure you are well prepared to respond to new data requests.</w:t>
      </w:r>
    </w:p>
    <w:p w14:paraId="55F88F0D" w14:textId="28303F29" w:rsidR="009F564D" w:rsidRPr="009F564D" w:rsidRDefault="009F564D" w:rsidP="00377163">
      <w:pPr>
        <w:pStyle w:val="Bullet1"/>
        <w:rPr>
          <w:rStyle w:val="Strong"/>
          <w:rFonts w:cstheme="minorHAnsi"/>
          <w:b w:val="0"/>
          <w:bCs w:val="0"/>
        </w:rPr>
      </w:pPr>
      <w:r w:rsidRPr="009F564D">
        <w:rPr>
          <w:rStyle w:val="Strong"/>
          <w:rFonts w:cstheme="minorHAnsi"/>
          <w:b w:val="0"/>
          <w:bCs w:val="0"/>
        </w:rPr>
        <w:t>set up a central data request point in your organisation for other government officials to access, such as a portal, web form or email address.</w:t>
      </w:r>
    </w:p>
    <w:p w14:paraId="3B94BC91" w14:textId="75E6FE22" w:rsidR="009F564D" w:rsidRPr="009F564D" w:rsidRDefault="009F564D" w:rsidP="00377163">
      <w:pPr>
        <w:pStyle w:val="Bullet1"/>
        <w:rPr>
          <w:rStyle w:val="Strong"/>
          <w:rFonts w:cstheme="minorHAnsi"/>
          <w:b w:val="0"/>
          <w:bCs w:val="0"/>
        </w:rPr>
      </w:pPr>
      <w:r w:rsidRPr="009F564D">
        <w:rPr>
          <w:rStyle w:val="Strong"/>
          <w:rFonts w:cstheme="minorHAnsi"/>
          <w:b w:val="0"/>
          <w:bCs w:val="0"/>
        </w:rPr>
        <w:t>participate in projects under the National Data Sharing Work Program. Projects can be nominated through your jurisdictions’ DDMM Data &amp; Analytics Working Group member.</w:t>
      </w:r>
    </w:p>
    <w:p w14:paraId="5412CE28" w14:textId="77777777" w:rsidR="009F564D" w:rsidRPr="009F564D" w:rsidRDefault="009F564D" w:rsidP="0027626B">
      <w:pPr>
        <w:pStyle w:val="Heading2"/>
        <w:rPr>
          <w:rStyle w:val="Strong"/>
          <w:rFonts w:cstheme="minorHAnsi"/>
          <w:b w:val="0"/>
          <w:bCs w:val="0"/>
        </w:rPr>
      </w:pPr>
      <w:r w:rsidRPr="009F564D">
        <w:rPr>
          <w:rStyle w:val="Strong"/>
          <w:rFonts w:cstheme="minorHAnsi"/>
          <w:b w:val="0"/>
          <w:bCs w:val="0"/>
        </w:rPr>
        <w:t>Ensuring privacy and data security</w:t>
      </w:r>
    </w:p>
    <w:p w14:paraId="707BB94F" w14:textId="77777777" w:rsidR="009F564D" w:rsidRPr="009F564D" w:rsidRDefault="009F564D" w:rsidP="009F564D">
      <w:pPr>
        <w:rPr>
          <w:rStyle w:val="Strong"/>
          <w:rFonts w:cstheme="minorHAnsi"/>
          <w:b w:val="0"/>
          <w:bCs w:val="0"/>
        </w:rPr>
      </w:pPr>
      <w:r w:rsidRPr="009F564D">
        <w:rPr>
          <w:rStyle w:val="Strong"/>
          <w:rFonts w:cstheme="minorHAnsi"/>
          <w:b w:val="0"/>
          <w:bCs w:val="0"/>
        </w:rPr>
        <w:t xml:space="preserve">Data shared in accordance with the IGA must be in accordance with established privacy and security standards and policies, and within existing legislative conditions, including complaints handling processes. </w:t>
      </w:r>
    </w:p>
    <w:p w14:paraId="5580F14D" w14:textId="73882E21" w:rsidR="009F564D" w:rsidRPr="009F564D" w:rsidRDefault="009F564D" w:rsidP="009F564D">
      <w:pPr>
        <w:rPr>
          <w:rStyle w:val="Strong"/>
          <w:rFonts w:cstheme="minorHAnsi"/>
          <w:b w:val="0"/>
          <w:bCs w:val="0"/>
        </w:rPr>
      </w:pPr>
      <w:r w:rsidRPr="009F564D">
        <w:rPr>
          <w:rStyle w:val="Strong"/>
          <w:rFonts w:cstheme="minorHAnsi"/>
          <w:b w:val="0"/>
          <w:bCs w:val="0"/>
        </w:rPr>
        <w:t xml:space="preserve">For example, the Office of the Australian Information Commissioner (OAIC)’s </w:t>
      </w:r>
      <w:hyperlink r:id="rId17" w:history="1">
        <w:r w:rsidRPr="00C4625A">
          <w:rPr>
            <w:rStyle w:val="Hyperlink"/>
            <w:rFonts w:cstheme="minorHAnsi"/>
          </w:rPr>
          <w:t>Data Breach Preparation and Response Guide</w:t>
        </w:r>
      </w:hyperlink>
      <w:r w:rsidRPr="009F564D">
        <w:rPr>
          <w:rStyle w:val="Strong"/>
          <w:rFonts w:cstheme="minorHAnsi"/>
          <w:b w:val="0"/>
          <w:bCs w:val="0"/>
        </w:rPr>
        <w:t xml:space="preserve"> outlines how you can comply with the Australian Privacy Principles, and state and territory equivalents, and contains templates to help you prepare a data breach response plan. </w:t>
      </w:r>
    </w:p>
    <w:p w14:paraId="4EB5FC80" w14:textId="33B5FF11" w:rsidR="009F564D" w:rsidRPr="009F564D" w:rsidRDefault="009F564D" w:rsidP="009F564D">
      <w:pPr>
        <w:rPr>
          <w:rStyle w:val="Strong"/>
          <w:rFonts w:cstheme="minorHAnsi"/>
          <w:b w:val="0"/>
          <w:bCs w:val="0"/>
        </w:rPr>
      </w:pPr>
      <w:r w:rsidRPr="009F564D">
        <w:rPr>
          <w:rStyle w:val="Strong"/>
          <w:rFonts w:cstheme="minorHAnsi"/>
          <w:b w:val="0"/>
          <w:bCs w:val="0"/>
        </w:rPr>
        <w:t xml:space="preserve">Commonwealth entities must also comply with the </w:t>
      </w:r>
      <w:hyperlink r:id="rId18" w:history="1">
        <w:r w:rsidRPr="001D228A">
          <w:rPr>
            <w:rStyle w:val="Hyperlink"/>
            <w:rFonts w:cstheme="minorHAnsi"/>
          </w:rPr>
          <w:t>Protective Security Policy Framework</w:t>
        </w:r>
      </w:hyperlink>
      <w:r w:rsidRPr="009F564D">
        <w:rPr>
          <w:rStyle w:val="Strong"/>
          <w:rFonts w:cstheme="minorHAnsi"/>
          <w:b w:val="0"/>
          <w:bCs w:val="0"/>
        </w:rPr>
        <w:t xml:space="preserve">. The framework contains the core requirements for Australian Government entities to protect their people, information and assets. </w:t>
      </w:r>
    </w:p>
    <w:p w14:paraId="112907EE" w14:textId="36A4990F" w:rsidR="009F564D" w:rsidRPr="0081616B" w:rsidRDefault="009F564D" w:rsidP="009F564D">
      <w:pPr>
        <w:rPr>
          <w:rStyle w:val="Strong"/>
          <w:rFonts w:cstheme="minorHAnsi"/>
          <w:b w:val="0"/>
          <w:bCs w:val="0"/>
        </w:rPr>
      </w:pPr>
      <w:r w:rsidRPr="009F564D">
        <w:rPr>
          <w:rStyle w:val="Strong"/>
          <w:rFonts w:cstheme="minorHAnsi"/>
          <w:b w:val="0"/>
          <w:bCs w:val="0"/>
        </w:rPr>
        <w:t>The IGA was reviewed in September 2023 and will be reviewed again in 2026. The 2023 review found that no changes to the IGA are needed.</w:t>
      </w:r>
    </w:p>
    <w:p w14:paraId="383CBEE9" w14:textId="77777777" w:rsidR="0081616B" w:rsidRPr="0081616B" w:rsidRDefault="0081616B" w:rsidP="00E63A8D">
      <w:pPr>
        <w:pStyle w:val="Heading2"/>
        <w:rPr>
          <w:rStyle w:val="Strong"/>
          <w:rFonts w:cstheme="minorHAnsi"/>
          <w:b w:val="0"/>
          <w:bCs w:val="0"/>
        </w:rPr>
      </w:pPr>
      <w:r w:rsidRPr="0081616B">
        <w:rPr>
          <w:rStyle w:val="Strong"/>
          <w:rFonts w:cstheme="minorHAnsi"/>
          <w:b w:val="0"/>
          <w:bCs w:val="0"/>
        </w:rPr>
        <w:t>More information</w:t>
      </w:r>
    </w:p>
    <w:p w14:paraId="4D5B54D5" w14:textId="5935C514" w:rsidR="0081616B" w:rsidRDefault="0081616B" w:rsidP="00D670BF">
      <w:pPr>
        <w:rPr>
          <w:rStyle w:val="Strong"/>
          <w:rFonts w:cstheme="minorHAnsi"/>
          <w:b w:val="0"/>
          <w:bCs w:val="0"/>
        </w:rPr>
      </w:pPr>
      <w:r w:rsidRPr="0081616B">
        <w:rPr>
          <w:rStyle w:val="Strong"/>
          <w:rFonts w:cstheme="minorHAnsi"/>
          <w:b w:val="0"/>
          <w:bCs w:val="0"/>
        </w:rPr>
        <w:t xml:space="preserve">If you have any questions about the </w:t>
      </w:r>
      <w:r w:rsidR="00184EF8">
        <w:rPr>
          <w:rStyle w:val="Strong"/>
          <w:rFonts w:cstheme="minorHAnsi"/>
          <w:b w:val="0"/>
          <w:bCs w:val="0"/>
        </w:rPr>
        <w:t>IGA</w:t>
      </w:r>
      <w:r w:rsidR="000F4BB5">
        <w:rPr>
          <w:rStyle w:val="Strong"/>
          <w:rFonts w:cstheme="minorHAnsi"/>
          <w:b w:val="0"/>
          <w:bCs w:val="0"/>
        </w:rPr>
        <w:t xml:space="preserve"> or the National Data Sharing Work Program</w:t>
      </w:r>
      <w:r w:rsidRPr="0081616B">
        <w:rPr>
          <w:rStyle w:val="Strong"/>
          <w:rFonts w:cstheme="minorHAnsi"/>
          <w:b w:val="0"/>
          <w:bCs w:val="0"/>
        </w:rPr>
        <w:t xml:space="preserve">, please contact the Data and Digital Ministers Meeting Secretariat at </w:t>
      </w:r>
      <w:hyperlink r:id="rId19" w:history="1">
        <w:r w:rsidR="003A526C" w:rsidRPr="00C24427">
          <w:rPr>
            <w:rStyle w:val="Hyperlink"/>
            <w:rFonts w:cstheme="minorHAnsi"/>
          </w:rPr>
          <w:t>ddmm@finance.gov.au</w:t>
        </w:r>
      </w:hyperlink>
      <w:r w:rsidR="003A526C">
        <w:rPr>
          <w:rStyle w:val="Strong"/>
          <w:rFonts w:cstheme="minorHAnsi"/>
          <w:b w:val="0"/>
          <w:bCs w:val="0"/>
        </w:rPr>
        <w:t>.</w:t>
      </w:r>
    </w:p>
    <w:p w14:paraId="1E46CF21" w14:textId="0F862F16" w:rsidR="003818F4" w:rsidRPr="00E06419" w:rsidRDefault="0081616B" w:rsidP="00E06419">
      <w:pPr>
        <w:rPr>
          <w:rFonts w:cstheme="minorHAnsi"/>
          <w:i/>
          <w:iCs/>
        </w:rPr>
      </w:pPr>
      <w:r w:rsidRPr="00EA7261">
        <w:rPr>
          <w:rStyle w:val="Strong"/>
          <w:rFonts w:cstheme="minorHAnsi"/>
          <w:b w:val="0"/>
          <w:bCs w:val="0"/>
          <w:i/>
          <w:iCs/>
        </w:rPr>
        <w:t xml:space="preserve">NOTE: The information in this fact sheet is to be used as a guide only. Advice should be sought in relation to individual circumstances. </w:t>
      </w:r>
    </w:p>
    <w:sectPr w:rsidR="003818F4" w:rsidRPr="00E06419" w:rsidSect="00E06419">
      <w:headerReference w:type="default" r:id="rId20"/>
      <w:footerReference w:type="default" r:id="rId21"/>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52D4" w14:textId="77777777" w:rsidR="001D52A4" w:rsidRDefault="001D52A4" w:rsidP="00EF4574">
      <w:pPr>
        <w:spacing w:before="0" w:after="0" w:line="240" w:lineRule="auto"/>
      </w:pPr>
      <w:r>
        <w:separator/>
      </w:r>
    </w:p>
    <w:p w14:paraId="42906A5A" w14:textId="77777777" w:rsidR="001D52A4" w:rsidRDefault="001D52A4"/>
  </w:endnote>
  <w:endnote w:type="continuationSeparator" w:id="0">
    <w:p w14:paraId="5685D5A3" w14:textId="77777777" w:rsidR="001D52A4" w:rsidRDefault="001D52A4" w:rsidP="00EF4574">
      <w:pPr>
        <w:spacing w:before="0" w:after="0" w:line="240" w:lineRule="auto"/>
      </w:pPr>
      <w:r>
        <w:continuationSeparator/>
      </w:r>
    </w:p>
    <w:p w14:paraId="6761A3EE" w14:textId="77777777" w:rsidR="001D52A4" w:rsidRDefault="001D5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1FCC" w14:textId="63F22A77" w:rsidR="005D3E0C" w:rsidRDefault="003873BF" w:rsidP="005D3E0C">
    <w:pPr>
      <w:pStyle w:val="Footer"/>
      <w:jc w:val="right"/>
      <w:rPr>
        <w:noProof/>
      </w:rPr>
    </w:pPr>
    <w:r w:rsidRPr="003873BF">
      <w:rPr>
        <w:noProof/>
      </w:rPr>
      <w:ptab w:relativeTo="margin" w:alignment="center" w:leader="none"/>
    </w:r>
    <w:r w:rsidRPr="003873BF">
      <w:rPr>
        <w:noProof/>
      </w:rPr>
      <w:ptab w:relativeTo="margin" w:alignment="right" w:leader="none"/>
    </w:r>
    <w:r w:rsidR="004C7FEA">
      <w:rPr>
        <w:noProof/>
      </w:rPr>
      <w:fldChar w:fldCharType="begin"/>
    </w:r>
    <w:r w:rsidR="004C7FEA">
      <w:rPr>
        <w:noProof/>
      </w:rPr>
      <w:instrText xml:space="preserve"> PAGE   \* MERGEFORMAT </w:instrText>
    </w:r>
    <w:r w:rsidR="004C7FEA">
      <w:rPr>
        <w:noProof/>
      </w:rPr>
      <w:fldChar w:fldCharType="separate"/>
    </w:r>
    <w:r w:rsidR="004C7FEA">
      <w:rPr>
        <w:noProof/>
      </w:rPr>
      <w:t>1</w:t>
    </w:r>
    <w:r w:rsidR="004C7F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A49E" w14:textId="77777777" w:rsidR="001D52A4" w:rsidRDefault="001D52A4" w:rsidP="0020122A">
      <w:pPr>
        <w:pStyle w:val="FootnoteSeparator"/>
      </w:pPr>
    </w:p>
  </w:footnote>
  <w:footnote w:type="continuationSeparator" w:id="0">
    <w:p w14:paraId="1500B966" w14:textId="77777777" w:rsidR="001D52A4" w:rsidRDefault="001D52A4" w:rsidP="00EF4574">
      <w:pPr>
        <w:spacing w:before="0" w:after="0" w:line="240" w:lineRule="auto"/>
      </w:pPr>
      <w:r>
        <w:continuationSeparator/>
      </w:r>
    </w:p>
    <w:p w14:paraId="57D53427" w14:textId="77777777" w:rsidR="001D52A4" w:rsidRDefault="001D5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7F86" w14:textId="3607FADB" w:rsidR="0082589D" w:rsidRPr="00DB6D69" w:rsidRDefault="00AC1145">
    <w:pPr>
      <w:pStyle w:val="Header"/>
      <w:rPr>
        <w:b/>
      </w:rPr>
    </w:pPr>
    <w:r>
      <w:rPr>
        <w:b/>
      </w:rPr>
      <w:t>Data sharing for data custodians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29B2027"/>
    <w:multiLevelType w:val="multilevel"/>
    <w:tmpl w:val="6AE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62660842">
    <w:abstractNumId w:val="17"/>
  </w:num>
  <w:num w:numId="2" w16cid:durableId="1342464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272971">
    <w:abstractNumId w:val="10"/>
  </w:num>
  <w:num w:numId="4" w16cid:durableId="1493569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569590">
    <w:abstractNumId w:val="12"/>
  </w:num>
  <w:num w:numId="6" w16cid:durableId="2097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261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8688168">
    <w:abstractNumId w:val="11"/>
  </w:num>
  <w:num w:numId="9" w16cid:durableId="1750541783">
    <w:abstractNumId w:val="15"/>
  </w:num>
  <w:num w:numId="10" w16cid:durableId="263198240">
    <w:abstractNumId w:val="16"/>
  </w:num>
  <w:num w:numId="11" w16cid:durableId="1846355906">
    <w:abstractNumId w:val="9"/>
  </w:num>
  <w:num w:numId="12" w16cid:durableId="1739749183">
    <w:abstractNumId w:val="7"/>
  </w:num>
  <w:num w:numId="13" w16cid:durableId="1256329432">
    <w:abstractNumId w:val="6"/>
  </w:num>
  <w:num w:numId="14" w16cid:durableId="68626197">
    <w:abstractNumId w:val="5"/>
  </w:num>
  <w:num w:numId="15" w16cid:durableId="1043021260">
    <w:abstractNumId w:val="4"/>
  </w:num>
  <w:num w:numId="16" w16cid:durableId="476605299">
    <w:abstractNumId w:val="8"/>
  </w:num>
  <w:num w:numId="17" w16cid:durableId="763647792">
    <w:abstractNumId w:val="3"/>
  </w:num>
  <w:num w:numId="18" w16cid:durableId="1859738723">
    <w:abstractNumId w:val="2"/>
  </w:num>
  <w:num w:numId="19" w16cid:durableId="1367372322">
    <w:abstractNumId w:val="1"/>
  </w:num>
  <w:num w:numId="20" w16cid:durableId="954024899">
    <w:abstractNumId w:val="0"/>
  </w:num>
  <w:num w:numId="21" w16cid:durableId="1896549819">
    <w:abstractNumId w:val="14"/>
  </w:num>
  <w:num w:numId="22" w16cid:durableId="1801419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34"/>
    <w:rsid w:val="00007BC8"/>
    <w:rsid w:val="0002782F"/>
    <w:rsid w:val="00046850"/>
    <w:rsid w:val="00054E4D"/>
    <w:rsid w:val="00057FFD"/>
    <w:rsid w:val="00060073"/>
    <w:rsid w:val="000603C7"/>
    <w:rsid w:val="00075C05"/>
    <w:rsid w:val="00082223"/>
    <w:rsid w:val="000829F4"/>
    <w:rsid w:val="00095640"/>
    <w:rsid w:val="000A009F"/>
    <w:rsid w:val="000A039E"/>
    <w:rsid w:val="000A4B30"/>
    <w:rsid w:val="000A6A8B"/>
    <w:rsid w:val="000B542E"/>
    <w:rsid w:val="000C2A48"/>
    <w:rsid w:val="000C5F75"/>
    <w:rsid w:val="000D60B1"/>
    <w:rsid w:val="000E3A96"/>
    <w:rsid w:val="000F4BB5"/>
    <w:rsid w:val="000F6AB6"/>
    <w:rsid w:val="001151B0"/>
    <w:rsid w:val="00135639"/>
    <w:rsid w:val="00136530"/>
    <w:rsid w:val="00136ADD"/>
    <w:rsid w:val="001541EA"/>
    <w:rsid w:val="00157FDF"/>
    <w:rsid w:val="001612A4"/>
    <w:rsid w:val="00184EF8"/>
    <w:rsid w:val="00187DC3"/>
    <w:rsid w:val="0019407E"/>
    <w:rsid w:val="001A43A5"/>
    <w:rsid w:val="001D228A"/>
    <w:rsid w:val="001D52A4"/>
    <w:rsid w:val="001D7EB4"/>
    <w:rsid w:val="001E1DC0"/>
    <w:rsid w:val="001E2742"/>
    <w:rsid w:val="001F1E08"/>
    <w:rsid w:val="001F22F8"/>
    <w:rsid w:val="0020122A"/>
    <w:rsid w:val="0021028C"/>
    <w:rsid w:val="00225734"/>
    <w:rsid w:val="0023346F"/>
    <w:rsid w:val="002377CB"/>
    <w:rsid w:val="0024452C"/>
    <w:rsid w:val="0027626B"/>
    <w:rsid w:val="0028203F"/>
    <w:rsid w:val="00284737"/>
    <w:rsid w:val="0028602A"/>
    <w:rsid w:val="0029218B"/>
    <w:rsid w:val="002A5F6B"/>
    <w:rsid w:val="002B17B9"/>
    <w:rsid w:val="002B7879"/>
    <w:rsid w:val="002E0A28"/>
    <w:rsid w:val="002F22BD"/>
    <w:rsid w:val="002F5017"/>
    <w:rsid w:val="002F76DF"/>
    <w:rsid w:val="00301144"/>
    <w:rsid w:val="00302A1D"/>
    <w:rsid w:val="003148B7"/>
    <w:rsid w:val="003158C3"/>
    <w:rsid w:val="003274CD"/>
    <w:rsid w:val="0035119D"/>
    <w:rsid w:val="00365E9C"/>
    <w:rsid w:val="00377163"/>
    <w:rsid w:val="003818F4"/>
    <w:rsid w:val="003873BF"/>
    <w:rsid w:val="003A526C"/>
    <w:rsid w:val="003A71C5"/>
    <w:rsid w:val="003B4F12"/>
    <w:rsid w:val="003C0E5E"/>
    <w:rsid w:val="003D6EA8"/>
    <w:rsid w:val="003E3B4C"/>
    <w:rsid w:val="003F1923"/>
    <w:rsid w:val="003F493A"/>
    <w:rsid w:val="003F517D"/>
    <w:rsid w:val="00423F31"/>
    <w:rsid w:val="00431899"/>
    <w:rsid w:val="00437E87"/>
    <w:rsid w:val="00465B15"/>
    <w:rsid w:val="00470681"/>
    <w:rsid w:val="004711CF"/>
    <w:rsid w:val="00486804"/>
    <w:rsid w:val="004915D0"/>
    <w:rsid w:val="0049252F"/>
    <w:rsid w:val="004B3775"/>
    <w:rsid w:val="004B3D07"/>
    <w:rsid w:val="004B44EB"/>
    <w:rsid w:val="004C2A06"/>
    <w:rsid w:val="004C76BD"/>
    <w:rsid w:val="004C7FEA"/>
    <w:rsid w:val="004E058F"/>
    <w:rsid w:val="004E3B87"/>
    <w:rsid w:val="004F10D2"/>
    <w:rsid w:val="00505E2E"/>
    <w:rsid w:val="00507E3E"/>
    <w:rsid w:val="00510921"/>
    <w:rsid w:val="00510AD3"/>
    <w:rsid w:val="00513348"/>
    <w:rsid w:val="00513EE1"/>
    <w:rsid w:val="0051765B"/>
    <w:rsid w:val="00533B5D"/>
    <w:rsid w:val="00553FE0"/>
    <w:rsid w:val="005570E8"/>
    <w:rsid w:val="00565C44"/>
    <w:rsid w:val="00576566"/>
    <w:rsid w:val="005902B2"/>
    <w:rsid w:val="005956E5"/>
    <w:rsid w:val="005970EA"/>
    <w:rsid w:val="005C0A77"/>
    <w:rsid w:val="005C37F0"/>
    <w:rsid w:val="005D2D36"/>
    <w:rsid w:val="005D3E0C"/>
    <w:rsid w:val="005E01BB"/>
    <w:rsid w:val="00623BA1"/>
    <w:rsid w:val="006346BC"/>
    <w:rsid w:val="00645300"/>
    <w:rsid w:val="00645DA3"/>
    <w:rsid w:val="006560C7"/>
    <w:rsid w:val="00666291"/>
    <w:rsid w:val="0066652A"/>
    <w:rsid w:val="0067728B"/>
    <w:rsid w:val="006813B1"/>
    <w:rsid w:val="00682167"/>
    <w:rsid w:val="006924CB"/>
    <w:rsid w:val="006C1A2A"/>
    <w:rsid w:val="006C42AF"/>
    <w:rsid w:val="006C4DD1"/>
    <w:rsid w:val="006E032C"/>
    <w:rsid w:val="006E674C"/>
    <w:rsid w:val="00705B82"/>
    <w:rsid w:val="007110EC"/>
    <w:rsid w:val="00711D8E"/>
    <w:rsid w:val="00712672"/>
    <w:rsid w:val="00723FAB"/>
    <w:rsid w:val="00734E3F"/>
    <w:rsid w:val="00736985"/>
    <w:rsid w:val="00737A13"/>
    <w:rsid w:val="00755521"/>
    <w:rsid w:val="0076784E"/>
    <w:rsid w:val="00772EF8"/>
    <w:rsid w:val="00773AC0"/>
    <w:rsid w:val="00775879"/>
    <w:rsid w:val="00785D6F"/>
    <w:rsid w:val="00793863"/>
    <w:rsid w:val="007A463A"/>
    <w:rsid w:val="007B33B1"/>
    <w:rsid w:val="007B6200"/>
    <w:rsid w:val="007C7CD3"/>
    <w:rsid w:val="007D29D9"/>
    <w:rsid w:val="007D5790"/>
    <w:rsid w:val="00801B9F"/>
    <w:rsid w:val="00802BDD"/>
    <w:rsid w:val="00807C6B"/>
    <w:rsid w:val="0081616B"/>
    <w:rsid w:val="0082589D"/>
    <w:rsid w:val="008647FF"/>
    <w:rsid w:val="00876C2E"/>
    <w:rsid w:val="00877E94"/>
    <w:rsid w:val="00880B3F"/>
    <w:rsid w:val="00891FB1"/>
    <w:rsid w:val="008B325E"/>
    <w:rsid w:val="008B62C7"/>
    <w:rsid w:val="008D2757"/>
    <w:rsid w:val="008D4A99"/>
    <w:rsid w:val="008E49C9"/>
    <w:rsid w:val="0090309A"/>
    <w:rsid w:val="00903986"/>
    <w:rsid w:val="00910823"/>
    <w:rsid w:val="00925B1E"/>
    <w:rsid w:val="00925FE8"/>
    <w:rsid w:val="00941933"/>
    <w:rsid w:val="00945425"/>
    <w:rsid w:val="009564E9"/>
    <w:rsid w:val="009746F4"/>
    <w:rsid w:val="009A2DA7"/>
    <w:rsid w:val="009A2E61"/>
    <w:rsid w:val="009A4EE4"/>
    <w:rsid w:val="009B289C"/>
    <w:rsid w:val="009B4D3B"/>
    <w:rsid w:val="009B6F14"/>
    <w:rsid w:val="009D7407"/>
    <w:rsid w:val="009E0866"/>
    <w:rsid w:val="009E4F8F"/>
    <w:rsid w:val="009F564D"/>
    <w:rsid w:val="009F7585"/>
    <w:rsid w:val="00A20E8E"/>
    <w:rsid w:val="00A24A62"/>
    <w:rsid w:val="00A31C9F"/>
    <w:rsid w:val="00A55F12"/>
    <w:rsid w:val="00A57A97"/>
    <w:rsid w:val="00A607E7"/>
    <w:rsid w:val="00A7264B"/>
    <w:rsid w:val="00AA3ED7"/>
    <w:rsid w:val="00AA558D"/>
    <w:rsid w:val="00AB19CF"/>
    <w:rsid w:val="00AB2F0C"/>
    <w:rsid w:val="00AC1145"/>
    <w:rsid w:val="00AC164A"/>
    <w:rsid w:val="00AD7815"/>
    <w:rsid w:val="00AE4B11"/>
    <w:rsid w:val="00AF2050"/>
    <w:rsid w:val="00B01802"/>
    <w:rsid w:val="00B16725"/>
    <w:rsid w:val="00B26487"/>
    <w:rsid w:val="00B40E67"/>
    <w:rsid w:val="00B60352"/>
    <w:rsid w:val="00B770C4"/>
    <w:rsid w:val="00BA5177"/>
    <w:rsid w:val="00BB1F4B"/>
    <w:rsid w:val="00BB26C5"/>
    <w:rsid w:val="00BC3C48"/>
    <w:rsid w:val="00BF4DE6"/>
    <w:rsid w:val="00C00770"/>
    <w:rsid w:val="00C035EB"/>
    <w:rsid w:val="00C04138"/>
    <w:rsid w:val="00C13039"/>
    <w:rsid w:val="00C20784"/>
    <w:rsid w:val="00C22776"/>
    <w:rsid w:val="00C25488"/>
    <w:rsid w:val="00C27965"/>
    <w:rsid w:val="00C35DE9"/>
    <w:rsid w:val="00C42CDE"/>
    <w:rsid w:val="00C4625A"/>
    <w:rsid w:val="00C57D68"/>
    <w:rsid w:val="00C64A18"/>
    <w:rsid w:val="00C74D34"/>
    <w:rsid w:val="00CA0659"/>
    <w:rsid w:val="00CA29C3"/>
    <w:rsid w:val="00CA37B1"/>
    <w:rsid w:val="00CB1959"/>
    <w:rsid w:val="00D0296C"/>
    <w:rsid w:val="00D140D6"/>
    <w:rsid w:val="00D1629D"/>
    <w:rsid w:val="00D2253C"/>
    <w:rsid w:val="00D22869"/>
    <w:rsid w:val="00D312CD"/>
    <w:rsid w:val="00D313F1"/>
    <w:rsid w:val="00D447CB"/>
    <w:rsid w:val="00D46D82"/>
    <w:rsid w:val="00D54987"/>
    <w:rsid w:val="00D66F02"/>
    <w:rsid w:val="00D670BF"/>
    <w:rsid w:val="00D87D0F"/>
    <w:rsid w:val="00DA3C73"/>
    <w:rsid w:val="00DB6D69"/>
    <w:rsid w:val="00DC430B"/>
    <w:rsid w:val="00DD4AE3"/>
    <w:rsid w:val="00DD534D"/>
    <w:rsid w:val="00DD76E5"/>
    <w:rsid w:val="00DF25F7"/>
    <w:rsid w:val="00E06419"/>
    <w:rsid w:val="00E073F5"/>
    <w:rsid w:val="00E357B7"/>
    <w:rsid w:val="00E400CC"/>
    <w:rsid w:val="00E44D53"/>
    <w:rsid w:val="00E53800"/>
    <w:rsid w:val="00E53A3B"/>
    <w:rsid w:val="00E6081F"/>
    <w:rsid w:val="00E60F90"/>
    <w:rsid w:val="00E63A8D"/>
    <w:rsid w:val="00EA04B2"/>
    <w:rsid w:val="00EA20F3"/>
    <w:rsid w:val="00EA7261"/>
    <w:rsid w:val="00EB5BD0"/>
    <w:rsid w:val="00ED43D1"/>
    <w:rsid w:val="00EE4EE1"/>
    <w:rsid w:val="00EF4574"/>
    <w:rsid w:val="00F07E30"/>
    <w:rsid w:val="00F13434"/>
    <w:rsid w:val="00F23F83"/>
    <w:rsid w:val="00F258AA"/>
    <w:rsid w:val="00F2684E"/>
    <w:rsid w:val="00F60BDC"/>
    <w:rsid w:val="00F64197"/>
    <w:rsid w:val="00F729EF"/>
    <w:rsid w:val="00F77CAE"/>
    <w:rsid w:val="00F80884"/>
    <w:rsid w:val="00F96BB9"/>
    <w:rsid w:val="00FA10C6"/>
    <w:rsid w:val="00FB44AA"/>
    <w:rsid w:val="00FC7FF1"/>
    <w:rsid w:val="00FD5BF7"/>
    <w:rsid w:val="00FE06EC"/>
    <w:rsid w:val="00FE2BC8"/>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531C"/>
  <w15:docId w15:val="{CAEEC58D-58D1-48AF-AAA5-685DCBBC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8647FF"/>
    <w:pPr>
      <w:outlineLvl w:val="4"/>
    </w:pPr>
    <w:rPr>
      <w:i/>
      <w:color w:val="007DB6"/>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645300"/>
    <w:pPr>
      <w:spacing w:before="720"/>
    </w:pPr>
  </w:style>
  <w:style w:type="character" w:customStyle="1" w:styleId="TitleChar">
    <w:name w:val="Title Char"/>
    <w:basedOn w:val="DefaultParagraphFont"/>
    <w:link w:val="Title"/>
    <w:uiPriority w:val="10"/>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C25488"/>
    <w:pPr>
      <w:pBdr>
        <w:bottom w:val="single" w:sz="4" w:space="6" w:color="007DB6"/>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8647FF"/>
    <w:rPr>
      <w:rFonts w:asciiTheme="majorHAnsi" w:eastAsiaTheme="majorEastAsia" w:hAnsiTheme="majorHAnsi" w:cstheme="majorBidi"/>
      <w:bCs/>
      <w:i/>
      <w:iCs/>
      <w:color w:val="007DB6"/>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C25488"/>
    <w:pPr>
      <w:pBdr>
        <w:top w:val="single" w:sz="4" w:space="14" w:color="CFEAF9"/>
        <w:left w:val="single" w:sz="4" w:space="14" w:color="CFEAF9"/>
        <w:bottom w:val="single" w:sz="4" w:space="14" w:color="CFEAF9"/>
        <w:right w:val="single" w:sz="4" w:space="14" w:color="CFEAF9"/>
      </w:pBdr>
      <w:shd w:val="clear" w:color="auto" w:fill="CFEAF9"/>
      <w:ind w:left="284" w:right="284"/>
    </w:pPr>
  </w:style>
  <w:style w:type="paragraph" w:customStyle="1" w:styleId="Boxed1Heading">
    <w:name w:val="Boxed 1 Heading"/>
    <w:basedOn w:val="Boxed1Text"/>
    <w:qFormat/>
    <w:rsid w:val="00DA3C73"/>
    <w:pPr>
      <w:keepNext/>
    </w:pPr>
    <w:rPr>
      <w:b/>
      <w:sz w:val="24"/>
    </w:rPr>
  </w:style>
  <w:style w:type="paragraph" w:customStyle="1" w:styleId="Boxed2Text">
    <w:name w:val="Boxed 2 Text"/>
    <w:basedOn w:val="Boxed1Text"/>
    <w:qFormat/>
    <w:rsid w:val="00C25488"/>
    <w:pPr>
      <w:pBdr>
        <w:top w:val="single" w:sz="4" w:space="14" w:color="85CAF0"/>
        <w:left w:val="single" w:sz="4" w:space="14" w:color="85CAF0"/>
        <w:bottom w:val="single" w:sz="4" w:space="14" w:color="85CAF0"/>
        <w:right w:val="single" w:sz="4" w:space="14" w:color="85CAF0"/>
      </w:pBdr>
      <w:shd w:val="clear" w:color="auto" w:fill="85CAF0"/>
    </w:pPr>
  </w:style>
  <w:style w:type="paragraph" w:customStyle="1" w:styleId="Boxed2Heading">
    <w:name w:val="Boxed 2 Heading"/>
    <w:basedOn w:val="Boxed2Text"/>
    <w:qFormat/>
    <w:rsid w:val="00DA3C73"/>
    <w:pPr>
      <w:keepNext/>
    </w:pPr>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B40E67"/>
    <w:pPr>
      <w:pBdr>
        <w:top w:val="single" w:sz="2" w:space="1" w:color="auto"/>
      </w:pBdr>
      <w:spacing w:before="0" w:after="0" w:line="240" w:lineRule="auto"/>
    </w:pPr>
    <w:rPr>
      <w:sz w:val="16"/>
    </w:r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8647FF"/>
    <w:pPr>
      <w:pBdr>
        <w:top w:val="single" w:sz="4" w:space="10" w:color="007DB6"/>
        <w:bottom w:val="single" w:sz="4" w:space="10" w:color="007DB6"/>
      </w:pBdr>
      <w:spacing w:before="360" w:after="360"/>
      <w:ind w:left="864" w:right="864"/>
      <w:jc w:val="center"/>
    </w:pPr>
    <w:rPr>
      <w:i/>
      <w:iCs/>
      <w:color w:val="007DB6"/>
    </w:rPr>
  </w:style>
  <w:style w:type="character" w:customStyle="1" w:styleId="IntenseQuoteChar">
    <w:name w:val="Intense Quote Char"/>
    <w:basedOn w:val="DefaultParagraphFont"/>
    <w:link w:val="IntenseQuote"/>
    <w:uiPriority w:val="30"/>
    <w:rsid w:val="008647FF"/>
    <w:rPr>
      <w:i/>
      <w:iCs/>
      <w:color w:val="007DB6"/>
    </w:rPr>
  </w:style>
  <w:style w:type="character" w:styleId="IntenseReference">
    <w:name w:val="Intense Reference"/>
    <w:basedOn w:val="DefaultParagraphFont"/>
    <w:uiPriority w:val="32"/>
    <w:qFormat/>
    <w:rsid w:val="008647FF"/>
    <w:rPr>
      <w:b/>
      <w:bCs/>
      <w:smallCaps/>
      <w:color w:val="007DB6"/>
      <w:spacing w:val="5"/>
      <w:bdr w:val="none" w:sz="0" w:space="0" w:color="auto"/>
    </w:rPr>
  </w:style>
  <w:style w:type="paragraph" w:customStyle="1" w:styleId="DOFBullet1">
    <w:name w:val="DOF_Bullet 1"/>
    <w:basedOn w:val="Normal"/>
    <w:rsid w:val="00B40E67"/>
    <w:pPr>
      <w:spacing w:before="120"/>
    </w:pPr>
  </w:style>
  <w:style w:type="paragraph" w:customStyle="1" w:styleId="DOFBullet2">
    <w:name w:val="DOF_Bullet 2"/>
    <w:basedOn w:val="DOFBullet1"/>
    <w:rsid w:val="00B40E67"/>
    <w:pPr>
      <w:numPr>
        <w:ilvl w:val="1"/>
      </w:numPr>
    </w:pPr>
  </w:style>
  <w:style w:type="paragraph" w:customStyle="1" w:styleId="DOFBullet3">
    <w:name w:val="DOF_Bullet 3"/>
    <w:basedOn w:val="DOFBullet2"/>
    <w:rsid w:val="00B40E67"/>
    <w:pPr>
      <w:numPr>
        <w:ilvl w:val="2"/>
      </w:numPr>
    </w:pPr>
  </w:style>
  <w:style w:type="paragraph" w:customStyle="1" w:styleId="DOFHeading1Numbered">
    <w:name w:val="DOF_Heading 1 Numbered"/>
    <w:basedOn w:val="Heading1"/>
    <w:next w:val="Normal"/>
    <w:rsid w:val="00B40E67"/>
    <w:rPr>
      <w:color w:val="ECBAA8" w:themeColor="accent3"/>
    </w:rPr>
  </w:style>
  <w:style w:type="paragraph" w:customStyle="1" w:styleId="DOFHeading2Numbered">
    <w:name w:val="DOF_Heading 2 Numbered"/>
    <w:basedOn w:val="Heading2"/>
    <w:next w:val="Normal"/>
    <w:rsid w:val="00B40E67"/>
    <w:rPr>
      <w:bCs/>
      <w:color w:val="ECBAA8" w:themeColor="accent3"/>
    </w:rPr>
  </w:style>
  <w:style w:type="paragraph" w:customStyle="1" w:styleId="DOFHeading3Numbered">
    <w:name w:val="DOF_Heading 3 Numbered"/>
    <w:basedOn w:val="Heading3"/>
    <w:next w:val="Normal"/>
    <w:rsid w:val="00B40E67"/>
    <w:rPr>
      <w:color w:val="ECBAA8" w:themeColor="accent3"/>
      <w:szCs w:val="22"/>
    </w:rPr>
  </w:style>
  <w:style w:type="paragraph" w:customStyle="1" w:styleId="DOFBoxedText1">
    <w:name w:val="DOF_Boxed Text 1"/>
    <w:basedOn w:val="Normal"/>
    <w:rsid w:val="00B40E67"/>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B40E67"/>
    <w:pPr>
      <w:keepNext/>
    </w:pPr>
    <w:rPr>
      <w:b/>
      <w:sz w:val="24"/>
    </w:rPr>
  </w:style>
  <w:style w:type="paragraph" w:customStyle="1" w:styleId="DOFBoxedText2">
    <w:name w:val="DOF_Boxed Text 2"/>
    <w:basedOn w:val="DOFBoxedText1"/>
    <w:rsid w:val="00B40E67"/>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B40E67"/>
    <w:pPr>
      <w:keepNext/>
    </w:pPr>
    <w:rPr>
      <w:b/>
      <w:sz w:val="24"/>
    </w:rPr>
  </w:style>
  <w:style w:type="paragraph" w:customStyle="1" w:styleId="has-black-color">
    <w:name w:val="has-black-color"/>
    <w:basedOn w:val="Normal"/>
    <w:rsid w:val="009A2E6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64B"/>
    <w:rPr>
      <w:color w:val="FFD100" w:themeColor="followedHyperlink"/>
      <w:u w:val="single"/>
    </w:rPr>
  </w:style>
  <w:style w:type="character" w:styleId="UnresolvedMention">
    <w:name w:val="Unresolved Mention"/>
    <w:basedOn w:val="DefaultParagraphFont"/>
    <w:uiPriority w:val="99"/>
    <w:semiHidden/>
    <w:unhideWhenUsed/>
    <w:rsid w:val="00A7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protectivesecurity.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aic.gov.au/privacy/privacy-guidance-for-organisations-and-government-agencies/preventing-preparing-for-and-responding-to-data-breaches/data-breach-preparation-and-respons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inance.gov.au/government/public-data/data-and-digital-ministers-meeting/intergovernmental-agreement-data-sharin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ddmm@finance.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government/public-data/data-and-digital-ministers-meeting/intergovernmental-agreement-data-shar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1\OneDrive%20-%20Department%20of%20Finance\Documents\Templates%20and%20testing%20documents\Short%20Word%20template%20-%20dots%20blue.dotx" TargetMode="External"/></Relationship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43</Value>
    </TaxCatchAll>
    <lcf76f155ced4ddcb4097134ff3c332f xmlns="504ade58-52d8-45bd-a1d8-d9ddaa66ada1">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Intergovernmental Strategy</TermName>
          <TermId xmlns="http://schemas.microsoft.com/office/infopath/2007/PartnerControls">f43b7191-16eb-4f21-a2d7-119e52192e96</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FIN11408-1680745608-26741</_dlc_DocId>
    <_dlc_DocIdUrl xmlns="6a7e9632-768a-49bf-85ac-c69233ab2a52">
      <Url>https://financegovau.sharepoint.com/sites/M365_DoF_51011408/_layouts/15/DocIdRedir.aspx?ID=FIN11408-1680745608-26741</Url>
      <Description>FIN11408-1680745608-26741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1ADAD7CEE1BFA459BC41B75EE72E93F" ma:contentTypeVersion="33" ma:contentTypeDescription="Create a new document." ma:contentTypeScope="" ma:versionID="9f7185f830cf4afb984447ec8ae23e9a">
  <xsd:schema xmlns:xsd="http://www.w3.org/2001/XMLSchema" xmlns:xs="http://www.w3.org/2001/XMLSchema" xmlns:p="http://schemas.microsoft.com/office/2006/metadata/properties" xmlns:ns1="http://schemas.microsoft.com/sharepoint/v3" xmlns:ns2="a334ba3b-e131-42d3-95f3-2728f5a41884" xmlns:ns3="6a7e9632-768a-49bf-85ac-c69233ab2a52" xmlns:ns4="504ade58-52d8-45bd-a1d8-d9ddaa66ada1" targetNamespace="http://schemas.microsoft.com/office/2006/metadata/properties" ma:root="true" ma:fieldsID="1e4be9249fd1781e0b88319ea18128f7" ns1:_="" ns2:_="" ns3:_="" ns4:_="">
    <xsd:import namespace="http://schemas.microsoft.com/sharepoint/v3"/>
    <xsd:import namespace="a334ba3b-e131-42d3-95f3-2728f5a41884"/>
    <xsd:import namespace="6a7e9632-768a-49bf-85ac-c69233ab2a52"/>
    <xsd:import namespace="504ade58-52d8-45bd-a1d8-d9ddaa66ada1"/>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3:SharedWithUsers" minOccurs="0"/>
                <xsd:element ref="ns3:_dlc_DocId" minOccurs="0"/>
                <xsd:element ref="ns3:_dlc_DocIdUrl" minOccurs="0"/>
                <xsd:element ref="ns3:_dlc_DocIdPersistId" minOccurs="0"/>
                <xsd:element ref="ns4:MediaServiceObjectDetectorVersions" minOccurs="0"/>
                <xsd:element ref="ns1:_ip_UnifiedCompliancePolicyProperties" minOccurs="0"/>
                <xsd:element ref="ns1:_ip_UnifiedCompliancePolicyUIAc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fd4359c2-3dc1-48ce-a55a-432c6599103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Intergovernmental Strategy|f43b7191-16eb-4f21-a2d7-119e52192e96"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fd4359c2-3dc1-48ce-a55a-432c6599103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4ade58-52d8-45bd-a1d8-d9ddaa66ada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CA309A27-A876-4BCB-AFFF-084F3A228A80}">
  <ds:schemaRefs>
    <ds:schemaRef ds:uri="http://schemas.openxmlformats.org/officeDocument/2006/bibliography"/>
  </ds:schemaRefs>
</ds:datastoreItem>
</file>

<file path=customXml/itemProps2.xml><?xml version="1.0" encoding="utf-8"?>
<ds:datastoreItem xmlns:ds="http://schemas.openxmlformats.org/officeDocument/2006/customXml" ds:itemID="{A5DAF582-4008-4545-98B9-5D4A4760C317}">
  <ds:schemaRefs>
    <ds:schemaRef ds:uri="http://schemas.microsoft.com/office/2006/metadata/properties"/>
    <ds:schemaRef ds:uri="http://schemas.microsoft.com/office/infopath/2007/PartnerControls"/>
    <ds:schemaRef ds:uri="http://schemas.microsoft.com/sharepoint/v3"/>
    <ds:schemaRef ds:uri="a334ba3b-e131-42d3-95f3-2728f5a41884"/>
    <ds:schemaRef ds:uri="504ade58-52d8-45bd-a1d8-d9ddaa66ada1"/>
    <ds:schemaRef ds:uri="6a7e9632-768a-49bf-85ac-c69233ab2a52"/>
  </ds:schemaRefs>
</ds:datastoreItem>
</file>

<file path=customXml/itemProps3.xml><?xml version="1.0" encoding="utf-8"?>
<ds:datastoreItem xmlns:ds="http://schemas.openxmlformats.org/officeDocument/2006/customXml" ds:itemID="{484D4107-537D-4598-94CD-97A36A073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504ade58-52d8-45bd-a1d8-d9ddaa66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DF001-6E6A-4538-9F6C-2F18EF8D4D61}">
  <ds:schemaRefs>
    <ds:schemaRef ds:uri="http://schemas.microsoft.com/sharepoint/v3/contenttype/forms"/>
  </ds:schemaRefs>
</ds:datastoreItem>
</file>

<file path=customXml/itemProps5.xml><?xml version="1.0" encoding="utf-8"?>
<ds:datastoreItem xmlns:ds="http://schemas.openxmlformats.org/officeDocument/2006/customXml" ds:itemID="{27F8CBBE-B6BB-419C-BBBF-D47BF6BF7D64}">
  <ds:schemaRefs>
    <ds:schemaRef ds:uri="http://schemas.microsoft.com/sharepoint/events"/>
  </ds:schemaRefs>
</ds:datastoreItem>
</file>

<file path=customXml/itemProps6.xml><?xml version="1.0" encoding="utf-8"?>
<ds:datastoreItem xmlns:ds="http://schemas.openxmlformats.org/officeDocument/2006/customXml" ds:itemID="{BFB507EC-903B-4C26-8583-7611097DDF8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Short Word template - dots blue.dotx</Template>
  <TotalTime>135</TotalTime>
  <Pages>1</Pages>
  <Words>625</Words>
  <Characters>3407</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Beth</dc:creator>
  <cp:keywords>[SEC=OFFICIAL]</cp:keywords>
  <dc:description/>
  <cp:lastModifiedBy>Campbell, Beth</cp:lastModifiedBy>
  <cp:revision>34</cp:revision>
  <cp:lastPrinted>2013-10-29T09:49:00Z</cp:lastPrinted>
  <dcterms:created xsi:type="dcterms:W3CDTF">2025-12-08T00:49:00Z</dcterms:created>
  <dcterms:modified xsi:type="dcterms:W3CDTF">2026-02-02T04:43:00Z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v=2022.1;a=SHA256;h=3CA71B3ED7E843C8862527C0C8AE72DB50F777D34CC3F78D2604BF75BBDDAAB0</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2024-10-24T05:40:54Z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474E4AC6CEA918731097D04B12728CC6222C0FA93D11EADE1D194ADD2741089C</vt:lpwstr>
  </property>
  <property fmtid="{D5CDD505-2E9C-101B-9397-08002B2CF9AE}" pid="16" name="MSIP_Label_87d6481e-ccdd-4ab6-8b26-05a0df5699e7_SetDate">
    <vt:lpwstr>2024-10-24T05:40:54Z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d2d9e4e891af4542aa8f41241848a2cc</vt:lpwstr>
  </property>
  <property fmtid="{D5CDD505-2E9C-101B-9397-08002B2CF9AE}" pid="20" name="PM_InsertionValue">
    <vt:lpwstr>OFFICIAL</vt:lpwstr>
  </property>
  <property fmtid="{D5CDD505-2E9C-101B-9397-08002B2CF9AE}" pid="21" name="PM_Originator_Hash_SHA1">
    <vt:lpwstr>8DB40FF1EA035D2C65ED80AA8C2F3F84C5C761C3</vt:lpwstr>
  </property>
  <property fmtid="{D5CDD505-2E9C-101B-9397-08002B2CF9AE}" pid="22" name="PM_DisplayValueSecClassificationWithQualifier">
    <vt:lpwstr>OFFICIAL</vt:lpwstr>
  </property>
  <property fmtid="{D5CDD505-2E9C-101B-9397-08002B2CF9AE}" pid="23" name="PM_Originating_FileId">
    <vt:lpwstr>DBEB30325022452DA081A0771D7A8B90</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EF20F159D55C8A1F7BC4D0C3C15693BF</vt:lpwstr>
  </property>
  <property fmtid="{D5CDD505-2E9C-101B-9397-08002B2CF9AE}" pid="32" name="PM_Hash_Salt">
    <vt:lpwstr>3E58BBD29145DA8703E01CD4FAB68DA5</vt:lpwstr>
  </property>
  <property fmtid="{D5CDD505-2E9C-101B-9397-08002B2CF9AE}" pid="33" name="PM_Hash_SHA1">
    <vt:lpwstr>3F2481AFB78E3C50F821483AA27E3E05872D1E02</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0x010100B7B479F47583304BA8B631462CC772D700E1ADAD7CEE1BFA459BC41B75EE72E93F</vt:lpwstr>
  </property>
  <property fmtid="{D5CDD505-2E9C-101B-9397-08002B2CF9AE}" pid="37" name="TaxKeyword">
    <vt:lpwstr>43;#[SEC=OFFICIAL]|07351cc0-de73-4913-be2f-56f124cbf8bb</vt:lpwstr>
  </property>
  <property fmtid="{D5CDD505-2E9C-101B-9397-08002B2CF9AE}" pid="38" name="Initiating Entity">
    <vt:lpwstr>1;#Department of Finance|fd660e8f-8f31-49bd-92a3-d31d4da31afe</vt:lpwstr>
  </property>
  <property fmtid="{D5CDD505-2E9C-101B-9397-08002B2CF9AE}" pid="39" name="Organisation Unit">
    <vt:lpwstr>2;#Intergovernmental Strategy|f43b7191-16eb-4f21-a2d7-119e52192e96</vt:lpwstr>
  </property>
  <property fmtid="{D5CDD505-2E9C-101B-9397-08002B2CF9AE}" pid="40" name="_dlc_DocIdItemGuid">
    <vt:lpwstr>360531e7-04b9-4d01-8165-e7891c152899</vt:lpwstr>
  </property>
  <property fmtid="{D5CDD505-2E9C-101B-9397-08002B2CF9AE}" pid="41" name="About Entity">
    <vt:lpwstr>1;#Department of Finance|fd660e8f-8f31-49bd-92a3-d31d4da31afe</vt:lpwstr>
  </property>
  <property fmtid="{D5CDD505-2E9C-101B-9397-08002B2CF9AE}" pid="42" name="Organisation_x0020_Unit">
    <vt:lpwstr>2;#Intergovernmental Strategy|f43b7191-16eb-4f21-a2d7-119e52192e96</vt:lpwstr>
  </property>
  <property fmtid="{D5CDD505-2E9C-101B-9397-08002B2CF9AE}" pid="43" name="MediaServiceImageTags">
    <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docLang">
    <vt:lpwstr>en</vt:lpwstr>
  </property>
  <property fmtid="{D5CDD505-2E9C-101B-9397-08002B2CF9AE}" pid="47" name="Function and Activity">
    <vt:lpwstr/>
  </property>
  <property fmtid="{D5CDD505-2E9C-101B-9397-08002B2CF9AE}" pid="48" name="Initiating_x0020_Entity">
    <vt:lpwstr>1;#Department of Finance|fd660e8f-8f31-49bd-92a3-d31d4da31afe</vt:lpwstr>
  </property>
</Properties>
</file>