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8A67" w14:textId="423ADB15" w:rsidR="00206CF2" w:rsidRDefault="00E05009" w:rsidP="00390F25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Mr Blair </w:t>
      </w:r>
      <w:r w:rsidR="00390F25">
        <w:rPr>
          <w:rFonts w:cstheme="minorHAnsi"/>
          <w:sz w:val="23"/>
          <w:szCs w:val="23"/>
        </w:rPr>
        <w:t xml:space="preserve">Comley </w:t>
      </w:r>
    </w:p>
    <w:p w14:paraId="2762E284" w14:textId="77777777" w:rsidR="00390F25" w:rsidRPr="00390F25" w:rsidRDefault="00390F25" w:rsidP="00390F25">
      <w:pPr>
        <w:spacing w:after="0" w:line="240" w:lineRule="auto"/>
        <w:rPr>
          <w:rFonts w:cstheme="minorHAnsi"/>
          <w:sz w:val="23"/>
          <w:szCs w:val="23"/>
        </w:rPr>
      </w:pPr>
      <w:r w:rsidRPr="00390F25">
        <w:rPr>
          <w:rFonts w:cstheme="minorHAnsi"/>
          <w:sz w:val="23"/>
          <w:szCs w:val="23"/>
        </w:rPr>
        <w:t>Secretary  </w:t>
      </w:r>
    </w:p>
    <w:p w14:paraId="1798A877" w14:textId="77777777" w:rsidR="00390F25" w:rsidRPr="00390F25" w:rsidRDefault="00390F25" w:rsidP="00390F25">
      <w:pPr>
        <w:spacing w:after="0" w:line="240" w:lineRule="auto"/>
        <w:rPr>
          <w:rFonts w:cstheme="minorHAnsi"/>
          <w:sz w:val="23"/>
          <w:szCs w:val="23"/>
        </w:rPr>
      </w:pPr>
      <w:r w:rsidRPr="00390F25">
        <w:rPr>
          <w:rFonts w:cstheme="minorHAnsi"/>
          <w:sz w:val="23"/>
          <w:szCs w:val="23"/>
        </w:rPr>
        <w:t>Department of Health, Disability and Ageing </w:t>
      </w:r>
    </w:p>
    <w:p w14:paraId="56838DC8" w14:textId="77777777" w:rsidR="00390F25" w:rsidRPr="00390F25" w:rsidRDefault="00390F25" w:rsidP="00390F25">
      <w:pPr>
        <w:spacing w:after="0" w:line="240" w:lineRule="auto"/>
        <w:rPr>
          <w:rFonts w:cstheme="minorHAnsi"/>
          <w:sz w:val="23"/>
          <w:szCs w:val="23"/>
        </w:rPr>
      </w:pPr>
      <w:r w:rsidRPr="00390F25">
        <w:rPr>
          <w:rFonts w:cstheme="minorHAnsi"/>
          <w:sz w:val="23"/>
          <w:szCs w:val="23"/>
        </w:rPr>
        <w:t>GPO Box 9848 </w:t>
      </w:r>
    </w:p>
    <w:p w14:paraId="0FE32679" w14:textId="77777777" w:rsidR="00390F25" w:rsidRPr="00390F25" w:rsidRDefault="00390F25" w:rsidP="00390F25">
      <w:pPr>
        <w:spacing w:after="0" w:line="240" w:lineRule="auto"/>
        <w:rPr>
          <w:rFonts w:cstheme="minorHAnsi"/>
          <w:sz w:val="23"/>
          <w:szCs w:val="23"/>
        </w:rPr>
      </w:pPr>
      <w:proofErr w:type="gramStart"/>
      <w:r w:rsidRPr="00390F25">
        <w:rPr>
          <w:rFonts w:cstheme="minorHAnsi"/>
          <w:sz w:val="23"/>
          <w:szCs w:val="23"/>
        </w:rPr>
        <w:t>CANBERRA  ACT</w:t>
      </w:r>
      <w:proofErr w:type="gramEnd"/>
      <w:r w:rsidRPr="00390F25">
        <w:rPr>
          <w:rFonts w:cstheme="minorHAnsi"/>
          <w:sz w:val="23"/>
          <w:szCs w:val="23"/>
        </w:rPr>
        <w:t>  2601 </w:t>
      </w:r>
    </w:p>
    <w:p w14:paraId="70B7F994" w14:textId="77777777" w:rsidR="00E05009" w:rsidRPr="00A311BC" w:rsidRDefault="00E05009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3D052D37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F67CCD">
        <w:rPr>
          <w:rFonts w:cstheme="minorHAnsi"/>
          <w:sz w:val="23"/>
          <w:szCs w:val="23"/>
        </w:rPr>
        <w:t>Mr Comley</w:t>
      </w:r>
      <w:r w:rsidRPr="00A311BC">
        <w:rPr>
          <w:rFonts w:cstheme="minorHAnsi"/>
          <w:sz w:val="23"/>
          <w:szCs w:val="23"/>
        </w:rPr>
        <w:t xml:space="preserve"> </w:t>
      </w:r>
    </w:p>
    <w:p w14:paraId="427A8C1A" w14:textId="3B326A0F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352F70">
        <w:rPr>
          <w:rFonts w:cstheme="minorHAnsi"/>
          <w:b/>
          <w:caps/>
          <w:sz w:val="23"/>
          <w:szCs w:val="23"/>
        </w:rPr>
        <w:t>bulk billing for all australians</w:t>
      </w:r>
      <w:r w:rsidR="00B01958" w:rsidRPr="00A311BC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3BF5970C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0D0078">
        <w:rPr>
          <w:rFonts w:cstheme="minorHAnsi"/>
          <w:sz w:val="23"/>
          <w:szCs w:val="23"/>
        </w:rPr>
        <w:t>8 October 2025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352F70">
        <w:rPr>
          <w:rFonts w:cstheme="minorHAnsi"/>
          <w:sz w:val="23"/>
          <w:szCs w:val="23"/>
        </w:rPr>
        <w:t>Bulk Billing for all Australians</w:t>
      </w:r>
      <w:r w:rsidR="00206CF2" w:rsidRPr="00A311BC">
        <w:rPr>
          <w:rFonts w:cstheme="minorHAnsi"/>
          <w:sz w:val="23"/>
          <w:szCs w:val="23"/>
        </w:rPr>
        <w:t xml:space="preserve">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352F70">
        <w:rPr>
          <w:rFonts w:cstheme="minorHAnsi"/>
          <w:sz w:val="23"/>
          <w:szCs w:val="23"/>
        </w:rPr>
        <w:t>Department of Health, Disability and Ageing</w:t>
      </w:r>
      <w:r w:rsidR="00A0392C" w:rsidRPr="00A311BC">
        <w:rPr>
          <w:rFonts w:cstheme="minorHAnsi"/>
          <w:sz w:val="23"/>
          <w:szCs w:val="23"/>
        </w:rPr>
        <w:t xml:space="preserve">. As part of its consideration of this campaign, the Committee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60FE26CC" w:rsidR="004C58F2" w:rsidRPr="00A311BC" w:rsidRDefault="004C58F2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communications </w:t>
      </w:r>
      <w:r w:rsidR="00F3203D"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2E6F56E1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352F70">
        <w:rPr>
          <w:rFonts w:cstheme="minorHAnsi"/>
          <w:sz w:val="23"/>
          <w:szCs w:val="23"/>
        </w:rPr>
        <w:t>Bulk Billing for all Australians</w:t>
      </w:r>
      <w:r w:rsidRPr="00A311BC">
        <w:rPr>
          <w:rFonts w:cstheme="minorHAnsi"/>
          <w:sz w:val="23"/>
          <w:szCs w:val="23"/>
        </w:rPr>
        <w:t xml:space="preserve"> campaign </w:t>
      </w:r>
      <w:proofErr w:type="gramStart"/>
      <w:r w:rsidRPr="00A311BC">
        <w:rPr>
          <w:rFonts w:cstheme="minorHAnsi"/>
          <w:sz w:val="23"/>
          <w:szCs w:val="23"/>
        </w:rPr>
        <w:t>is capable of complying</w:t>
      </w:r>
      <w:proofErr w:type="gramEnd"/>
      <w:r w:rsidRPr="00A311BC">
        <w:rPr>
          <w:rFonts w:cstheme="minorHAnsi"/>
          <w:sz w:val="23"/>
          <w:szCs w:val="23"/>
        </w:rPr>
        <w:t xml:space="preserve">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77777777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0748FFBD" w14:textId="4FEBBAA1" w:rsidR="00313CB1" w:rsidRPr="00A311BC" w:rsidRDefault="36C356A5" w:rsidP="1F899EBD">
      <w:pPr>
        <w:spacing w:after="0" w:line="240" w:lineRule="auto"/>
        <w:rPr>
          <w:rFonts w:ascii="Calibri" w:eastAsia="Calibri" w:hAnsi="Calibri" w:cs="Calibri"/>
        </w:rPr>
      </w:pPr>
      <w:r w:rsidRPr="1F899EBD">
        <w:rPr>
          <w:rFonts w:ascii="Calibri" w:eastAsia="Calibri" w:hAnsi="Calibri" w:cs="Calibri"/>
          <w:color w:val="000000" w:themeColor="text1"/>
          <w:sz w:val="22"/>
          <w:szCs w:val="22"/>
        </w:rPr>
        <w:t>SIGNED</w:t>
      </w:r>
    </w:p>
    <w:p w14:paraId="1687A983" w14:textId="77777777" w:rsidR="001939F5" w:rsidRPr="00A311BC" w:rsidRDefault="001939F5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566762A8" w:rsidR="00313CB1" w:rsidRPr="00A311BC" w:rsidRDefault="00196F90" w:rsidP="0014AE38">
      <w:pPr>
        <w:spacing w:after="0" w:line="240" w:lineRule="auto"/>
        <w:rPr>
          <w:sz w:val="23"/>
          <w:szCs w:val="23"/>
        </w:rPr>
      </w:pPr>
      <w:r w:rsidRPr="0014AE38">
        <w:rPr>
          <w:sz w:val="23"/>
          <w:szCs w:val="23"/>
        </w:rPr>
        <w:t xml:space="preserve">    </w:t>
      </w:r>
      <w:r w:rsidR="000A32D9">
        <w:rPr>
          <w:sz w:val="23"/>
          <w:szCs w:val="23"/>
        </w:rPr>
        <w:t>8</w:t>
      </w:r>
      <w:r w:rsidR="001528AC" w:rsidRPr="0014AE38">
        <w:rPr>
          <w:sz w:val="23"/>
          <w:szCs w:val="23"/>
        </w:rPr>
        <w:t xml:space="preserve"> </w:t>
      </w:r>
      <w:r w:rsidR="00352F70">
        <w:rPr>
          <w:sz w:val="23"/>
          <w:szCs w:val="23"/>
        </w:rPr>
        <w:t>October</w:t>
      </w:r>
      <w:r w:rsidR="00206CF2" w:rsidRPr="0014AE38">
        <w:rPr>
          <w:sz w:val="23"/>
          <w:szCs w:val="23"/>
        </w:rPr>
        <w:t xml:space="preserve"> 202</w:t>
      </w:r>
      <w:r w:rsidR="007A5D5F">
        <w:rPr>
          <w:sz w:val="23"/>
          <w:szCs w:val="23"/>
        </w:rPr>
        <w:t>5</w:t>
      </w:r>
    </w:p>
    <w:sectPr w:rsidR="00313CB1" w:rsidRPr="00A311BC" w:rsidSect="00B9100B">
      <w:headerReference w:type="first" r:id="rId14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033FD" w14:textId="77777777" w:rsidR="00D26DE8" w:rsidRDefault="00D26DE8" w:rsidP="00FF01B4">
      <w:pPr>
        <w:spacing w:after="0" w:line="240" w:lineRule="auto"/>
      </w:pPr>
      <w:r>
        <w:separator/>
      </w:r>
    </w:p>
  </w:endnote>
  <w:endnote w:type="continuationSeparator" w:id="0">
    <w:p w14:paraId="1FAA65B6" w14:textId="77777777" w:rsidR="00D26DE8" w:rsidRDefault="00D26DE8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4A54" w14:textId="77777777" w:rsidR="00D26DE8" w:rsidRDefault="00D26DE8" w:rsidP="00FF01B4">
      <w:pPr>
        <w:spacing w:after="0" w:line="240" w:lineRule="auto"/>
      </w:pPr>
      <w:r>
        <w:separator/>
      </w:r>
    </w:p>
  </w:footnote>
  <w:footnote w:type="continuationSeparator" w:id="0">
    <w:p w14:paraId="02F53BA1" w14:textId="77777777" w:rsidR="00D26DE8" w:rsidRDefault="00D26DE8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A4D362F" w14:textId="38EEAA1C" w:rsidR="000078A6" w:rsidRPr="00B9100B" w:rsidRDefault="00F56A9E" w:rsidP="00B9100B">
        <w:pPr>
          <w:pStyle w:val="Title"/>
          <w:rPr>
            <w:sz w:val="24"/>
            <w:szCs w:val="24"/>
          </w:rPr>
        </w:pPr>
        <w:r>
          <w:rPr>
            <w:b/>
            <w:sz w:val="24"/>
            <w:szCs w:val="24"/>
          </w:rPr>
          <w:t>ICC Compliance Letter - Bulk Billing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74996"/>
    <w:rsid w:val="0008431C"/>
    <w:rsid w:val="00091E53"/>
    <w:rsid w:val="000A32D9"/>
    <w:rsid w:val="000B1DCF"/>
    <w:rsid w:val="000B4AD5"/>
    <w:rsid w:val="000C5266"/>
    <w:rsid w:val="000D0078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79D9"/>
    <w:rsid w:val="001C1A21"/>
    <w:rsid w:val="001F1964"/>
    <w:rsid w:val="001F1A9C"/>
    <w:rsid w:val="001F4083"/>
    <w:rsid w:val="00206CF2"/>
    <w:rsid w:val="00225031"/>
    <w:rsid w:val="00227B55"/>
    <w:rsid w:val="00230EB4"/>
    <w:rsid w:val="002312EB"/>
    <w:rsid w:val="002404EB"/>
    <w:rsid w:val="00245F2D"/>
    <w:rsid w:val="00250EB2"/>
    <w:rsid w:val="0025289D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272D3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4EFC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2BF7"/>
    <w:rsid w:val="00497415"/>
    <w:rsid w:val="004A1B8A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A5D5F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1AC5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080F"/>
    <w:rsid w:val="00CD51C1"/>
    <w:rsid w:val="00CE62C3"/>
    <w:rsid w:val="00CF29E1"/>
    <w:rsid w:val="00D01618"/>
    <w:rsid w:val="00D07CB9"/>
    <w:rsid w:val="00D200D1"/>
    <w:rsid w:val="00D26508"/>
    <w:rsid w:val="00D26DE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39DD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50223"/>
    <w:rsid w:val="00F56A9E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1F899EBD"/>
    <w:rsid w:val="36C356A5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RDefault="00BD221E" w:rsidP="00BD221E">
          <w:pPr>
            <w:pStyle w:val="7FE73386B46E4E259BD6B38F5C3E91A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25289D"/>
    <w:rsid w:val="003272D3"/>
    <w:rsid w:val="003F552A"/>
    <w:rsid w:val="005C0192"/>
    <w:rsid w:val="007D4981"/>
    <w:rsid w:val="00995A2C"/>
    <w:rsid w:val="00A56325"/>
    <w:rsid w:val="00AA1E8E"/>
    <w:rsid w:val="00AB7B07"/>
    <w:rsid w:val="00BD221E"/>
    <w:rsid w:val="00C40BC2"/>
    <w:rsid w:val="00CD080F"/>
    <w:rsid w:val="00F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FIN33516-1900758721-40064</_dlc_DocId>
    <_dlc_DocIdUrl xmlns="6a7e9632-768a-49bf-85ac-c69233ab2a52">
      <Url>https://financegovau.sharepoint.com/sites/M365_DoF_50033516/_layouts/15/DocIdRedir.aspx?ID=FIN33516-1900758721-40064</Url>
      <Description>FIN33516-1900758721-40064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4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1661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Communications Committee</vt:lpstr>
    </vt:vector>
  </TitlesOfParts>
  <Company>Department of Finance and Deregulation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 Compliance Letter - Bulk Billing</dc:title>
  <dc:creator>Department of Finance</dc:creator>
  <cp:keywords>[SEC=OFFICIAL]</cp:keywords>
  <cp:lastModifiedBy>Truong, Minh</cp:lastModifiedBy>
  <cp:revision>9</cp:revision>
  <cp:lastPrinted>2015-04-07T06:54:00Z</cp:lastPrinted>
  <dcterms:created xsi:type="dcterms:W3CDTF">2025-10-07T21:25:00Z</dcterms:created>
  <dcterms:modified xsi:type="dcterms:W3CDTF">2025-12-02T04:52:00Z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v=2022.1;a=SHA256;h=91142AAF23B152133FFDF12549517A4C8BDA6EDF673D922A26B28786D4C54532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548a7372436240d295d4187dd13e5adb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C06BD97CB684070F0D30FB090F14CCE5</vt:lpwstr>
  </property>
  <property fmtid="{D5CDD505-2E9C-101B-9397-08002B2CF9AE}" pid="32" name="PM_Hash_Salt">
    <vt:lpwstr>8DE9AD822EE0DDAB7E89EF9147ECC1B9</vt:lpwstr>
  </property>
  <property fmtid="{D5CDD505-2E9C-101B-9397-08002B2CF9AE}" pid="33" name="PM_Hash_SHA1">
    <vt:lpwstr>E5FAE7DCC8667863B6D65B214DE5910FC7087B58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9852abd8-5a43-4dbc-ae9b-3b91269fcfa4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