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74C86" w14:textId="7014CA13" w:rsidR="00022D0E" w:rsidRPr="00843C45" w:rsidRDefault="00CD657F" w:rsidP="00072169">
      <w:pPr>
        <w:pStyle w:val="Heading1"/>
      </w:pPr>
      <w:bookmarkStart w:id="0" w:name="_Ref186711497"/>
      <w:r w:rsidRPr="00843C45">
        <w:t xml:space="preserve">Example </w:t>
      </w:r>
      <w:r w:rsidR="00CB43BB" w:rsidRPr="00843C45">
        <w:t>Risk Management</w:t>
      </w:r>
      <w:r w:rsidR="0036137C" w:rsidRPr="00843C45">
        <w:t xml:space="preserve"> </w:t>
      </w:r>
      <w:r w:rsidRPr="00843C45">
        <w:t>Disclosure</w:t>
      </w:r>
      <w:bookmarkEnd w:id="0"/>
    </w:p>
    <w:p w14:paraId="14F6B3A1" w14:textId="1A707233" w:rsidR="0005610F" w:rsidRPr="00843C45" w:rsidRDefault="00FA0D6E" w:rsidP="00072169">
      <w:pPr>
        <w:pStyle w:val="Subheading"/>
        <w:spacing w:beforeLines="0" w:before="0" w:beforeAutospacing="0" w:after="120" w:afterAutospacing="0"/>
      </w:pPr>
      <w:r w:rsidRPr="00843C45">
        <w:t>Small Specialist Investment Vehicle</w:t>
      </w:r>
      <w:r w:rsidR="00CD657F" w:rsidRPr="00843C45">
        <w:t xml:space="preserve"> </w:t>
      </w:r>
    </w:p>
    <w:p w14:paraId="6C0E3F4D" w14:textId="4577D347" w:rsidR="00902AB1" w:rsidRPr="00843C45" w:rsidRDefault="007C22AC" w:rsidP="00B26257">
      <w:pPr>
        <w:pStyle w:val="Heading2"/>
      </w:pPr>
      <w:r w:rsidRPr="00843C45">
        <w:t>Introduction</w:t>
      </w:r>
    </w:p>
    <w:p w14:paraId="6F6793CE" w14:textId="335ADAEB" w:rsidR="002977E2" w:rsidRPr="00843C45" w:rsidRDefault="002977E2" w:rsidP="001125AC">
      <w:pPr>
        <w:pStyle w:val="BodyText1"/>
      </w:pPr>
      <w:r w:rsidRPr="00843C45">
        <w:t xml:space="preserve">This document has been prepared as a hypothetical example of disclosing the </w:t>
      </w:r>
      <w:r w:rsidR="00843C45">
        <w:t xml:space="preserve">Risk </w:t>
      </w:r>
      <w:r w:rsidR="00DD19AF">
        <w:t>m</w:t>
      </w:r>
      <w:r w:rsidR="00843C45">
        <w:t>anagement</w:t>
      </w:r>
      <w:r w:rsidR="0036137C" w:rsidRPr="00843C45">
        <w:t xml:space="preserve"> </w:t>
      </w:r>
      <w:r w:rsidRPr="00843C45">
        <w:t xml:space="preserve">criteria in an entity’s Annual Report. This example has been prepared by the Department of Finance's Climate Action in Government Operations Unit to support Commonwealth entities participating in the </w:t>
      </w:r>
      <w:hyperlink r:id="rId13" w:history="1">
        <w:r w:rsidRPr="00843C45">
          <w:rPr>
            <w:rStyle w:val="Hyperlink"/>
          </w:rPr>
          <w:t>Commonwealth Climate Disclosure (CCD) Initiative</w:t>
        </w:r>
      </w:hyperlink>
      <w:r w:rsidR="00A2762E">
        <w:t>.</w:t>
      </w:r>
    </w:p>
    <w:p w14:paraId="739E3840" w14:textId="764B2A5A" w:rsidR="002977E2" w:rsidRPr="00843C45" w:rsidRDefault="002977E2" w:rsidP="001125AC">
      <w:pPr>
        <w:pStyle w:val="BodyText1"/>
      </w:pPr>
      <w:r>
        <w:t xml:space="preserve">The example disclosure has been prepared for </w:t>
      </w:r>
      <w:r w:rsidRPr="64B37488">
        <w:rPr>
          <w:b/>
        </w:rPr>
        <w:t xml:space="preserve">a fictional </w:t>
      </w:r>
      <w:r w:rsidR="00BE0035" w:rsidRPr="64B37488">
        <w:rPr>
          <w:b/>
        </w:rPr>
        <w:t>Commonwealth entity</w:t>
      </w:r>
      <w:r>
        <w:t xml:space="preserve">, the </w:t>
      </w:r>
      <w:r w:rsidR="00DD5D22">
        <w:t>Bushfire</w:t>
      </w:r>
      <w:r w:rsidR="00706718">
        <w:t xml:space="preserve"> Recovery Investment Corporation</w:t>
      </w:r>
      <w:r w:rsidR="0A971BF3">
        <w:t xml:space="preserve"> (BRIC)</w:t>
      </w:r>
      <w:r w:rsidR="00706718">
        <w:t>,</w:t>
      </w:r>
      <w:r>
        <w:t xml:space="preserve"> </w:t>
      </w:r>
      <w:r w:rsidR="009705DE">
        <w:t xml:space="preserve">which is </w:t>
      </w:r>
      <w:r w:rsidR="004B0B81">
        <w:t xml:space="preserve">presented as </w:t>
      </w:r>
      <w:r w:rsidR="009705DE">
        <w:t xml:space="preserve">a </w:t>
      </w:r>
      <w:r w:rsidR="0067278F">
        <w:t xml:space="preserve">small corporate Commonwealth </w:t>
      </w:r>
      <w:r w:rsidR="000C293D">
        <w:t>e</w:t>
      </w:r>
      <w:r w:rsidR="0067278F">
        <w:t xml:space="preserve">ntity </w:t>
      </w:r>
      <w:r w:rsidR="000C293D">
        <w:t xml:space="preserve">(CCE) </w:t>
      </w:r>
      <w:r w:rsidR="0067278F">
        <w:t>and Special</w:t>
      </w:r>
      <w:r w:rsidR="0095316B">
        <w:t>ist</w:t>
      </w:r>
      <w:r w:rsidR="0067278F">
        <w:t xml:space="preserve"> Investment Vehicle governed by an independent board</w:t>
      </w:r>
      <w:r>
        <w:t xml:space="preserve">. </w:t>
      </w:r>
      <w:r w:rsidR="00FC5C84">
        <w:t xml:space="preserve">This document </w:t>
      </w:r>
      <w:r>
        <w:t xml:space="preserve">demonstrates a </w:t>
      </w:r>
      <w:proofErr w:type="gramStart"/>
      <w:r>
        <w:t>possible approach entities</w:t>
      </w:r>
      <w:proofErr w:type="gramEnd"/>
      <w:r>
        <w:t xml:space="preserve"> could take when preparing their climate </w:t>
      </w:r>
      <w:proofErr w:type="gramStart"/>
      <w:r>
        <w:t>disclosure</w:t>
      </w:r>
      <w:r w:rsidR="0095316B">
        <w:t>,</w:t>
      </w:r>
      <w:r w:rsidR="2C4578BE">
        <w:t xml:space="preserve"> and</w:t>
      </w:r>
      <w:proofErr w:type="gramEnd"/>
      <w:r w:rsidR="00BE0035">
        <w:t xml:space="preserve"> is </w:t>
      </w:r>
      <w:r>
        <w:t>tailored for entities at the start of their climate risk maturity journey.</w:t>
      </w:r>
    </w:p>
    <w:p w14:paraId="17E0D72E" w14:textId="5CC06DA5" w:rsidR="002977E2" w:rsidRPr="00843C45" w:rsidRDefault="002977E2" w:rsidP="001125AC">
      <w:pPr>
        <w:pStyle w:val="BodyText1"/>
      </w:pPr>
      <w:r w:rsidRPr="00843C45">
        <w:t>Th</w:t>
      </w:r>
      <w:r w:rsidR="0095316B">
        <w:t>is</w:t>
      </w:r>
      <w:r w:rsidRPr="00843C45">
        <w:t xml:space="preserve"> example </w:t>
      </w:r>
      <w:r w:rsidR="0095316B">
        <w:t xml:space="preserve">Risk management </w:t>
      </w:r>
      <w:r w:rsidRPr="00843C45">
        <w:t>climate disclosure should be considered in conjunction with the</w:t>
      </w:r>
      <w:r w:rsidRPr="00843C45">
        <w:rPr>
          <w:rStyle w:val="Hyperlink"/>
          <w:rFonts w:ascii="Arial" w:hAnsi="Arial"/>
          <w:color w:val="auto"/>
          <w:u w:val="none"/>
        </w:rPr>
        <w:t xml:space="preserve"> </w:t>
      </w:r>
      <w:hyperlink r:id="rId14" w:history="1">
        <w:r w:rsidR="0095316B">
          <w:rPr>
            <w:rStyle w:val="Hyperlink"/>
          </w:rPr>
          <w:t>CCD Year 1 Requirements</w:t>
        </w:r>
      </w:hyperlink>
      <w:r w:rsidRPr="00843C45">
        <w:rPr>
          <w:color w:val="000000"/>
        </w:rPr>
        <w:t xml:space="preserve"> </w:t>
      </w:r>
      <w:r w:rsidRPr="00843C45">
        <w:t xml:space="preserve">and </w:t>
      </w:r>
      <w:r w:rsidRPr="00843C45">
        <w:rPr>
          <w:rStyle w:val="Hyperlink"/>
          <w:rFonts w:ascii="Arial" w:hAnsi="Arial"/>
          <w:color w:val="auto"/>
          <w:u w:val="none"/>
        </w:rPr>
        <w:t xml:space="preserve">Resource Management Guide (RMG) </w:t>
      </w:r>
      <w:hyperlink r:id="rId15" w:history="1">
        <w:r w:rsidRPr="00843C45">
          <w:rPr>
            <w:rStyle w:val="Hyperlink"/>
            <w:rFonts w:ascii="Arial" w:hAnsi="Arial"/>
          </w:rPr>
          <w:t>136</w:t>
        </w:r>
      </w:hyperlink>
      <w:r w:rsidRPr="00843C45">
        <w:t xml:space="preserve"> when preparing an entity’s Annual Report. </w:t>
      </w:r>
    </w:p>
    <w:p w14:paraId="27ABB0CA" w14:textId="77777777" w:rsidR="002977E2" w:rsidRDefault="002977E2" w:rsidP="001125AC">
      <w:pPr>
        <w:pStyle w:val="BodyText1"/>
      </w:pPr>
      <w:r w:rsidRPr="00843C45">
        <w:t xml:space="preserve">Note: Commonwealth entities are encouraged to disclose more detail and progress than outlined in this example climate disclosure where they </w:t>
      </w:r>
      <w:proofErr w:type="gramStart"/>
      <w:r w:rsidRPr="00843C45">
        <w:t>have the opportunity to</w:t>
      </w:r>
      <w:proofErr w:type="gramEnd"/>
      <w:r w:rsidRPr="00843C45">
        <w:t xml:space="preserve"> do so.</w:t>
      </w:r>
    </w:p>
    <w:tbl>
      <w:tblPr>
        <w:tblStyle w:val="TableGrid"/>
        <w:tblW w:w="0" w:type="auto"/>
        <w:tblLook w:val="04A0" w:firstRow="1" w:lastRow="0" w:firstColumn="1" w:lastColumn="0" w:noHBand="0" w:noVBand="1"/>
      </w:tblPr>
      <w:tblGrid>
        <w:gridCol w:w="9402"/>
      </w:tblGrid>
      <w:tr w:rsidR="003926BC" w:rsidRPr="00843C45" w14:paraId="32736662" w14:textId="77777777" w:rsidTr="00D2401E">
        <w:trPr>
          <w:trHeight w:val="1178"/>
        </w:trPr>
        <w:tc>
          <w:tcPr>
            <w:tcW w:w="9402" w:type="dxa"/>
            <w:shd w:val="clear" w:color="auto" w:fill="F8F0DD" w:themeFill="accent1" w:themeFillTint="33"/>
          </w:tcPr>
          <w:p w14:paraId="60798F18" w14:textId="5D3B279C" w:rsidR="003926BC" w:rsidRPr="00843C45" w:rsidRDefault="003926BC" w:rsidP="00483CAD">
            <w:pPr>
              <w:pStyle w:val="BodyText1"/>
            </w:pPr>
            <w:r w:rsidRPr="309719C1">
              <w:rPr>
                <w:b/>
              </w:rPr>
              <w:t>Note:</w:t>
            </w:r>
            <w:r>
              <w:t xml:space="preserve"> </w:t>
            </w:r>
            <w:r w:rsidR="003F3BC0" w:rsidRPr="00D2401E">
              <w:t xml:space="preserve">Because this example is for a Specialist Investment Vehicle, it is for a Tranche 1 entity commencing disclosure against the Year 1 Requirement from 2024-25. </w:t>
            </w:r>
            <w:r w:rsidR="00FB26B1">
              <w:t>If you are a Tranche 2 entity commencing disclosure in the 2025-26 reporting period, please consider this timing difference when applying the example.</w:t>
            </w:r>
          </w:p>
        </w:tc>
      </w:tr>
    </w:tbl>
    <w:p w14:paraId="25FE8272" w14:textId="2071C0B8" w:rsidR="003926BC" w:rsidRPr="003926BC" w:rsidRDefault="003926BC" w:rsidP="003926BC">
      <w:pPr>
        <w:pStyle w:val="BodyText1"/>
      </w:pPr>
    </w:p>
    <w:tbl>
      <w:tblPr>
        <w:tblStyle w:val="TableGrid"/>
        <w:tblW w:w="0" w:type="auto"/>
        <w:tblLook w:val="04A0" w:firstRow="1" w:lastRow="0" w:firstColumn="1" w:lastColumn="0" w:noHBand="0" w:noVBand="1"/>
      </w:tblPr>
      <w:tblGrid>
        <w:gridCol w:w="9402"/>
      </w:tblGrid>
      <w:tr w:rsidR="007B7752" w:rsidRPr="00843C45" w14:paraId="609A0423" w14:textId="77777777" w:rsidTr="00DB0579">
        <w:trPr>
          <w:trHeight w:val="1178"/>
        </w:trPr>
        <w:tc>
          <w:tcPr>
            <w:tcW w:w="9402" w:type="dxa"/>
            <w:shd w:val="clear" w:color="auto" w:fill="D2F0EF" w:themeFill="accent2" w:themeFillTint="33"/>
          </w:tcPr>
          <w:p w14:paraId="0E39F5DE" w14:textId="728E71B0" w:rsidR="007B7752" w:rsidRPr="00843C45" w:rsidRDefault="7B947FEC" w:rsidP="001125AC">
            <w:pPr>
              <w:pStyle w:val="BodyText1"/>
            </w:pPr>
            <w:r w:rsidRPr="309719C1">
              <w:rPr>
                <w:b/>
              </w:rPr>
              <w:t>Note:</w:t>
            </w:r>
            <w:r>
              <w:t xml:space="preserve"> </w:t>
            </w:r>
            <w:r w:rsidR="79DC333F">
              <w:t>T</w:t>
            </w:r>
            <w:r>
              <w:t xml:space="preserve">he example below has assumed the </w:t>
            </w:r>
            <w:r w:rsidR="177946AC">
              <w:t xml:space="preserve">Bushfire Recovery Investment Corporation </w:t>
            </w:r>
            <w:r>
              <w:t xml:space="preserve">has voluntarily opted </w:t>
            </w:r>
            <w:r w:rsidR="177946AC">
              <w:t>to use the</w:t>
            </w:r>
            <w:r>
              <w:t xml:space="preserve"> </w:t>
            </w:r>
            <w:r w:rsidR="43279E54">
              <w:t>Commonwealth Risk and Opportunity Management P</w:t>
            </w:r>
            <w:r w:rsidR="5142FAE3">
              <w:t xml:space="preserve">rogram </w:t>
            </w:r>
            <w:r w:rsidR="5A071FF8">
              <w:t xml:space="preserve">(CROMP) </w:t>
            </w:r>
            <w:r w:rsidR="5142FAE3">
              <w:t>assessment framework</w:t>
            </w:r>
            <w:r>
              <w:t xml:space="preserve">. </w:t>
            </w:r>
            <w:r w:rsidR="4DED99F0">
              <w:t>Where it is not practical for an entity to use CROM</w:t>
            </w:r>
            <w:r w:rsidR="5A071FF8">
              <w:t xml:space="preserve">P, you should disclose your reasoning for deviating from CROMP within your </w:t>
            </w:r>
            <w:r w:rsidR="0028778F">
              <w:t xml:space="preserve">entity’s </w:t>
            </w:r>
            <w:r w:rsidR="709D868F">
              <w:t>disclosure</w:t>
            </w:r>
            <w:r w:rsidR="5A071FF8">
              <w:t>.</w:t>
            </w:r>
          </w:p>
        </w:tc>
      </w:tr>
    </w:tbl>
    <w:p w14:paraId="39E50FAB" w14:textId="77777777" w:rsidR="007B7752" w:rsidRPr="00930419" w:rsidRDefault="007B7752" w:rsidP="001125AC">
      <w:pPr>
        <w:pStyle w:val="BodyText1"/>
      </w:pPr>
    </w:p>
    <w:tbl>
      <w:tblPr>
        <w:tblStyle w:val="TableGrid"/>
        <w:tblW w:w="0" w:type="auto"/>
        <w:shd w:val="clear" w:color="auto" w:fill="D2F0EF" w:themeFill="accent2" w:themeFillTint="33"/>
        <w:tblLook w:val="04A0" w:firstRow="1" w:lastRow="0" w:firstColumn="1" w:lastColumn="0" w:noHBand="0" w:noVBand="1"/>
      </w:tblPr>
      <w:tblGrid>
        <w:gridCol w:w="9402"/>
      </w:tblGrid>
      <w:tr w:rsidR="002977E2" w:rsidRPr="00930419" w14:paraId="16F17110" w14:textId="77777777" w:rsidTr="0FEE2E59">
        <w:tc>
          <w:tcPr>
            <w:tcW w:w="9402" w:type="dxa"/>
            <w:shd w:val="clear" w:color="auto" w:fill="D2F0EF" w:themeFill="accent2" w:themeFillTint="33"/>
          </w:tcPr>
          <w:p w14:paraId="01E0070C" w14:textId="339AAB9B" w:rsidR="0089260C" w:rsidRPr="00930419" w:rsidRDefault="002977E2" w:rsidP="001125AC">
            <w:pPr>
              <w:pStyle w:val="BodyText1"/>
            </w:pPr>
            <w:r w:rsidRPr="46489B42">
              <w:rPr>
                <w:b/>
              </w:rPr>
              <w:t>Tip:</w:t>
            </w:r>
            <w:r>
              <w:t xml:space="preserve"> Guidance on how to use this example is identified throughout in these</w:t>
            </w:r>
            <w:r w:rsidR="002B611F">
              <w:t xml:space="preserve"> </w:t>
            </w:r>
            <w:r w:rsidR="53EC8229">
              <w:t>boxes.</w:t>
            </w:r>
          </w:p>
          <w:p w14:paraId="4C9D6042" w14:textId="5720FC50" w:rsidR="0089260C" w:rsidRPr="00F839ED" w:rsidRDefault="0C166D3C" w:rsidP="31429C18">
            <w:pPr>
              <w:pStyle w:val="BodyText1"/>
            </w:pPr>
            <w:r>
              <w:t xml:space="preserve">The following section provides an example of the </w:t>
            </w:r>
            <w:r w:rsidR="00A93B17">
              <w:t>r</w:t>
            </w:r>
            <w:r>
              <w:t xml:space="preserve">isk management component of a </w:t>
            </w:r>
            <w:r w:rsidR="00FA5344">
              <w:t>c</w:t>
            </w:r>
            <w:r>
              <w:t xml:space="preserve">limate </w:t>
            </w:r>
            <w:r w:rsidR="00FA5344">
              <w:t>d</w:t>
            </w:r>
            <w:r>
              <w:t xml:space="preserve">isclosure by the fictional entity, the Bushfire Recovery Investment Corporation. The disclosure is </w:t>
            </w:r>
            <w:r w:rsidRPr="00F839ED">
              <w:t xml:space="preserve">included as an Appendix </w:t>
            </w:r>
            <w:r w:rsidR="2027AB5D" w:rsidRPr="00F839ED">
              <w:t xml:space="preserve">in the entity’s Annual Report (refer to the example Contents section on page </w:t>
            </w:r>
            <w:r w:rsidR="344207DC" w:rsidRPr="00F839ED">
              <w:t>6</w:t>
            </w:r>
            <w:r w:rsidR="2027AB5D" w:rsidRPr="00F839ED">
              <w:t>, which shows how this would fit in the annual report structure.)</w:t>
            </w:r>
          </w:p>
          <w:p w14:paraId="3120013D" w14:textId="0467B016" w:rsidR="0089260C" w:rsidRPr="00F839ED" w:rsidRDefault="2027AB5D" w:rsidP="05A106E8">
            <w:pPr>
              <w:pStyle w:val="BodyText1"/>
            </w:pPr>
            <w:r w:rsidRPr="00F839ED">
              <w:lastRenderedPageBreak/>
              <w:t>This example demonstrates how to leverage information which would be within the body of an annual report and how to cross</w:t>
            </w:r>
            <w:r w:rsidR="00FA5344" w:rsidRPr="00F839ED">
              <w:t>-</w:t>
            </w:r>
            <w:r w:rsidRPr="00F839ED">
              <w:t>reference information, including:</w:t>
            </w:r>
          </w:p>
          <w:p w14:paraId="66B13D7C" w14:textId="277C5FC2" w:rsidR="0089260C" w:rsidRPr="00930419" w:rsidRDefault="00FA5344" w:rsidP="002430EE">
            <w:pPr>
              <w:pStyle w:val="Bodybullet1"/>
            </w:pPr>
            <w:r w:rsidRPr="00F839ED">
              <w:t>i</w:t>
            </w:r>
            <w:r w:rsidR="2027AB5D" w:rsidRPr="00F839ED">
              <w:t xml:space="preserve">nformation contained within the body of the annual report (example extracts of the annual report are included from page </w:t>
            </w:r>
            <w:r w:rsidR="055BF79D" w:rsidRPr="00F839ED">
              <w:t>5</w:t>
            </w:r>
            <w:r w:rsidR="2027AB5D" w:rsidRPr="00F839ED">
              <w:t xml:space="preserve"> on</w:t>
            </w:r>
            <w:r w:rsidR="2027AB5D">
              <w:t>wards of this report)</w:t>
            </w:r>
          </w:p>
          <w:p w14:paraId="7CFF505B" w14:textId="23D3ACBD" w:rsidR="0089260C" w:rsidRPr="00930419" w:rsidRDefault="00FA5344" w:rsidP="002430EE">
            <w:pPr>
              <w:pStyle w:val="Bodybullet1"/>
            </w:pPr>
            <w:r>
              <w:t>e</w:t>
            </w:r>
            <w:r w:rsidR="2027AB5D" w:rsidRPr="68271E38">
              <w:t>xternally available information</w:t>
            </w:r>
            <w:r w:rsidR="2027AB5D" w:rsidRPr="6A2893E9">
              <w:t xml:space="preserve"> (</w:t>
            </w:r>
            <w:r w:rsidR="2027AB5D" w:rsidRPr="719CEA99">
              <w:t xml:space="preserve">this uses real </w:t>
            </w:r>
            <w:r w:rsidR="2027AB5D">
              <w:t>doc</w:t>
            </w:r>
            <w:r w:rsidR="2027AB5D" w:rsidRPr="5A9A8DC2">
              <w:t xml:space="preserve">uments from Commonwealth </w:t>
            </w:r>
            <w:r w:rsidR="2027AB5D" w:rsidRPr="78EA76B1">
              <w:t xml:space="preserve">entities </w:t>
            </w:r>
            <w:r w:rsidR="2027AB5D">
              <w:t>which</w:t>
            </w:r>
            <w:r w:rsidR="2027AB5D" w:rsidRPr="78EA76B1">
              <w:t xml:space="preserve"> have been </w:t>
            </w:r>
            <w:r w:rsidR="2027AB5D">
              <w:t>i</w:t>
            </w:r>
            <w:r w:rsidR="2027AB5D" w:rsidRPr="79F2F221">
              <w:t xml:space="preserve">dentified </w:t>
            </w:r>
            <w:r w:rsidR="2027AB5D">
              <w:t xml:space="preserve">through footnotes, such as Department of Finance’s Corporate Plan). </w:t>
            </w:r>
          </w:p>
          <w:p w14:paraId="00AA0E41" w14:textId="0EE41217" w:rsidR="0089260C" w:rsidRPr="00930419" w:rsidRDefault="2027AB5D" w:rsidP="462AC0EE">
            <w:pPr>
              <w:pStyle w:val="BodyText1"/>
            </w:pPr>
            <w:r>
              <w:t>An index is recommended when cross-referencing information outside of the climate disclosure to enable readers to connect to all relevant information.</w:t>
            </w:r>
          </w:p>
        </w:tc>
      </w:tr>
    </w:tbl>
    <w:p w14:paraId="1C7A9500" w14:textId="77777777" w:rsidR="00EA4608" w:rsidRPr="00930419" w:rsidRDefault="00EA4608" w:rsidP="00072169">
      <w:pPr>
        <w:pStyle w:val="Heading1"/>
        <w:sectPr w:rsidR="00EA4608" w:rsidRPr="00930419" w:rsidSect="001146A7">
          <w:headerReference w:type="default" r:id="rId16"/>
          <w:footerReference w:type="default" r:id="rId17"/>
          <w:headerReference w:type="first" r:id="rId18"/>
          <w:footerReference w:type="first" r:id="rId19"/>
          <w:pgSz w:w="11906" w:h="16838" w:code="9"/>
          <w:pgMar w:top="1739" w:right="1247" w:bottom="1247" w:left="1247" w:header="284" w:footer="709" w:gutter="0"/>
          <w:cols w:space="708"/>
          <w:titlePg/>
          <w:docGrid w:linePitch="360"/>
        </w:sectPr>
      </w:pPr>
    </w:p>
    <w:p w14:paraId="60F6E865" w14:textId="66E86CF2" w:rsidR="00CF37CF" w:rsidRDefault="00CF37CF" w:rsidP="00CF37CF">
      <w:pPr>
        <w:pStyle w:val="Heading1"/>
      </w:pPr>
      <w:bookmarkStart w:id="1" w:name="_Appendix_F:_Climate"/>
      <w:bookmarkEnd w:id="1"/>
      <w:r>
        <w:lastRenderedPageBreak/>
        <w:t xml:space="preserve">Appendix </w:t>
      </w:r>
      <w:r w:rsidR="008C5404">
        <w:t>F</w:t>
      </w:r>
      <w:r>
        <w:t>: Climate Statement</w:t>
      </w:r>
    </w:p>
    <w:p w14:paraId="7B3E456D" w14:textId="77777777" w:rsidR="00CF37CF" w:rsidRDefault="00CF37CF" w:rsidP="00CF37CF">
      <w:pPr>
        <w:pStyle w:val="Heading2"/>
      </w:pPr>
      <w:r>
        <w:t>Commonwealth Climate Disclosure</w:t>
      </w:r>
    </w:p>
    <w:p w14:paraId="62EE2FC2" w14:textId="25A0785B" w:rsidR="00DD6EF5" w:rsidRDefault="00CF37CF" w:rsidP="008E19C4">
      <w:pPr>
        <w:pStyle w:val="BodyText1"/>
        <w:rPr>
          <w:rFonts w:cstheme="minorHAnsi"/>
        </w:rPr>
      </w:pPr>
      <w:r>
        <w:t>Commonwealth Climate Disclosure is the Government’s policy for Commonwealth entities to publicly disclose their exposure to climate</w:t>
      </w:r>
      <w:r w:rsidR="00DB0579">
        <w:t>-related</w:t>
      </w:r>
      <w:r>
        <w:t xml:space="preserve"> risks and opportunities, as well as their </w:t>
      </w:r>
      <w:r>
        <w:rPr>
          <w:rFonts w:cstheme="minorHAnsi"/>
        </w:rPr>
        <w:t>actions to manage them</w:t>
      </w:r>
      <w:r w:rsidRPr="00FF015B">
        <w:rPr>
          <w:rFonts w:cstheme="minorHAnsi"/>
        </w:rPr>
        <w:t>, delivering transparent and consistent climate disclosures to the Australian public</w:t>
      </w:r>
      <w:r>
        <w:rPr>
          <w:rFonts w:cstheme="minorHAnsi"/>
        </w:rPr>
        <w:t>.</w:t>
      </w:r>
    </w:p>
    <w:p w14:paraId="77933339" w14:textId="6F1765C6" w:rsidR="00CF37CF" w:rsidRDefault="008E19C4" w:rsidP="0072350F">
      <w:pPr>
        <w:pStyle w:val="BodyText1"/>
      </w:pPr>
      <w:r w:rsidRPr="64B37488">
        <w:t xml:space="preserve">As the </w:t>
      </w:r>
      <w:r w:rsidR="00CE6A50" w:rsidRPr="64B37488">
        <w:t xml:space="preserve">Bushfire Recovery Investment Corporation </w:t>
      </w:r>
      <w:r w:rsidR="39697D55" w:rsidRPr="64B37488">
        <w:t xml:space="preserve">(BRIC) </w:t>
      </w:r>
      <w:r w:rsidR="002165E5" w:rsidRPr="64B37488">
        <w:t xml:space="preserve">meets the thresholds of Tranche 1 </w:t>
      </w:r>
      <w:r w:rsidR="0072350F">
        <w:t xml:space="preserve">in the </w:t>
      </w:r>
      <w:hyperlink r:id="rId20">
        <w:r w:rsidR="0072350F" w:rsidRPr="64B37488">
          <w:rPr>
            <w:rStyle w:val="Hyperlink"/>
          </w:rPr>
          <w:t>CCD Policy Architecture</w:t>
        </w:r>
      </w:hyperlink>
      <w:r w:rsidR="0072350F">
        <w:t xml:space="preserve">, we are required to start including climate disclosures in our Annual Report from FY2024-25. This climate statement has been prepared in accordance with the </w:t>
      </w:r>
      <w:hyperlink r:id="rId21">
        <w:r w:rsidR="0072350F" w:rsidRPr="64B37488">
          <w:rPr>
            <w:rStyle w:val="Hyperlink"/>
          </w:rPr>
          <w:t>Year 1 Reporting Provisions</w:t>
        </w:r>
      </w:hyperlink>
      <w:r w:rsidR="0072350F">
        <w:t xml:space="preserve"> for Tranche 1 entities.</w:t>
      </w:r>
    </w:p>
    <w:p w14:paraId="5C0F6883" w14:textId="77777777" w:rsidR="00834CF2" w:rsidRDefault="00834CF2" w:rsidP="00834CF2">
      <w:pPr>
        <w:pStyle w:val="Heading2"/>
      </w:pPr>
      <w:r>
        <w:t>Risk Management</w:t>
      </w:r>
    </w:p>
    <w:p w14:paraId="3650887B" w14:textId="5629509D" w:rsidR="00834CF2" w:rsidRDefault="00834CF2" w:rsidP="00834CF2">
      <w:pPr>
        <w:pStyle w:val="BodyText1"/>
      </w:pPr>
      <w:commentRangeStart w:id="2"/>
      <w:r>
        <w:t xml:space="preserve">We started work on our first climate risk and opportunity assessment this year under </w:t>
      </w:r>
      <w:hyperlink r:id="rId22" w:history="1">
        <w:r w:rsidRPr="00FB271C">
          <w:rPr>
            <w:rStyle w:val="Hyperlink"/>
          </w:rPr>
          <w:t>The Australian Government’s Approach to Climate Risk and Opportunity Management in the Public Sector 2024-2026</w:t>
        </w:r>
      </w:hyperlink>
      <w:r>
        <w:t xml:space="preserve">, in line with the Climate Risk and Opportunity Management Program’s (CROMP) </w:t>
      </w:r>
      <w:hyperlink r:id="rId23" w:history="1">
        <w:r w:rsidRPr="003735C0">
          <w:rPr>
            <w:rStyle w:val="Hyperlink"/>
          </w:rPr>
          <w:t>Organisation Application Guide</w:t>
        </w:r>
      </w:hyperlink>
      <w:commentRangeEnd w:id="2"/>
      <w:r w:rsidR="00296A96">
        <w:rPr>
          <w:rStyle w:val="CommentReference"/>
          <w:bCs w:val="0"/>
        </w:rPr>
        <w:commentReference w:id="2"/>
      </w:r>
      <w:r>
        <w:t>.</w:t>
      </w:r>
    </w:p>
    <w:p w14:paraId="4ECB41E6" w14:textId="554A2062" w:rsidR="00784EC9" w:rsidRDefault="00523307" w:rsidP="00834CF2">
      <w:pPr>
        <w:pStyle w:val="BodyText1"/>
      </w:pPr>
      <w:r>
        <w:t>Supporting grass roots c</w:t>
      </w:r>
      <w:r w:rsidR="004C4AAB">
        <w:t xml:space="preserve">limate-related opportunities </w:t>
      </w:r>
      <w:r>
        <w:t>is</w:t>
      </w:r>
      <w:r w:rsidR="004C4AAB">
        <w:t xml:space="preserve"> at the </w:t>
      </w:r>
      <w:r w:rsidR="004343BB">
        <w:t>heart</w:t>
      </w:r>
      <w:r w:rsidR="004C4AAB">
        <w:t xml:space="preserve"> </w:t>
      </w:r>
      <w:r w:rsidR="004C4AAB" w:rsidRPr="004343BB">
        <w:t xml:space="preserve">of our </w:t>
      </w:r>
      <w:r w:rsidR="003A3906" w:rsidRPr="004343BB">
        <w:t>organisation</w:t>
      </w:r>
      <w:r>
        <w:t>,</w:t>
      </w:r>
      <w:r w:rsidR="00A24896">
        <w:t xml:space="preserve"> </w:t>
      </w:r>
      <w:r w:rsidR="00B0786E">
        <w:t xml:space="preserve">which we deliver by </w:t>
      </w:r>
      <w:r w:rsidR="004C4AAB">
        <w:t>investing in</w:t>
      </w:r>
      <w:r w:rsidR="009C30E7">
        <w:t xml:space="preserve"> </w:t>
      </w:r>
      <w:r w:rsidR="00175561">
        <w:t>local businesses impacted by</w:t>
      </w:r>
      <w:r w:rsidR="004C4AAB">
        <w:t xml:space="preserve"> bushfire</w:t>
      </w:r>
      <w:r w:rsidR="00175561">
        <w:t xml:space="preserve">s. </w:t>
      </w:r>
      <w:r w:rsidR="00784EC9">
        <w:t>We provide a critical role in supporting bushfire mitigation and adaptation</w:t>
      </w:r>
      <w:r w:rsidR="00E025C6">
        <w:t xml:space="preserve"> through concessional loans, focusing on </w:t>
      </w:r>
      <w:r w:rsidR="00D60423">
        <w:t>community resilience and recovery</w:t>
      </w:r>
      <w:r w:rsidR="00784EC9">
        <w:t xml:space="preserve">. </w:t>
      </w:r>
    </w:p>
    <w:p w14:paraId="59ADA430" w14:textId="416B6F40" w:rsidR="00340998" w:rsidRPr="002430EE" w:rsidRDefault="00340998" w:rsidP="00834CF2">
      <w:pPr>
        <w:pStyle w:val="BodyText1"/>
        <w:rPr>
          <w:rFonts w:cstheme="minorHAnsi"/>
          <w:i/>
        </w:rPr>
      </w:pPr>
      <w:commentRangeStart w:id="3"/>
      <w:r>
        <w:t xml:space="preserve">Our risk management process is outlined in </w:t>
      </w:r>
      <w:hyperlink w:anchor="_Approach_to_Risk," w:history="1">
        <w:r w:rsidRPr="00340998">
          <w:rPr>
            <w:rStyle w:val="Hyperlink"/>
          </w:rPr>
          <w:t>Approach to risk, fraud and corruption</w:t>
        </w:r>
      </w:hyperlink>
      <w:r>
        <w:t>.</w:t>
      </w:r>
      <w:r w:rsidR="00337FF9">
        <w:t xml:space="preserve"> </w:t>
      </w:r>
      <w:r>
        <w:t>Climate risks are currently managed using our existing governance structure and risk systems, policies and tools</w:t>
      </w:r>
      <w:r w:rsidR="005E3AE4">
        <w:t>.</w:t>
      </w:r>
      <w:commentRangeEnd w:id="3"/>
      <w:r w:rsidR="00925452">
        <w:rPr>
          <w:rStyle w:val="CommentReference"/>
          <w:bCs w:val="0"/>
        </w:rPr>
        <w:commentReference w:id="3"/>
      </w:r>
      <w:r w:rsidR="005E3AE4">
        <w:t xml:space="preserve"> </w:t>
      </w:r>
      <w:r w:rsidR="001442C8">
        <w:t>We will review and refine this process next year as we continue our work under CROMP</w:t>
      </w:r>
      <w:r>
        <w:t>.</w:t>
      </w:r>
      <w:r w:rsidR="00B37F06">
        <w:t xml:space="preserve"> </w:t>
      </w:r>
      <w:commentRangeStart w:id="4"/>
      <w:r w:rsidR="00B37F06" w:rsidRPr="00CF0284">
        <w:t>The process for identifying, assessing, prioritising, managing and monitoring climate-related opportunities build on those for identifying climate-related risks. Climate-related opportunities are prioritised alongside climate-related risks using BRIC’s pre-existing risk management framework processes.</w:t>
      </w:r>
      <w:commentRangeEnd w:id="4"/>
      <w:r w:rsidR="00E849B4">
        <w:rPr>
          <w:rStyle w:val="CommentReference"/>
          <w:bCs w:val="0"/>
        </w:rPr>
        <w:commentReference w:id="4"/>
      </w:r>
    </w:p>
    <w:p w14:paraId="43F101A5" w14:textId="5F76B322" w:rsidR="0024738E" w:rsidRDefault="00274DA1" w:rsidP="0069328A">
      <w:pPr>
        <w:pStyle w:val="BodyText1"/>
      </w:pPr>
      <w:commentRangeStart w:id="5"/>
      <w:r>
        <w:t xml:space="preserve">Our assessed scope included our </w:t>
      </w:r>
      <w:r w:rsidRPr="002430EE">
        <w:t>staff</w:t>
      </w:r>
      <w:r w:rsidRPr="00925452">
        <w:t xml:space="preserve">, </w:t>
      </w:r>
      <w:r w:rsidRPr="002430EE">
        <w:t>assets and operations</w:t>
      </w:r>
      <w:r>
        <w:t>. We have utilised internal data sources, including our enterprise risk management framework, incident registers</w:t>
      </w:r>
      <w:r w:rsidR="00D45FCA">
        <w:t>,</w:t>
      </w:r>
      <w:r>
        <w:t xml:space="preserve"> insurance claims</w:t>
      </w:r>
      <w:r w:rsidR="00D45FCA">
        <w:t xml:space="preserve"> and</w:t>
      </w:r>
      <w:r>
        <w:t xml:space="preserve"> our Emissions Reduction Plan (ERP) to support our risk management activities.</w:t>
      </w:r>
      <w:r w:rsidR="00190DB4">
        <w:t xml:space="preserve"> </w:t>
      </w:r>
      <w:r w:rsidR="0039110A">
        <w:t xml:space="preserve">Input from staff </w:t>
      </w:r>
      <w:r w:rsidR="00A62E57">
        <w:t>helped us to identify assets, infrastructure and staff that may be at risk from climate change.</w:t>
      </w:r>
      <w:r w:rsidR="00F43073">
        <w:t xml:space="preserve"> </w:t>
      </w:r>
      <w:r w:rsidR="00190DB4">
        <w:t xml:space="preserve">External data sources included </w:t>
      </w:r>
      <w:r w:rsidR="00190DB4" w:rsidRPr="00190DB4">
        <w:t>the IPCC Sixth Assessment Report (2021), Climate Change in Australia, the State of Climate 2024 report and the climate scenario and transition summaries in the CROMP Organisation Application Guide’s Appendix were used to inform our organisational climate-related risks</w:t>
      </w:r>
      <w:r w:rsidR="008B7209">
        <w:t>.</w:t>
      </w:r>
      <w:commentRangeEnd w:id="5"/>
      <w:r w:rsidR="008B57B4">
        <w:rPr>
          <w:rStyle w:val="CommentReference"/>
          <w:bCs w:val="0"/>
        </w:rPr>
        <w:commentReference w:id="5"/>
      </w:r>
    </w:p>
    <w:p w14:paraId="2BB5ABA8" w14:textId="3E13A29A" w:rsidR="003661FB" w:rsidRPr="00F015DC" w:rsidRDefault="003661FB" w:rsidP="003661FB">
      <w:pPr>
        <w:pStyle w:val="EndnoteText"/>
        <w:rPr>
          <w:rFonts w:asciiTheme="minorHAnsi" w:hAnsiTheme="minorHAnsi"/>
          <w:bCs/>
          <w:sz w:val="22"/>
          <w:szCs w:val="22"/>
        </w:rPr>
      </w:pPr>
    </w:p>
    <w:p w14:paraId="45D117AA" w14:textId="77777777" w:rsidR="009E12FC" w:rsidRDefault="009E12FC" w:rsidP="009E12FC">
      <w:pPr>
        <w:pStyle w:val="BodyText1"/>
        <w:rPr>
          <w:rFonts w:cstheme="minorHAnsi"/>
          <w:i/>
        </w:rPr>
      </w:pPr>
    </w:p>
    <w:p w14:paraId="11C4B892" w14:textId="4E7F1FEF" w:rsidR="00AE75CF" w:rsidRDefault="00AE75CF">
      <w:pPr>
        <w:spacing w:before="0" w:after="160" w:line="259" w:lineRule="auto"/>
        <w:rPr>
          <w:rFonts w:asciiTheme="minorHAnsi" w:hAnsiTheme="minorHAnsi" w:cstheme="minorHAnsi"/>
          <w:bCs/>
          <w:i/>
          <w:szCs w:val="20"/>
        </w:rPr>
      </w:pPr>
      <w:r>
        <w:rPr>
          <w:rFonts w:cstheme="minorHAnsi"/>
          <w:i/>
        </w:rPr>
        <w:br w:type="page"/>
      </w:r>
    </w:p>
    <w:p w14:paraId="5B4F5369" w14:textId="77777777" w:rsidR="00B73865" w:rsidRPr="00B07E26" w:rsidRDefault="00B73865" w:rsidP="00B73865">
      <w:pPr>
        <w:pStyle w:val="Heading2example"/>
      </w:pPr>
      <w:r>
        <w:lastRenderedPageBreak/>
        <w:t xml:space="preserve">Commonwealth Climate Disclosure </w:t>
      </w:r>
      <w:r w:rsidRPr="00B07E26">
        <w:t>Index</w:t>
      </w:r>
    </w:p>
    <w:tbl>
      <w:tblPr>
        <w:tblStyle w:val="TableGrid"/>
        <w:tblW w:w="9498" w:type="dxa"/>
        <w:tblInd w:w="-5" w:type="dxa"/>
        <w:shd w:val="clear" w:color="auto" w:fill="D2F0EF" w:themeFill="accent2" w:themeFillTint="33"/>
        <w:tblLayout w:type="fixed"/>
        <w:tblLook w:val="04A0" w:firstRow="1" w:lastRow="0" w:firstColumn="1" w:lastColumn="0" w:noHBand="0" w:noVBand="1"/>
      </w:tblPr>
      <w:tblGrid>
        <w:gridCol w:w="993"/>
        <w:gridCol w:w="2501"/>
        <w:gridCol w:w="6004"/>
      </w:tblGrid>
      <w:tr w:rsidR="00B73865" w14:paraId="607E6A03" w14:textId="77777777" w:rsidTr="002430EE">
        <w:tc>
          <w:tcPr>
            <w:tcW w:w="9498" w:type="dxa"/>
            <w:gridSpan w:val="3"/>
            <w:shd w:val="clear" w:color="auto" w:fill="D2F0EF" w:themeFill="accent2" w:themeFillTint="33"/>
          </w:tcPr>
          <w:p w14:paraId="0D3FB7E4" w14:textId="1251CDEE" w:rsidR="00B73865" w:rsidRPr="004B0B81" w:rsidRDefault="00B73865" w:rsidP="46DE8DD6">
            <w:pPr>
              <w:pStyle w:val="Italicbodytext"/>
              <w:rPr>
                <w:i w:val="0"/>
                <w:szCs w:val="22"/>
              </w:rPr>
            </w:pPr>
            <w:r w:rsidRPr="004B0B81">
              <w:rPr>
                <w:b/>
                <w:bCs/>
                <w:i w:val="0"/>
                <w:szCs w:val="22"/>
              </w:rPr>
              <w:t>Tip:</w:t>
            </w:r>
            <w:r w:rsidRPr="004B0B81">
              <w:rPr>
                <w:i w:val="0"/>
                <w:szCs w:val="22"/>
              </w:rPr>
              <w:t xml:space="preserve"> Where information is provided across different sections of an annual report and/or external publications, it is recommended that an index is used to ensure readers to see that all requirements have been </w:t>
            </w:r>
            <w:r w:rsidR="16F97E5A" w:rsidRPr="004B0B81">
              <w:rPr>
                <w:i w:val="0"/>
                <w:szCs w:val="22"/>
              </w:rPr>
              <w:t>addressed</w:t>
            </w:r>
            <w:r w:rsidRPr="004B0B81">
              <w:rPr>
                <w:i w:val="0"/>
                <w:szCs w:val="22"/>
              </w:rPr>
              <w:t>. The index can also be used to respond to any disclosure gaps within the annual report.</w:t>
            </w:r>
          </w:p>
        </w:tc>
      </w:tr>
      <w:tr w:rsidR="004D6278" w:rsidRPr="00CB43BB" w14:paraId="0F1A08D9" w14:textId="77777777" w:rsidTr="46DE8DD6">
        <w:tblPrEx>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shd w:val="clear" w:color="auto" w:fill="auto"/>
        </w:tblPrEx>
        <w:trPr>
          <w:trHeight w:val="451"/>
          <w:tblHeader/>
        </w:trPr>
        <w:tc>
          <w:tcPr>
            <w:tcW w:w="993" w:type="dxa"/>
            <w:tcBorders>
              <w:top w:val="nil"/>
              <w:left w:val="single" w:sz="0" w:space="0" w:color="000000" w:themeColor="text1"/>
              <w:bottom w:val="single" w:sz="12" w:space="0" w:color="000000" w:themeColor="text1"/>
              <w:right w:val="single" w:sz="0" w:space="0" w:color="000000" w:themeColor="text1"/>
            </w:tcBorders>
          </w:tcPr>
          <w:p w14:paraId="508B098D" w14:textId="681B7C93" w:rsidR="004D6278" w:rsidRPr="00C748D4" w:rsidRDefault="00567CF8" w:rsidP="000744A9">
            <w:pPr>
              <w:pStyle w:val="Tableheading"/>
            </w:pPr>
            <w:r>
              <w:t>Criteria</w:t>
            </w:r>
          </w:p>
        </w:tc>
        <w:tc>
          <w:tcPr>
            <w:tcW w:w="2501" w:type="dxa"/>
            <w:tcBorders>
              <w:top w:val="nil"/>
              <w:left w:val="single" w:sz="0" w:space="0" w:color="000000" w:themeColor="text1"/>
              <w:bottom w:val="single" w:sz="12" w:space="0" w:color="000000" w:themeColor="text1"/>
              <w:right w:val="single" w:sz="0" w:space="0" w:color="000000" w:themeColor="text1"/>
            </w:tcBorders>
          </w:tcPr>
          <w:p w14:paraId="00FA4336" w14:textId="5A6CE8BE" w:rsidR="004D6278" w:rsidRPr="00C748D4" w:rsidRDefault="00E35DA7" w:rsidP="000744A9">
            <w:pPr>
              <w:pStyle w:val="Tableheading"/>
            </w:pPr>
            <w:r>
              <w:t>Requirement Summary</w:t>
            </w:r>
          </w:p>
        </w:tc>
        <w:tc>
          <w:tcPr>
            <w:tcW w:w="6004" w:type="dxa"/>
            <w:tcBorders>
              <w:top w:val="nil"/>
              <w:left w:val="single" w:sz="0" w:space="0" w:color="000000" w:themeColor="text1"/>
              <w:bottom w:val="single" w:sz="12" w:space="0" w:color="000000" w:themeColor="text1"/>
              <w:right w:val="single" w:sz="0" w:space="0" w:color="000000" w:themeColor="text1"/>
            </w:tcBorders>
          </w:tcPr>
          <w:p w14:paraId="1BF1320E" w14:textId="7A3C8F5A" w:rsidR="004D6278" w:rsidRPr="00C748D4" w:rsidRDefault="00E35DA7" w:rsidP="000744A9">
            <w:pPr>
              <w:pStyle w:val="Tableheading"/>
            </w:pPr>
            <w:r>
              <w:t xml:space="preserve">Response and Cross </w:t>
            </w:r>
            <w:r w:rsidR="00FF3E76">
              <w:t>Reference</w:t>
            </w:r>
          </w:p>
        </w:tc>
      </w:tr>
      <w:tr w:rsidR="00D1631D" w:rsidRPr="009C6261" w14:paraId="1A29CF12" w14:textId="77777777" w:rsidTr="46DE8DD6">
        <w:tblPrEx>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shd w:val="clear" w:color="auto" w:fill="auto"/>
        </w:tblPrEx>
        <w:trPr>
          <w:trHeight w:val="368"/>
          <w:tblHeader/>
        </w:trPr>
        <w:tc>
          <w:tcPr>
            <w:tcW w:w="993" w:type="dxa"/>
            <w:tcBorders>
              <w:top w:val="single" w:sz="12" w:space="0" w:color="000000" w:themeColor="text1"/>
              <w:left w:val="single" w:sz="0" w:space="0" w:color="000000" w:themeColor="text1"/>
              <w:bottom w:val="single" w:sz="0" w:space="0" w:color="000000" w:themeColor="text1"/>
              <w:right w:val="single" w:sz="0" w:space="0" w:color="000000" w:themeColor="text1"/>
            </w:tcBorders>
          </w:tcPr>
          <w:p w14:paraId="5C028CF7" w14:textId="6AEF0675" w:rsidR="00D1631D" w:rsidRPr="009C6261" w:rsidRDefault="00D1631D" w:rsidP="000744A9">
            <w:pPr>
              <w:pStyle w:val="Tablebodytext"/>
            </w:pPr>
            <w:r w:rsidRPr="009C6261">
              <w:t>R1(a)</w:t>
            </w:r>
          </w:p>
        </w:tc>
        <w:tc>
          <w:tcPr>
            <w:tcW w:w="2501" w:type="dxa"/>
            <w:tcBorders>
              <w:top w:val="single" w:sz="12" w:space="0" w:color="000000" w:themeColor="text1"/>
              <w:left w:val="single" w:sz="0" w:space="0" w:color="000000" w:themeColor="text1"/>
              <w:bottom w:val="single" w:sz="0" w:space="0" w:color="000000" w:themeColor="text1"/>
              <w:right w:val="single" w:sz="0" w:space="0" w:color="000000" w:themeColor="text1"/>
            </w:tcBorders>
          </w:tcPr>
          <w:p w14:paraId="68E6D5F7" w14:textId="39A82E59" w:rsidR="00D1631D" w:rsidRPr="009C6261" w:rsidRDefault="00D1631D" w:rsidP="000744A9">
            <w:pPr>
              <w:pStyle w:val="Tablebodytext"/>
            </w:pPr>
            <w:r w:rsidRPr="009C6261">
              <w:t>Processes and related policies</w:t>
            </w:r>
          </w:p>
        </w:tc>
        <w:tc>
          <w:tcPr>
            <w:tcW w:w="6004" w:type="dxa"/>
            <w:tcBorders>
              <w:top w:val="single" w:sz="12" w:space="0" w:color="000000" w:themeColor="text1"/>
              <w:left w:val="single" w:sz="0" w:space="0" w:color="000000" w:themeColor="text1"/>
              <w:bottom w:val="single" w:sz="0" w:space="0" w:color="000000" w:themeColor="text1"/>
              <w:right w:val="single" w:sz="0" w:space="0" w:color="000000" w:themeColor="text1"/>
            </w:tcBorders>
          </w:tcPr>
          <w:p w14:paraId="7AAB56B1" w14:textId="231082C3" w:rsidR="00D1631D" w:rsidRPr="009C6261" w:rsidRDefault="001127F1" w:rsidP="000744A9">
            <w:pPr>
              <w:pStyle w:val="Tablebodytext"/>
            </w:pPr>
            <w:r w:rsidRPr="009C6261">
              <w:t xml:space="preserve">Appendix </w:t>
            </w:r>
            <w:r w:rsidR="008C5404">
              <w:t>F</w:t>
            </w:r>
            <w:r w:rsidRPr="009C6261">
              <w:t>, Risk management, page X</w:t>
            </w:r>
          </w:p>
        </w:tc>
      </w:tr>
      <w:tr w:rsidR="004D6278" w:rsidRPr="009C6261" w14:paraId="0E330731" w14:textId="77777777" w:rsidTr="46DE8DD6">
        <w:tblPrEx>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shd w:val="clear" w:color="auto" w:fill="auto"/>
        </w:tblPrEx>
        <w:trPr>
          <w:trHeight w:val="564"/>
          <w:tblHeader/>
        </w:trPr>
        <w:tc>
          <w:tcPr>
            <w:tcW w:w="993"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148BD871" w14:textId="47DFE11A" w:rsidR="004D6278" w:rsidRPr="009C6261" w:rsidRDefault="00A20217" w:rsidP="000744A9">
            <w:pPr>
              <w:pStyle w:val="Tablebodytext"/>
            </w:pPr>
            <w:r w:rsidRPr="009C6261">
              <w:t>R</w:t>
            </w:r>
            <w:r w:rsidR="0040581C" w:rsidRPr="009C6261">
              <w:t>1</w:t>
            </w:r>
            <w:r w:rsidR="007951BE" w:rsidRPr="009C6261">
              <w:t>(</w:t>
            </w:r>
            <w:r w:rsidRPr="009C6261">
              <w:t>a</w:t>
            </w:r>
            <w:r w:rsidR="007951BE" w:rsidRPr="009C6261">
              <w:t>)</w:t>
            </w:r>
            <w:proofErr w:type="spellStart"/>
            <w:r w:rsidRPr="009C6261">
              <w:t>i</w:t>
            </w:r>
            <w:proofErr w:type="spellEnd"/>
          </w:p>
        </w:tc>
        <w:tc>
          <w:tcPr>
            <w:tcW w:w="2501"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3FB2338" w14:textId="727CB947" w:rsidR="004D6278" w:rsidRPr="009C6261" w:rsidRDefault="00C748D4" w:rsidP="000744A9">
            <w:pPr>
              <w:pStyle w:val="Tablebodytext"/>
            </w:pPr>
            <w:r w:rsidRPr="009C6261">
              <w:t>The inputs and parameters used</w:t>
            </w:r>
            <w:r w:rsidR="00D81E90" w:rsidRPr="009C6261">
              <w:t xml:space="preserve">, including </w:t>
            </w:r>
            <w:r w:rsidR="00A6053D" w:rsidRPr="009C6261">
              <w:t>uncertainties.</w:t>
            </w:r>
          </w:p>
        </w:tc>
        <w:tc>
          <w:tcPr>
            <w:tcW w:w="6004"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31E163FE" w14:textId="5274B2A2" w:rsidR="005C3FD2" w:rsidRDefault="006A7188" w:rsidP="00A6053D">
            <w:pPr>
              <w:pStyle w:val="Tablebodytext"/>
            </w:pPr>
            <w:r>
              <w:t xml:space="preserve">Appendix </w:t>
            </w:r>
            <w:r w:rsidR="008C5404">
              <w:t>F</w:t>
            </w:r>
            <w:r>
              <w:t>, Risk management, page X</w:t>
            </w:r>
          </w:p>
          <w:p w14:paraId="1E44E4F1" w14:textId="3AF7DB27" w:rsidR="004D6278" w:rsidRDefault="003B57DE" w:rsidP="00A6053D">
            <w:pPr>
              <w:pStyle w:val="Tablebodytext"/>
            </w:pPr>
            <w:r>
              <w:t>Data u</w:t>
            </w:r>
            <w:r w:rsidR="003D6C4C">
              <w:t xml:space="preserve">ncertainty in climate projections </w:t>
            </w:r>
            <w:proofErr w:type="gramStart"/>
            <w:r w:rsidR="003D6C4C">
              <w:t>have</w:t>
            </w:r>
            <w:proofErr w:type="gramEnd"/>
            <w:r w:rsidR="003D6C4C">
              <w:t xml:space="preserve"> been managed by using multiple reputable sources.</w:t>
            </w:r>
            <w:r w:rsidR="0041792C">
              <w:t xml:space="preserve"> </w:t>
            </w:r>
            <w:r>
              <w:t>We also aim to improve</w:t>
            </w:r>
            <w:r w:rsidR="0041792C">
              <w:t xml:space="preserve"> our </w:t>
            </w:r>
            <w:r w:rsidR="00FD6141">
              <w:t>internal</w:t>
            </w:r>
            <w:r>
              <w:t xml:space="preserve"> data reporting </w:t>
            </w:r>
            <w:r w:rsidR="00FD6141">
              <w:t xml:space="preserve">systems </w:t>
            </w:r>
            <w:r w:rsidR="008A1744">
              <w:t>and processes as we expand into Year 2 and 3 CCD requirements.</w:t>
            </w:r>
          </w:p>
          <w:p w14:paraId="6482EFB6" w14:textId="36BA3406" w:rsidR="008144EA" w:rsidRPr="009C6261" w:rsidRDefault="008144EA" w:rsidP="00A6053D">
            <w:pPr>
              <w:pStyle w:val="Tablebodytext"/>
            </w:pPr>
            <w:r w:rsidRPr="002C00A8">
              <w:rPr>
                <w:szCs w:val="18"/>
              </w:rPr>
              <w:t>Uncertainties in how risk profiles will change in future under different climate scenarios have been managed by assessing risks across two distinct climate scenarios (one low and one high) to compare projected changes and understand the range of plausible outcomes.</w:t>
            </w:r>
          </w:p>
        </w:tc>
      </w:tr>
      <w:tr w:rsidR="004D6278" w:rsidRPr="009C6261" w14:paraId="06706180" w14:textId="77777777" w:rsidTr="46DE8DD6">
        <w:tblPrEx>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shd w:val="clear" w:color="auto" w:fill="auto"/>
        </w:tblPrEx>
        <w:trPr>
          <w:trHeight w:val="700"/>
          <w:tblHeader/>
        </w:trPr>
        <w:tc>
          <w:tcPr>
            <w:tcW w:w="993"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6A78FC2" w14:textId="13AA8BC2" w:rsidR="004D6278" w:rsidRPr="009C6261" w:rsidRDefault="00A20217" w:rsidP="000744A9">
            <w:pPr>
              <w:pStyle w:val="Tablebodytext"/>
            </w:pPr>
            <w:r w:rsidRPr="009C6261">
              <w:t>R</w:t>
            </w:r>
            <w:r w:rsidR="007951BE" w:rsidRPr="009C6261">
              <w:t>1(</w:t>
            </w:r>
            <w:r w:rsidRPr="009C6261">
              <w:t>a</w:t>
            </w:r>
            <w:r w:rsidR="007951BE" w:rsidRPr="009C6261">
              <w:t>)</w:t>
            </w:r>
            <w:r w:rsidRPr="009C6261">
              <w:t>ii</w:t>
            </w:r>
          </w:p>
        </w:tc>
        <w:tc>
          <w:tcPr>
            <w:tcW w:w="2501"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7542DEB7" w14:textId="14E43A90" w:rsidR="004D6278" w:rsidRPr="009C6261" w:rsidRDefault="00685EB2" w:rsidP="000744A9">
            <w:pPr>
              <w:pStyle w:val="Tablebodytext"/>
            </w:pPr>
            <w:r w:rsidRPr="009C6261">
              <w:t>How the nature, likelihood and magnitude of climate-related risk are assessed.</w:t>
            </w:r>
          </w:p>
        </w:tc>
        <w:tc>
          <w:tcPr>
            <w:tcW w:w="6004"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2166F922" w14:textId="0630E596" w:rsidR="004D6278" w:rsidRPr="009C6261" w:rsidRDefault="007F2D3C" w:rsidP="000744A9">
            <w:pPr>
              <w:pStyle w:val="Tablebodytext"/>
            </w:pPr>
            <w:r w:rsidRPr="009C6261">
              <w:t>They are assessed through t</w:t>
            </w:r>
            <w:r w:rsidR="00BC5516" w:rsidRPr="009C6261">
              <w:t xml:space="preserve">he Climate Risk and Opportunity Management Program, in conjunction with </w:t>
            </w:r>
            <w:r w:rsidR="00A70711" w:rsidRPr="009C6261">
              <w:t>BRIC’s</w:t>
            </w:r>
            <w:r w:rsidR="00BC5516" w:rsidRPr="009C6261">
              <w:t xml:space="preserve"> </w:t>
            </w:r>
            <w:r w:rsidR="00A70711" w:rsidRPr="009C6261">
              <w:t>Enterprise Risk Management Framework.</w:t>
            </w:r>
          </w:p>
        </w:tc>
      </w:tr>
      <w:tr w:rsidR="00FF3E76" w:rsidRPr="009C6261" w14:paraId="3A7D54A9" w14:textId="77777777" w:rsidTr="46DE8DD6">
        <w:tblPrEx>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shd w:val="clear" w:color="auto" w:fill="auto"/>
        </w:tblPrEx>
        <w:trPr>
          <w:trHeight w:val="511"/>
          <w:tblHeader/>
        </w:trPr>
        <w:tc>
          <w:tcPr>
            <w:tcW w:w="993"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20591E4E" w14:textId="3215F50A" w:rsidR="00FF3E76" w:rsidRPr="009C6261" w:rsidRDefault="00FF3E76" w:rsidP="00FF3E76">
            <w:pPr>
              <w:pStyle w:val="Tablebodytext"/>
            </w:pPr>
            <w:r w:rsidRPr="009C6261">
              <w:t>R1(a)iii</w:t>
            </w:r>
          </w:p>
        </w:tc>
        <w:tc>
          <w:tcPr>
            <w:tcW w:w="2501"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15EC4FA9" w14:textId="79959D59" w:rsidR="00FF3E76" w:rsidRPr="009C6261" w:rsidRDefault="00FF3E76" w:rsidP="00FF3E76">
            <w:pPr>
              <w:pStyle w:val="Tablebodytext"/>
            </w:pPr>
            <w:r w:rsidRPr="009C6261">
              <w:t>How climate-related risks are prioritised in relation to other types of risk.</w:t>
            </w:r>
          </w:p>
        </w:tc>
        <w:tc>
          <w:tcPr>
            <w:tcW w:w="6004"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25B8B826" w14:textId="4C35678A" w:rsidR="00FF3E76" w:rsidRPr="009C6261" w:rsidRDefault="000B7903" w:rsidP="00FF3E76">
            <w:pPr>
              <w:pStyle w:val="Tablebodytext"/>
            </w:pPr>
            <w:r>
              <w:t xml:space="preserve">All risks to our organisation, including climate-related risks, were prioritised based on their residual risk rating against our Risk Appetite and Tolerance Statements, in accordance with the </w:t>
            </w:r>
            <w:hyperlink r:id="rId27" w:history="1">
              <w:r w:rsidRPr="00F278F5">
                <w:rPr>
                  <w:rStyle w:val="Hyperlink"/>
                </w:rPr>
                <w:t>Commonwealth Risk Management Policy</w:t>
              </w:r>
            </w:hyperlink>
            <w:r>
              <w:t>. The effects of our identified climate-related risks were assessed using the likelihood, consequence and severity criteria from our existing enterprise risk management framework.</w:t>
            </w:r>
          </w:p>
        </w:tc>
      </w:tr>
      <w:tr w:rsidR="004D6278" w:rsidRPr="009C6261" w14:paraId="6544A979" w14:textId="77777777" w:rsidTr="46DE8DD6">
        <w:tblPrEx>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shd w:val="clear" w:color="auto" w:fill="auto"/>
        </w:tblPrEx>
        <w:trPr>
          <w:trHeight w:val="674"/>
          <w:tblHeader/>
        </w:trPr>
        <w:tc>
          <w:tcPr>
            <w:tcW w:w="993"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75259C7A" w14:textId="171D69C6" w:rsidR="004D6278" w:rsidRPr="009C6261" w:rsidRDefault="00A20217" w:rsidP="000744A9">
            <w:pPr>
              <w:pStyle w:val="Tablebodytext"/>
            </w:pPr>
            <w:r w:rsidRPr="009C6261">
              <w:t>R1</w:t>
            </w:r>
            <w:r w:rsidR="0013462E" w:rsidRPr="009C6261">
              <w:t>(</w:t>
            </w:r>
            <w:r w:rsidRPr="009C6261">
              <w:t>a</w:t>
            </w:r>
            <w:r w:rsidR="0013462E" w:rsidRPr="009C6261">
              <w:t>)</w:t>
            </w:r>
            <w:r w:rsidRPr="009C6261">
              <w:t>iv</w:t>
            </w:r>
          </w:p>
        </w:tc>
        <w:tc>
          <w:tcPr>
            <w:tcW w:w="2501"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3EF0E04B" w14:textId="774666A1" w:rsidR="004D6278" w:rsidRPr="009C6261" w:rsidRDefault="00685EB2" w:rsidP="000744A9">
            <w:pPr>
              <w:pStyle w:val="Tablebodytext"/>
            </w:pPr>
            <w:r w:rsidRPr="009C6261">
              <w:t>How the entity manages climate-related risks.</w:t>
            </w:r>
          </w:p>
        </w:tc>
        <w:tc>
          <w:tcPr>
            <w:tcW w:w="6004"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39D96D58" w14:textId="2B1CDEB0" w:rsidR="004D6278" w:rsidRPr="00EF3C7A" w:rsidRDefault="00567CF8" w:rsidP="003D7943">
            <w:pPr>
              <w:pStyle w:val="Tablebodytext"/>
            </w:pPr>
            <w:r w:rsidRPr="00EF3C7A">
              <w:t xml:space="preserve">Appendix </w:t>
            </w:r>
            <w:r w:rsidR="008C5404">
              <w:t>F</w:t>
            </w:r>
            <w:r w:rsidRPr="00EF3C7A">
              <w:t xml:space="preserve">, Risk Management, page </w:t>
            </w:r>
            <w:r w:rsidR="00105FAE">
              <w:t xml:space="preserve">X; </w:t>
            </w:r>
            <w:r w:rsidR="009E72C5" w:rsidRPr="00EF3C7A">
              <w:t xml:space="preserve">Introduction, Approach to Risk, page </w:t>
            </w:r>
            <w:r w:rsidR="00105FAE">
              <w:t>X</w:t>
            </w:r>
          </w:p>
        </w:tc>
      </w:tr>
      <w:tr w:rsidR="00567CF8" w:rsidRPr="009C6261" w14:paraId="62296288" w14:textId="77777777" w:rsidTr="46DE8DD6">
        <w:tblPrEx>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shd w:val="clear" w:color="auto" w:fill="auto"/>
        </w:tblPrEx>
        <w:trPr>
          <w:trHeight w:val="752"/>
          <w:tblHeader/>
        </w:trPr>
        <w:tc>
          <w:tcPr>
            <w:tcW w:w="993"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1626855D" w14:textId="3B523841" w:rsidR="00567CF8" w:rsidRPr="009C6261" w:rsidRDefault="00567CF8" w:rsidP="00567CF8">
            <w:pPr>
              <w:pStyle w:val="Tablebodytext"/>
            </w:pPr>
            <w:r w:rsidRPr="009C6261">
              <w:t>R1(a)v</w:t>
            </w:r>
          </w:p>
        </w:tc>
        <w:tc>
          <w:tcPr>
            <w:tcW w:w="2501"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ED704AB" w14:textId="37091939" w:rsidR="00567CF8" w:rsidRPr="009C6261" w:rsidRDefault="00567CF8" w:rsidP="00567CF8">
            <w:pPr>
              <w:pStyle w:val="Tablebodytext"/>
            </w:pPr>
            <w:r w:rsidRPr="009C6261">
              <w:t>How the entity monitors climate-related risks.</w:t>
            </w:r>
          </w:p>
        </w:tc>
        <w:tc>
          <w:tcPr>
            <w:tcW w:w="6004"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79DB03B0" w14:textId="3976AB83" w:rsidR="00567CF8" w:rsidRPr="00EF3C7A" w:rsidRDefault="00567CF8" w:rsidP="00567CF8">
            <w:pPr>
              <w:pStyle w:val="Tablebodytext"/>
            </w:pPr>
            <w:r w:rsidRPr="00EF3C7A">
              <w:t xml:space="preserve">Appendix </w:t>
            </w:r>
            <w:r w:rsidR="00105FAE">
              <w:t>F</w:t>
            </w:r>
            <w:r w:rsidRPr="00EF3C7A">
              <w:t xml:space="preserve">, Risk Management, page </w:t>
            </w:r>
            <w:r w:rsidR="00105FAE">
              <w:t>X</w:t>
            </w:r>
          </w:p>
        </w:tc>
      </w:tr>
      <w:tr w:rsidR="004D6278" w:rsidRPr="009C6261" w14:paraId="09DBD211" w14:textId="77777777" w:rsidTr="46DE8DD6">
        <w:tblPrEx>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shd w:val="clear" w:color="auto" w:fill="auto"/>
        </w:tblPrEx>
        <w:trPr>
          <w:trHeight w:val="529"/>
          <w:tblHeader/>
        </w:trPr>
        <w:tc>
          <w:tcPr>
            <w:tcW w:w="993"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68B5F550" w14:textId="4BCD4B6E" w:rsidR="004D6278" w:rsidRPr="009C6261" w:rsidRDefault="00A20217" w:rsidP="000744A9">
            <w:pPr>
              <w:pStyle w:val="Tablebodytext"/>
            </w:pPr>
            <w:r w:rsidRPr="009C6261">
              <w:t>R1</w:t>
            </w:r>
            <w:r w:rsidR="00D549D3" w:rsidRPr="009C6261">
              <w:t>(</w:t>
            </w:r>
            <w:r w:rsidRPr="009C6261">
              <w:t>a</w:t>
            </w:r>
            <w:r w:rsidR="00D549D3" w:rsidRPr="009C6261">
              <w:t>)</w:t>
            </w:r>
            <w:r w:rsidRPr="009C6261">
              <w:t>vi</w:t>
            </w:r>
          </w:p>
        </w:tc>
        <w:tc>
          <w:tcPr>
            <w:tcW w:w="2501"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2790EC35" w14:textId="7A44BB57" w:rsidR="004D6278" w:rsidRPr="009C6261" w:rsidRDefault="00685EB2" w:rsidP="000744A9">
            <w:pPr>
              <w:pStyle w:val="Tablebodytext"/>
            </w:pPr>
            <w:r w:rsidRPr="009C6261">
              <w:t xml:space="preserve">If (and if so, how) the entity has changed </w:t>
            </w:r>
            <w:r w:rsidR="00BA7C21" w:rsidRPr="009C6261">
              <w:t>its</w:t>
            </w:r>
            <w:r w:rsidRPr="009C6261">
              <w:t xml:space="preserve"> processes related to climate-related risks.</w:t>
            </w:r>
          </w:p>
        </w:tc>
        <w:tc>
          <w:tcPr>
            <w:tcW w:w="6004"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C1976EB" w14:textId="77777777" w:rsidR="00105FAE" w:rsidRDefault="008D2220" w:rsidP="000744A9">
            <w:pPr>
              <w:pStyle w:val="Tablebodytext"/>
            </w:pPr>
            <w:r w:rsidRPr="009C6261">
              <w:t xml:space="preserve">This is the </w:t>
            </w:r>
            <w:r w:rsidR="00764AEB" w:rsidRPr="009C6261">
              <w:t xml:space="preserve">inaugural </w:t>
            </w:r>
            <w:r w:rsidRPr="009C6261">
              <w:t xml:space="preserve">report on </w:t>
            </w:r>
            <w:r w:rsidR="00525053" w:rsidRPr="009C6261">
              <w:t>BRIC</w:t>
            </w:r>
            <w:r w:rsidRPr="009C6261">
              <w:t xml:space="preserve">’s climate-related risks and opportunity. </w:t>
            </w:r>
          </w:p>
          <w:p w14:paraId="2AD6B49E" w14:textId="37D1FB97" w:rsidR="004D6278" w:rsidRPr="009C6261" w:rsidRDefault="00E725E3" w:rsidP="000744A9">
            <w:pPr>
              <w:pStyle w:val="Tablebodytext"/>
            </w:pPr>
            <w:r w:rsidRPr="009C6261">
              <w:t xml:space="preserve">Information on what processes are being used </w:t>
            </w:r>
            <w:r w:rsidR="00D5200A">
              <w:t>is</w:t>
            </w:r>
            <w:r w:rsidRPr="009C6261">
              <w:t xml:space="preserve"> in Appendix </w:t>
            </w:r>
            <w:r w:rsidR="00105FAE">
              <w:t>F</w:t>
            </w:r>
            <w:r w:rsidRPr="009C6261">
              <w:t xml:space="preserve">, Risk Management, page </w:t>
            </w:r>
            <w:r w:rsidR="00105FAE">
              <w:t>X</w:t>
            </w:r>
          </w:p>
        </w:tc>
      </w:tr>
      <w:tr w:rsidR="00567CF8" w:rsidRPr="009C6261" w14:paraId="338A3A84" w14:textId="77777777" w:rsidTr="46DE8DD6">
        <w:tblPrEx>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shd w:val="clear" w:color="auto" w:fill="auto"/>
        </w:tblPrEx>
        <w:trPr>
          <w:trHeight w:val="395"/>
          <w:tblHeader/>
        </w:trPr>
        <w:tc>
          <w:tcPr>
            <w:tcW w:w="993"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1168049" w14:textId="32D62420" w:rsidR="00567CF8" w:rsidRPr="009C6261" w:rsidRDefault="00567CF8" w:rsidP="00567CF8">
            <w:pPr>
              <w:pStyle w:val="Tablebodytext"/>
            </w:pPr>
            <w:r w:rsidRPr="009C6261">
              <w:t>R1(b)</w:t>
            </w:r>
          </w:p>
        </w:tc>
        <w:tc>
          <w:tcPr>
            <w:tcW w:w="2501"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67444D81" w14:textId="53FB8144" w:rsidR="00567CF8" w:rsidRPr="009C6261" w:rsidRDefault="00567CF8" w:rsidP="00567CF8">
            <w:pPr>
              <w:pStyle w:val="Tablebodytext"/>
            </w:pPr>
            <w:r w:rsidRPr="009C6261">
              <w:t>The process used to identify, assess, prioritise, manage and monitor climate-related opportunities.</w:t>
            </w:r>
          </w:p>
        </w:tc>
        <w:tc>
          <w:tcPr>
            <w:tcW w:w="6004"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425E37AA" w14:textId="35C10647" w:rsidR="00567CF8" w:rsidRPr="009C6261" w:rsidRDefault="00567CF8" w:rsidP="00567CF8">
            <w:pPr>
              <w:pStyle w:val="Tablebodytext"/>
              <w:tabs>
                <w:tab w:val="left" w:pos="1372"/>
              </w:tabs>
            </w:pPr>
            <w:r w:rsidRPr="009C6261">
              <w:t xml:space="preserve">See Appendix </w:t>
            </w:r>
            <w:r w:rsidR="00105FAE">
              <w:t>F</w:t>
            </w:r>
            <w:r w:rsidRPr="009C6261">
              <w:t xml:space="preserve">, Risk Management, page </w:t>
            </w:r>
            <w:r w:rsidR="00105FAE">
              <w:t>X</w:t>
            </w:r>
          </w:p>
        </w:tc>
      </w:tr>
      <w:tr w:rsidR="009F17D5" w:rsidRPr="009C6261" w14:paraId="611C91B7" w14:textId="77777777" w:rsidTr="46DE8DD6">
        <w:tblPrEx>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shd w:val="clear" w:color="auto" w:fill="auto"/>
        </w:tblPrEx>
        <w:trPr>
          <w:trHeight w:val="415"/>
          <w:tblHeader/>
        </w:trPr>
        <w:tc>
          <w:tcPr>
            <w:tcW w:w="993"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8F3B7E9" w14:textId="130AD635" w:rsidR="009F17D5" w:rsidRPr="009C6261" w:rsidRDefault="00A20217" w:rsidP="009F17D5">
            <w:pPr>
              <w:pStyle w:val="Tablebodytext"/>
            </w:pPr>
            <w:r w:rsidRPr="009C6261">
              <w:t>R1(c)</w:t>
            </w:r>
          </w:p>
        </w:tc>
        <w:tc>
          <w:tcPr>
            <w:tcW w:w="2501"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18E35D4F" w14:textId="36D7B2AB" w:rsidR="009F17D5" w:rsidRPr="009C6261" w:rsidRDefault="00A134DD" w:rsidP="009F17D5">
            <w:pPr>
              <w:pStyle w:val="Tablebodytext"/>
            </w:pPr>
            <w:r w:rsidRPr="009C6261">
              <w:t>How the processes for identifying climate-related risks and opportunities inform the entity’s overall risk management process.</w:t>
            </w:r>
          </w:p>
        </w:tc>
        <w:tc>
          <w:tcPr>
            <w:tcW w:w="6004"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657F563F" w14:textId="1B3883F7" w:rsidR="009F17D5" w:rsidRPr="009C6261" w:rsidRDefault="00574980" w:rsidP="009F17D5">
            <w:pPr>
              <w:pStyle w:val="Tablebodytext"/>
              <w:tabs>
                <w:tab w:val="left" w:pos="1372"/>
              </w:tabs>
            </w:pPr>
            <w:r w:rsidRPr="009C6261">
              <w:t>Risks and opportunities are reported quarterly to the executive board, with additional briefings to be provided as the need presents itself. Climate-related and non-climate-related risks and opportunities</w:t>
            </w:r>
            <w:r w:rsidR="00A551F6" w:rsidRPr="009C6261">
              <w:t xml:space="preserve"> are considered in entirety to inform BRIC’s overall risk management.</w:t>
            </w:r>
          </w:p>
        </w:tc>
      </w:tr>
      <w:tr w:rsidR="009F17D5" w:rsidRPr="009C6261" w14:paraId="6347B8D4" w14:textId="77777777" w:rsidTr="46DE8DD6">
        <w:tblPrEx>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shd w:val="clear" w:color="auto" w:fill="auto"/>
        </w:tblPrEx>
        <w:trPr>
          <w:trHeight w:val="280"/>
          <w:tblHeader/>
        </w:trPr>
        <w:tc>
          <w:tcPr>
            <w:tcW w:w="993"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200F09BA" w14:textId="43489610" w:rsidR="009F17D5" w:rsidRPr="009C6261" w:rsidRDefault="00A20217" w:rsidP="009F17D5">
            <w:pPr>
              <w:pStyle w:val="Tablebodytext"/>
            </w:pPr>
            <w:r w:rsidRPr="009C6261">
              <w:t>R2(a)</w:t>
            </w:r>
          </w:p>
        </w:tc>
        <w:tc>
          <w:tcPr>
            <w:tcW w:w="2501"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7BF4DBCA" w14:textId="5A3CD41B" w:rsidR="009F17D5" w:rsidRPr="009C6261" w:rsidRDefault="00BD179B" w:rsidP="009F17D5">
            <w:pPr>
              <w:pStyle w:val="Tablebodytext"/>
            </w:pPr>
            <w:r w:rsidRPr="009C6261">
              <w:t>Whether (and how) the entity implem</w:t>
            </w:r>
            <w:r w:rsidR="00556689" w:rsidRPr="009C6261">
              <w:t>ents CROMP processes.</w:t>
            </w:r>
          </w:p>
        </w:tc>
        <w:tc>
          <w:tcPr>
            <w:tcW w:w="6004"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7BA0CF90" w14:textId="15EB01AE" w:rsidR="009F17D5" w:rsidRPr="009C6261" w:rsidRDefault="00567CF8" w:rsidP="009F17D5">
            <w:pPr>
              <w:pStyle w:val="Tablebodytext"/>
            </w:pPr>
            <w:r w:rsidRPr="009C6261">
              <w:t xml:space="preserve">See </w:t>
            </w:r>
            <w:r w:rsidR="00B73865" w:rsidRPr="009C6261">
              <w:t xml:space="preserve">Appendix </w:t>
            </w:r>
            <w:r w:rsidR="00105FAE">
              <w:t>F</w:t>
            </w:r>
            <w:r w:rsidR="00B73865" w:rsidRPr="009C6261">
              <w:t>, Risk management, page X</w:t>
            </w:r>
          </w:p>
        </w:tc>
      </w:tr>
    </w:tbl>
    <w:p w14:paraId="4234F605" w14:textId="77777777" w:rsidR="00D22BED" w:rsidRDefault="00D22BED" w:rsidP="00D22BED">
      <w:pPr>
        <w:spacing w:before="0" w:after="160" w:line="259" w:lineRule="auto"/>
        <w:sectPr w:rsidR="00D22BED" w:rsidSect="00104E8C">
          <w:headerReference w:type="first" r:id="rId28"/>
          <w:pgSz w:w="11906" w:h="16838" w:code="9"/>
          <w:pgMar w:top="1739" w:right="1247" w:bottom="1247" w:left="1247" w:header="284" w:footer="709" w:gutter="0"/>
          <w:cols w:space="708"/>
          <w:titlePg/>
          <w:docGrid w:linePitch="360"/>
        </w:sectPr>
      </w:pPr>
    </w:p>
    <w:p w14:paraId="3D218882" w14:textId="0B82D782" w:rsidR="00961D9D" w:rsidRPr="00D22BED" w:rsidRDefault="00961D9D" w:rsidP="00627322">
      <w:pPr>
        <w:spacing w:before="0" w:after="160" w:line="259" w:lineRule="auto"/>
        <w:jc w:val="center"/>
        <w:rPr>
          <w:rFonts w:asciiTheme="majorHAnsi" w:eastAsiaTheme="majorEastAsia" w:hAnsiTheme="majorHAnsi" w:cstheme="majorBidi"/>
          <w:b/>
          <w:sz w:val="48"/>
          <w:szCs w:val="32"/>
        </w:rPr>
      </w:pPr>
      <w:r w:rsidRPr="00D22BED">
        <w:rPr>
          <w:rFonts w:asciiTheme="majorHAnsi" w:eastAsiaTheme="majorEastAsia" w:hAnsiTheme="majorHAnsi" w:cstheme="majorBidi"/>
          <w:b/>
          <w:sz w:val="48"/>
          <w:szCs w:val="32"/>
        </w:rPr>
        <w:lastRenderedPageBreak/>
        <w:t>Annual Report</w:t>
      </w:r>
    </w:p>
    <w:p w14:paraId="4A7EAB88" w14:textId="5658E07E" w:rsidR="00961D9D" w:rsidRPr="003441FB" w:rsidRDefault="00961D9D" w:rsidP="00072169">
      <w:pPr>
        <w:pStyle w:val="Example-Centredheading"/>
      </w:pPr>
      <w:r w:rsidRPr="003441FB">
        <w:t>2024-25</w:t>
      </w:r>
      <w:r>
        <w:t xml:space="preserve"> Financial Year</w:t>
      </w:r>
    </w:p>
    <w:p w14:paraId="7887651B" w14:textId="77777777" w:rsidR="00961D9D" w:rsidRDefault="00961D9D" w:rsidP="00072169">
      <w:pPr>
        <w:pStyle w:val="EgHeading1"/>
      </w:pPr>
    </w:p>
    <w:p w14:paraId="7D3EC1CE" w14:textId="0F13245C" w:rsidR="00961D9D" w:rsidRPr="00A45C99" w:rsidRDefault="00DD5D22" w:rsidP="00072169">
      <w:pPr>
        <w:pStyle w:val="Example-Centredheading3"/>
      </w:pPr>
      <w:r>
        <w:t>Bushire</w:t>
      </w:r>
      <w:r w:rsidR="00747DE0">
        <w:t xml:space="preserve"> Recovery Investment Corporation</w:t>
      </w:r>
    </w:p>
    <w:tbl>
      <w:tblPr>
        <w:tblStyle w:val="TableGrid"/>
        <w:tblW w:w="0" w:type="auto"/>
        <w:shd w:val="clear" w:color="auto" w:fill="D2F0EF" w:themeFill="accent2" w:themeFillTint="33"/>
        <w:tblLook w:val="04A0" w:firstRow="1" w:lastRow="0" w:firstColumn="1" w:lastColumn="0" w:noHBand="0" w:noVBand="1"/>
      </w:tblPr>
      <w:tblGrid>
        <w:gridCol w:w="9402"/>
      </w:tblGrid>
      <w:tr w:rsidR="00961D9D" w14:paraId="6E2022F7" w14:textId="77777777" w:rsidTr="003936E8">
        <w:tc>
          <w:tcPr>
            <w:tcW w:w="9402" w:type="dxa"/>
            <w:shd w:val="clear" w:color="auto" w:fill="D2F0EF" w:themeFill="accent2" w:themeFillTint="33"/>
          </w:tcPr>
          <w:p w14:paraId="39CFA600" w14:textId="5BC23B27" w:rsidR="009C4D51" w:rsidRPr="00F015DC" w:rsidRDefault="00177005" w:rsidP="001125AC">
            <w:pPr>
              <w:pStyle w:val="Italicbodytext"/>
              <w:rPr>
                <w:i w:val="0"/>
                <w:iCs/>
              </w:rPr>
            </w:pPr>
            <w:r w:rsidRPr="00F015DC">
              <w:rPr>
                <w:b/>
                <w:i w:val="0"/>
                <w:iCs/>
              </w:rPr>
              <w:t xml:space="preserve">Note: </w:t>
            </w:r>
            <w:r w:rsidRPr="00F015DC">
              <w:rPr>
                <w:i w:val="0"/>
                <w:iCs/>
              </w:rPr>
              <w:t xml:space="preserve">This </w:t>
            </w:r>
            <w:r w:rsidR="00116ED4">
              <w:rPr>
                <w:i w:val="0"/>
                <w:iCs/>
              </w:rPr>
              <w:t xml:space="preserve">example </w:t>
            </w:r>
            <w:r w:rsidRPr="00F015DC">
              <w:rPr>
                <w:i w:val="0"/>
                <w:iCs/>
              </w:rPr>
              <w:t xml:space="preserve">annual report has been developed to demonstrate how to cross reference standard annual report content </w:t>
            </w:r>
            <w:r w:rsidR="00B361CF" w:rsidRPr="00F015DC">
              <w:rPr>
                <w:i w:val="0"/>
                <w:iCs/>
              </w:rPr>
              <w:t>to</w:t>
            </w:r>
            <w:r w:rsidRPr="00F015DC">
              <w:rPr>
                <w:i w:val="0"/>
                <w:iCs/>
              </w:rPr>
              <w:t xml:space="preserve"> avoid duplication and length within </w:t>
            </w:r>
            <w:r w:rsidR="00B361CF" w:rsidRPr="00F015DC">
              <w:rPr>
                <w:i w:val="0"/>
                <w:iCs/>
              </w:rPr>
              <w:t>a climate disclosure.</w:t>
            </w:r>
            <w:r w:rsidR="009C4D51" w:rsidRPr="00F015DC">
              <w:rPr>
                <w:i w:val="0"/>
                <w:iCs/>
              </w:rPr>
              <w:t xml:space="preserve"> It also </w:t>
            </w:r>
            <w:r w:rsidR="0097202F" w:rsidRPr="00F015DC">
              <w:rPr>
                <w:i w:val="0"/>
                <w:iCs/>
              </w:rPr>
              <w:t>showcases where a climate disclosure could fit within the annual report.</w:t>
            </w:r>
          </w:p>
        </w:tc>
      </w:tr>
    </w:tbl>
    <w:p w14:paraId="6B9DE58F" w14:textId="3B342B5E" w:rsidR="00961D9D" w:rsidRDefault="00961D9D" w:rsidP="00961D9D">
      <w:pPr>
        <w:spacing w:before="0" w:after="160" w:line="259" w:lineRule="auto"/>
        <w:rPr>
          <w:rFonts w:asciiTheme="majorHAnsi" w:eastAsiaTheme="majorEastAsia" w:hAnsiTheme="majorHAnsi" w:cstheme="majorBidi"/>
          <w:b/>
          <w:bCs/>
          <w:sz w:val="48"/>
          <w:szCs w:val="40"/>
        </w:rPr>
      </w:pPr>
    </w:p>
    <w:p w14:paraId="5B709A27" w14:textId="77777777" w:rsidR="00961D9D" w:rsidRDefault="00961D9D">
      <w:pPr>
        <w:spacing w:before="0" w:after="160" w:line="259" w:lineRule="auto"/>
        <w:rPr>
          <w:rFonts w:asciiTheme="majorHAnsi" w:eastAsiaTheme="majorEastAsia" w:hAnsiTheme="majorHAnsi" w:cstheme="majorBidi"/>
          <w:b/>
          <w:bCs/>
          <w:sz w:val="48"/>
          <w:szCs w:val="40"/>
        </w:rPr>
      </w:pPr>
      <w:r>
        <w:rPr>
          <w:rFonts w:asciiTheme="majorHAnsi" w:eastAsiaTheme="majorEastAsia" w:hAnsiTheme="majorHAnsi" w:cstheme="majorBidi"/>
          <w:b/>
          <w:bCs/>
          <w:sz w:val="48"/>
          <w:szCs w:val="40"/>
        </w:rPr>
        <w:br w:type="page"/>
      </w:r>
    </w:p>
    <w:p w14:paraId="237C842E" w14:textId="77777777" w:rsidR="00961D9D" w:rsidRPr="007A5D29" w:rsidRDefault="00961D9D" w:rsidP="00690EA3">
      <w:pPr>
        <w:pStyle w:val="Heading2example"/>
      </w:pPr>
      <w:bookmarkStart w:id="6" w:name="_Ref182824604"/>
      <w:r w:rsidRPr="007A5D29">
        <w:lastRenderedPageBreak/>
        <w:t>Contents</w:t>
      </w:r>
      <w:bookmarkEnd w:id="6"/>
    </w:p>
    <w:p w14:paraId="7AE79B78" w14:textId="77777777" w:rsidR="00961D9D" w:rsidRDefault="00961D9D" w:rsidP="00105FAE">
      <w:pPr>
        <w:pStyle w:val="Heading3"/>
      </w:pPr>
      <w:r>
        <w:t>Introduction</w:t>
      </w:r>
    </w:p>
    <w:p w14:paraId="224444BB" w14:textId="77777777" w:rsidR="00961D9D" w:rsidRDefault="00961D9D" w:rsidP="00961D9D">
      <w:r>
        <w:tab/>
        <w:t>Letter of transmittal</w:t>
      </w:r>
    </w:p>
    <w:p w14:paraId="4874D579" w14:textId="2541EDF5" w:rsidR="00440994" w:rsidRDefault="00440994" w:rsidP="00440994">
      <w:pPr>
        <w:ind w:firstLine="720"/>
      </w:pPr>
      <w:r>
        <w:t>Introduction from Accountable Authority</w:t>
      </w:r>
    </w:p>
    <w:p w14:paraId="300D7068" w14:textId="77777777" w:rsidR="00961D9D" w:rsidRPr="005519CC" w:rsidRDefault="00961D9D" w:rsidP="00961D9D">
      <w:r>
        <w:tab/>
        <w:t>2024-25 snapshot</w:t>
      </w:r>
    </w:p>
    <w:p w14:paraId="0E9E21A6" w14:textId="7371AE9B" w:rsidR="00961D9D" w:rsidRDefault="00440994" w:rsidP="00105FAE">
      <w:pPr>
        <w:pStyle w:val="Heading3"/>
      </w:pPr>
      <w:r>
        <w:t>Organisational</w:t>
      </w:r>
      <w:r w:rsidR="00961D9D">
        <w:t xml:space="preserve"> Overview</w:t>
      </w:r>
    </w:p>
    <w:p w14:paraId="637D84F1" w14:textId="77777777" w:rsidR="00961D9D" w:rsidRDefault="00961D9D" w:rsidP="00961D9D">
      <w:pPr>
        <w:ind w:left="720"/>
      </w:pPr>
      <w:r w:rsidRPr="00F015DC">
        <w:rPr>
          <w:highlight w:val="yellow"/>
        </w:rPr>
        <w:t>Agency overview</w:t>
      </w:r>
      <w:r>
        <w:tab/>
      </w:r>
    </w:p>
    <w:p w14:paraId="6161EEC3" w14:textId="77777777" w:rsidR="00961D9D" w:rsidRPr="00606C2D" w:rsidRDefault="00961D9D" w:rsidP="00961D9D">
      <w:pPr>
        <w:ind w:left="720"/>
      </w:pPr>
      <w:r>
        <w:t>Purpose and vision</w:t>
      </w:r>
      <w:r>
        <w:tab/>
      </w:r>
    </w:p>
    <w:p w14:paraId="7D7F3666" w14:textId="77777777" w:rsidR="00B84934" w:rsidRPr="000D50F2" w:rsidRDefault="00B84934" w:rsidP="00105FAE">
      <w:pPr>
        <w:pStyle w:val="Heading3"/>
      </w:pPr>
      <w:r w:rsidRPr="00EE121A">
        <w:t>Governance</w:t>
      </w:r>
    </w:p>
    <w:p w14:paraId="1456E1F1" w14:textId="77777777" w:rsidR="00B84934" w:rsidRPr="000D50F2" w:rsidRDefault="00B84934" w:rsidP="00B84934">
      <w:r w:rsidRPr="000D50F2">
        <w:tab/>
      </w:r>
      <w:r w:rsidRPr="00F015DC">
        <w:rPr>
          <w:highlight w:val="yellow"/>
        </w:rPr>
        <w:t>Our Board</w:t>
      </w:r>
    </w:p>
    <w:p w14:paraId="642689D4" w14:textId="77777777" w:rsidR="00B84934" w:rsidRDefault="00B84934" w:rsidP="00B84934">
      <w:r w:rsidRPr="000D50F2">
        <w:tab/>
      </w:r>
      <w:r w:rsidRPr="00CB43BB">
        <w:rPr>
          <w:highlight w:val="yellow"/>
        </w:rPr>
        <w:t>Approach to risk, fraud and corruption</w:t>
      </w:r>
    </w:p>
    <w:p w14:paraId="04C03037" w14:textId="708AAF93" w:rsidR="009E613C" w:rsidRPr="000D50F2" w:rsidRDefault="009E613C" w:rsidP="00B84934">
      <w:r>
        <w:tab/>
      </w:r>
      <w:r w:rsidRPr="00F015DC">
        <w:rPr>
          <w:highlight w:val="yellow"/>
        </w:rPr>
        <w:t>Uncertainty</w:t>
      </w:r>
    </w:p>
    <w:p w14:paraId="35827B75" w14:textId="77777777" w:rsidR="00B84934" w:rsidRDefault="00B84934" w:rsidP="00B84934">
      <w:pPr>
        <w:ind w:firstLine="720"/>
      </w:pPr>
      <w:r w:rsidRPr="000D50F2">
        <w:t>Legislative and government policy events</w:t>
      </w:r>
    </w:p>
    <w:p w14:paraId="69C7117E" w14:textId="2925CB36" w:rsidR="00B84934" w:rsidRDefault="00B84934" w:rsidP="00B84934">
      <w:pPr>
        <w:ind w:left="720"/>
      </w:pPr>
      <w:r w:rsidRPr="00CB43BB">
        <w:t>Other reporting requirements</w:t>
      </w:r>
    </w:p>
    <w:p w14:paraId="14F6EE63" w14:textId="77777777" w:rsidR="00B84934" w:rsidRDefault="00B84934" w:rsidP="00105FAE">
      <w:pPr>
        <w:pStyle w:val="Heading3"/>
      </w:pPr>
      <w:r>
        <w:t>Other performance statements</w:t>
      </w:r>
    </w:p>
    <w:p w14:paraId="6023F6BF" w14:textId="77777777" w:rsidR="00B84934" w:rsidRDefault="00B84934" w:rsidP="00B84934">
      <w:pPr>
        <w:ind w:left="720"/>
      </w:pPr>
      <w:r>
        <w:t>Statement of preparation</w:t>
      </w:r>
    </w:p>
    <w:p w14:paraId="5EBDF2B9" w14:textId="77777777" w:rsidR="00B84934" w:rsidRDefault="00B84934" w:rsidP="00B84934">
      <w:pPr>
        <w:ind w:left="720"/>
      </w:pPr>
      <w:r>
        <w:t>Overview of performance</w:t>
      </w:r>
    </w:p>
    <w:p w14:paraId="38158E48" w14:textId="77777777" w:rsidR="00B84934" w:rsidRDefault="00B84934" w:rsidP="00105FAE">
      <w:pPr>
        <w:pStyle w:val="Heading3"/>
      </w:pPr>
      <w:r>
        <w:t>Financial Statements</w:t>
      </w:r>
    </w:p>
    <w:p w14:paraId="2E00294A" w14:textId="77777777" w:rsidR="00B84934" w:rsidRDefault="00B84934" w:rsidP="00B84934">
      <w:r>
        <w:tab/>
        <w:t>Independent auditor’s report</w:t>
      </w:r>
    </w:p>
    <w:p w14:paraId="573CBA26" w14:textId="77777777" w:rsidR="00B84934" w:rsidRDefault="00B84934" w:rsidP="00B84934">
      <w:r>
        <w:tab/>
        <w:t>Statement of Accountable Authority</w:t>
      </w:r>
      <w:r>
        <w:tab/>
      </w:r>
    </w:p>
    <w:p w14:paraId="4FBE1B78" w14:textId="77777777" w:rsidR="00B84934" w:rsidRDefault="00B84934" w:rsidP="00105FAE">
      <w:pPr>
        <w:pStyle w:val="Heading3"/>
      </w:pPr>
      <w:r>
        <w:t>Appendices</w:t>
      </w:r>
    </w:p>
    <w:p w14:paraId="4B30B85D" w14:textId="759A19E4" w:rsidR="00B84934" w:rsidRDefault="00B84934" w:rsidP="00B84934">
      <w:pPr>
        <w:ind w:firstLine="720"/>
      </w:pPr>
      <w:r w:rsidRPr="00563F3B">
        <w:t>Appendix A</w:t>
      </w:r>
      <w:r w:rsidR="00DF1A74">
        <w:t xml:space="preserve">: </w:t>
      </w:r>
      <w:r>
        <w:t>Accountable Authority</w:t>
      </w:r>
    </w:p>
    <w:p w14:paraId="271DA599" w14:textId="77777777" w:rsidR="00B84934" w:rsidRDefault="00B84934" w:rsidP="00B84934">
      <w:pPr>
        <w:ind w:firstLine="720"/>
      </w:pPr>
      <w:r>
        <w:t>Appendix B: Audit Committee</w:t>
      </w:r>
    </w:p>
    <w:p w14:paraId="3766A1F2" w14:textId="77777777" w:rsidR="00B84934" w:rsidRDefault="00B84934" w:rsidP="00B84934">
      <w:pPr>
        <w:ind w:firstLine="720"/>
      </w:pPr>
      <w:r>
        <w:t>Appendix C: Management and human resources</w:t>
      </w:r>
    </w:p>
    <w:p w14:paraId="775F7FB3" w14:textId="04E16CF9" w:rsidR="00B84934" w:rsidRDefault="00B84934" w:rsidP="00B84934">
      <w:pPr>
        <w:ind w:firstLine="720"/>
      </w:pPr>
      <w:r>
        <w:t>Appendix D: Executive remuneration</w:t>
      </w:r>
    </w:p>
    <w:p w14:paraId="25B2FE79" w14:textId="3950AF55" w:rsidR="00B84934" w:rsidRPr="00563F3B" w:rsidRDefault="00B84934" w:rsidP="00B84934">
      <w:pPr>
        <w:ind w:firstLine="720"/>
      </w:pPr>
      <w:r w:rsidRPr="00D23AF5">
        <w:t>Appendix E: Compliance Index</w:t>
      </w:r>
    </w:p>
    <w:p w14:paraId="40196EF3" w14:textId="786F7E58" w:rsidR="00961D9D" w:rsidRDefault="00B84934" w:rsidP="008C5404">
      <w:pPr>
        <w:ind w:firstLine="720"/>
      </w:pPr>
      <w:r w:rsidRPr="00F015DC">
        <w:rPr>
          <w:highlight w:val="yellow"/>
        </w:rPr>
        <w:t>Appendix F: Climate Statement</w:t>
      </w:r>
    </w:p>
    <w:p w14:paraId="03CE1F20" w14:textId="77777777" w:rsidR="00105FAE" w:rsidRDefault="00105FAE" w:rsidP="008C5404">
      <w:pPr>
        <w:ind w:firstLine="720"/>
      </w:pPr>
    </w:p>
    <w:tbl>
      <w:tblPr>
        <w:tblStyle w:val="TableGrid"/>
        <w:tblW w:w="0" w:type="auto"/>
        <w:shd w:val="clear" w:color="auto" w:fill="D2F0EF" w:themeFill="accent2" w:themeFillTint="33"/>
        <w:tblLook w:val="04A0" w:firstRow="1" w:lastRow="0" w:firstColumn="1" w:lastColumn="0" w:noHBand="0" w:noVBand="1"/>
      </w:tblPr>
      <w:tblGrid>
        <w:gridCol w:w="9402"/>
      </w:tblGrid>
      <w:tr w:rsidR="00961D9D" w14:paraId="76C0F3A3" w14:textId="77777777" w:rsidTr="003936E8">
        <w:tc>
          <w:tcPr>
            <w:tcW w:w="9402" w:type="dxa"/>
            <w:shd w:val="clear" w:color="auto" w:fill="D2F0EF" w:themeFill="accent2" w:themeFillTint="33"/>
          </w:tcPr>
          <w:p w14:paraId="2AC2303A" w14:textId="199BABA1" w:rsidR="00961D9D" w:rsidRDefault="00961D9D" w:rsidP="001125AC">
            <w:pPr>
              <w:pStyle w:val="BodyText1"/>
              <w:rPr>
                <w:rFonts w:asciiTheme="majorHAnsi" w:eastAsiaTheme="majorEastAsia" w:hAnsiTheme="majorHAnsi" w:cstheme="majorBidi"/>
                <w:b/>
                <w:sz w:val="48"/>
                <w:szCs w:val="32"/>
              </w:rPr>
            </w:pPr>
            <w:r w:rsidRPr="0046495D">
              <w:rPr>
                <w:b/>
              </w:rPr>
              <w:t>Tip:</w:t>
            </w:r>
            <w:r>
              <w:t xml:space="preserve"> </w:t>
            </w:r>
            <w:r w:rsidR="00AB6D9A">
              <w:t>T</w:t>
            </w:r>
            <w:r>
              <w:t xml:space="preserve">his contents page is included to demonstrate how existing information within the body of your annual report can be leveraged when producing a climate disclosure. The sections that address the </w:t>
            </w:r>
            <w:r w:rsidR="00843C45">
              <w:t xml:space="preserve">Risk </w:t>
            </w:r>
            <w:r w:rsidR="00AB6D9A">
              <w:t>m</w:t>
            </w:r>
            <w:r w:rsidR="00843C45">
              <w:t>anagement</w:t>
            </w:r>
            <w:r>
              <w:t xml:space="preserve"> criteria are identified in </w:t>
            </w:r>
            <w:r w:rsidRPr="006E10ED">
              <w:rPr>
                <w:highlight w:val="yellow"/>
              </w:rPr>
              <w:t>yellow</w:t>
            </w:r>
            <w:r>
              <w:t xml:space="preserve"> and included below. </w:t>
            </w:r>
            <w:r w:rsidR="008D521A">
              <w:t>C</w:t>
            </w:r>
            <w:r>
              <w:t>riteria</w:t>
            </w:r>
            <w:r w:rsidR="008D521A">
              <w:t xml:space="preserve"> </w:t>
            </w:r>
            <w:r>
              <w:t>addressed by cross-referencing the body of the annual report or an external publication</w:t>
            </w:r>
            <w:r w:rsidR="008D521A">
              <w:t xml:space="preserve"> are </w:t>
            </w:r>
            <w:r>
              <w:t>summarised in an index</w:t>
            </w:r>
            <w:r w:rsidR="00A24147">
              <w:t xml:space="preserve">. This </w:t>
            </w:r>
            <w:r>
              <w:t xml:space="preserve">ensure readers can easily access relevant information and see that all criteria have been addressed. </w:t>
            </w:r>
          </w:p>
        </w:tc>
      </w:tr>
    </w:tbl>
    <w:p w14:paraId="20119C83" w14:textId="0EC103DC" w:rsidR="001A62E4" w:rsidRPr="00446B26" w:rsidRDefault="00B10BE1" w:rsidP="00072169">
      <w:pPr>
        <w:pStyle w:val="Heading1"/>
      </w:pPr>
      <w:bookmarkStart w:id="7" w:name="_Approach_to_Risk,"/>
      <w:bookmarkEnd w:id="7"/>
      <w:r>
        <w:lastRenderedPageBreak/>
        <w:t>Introduction</w:t>
      </w:r>
    </w:p>
    <w:p w14:paraId="2114ABD9" w14:textId="606C852C" w:rsidR="00142045" w:rsidRDefault="00B10BE1" w:rsidP="00B10BE1">
      <w:pPr>
        <w:pStyle w:val="Heading2"/>
      </w:pPr>
      <w:bookmarkStart w:id="8" w:name="_Other_reporting_requirements"/>
      <w:bookmarkEnd w:id="8"/>
      <w:r>
        <w:t xml:space="preserve">Agency Overview </w:t>
      </w:r>
    </w:p>
    <w:p w14:paraId="56472790" w14:textId="77777777" w:rsidR="005F5F5F" w:rsidRPr="00F015DC" w:rsidRDefault="005F5F5F" w:rsidP="00F015DC">
      <w:pPr>
        <w:rPr>
          <w:rFonts w:asciiTheme="minorHAnsi" w:hAnsiTheme="minorHAnsi" w:cstheme="minorHAnsi"/>
          <w:bCs/>
          <w:sz w:val="22"/>
          <w:szCs w:val="24"/>
        </w:rPr>
      </w:pPr>
      <w:r w:rsidRPr="00F015DC">
        <w:rPr>
          <w:rFonts w:asciiTheme="minorHAnsi" w:hAnsiTheme="minorHAnsi" w:cstheme="minorHAnsi"/>
          <w:bCs/>
          <w:sz w:val="22"/>
          <w:szCs w:val="24"/>
        </w:rPr>
        <w:t xml:space="preserve">The Bushfire Recovery Investment Corporation (BRIC) was established on 1 July 2019 and operates under the </w:t>
      </w:r>
      <w:r w:rsidRPr="00F015DC">
        <w:rPr>
          <w:rFonts w:asciiTheme="minorHAnsi" w:hAnsiTheme="minorHAnsi" w:cstheme="minorHAnsi"/>
          <w:bCs/>
          <w:i/>
          <w:iCs/>
          <w:sz w:val="22"/>
          <w:szCs w:val="24"/>
        </w:rPr>
        <w:t>Bushfire Recovery Investment Corporation</w:t>
      </w:r>
      <w:r w:rsidRPr="00F015DC">
        <w:rPr>
          <w:rFonts w:asciiTheme="minorHAnsi" w:hAnsiTheme="minorHAnsi" w:cstheme="minorHAnsi"/>
          <w:bCs/>
          <w:sz w:val="22"/>
          <w:szCs w:val="24"/>
        </w:rPr>
        <w:t xml:space="preserve"> </w:t>
      </w:r>
      <w:r w:rsidRPr="00F015DC">
        <w:rPr>
          <w:rFonts w:asciiTheme="minorHAnsi" w:hAnsiTheme="minorHAnsi" w:cstheme="minorHAnsi"/>
          <w:bCs/>
          <w:i/>
          <w:iCs/>
          <w:sz w:val="22"/>
          <w:szCs w:val="24"/>
        </w:rPr>
        <w:t>Act 2020</w:t>
      </w:r>
      <w:r w:rsidRPr="00F015DC">
        <w:rPr>
          <w:rFonts w:asciiTheme="minorHAnsi" w:hAnsiTheme="minorHAnsi" w:cstheme="minorHAnsi"/>
          <w:bCs/>
          <w:sz w:val="22"/>
          <w:szCs w:val="24"/>
        </w:rPr>
        <w:t xml:space="preserve"> (</w:t>
      </w:r>
      <w:proofErr w:type="spellStart"/>
      <w:r w:rsidRPr="00F015DC">
        <w:rPr>
          <w:rFonts w:asciiTheme="minorHAnsi" w:hAnsiTheme="minorHAnsi" w:cstheme="minorHAnsi"/>
          <w:bCs/>
          <w:sz w:val="22"/>
          <w:szCs w:val="24"/>
        </w:rPr>
        <w:t>Cth</w:t>
      </w:r>
      <w:proofErr w:type="spellEnd"/>
      <w:r w:rsidRPr="00F015DC">
        <w:rPr>
          <w:rFonts w:asciiTheme="minorHAnsi" w:hAnsiTheme="minorHAnsi" w:cstheme="minorHAnsi"/>
          <w:bCs/>
          <w:sz w:val="22"/>
          <w:szCs w:val="24"/>
        </w:rPr>
        <w:t>) (BRIC Act) and the Bushfire Recovery Investment Corporation Operating Mandate Direction 2020. The BRIC is governed by an independent board appointed by, and accountable to, two responsible Ministers. In FY2024-25, the responsible Ministers were Senator the Hon. Swanson, Minister for the Environment and Senator the Hon. Knope, Minister for Finance.</w:t>
      </w:r>
    </w:p>
    <w:p w14:paraId="02C590FD" w14:textId="77777777" w:rsidR="005F5F5F" w:rsidRPr="00F015DC" w:rsidRDefault="005F5F5F" w:rsidP="005F5F5F">
      <w:pPr>
        <w:rPr>
          <w:rFonts w:asciiTheme="minorHAnsi" w:hAnsiTheme="minorHAnsi" w:cstheme="minorHAnsi"/>
          <w:b/>
          <w:sz w:val="24"/>
          <w:szCs w:val="28"/>
        </w:rPr>
      </w:pPr>
      <w:r w:rsidRPr="00F015DC">
        <w:rPr>
          <w:rFonts w:asciiTheme="minorHAnsi" w:hAnsiTheme="minorHAnsi" w:cstheme="minorHAnsi"/>
          <w:b/>
          <w:sz w:val="24"/>
          <w:szCs w:val="28"/>
        </w:rPr>
        <w:t xml:space="preserve">About our organisation </w:t>
      </w:r>
    </w:p>
    <w:p w14:paraId="7057ECEF" w14:textId="77777777" w:rsidR="005F5F5F" w:rsidRPr="00F015DC" w:rsidRDefault="005F5F5F" w:rsidP="00F015DC">
      <w:pPr>
        <w:rPr>
          <w:rFonts w:asciiTheme="minorHAnsi" w:hAnsiTheme="minorHAnsi" w:cstheme="minorHAnsi"/>
          <w:bCs/>
          <w:sz w:val="22"/>
          <w:szCs w:val="24"/>
        </w:rPr>
      </w:pPr>
      <w:r w:rsidRPr="00F015DC">
        <w:rPr>
          <w:rFonts w:asciiTheme="minorHAnsi" w:hAnsiTheme="minorHAnsi" w:cstheme="minorHAnsi"/>
          <w:bCs/>
          <w:sz w:val="22"/>
          <w:szCs w:val="24"/>
        </w:rPr>
        <w:t xml:space="preserve">BRIC is a corporate Commonwealth entity and a </w:t>
      </w:r>
      <w:hyperlink r:id="rId29" w:history="1">
        <w:r w:rsidRPr="00F015DC">
          <w:rPr>
            <w:rStyle w:val="Hyperlink"/>
            <w:rFonts w:asciiTheme="minorHAnsi" w:hAnsiTheme="minorHAnsi" w:cstheme="minorHAnsi"/>
            <w:bCs/>
            <w:sz w:val="22"/>
            <w:szCs w:val="24"/>
          </w:rPr>
          <w:t>specialist investment vehicle</w:t>
        </w:r>
      </w:hyperlink>
      <w:r w:rsidRPr="00F015DC">
        <w:rPr>
          <w:rFonts w:asciiTheme="minorHAnsi" w:hAnsiTheme="minorHAnsi" w:cstheme="minorHAnsi"/>
          <w:bCs/>
          <w:sz w:val="22"/>
          <w:szCs w:val="24"/>
        </w:rPr>
        <w:t xml:space="preserve"> within the Commonwealth Investment Framework that delivers Government policy through concessional loans. </w:t>
      </w:r>
    </w:p>
    <w:p w14:paraId="78298169" w14:textId="5B4BE776" w:rsidR="005F5F5F" w:rsidRPr="00F015DC" w:rsidRDefault="005F5F5F" w:rsidP="00F015DC">
      <w:pPr>
        <w:rPr>
          <w:rFonts w:asciiTheme="minorHAnsi" w:hAnsiTheme="minorHAnsi" w:cstheme="minorHAnsi"/>
          <w:bCs/>
          <w:sz w:val="22"/>
          <w:szCs w:val="24"/>
        </w:rPr>
      </w:pPr>
      <w:r w:rsidRPr="00F015DC">
        <w:rPr>
          <w:rFonts w:asciiTheme="minorHAnsi" w:hAnsiTheme="minorHAnsi" w:cstheme="minorHAnsi"/>
          <w:bCs/>
          <w:sz w:val="22"/>
          <w:szCs w:val="24"/>
        </w:rPr>
        <w:t>We support bushfire-affected areas during times of disaster and business disruption and invest in recovery</w:t>
      </w:r>
      <w:r w:rsidR="00196D15" w:rsidRPr="00F015DC">
        <w:rPr>
          <w:rFonts w:asciiTheme="minorHAnsi" w:hAnsiTheme="minorHAnsi" w:cstheme="minorHAnsi"/>
          <w:bCs/>
          <w:sz w:val="22"/>
          <w:szCs w:val="24"/>
        </w:rPr>
        <w:t xml:space="preserve"> </w:t>
      </w:r>
      <w:r w:rsidRPr="00F015DC">
        <w:rPr>
          <w:rFonts w:asciiTheme="minorHAnsi" w:hAnsiTheme="minorHAnsi" w:cstheme="minorHAnsi"/>
          <w:bCs/>
          <w:sz w:val="22"/>
          <w:szCs w:val="24"/>
        </w:rPr>
        <w:t xml:space="preserve">for a stronger and more resilient future. We specialise in concessional loans to businesses in areas </w:t>
      </w:r>
      <w:r w:rsidR="00196D15" w:rsidRPr="00F015DC">
        <w:rPr>
          <w:rFonts w:asciiTheme="minorHAnsi" w:hAnsiTheme="minorHAnsi" w:cstheme="minorHAnsi"/>
          <w:bCs/>
          <w:sz w:val="22"/>
          <w:szCs w:val="24"/>
        </w:rPr>
        <w:t>i</w:t>
      </w:r>
      <w:r w:rsidRPr="00F015DC">
        <w:rPr>
          <w:rFonts w:asciiTheme="minorHAnsi" w:hAnsiTheme="minorHAnsi" w:cstheme="minorHAnsi"/>
          <w:bCs/>
          <w:sz w:val="22"/>
          <w:szCs w:val="24"/>
        </w:rPr>
        <w:t>mpacted by bushfires with a focus on community rebuilding and recovery. We work alongside commercial</w:t>
      </w:r>
      <w:r w:rsidR="00196D15" w:rsidRPr="00F015DC">
        <w:rPr>
          <w:rFonts w:asciiTheme="minorHAnsi" w:hAnsiTheme="minorHAnsi" w:cstheme="minorHAnsi"/>
          <w:bCs/>
          <w:sz w:val="22"/>
          <w:szCs w:val="24"/>
        </w:rPr>
        <w:t xml:space="preserve"> </w:t>
      </w:r>
      <w:r w:rsidRPr="00F015DC">
        <w:rPr>
          <w:rFonts w:asciiTheme="minorHAnsi" w:hAnsiTheme="minorHAnsi" w:cstheme="minorHAnsi"/>
          <w:bCs/>
          <w:sz w:val="22"/>
          <w:szCs w:val="24"/>
        </w:rPr>
        <w:t xml:space="preserve">lenders to offer these loans, and in recognition of the ecological damage caused by fires, we also offer loans to support recovery actions for native species, ecological communities, and natural assets. We manage the return of loan funds back to the Australian Government on a cost-neutral basis, an investment that benefits the Government, industry, regional communities, and borrowers. </w:t>
      </w:r>
    </w:p>
    <w:p w14:paraId="6B56A256" w14:textId="77777777" w:rsidR="005F5F5F" w:rsidRPr="00F015DC" w:rsidRDefault="005F5F5F" w:rsidP="00F015DC">
      <w:pPr>
        <w:rPr>
          <w:rFonts w:asciiTheme="minorHAnsi" w:hAnsiTheme="minorHAnsi" w:cstheme="minorHAnsi"/>
          <w:bCs/>
          <w:sz w:val="22"/>
          <w:szCs w:val="24"/>
        </w:rPr>
      </w:pPr>
      <w:r w:rsidRPr="00F015DC">
        <w:rPr>
          <w:rFonts w:asciiTheme="minorHAnsi" w:hAnsiTheme="minorHAnsi" w:cstheme="minorHAnsi"/>
          <w:bCs/>
          <w:sz w:val="22"/>
          <w:szCs w:val="24"/>
        </w:rPr>
        <w:t xml:space="preserve">Our customers are small businesses who are in financial need post-disaster, but viable in the long term. Concessional loans support customers by freeing up their cashflow to invest in rebuilding businesses, manage cost pressures while recovering, and increase spending into their local markets. </w:t>
      </w:r>
    </w:p>
    <w:p w14:paraId="759EAD8F" w14:textId="5D7CA111" w:rsidR="005F5F5F" w:rsidRPr="00F015DC" w:rsidRDefault="005F5F5F" w:rsidP="00F015DC">
      <w:pPr>
        <w:rPr>
          <w:rFonts w:asciiTheme="minorHAnsi" w:hAnsiTheme="minorHAnsi" w:cstheme="minorHAnsi"/>
          <w:bCs/>
          <w:sz w:val="22"/>
          <w:szCs w:val="24"/>
        </w:rPr>
      </w:pPr>
      <w:r w:rsidRPr="00F015DC">
        <w:rPr>
          <w:rFonts w:asciiTheme="minorHAnsi" w:hAnsiTheme="minorHAnsi" w:cstheme="minorHAnsi"/>
          <w:bCs/>
          <w:noProof/>
          <w:sz w:val="22"/>
          <w:szCs w:val="24"/>
        </w:rPr>
        <w:drawing>
          <wp:inline distT="0" distB="0" distL="0" distR="0" wp14:anchorId="4E7E170D" wp14:editId="596D3459">
            <wp:extent cx="6211330" cy="2982097"/>
            <wp:effectExtent l="0" t="0" r="0" b="8890"/>
            <wp:docPr id="641439066" name="Picture 2" descr="A diagram of a compan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1439066" name="Picture 2" descr="A diagram of a company&#10;&#10;AI-generated content may be incorrect."/>
                    <pic:cNvPicPr>
                      <a:picLocks noChangeArrowheads="1"/>
                    </pic:cNvPicPr>
                  </pic:nvPicPr>
                  <pic:blipFill>
                    <a:blip r:embed="rId30">
                      <a:extLst>
                        <a:ext uri="{28A0092B-C50C-407E-A947-70E740481C1C}">
                          <a14:useLocalDpi xmlns:a14="http://schemas.microsoft.com/office/drawing/2010/main" val="0"/>
                        </a:ext>
                      </a:extLst>
                    </a:blip>
                    <a:srcRect l="-31163" r="-30763"/>
                    <a:stretch>
                      <a:fillRect/>
                    </a:stretch>
                  </pic:blipFill>
                  <pic:spPr bwMode="auto">
                    <a:xfrm>
                      <a:off x="0" y="0"/>
                      <a:ext cx="6219068" cy="2985812"/>
                    </a:xfrm>
                    <a:prstGeom prst="rect">
                      <a:avLst/>
                    </a:prstGeom>
                    <a:noFill/>
                    <a:ln>
                      <a:noFill/>
                    </a:ln>
                  </pic:spPr>
                </pic:pic>
              </a:graphicData>
            </a:graphic>
          </wp:inline>
        </w:drawing>
      </w:r>
    </w:p>
    <w:p w14:paraId="63752B93" w14:textId="0444D697" w:rsidR="005F5F5F" w:rsidRPr="00F015DC" w:rsidRDefault="005F5F5F" w:rsidP="005F5F5F">
      <w:pPr>
        <w:rPr>
          <w:rFonts w:asciiTheme="minorHAnsi" w:hAnsiTheme="minorHAnsi" w:cstheme="minorHAnsi"/>
          <w:i/>
          <w:iCs/>
          <w:sz w:val="18"/>
          <w:szCs w:val="20"/>
        </w:rPr>
      </w:pPr>
      <w:r w:rsidRPr="00F015DC">
        <w:rPr>
          <w:rFonts w:asciiTheme="minorHAnsi" w:hAnsiTheme="minorHAnsi" w:cstheme="minorHAnsi"/>
          <w:i/>
          <w:iCs/>
          <w:sz w:val="18"/>
          <w:szCs w:val="20"/>
        </w:rPr>
        <w:t xml:space="preserve">Figure </w:t>
      </w:r>
      <w:r w:rsidRPr="00F015DC">
        <w:rPr>
          <w:rFonts w:asciiTheme="minorHAnsi" w:hAnsiTheme="minorHAnsi" w:cstheme="minorHAnsi"/>
          <w:i/>
          <w:iCs/>
          <w:sz w:val="18"/>
          <w:szCs w:val="20"/>
        </w:rPr>
        <w:fldChar w:fldCharType="begin"/>
      </w:r>
      <w:r w:rsidRPr="00F015DC">
        <w:rPr>
          <w:rFonts w:asciiTheme="minorHAnsi" w:hAnsiTheme="minorHAnsi" w:cstheme="minorHAnsi"/>
          <w:i/>
          <w:iCs/>
          <w:sz w:val="18"/>
          <w:szCs w:val="20"/>
        </w:rPr>
        <w:instrText xml:space="preserve"> SEQ Figure \* ARABIC </w:instrText>
      </w:r>
      <w:r w:rsidRPr="00F015DC">
        <w:rPr>
          <w:rFonts w:asciiTheme="minorHAnsi" w:hAnsiTheme="minorHAnsi" w:cstheme="minorHAnsi"/>
          <w:i/>
          <w:iCs/>
          <w:sz w:val="18"/>
          <w:szCs w:val="20"/>
        </w:rPr>
        <w:fldChar w:fldCharType="separate"/>
      </w:r>
      <w:r w:rsidRPr="00F015DC">
        <w:rPr>
          <w:rFonts w:asciiTheme="minorHAnsi" w:hAnsiTheme="minorHAnsi" w:cstheme="minorHAnsi"/>
          <w:i/>
          <w:iCs/>
          <w:sz w:val="18"/>
          <w:szCs w:val="20"/>
        </w:rPr>
        <w:t>2</w:t>
      </w:r>
      <w:r w:rsidRPr="00F015DC">
        <w:rPr>
          <w:rFonts w:asciiTheme="minorHAnsi" w:hAnsiTheme="minorHAnsi" w:cstheme="minorHAnsi"/>
          <w:sz w:val="18"/>
          <w:szCs w:val="20"/>
        </w:rPr>
        <w:fldChar w:fldCharType="end"/>
      </w:r>
      <w:r w:rsidRPr="00F015DC">
        <w:rPr>
          <w:rFonts w:asciiTheme="minorHAnsi" w:hAnsiTheme="minorHAnsi" w:cstheme="minorHAnsi"/>
          <w:i/>
          <w:iCs/>
          <w:sz w:val="18"/>
          <w:szCs w:val="20"/>
        </w:rPr>
        <w:t xml:space="preserve"> BRIC Organisational Chart</w:t>
      </w:r>
      <w:r w:rsidR="0043677C">
        <w:rPr>
          <w:rFonts w:asciiTheme="minorHAnsi" w:hAnsiTheme="minorHAnsi" w:cstheme="minorHAnsi"/>
          <w:i/>
          <w:iCs/>
          <w:sz w:val="18"/>
          <w:szCs w:val="20"/>
        </w:rPr>
        <w:br/>
      </w:r>
    </w:p>
    <w:p w14:paraId="29B8C34B" w14:textId="77777777" w:rsidR="0043677C" w:rsidRPr="000B05A8" w:rsidRDefault="0043677C" w:rsidP="0043677C">
      <w:pPr>
        <w:pStyle w:val="Heading2"/>
        <w:rPr>
          <w:rFonts w:asciiTheme="minorHAnsi" w:hAnsiTheme="minorHAnsi" w:cstheme="minorHAnsi"/>
        </w:rPr>
      </w:pPr>
      <w:bookmarkStart w:id="9" w:name="_Ref186711490"/>
      <w:r w:rsidRPr="000B05A8">
        <w:rPr>
          <w:rFonts w:asciiTheme="minorHAnsi" w:hAnsiTheme="minorHAnsi" w:cstheme="minorHAnsi"/>
        </w:rPr>
        <w:lastRenderedPageBreak/>
        <w:t>Governance</w:t>
      </w:r>
      <w:bookmarkEnd w:id="9"/>
    </w:p>
    <w:p w14:paraId="3028DC8E" w14:textId="77777777" w:rsidR="0043677C" w:rsidRPr="00F015DC" w:rsidRDefault="0043677C" w:rsidP="0043677C">
      <w:pPr>
        <w:pStyle w:val="BodyText1"/>
        <w:rPr>
          <w:szCs w:val="22"/>
        </w:rPr>
      </w:pPr>
      <w:r w:rsidRPr="00F015DC">
        <w:rPr>
          <w:szCs w:val="22"/>
        </w:rPr>
        <w:t>Our governance framework provides the context in which the BRIC operates to achieve its objectives and effectively manage risk and key stakeholder relationships. It includes:</w:t>
      </w:r>
    </w:p>
    <w:p w14:paraId="2AA1F1EE" w14:textId="77777777" w:rsidR="0043677C" w:rsidRPr="0043677C" w:rsidRDefault="0043677C" w:rsidP="0043677C">
      <w:pPr>
        <w:pStyle w:val="Bodybullet1"/>
      </w:pPr>
      <w:r w:rsidRPr="0043677C">
        <w:t xml:space="preserve">the legislative foundation provided by the BRIC Act and Operating Mandate, various subordinate instruments, and relevant sections of the </w:t>
      </w:r>
      <w:r w:rsidRPr="0043677C">
        <w:rPr>
          <w:i/>
          <w:iCs/>
        </w:rPr>
        <w:t xml:space="preserve">Public Governance, Performance and Accountability Act 2013 </w:t>
      </w:r>
      <w:r w:rsidRPr="0043677C">
        <w:t>(</w:t>
      </w:r>
      <w:proofErr w:type="spellStart"/>
      <w:r w:rsidRPr="0043677C">
        <w:t>Cth</w:t>
      </w:r>
      <w:proofErr w:type="spellEnd"/>
      <w:r w:rsidRPr="0043677C">
        <w:t>) (PGPA Act)</w:t>
      </w:r>
    </w:p>
    <w:p w14:paraId="21CAEFBC" w14:textId="77777777" w:rsidR="0043677C" w:rsidRPr="0043677C" w:rsidRDefault="0043677C" w:rsidP="0043677C">
      <w:pPr>
        <w:pStyle w:val="Bodybullet1"/>
      </w:pPr>
      <w:r w:rsidRPr="0043677C">
        <w:t>two responsible Ministers</w:t>
      </w:r>
    </w:p>
    <w:p w14:paraId="015BC296" w14:textId="77777777" w:rsidR="0043677C" w:rsidRPr="0043677C" w:rsidRDefault="0043677C" w:rsidP="0043677C">
      <w:pPr>
        <w:pStyle w:val="Bodybullet1"/>
      </w:pPr>
      <w:r w:rsidRPr="0043677C">
        <w:t>an independent Board that has an established induction program, annual training program, and conducts annual reviews of its performance</w:t>
      </w:r>
    </w:p>
    <w:p w14:paraId="3844AC51" w14:textId="77777777" w:rsidR="0043677C" w:rsidRPr="0043677C" w:rsidRDefault="0043677C" w:rsidP="0043677C">
      <w:pPr>
        <w:pStyle w:val="Bodybullet1"/>
      </w:pPr>
      <w:r w:rsidRPr="0043677C">
        <w:t>an Audit and Risk Committee that ensures the Board receives appropriate advice and assurance on financial and performance reporting, systems of risk oversight and management, and systems of internal control</w:t>
      </w:r>
    </w:p>
    <w:p w14:paraId="3D935F44" w14:textId="77777777" w:rsidR="0043677C" w:rsidRPr="00F015DC" w:rsidRDefault="0043677C" w:rsidP="0043677C">
      <w:pPr>
        <w:pStyle w:val="Bodybullet1"/>
        <w:rPr>
          <w:sz w:val="24"/>
          <w:szCs w:val="24"/>
        </w:rPr>
      </w:pPr>
      <w:r w:rsidRPr="0043677C">
        <w:t>a Board-endorsed and owned Policy Framework that demonstrates coverage, application and integration of BRIC policies within an overarching framework, and outlines ownership and accountability for the artefacts within the framework.</w:t>
      </w:r>
    </w:p>
    <w:p w14:paraId="59BA8FB7" w14:textId="77777777" w:rsidR="0043677C" w:rsidRPr="006B256C" w:rsidRDefault="0043677C" w:rsidP="00105FAE">
      <w:pPr>
        <w:pStyle w:val="Heading3"/>
      </w:pPr>
      <w:bookmarkStart w:id="10" w:name="_Our_Board"/>
      <w:bookmarkEnd w:id="10"/>
      <w:r w:rsidRPr="006B256C">
        <w:t>Our Board</w:t>
      </w:r>
    </w:p>
    <w:p w14:paraId="65283B6A" w14:textId="77777777" w:rsidR="0043677C" w:rsidRPr="00F015DC" w:rsidRDefault="0043677C" w:rsidP="0043677C">
      <w:pPr>
        <w:pStyle w:val="BodyText1"/>
      </w:pPr>
      <w:r>
        <w:t>The BRIC Board is the Accountable Authority as defined under section 12 of the PGPA Act. The Board decides BRIC’s objectives, strategic direction and ensures that it fulfils its statutory functions. In accordance with the BRIC Act and the Board’s Charter, the Board must meet at least 4 times per year. In the reporting period FY2024-25 it met on 4 occasions and attended to 7 matters out of session. The Board provided leadership across several areas including:</w:t>
      </w:r>
    </w:p>
    <w:p w14:paraId="537C4CD7" w14:textId="77777777" w:rsidR="0043677C" w:rsidRPr="0043677C" w:rsidRDefault="0043677C" w:rsidP="0043677C">
      <w:pPr>
        <w:pStyle w:val="Bodybullet1"/>
      </w:pPr>
      <w:r w:rsidRPr="0043677C">
        <w:t xml:space="preserve">BRIC’s performance against its plans and objectives </w:t>
      </w:r>
    </w:p>
    <w:p w14:paraId="629CAD32" w14:textId="77777777" w:rsidR="0043677C" w:rsidRPr="0043677C" w:rsidRDefault="0043677C" w:rsidP="0043677C">
      <w:pPr>
        <w:pStyle w:val="Bodybullet1"/>
      </w:pPr>
      <w:r w:rsidRPr="0043677C">
        <w:t xml:space="preserve">oversight of the direction, budget, and delivery of the insourced operating model </w:t>
      </w:r>
    </w:p>
    <w:p w14:paraId="2FAD2FE1" w14:textId="77777777" w:rsidR="0043677C" w:rsidRPr="0043677C" w:rsidRDefault="0043677C" w:rsidP="0043677C">
      <w:pPr>
        <w:pStyle w:val="Bodybullet1"/>
      </w:pPr>
      <w:r w:rsidRPr="0043677C">
        <w:t>the strategic direction and approval of BRIC’s submission to the Statutory Review of the BRIC Act</w:t>
      </w:r>
    </w:p>
    <w:p w14:paraId="2212A6FA" w14:textId="77777777" w:rsidR="0043677C" w:rsidRPr="0043677C" w:rsidRDefault="0043677C" w:rsidP="0043677C">
      <w:pPr>
        <w:pStyle w:val="Bodybullet1"/>
      </w:pPr>
      <w:r w:rsidRPr="0043677C">
        <w:t>oversight of credit risk in the loan portfolio</w:t>
      </w:r>
    </w:p>
    <w:p w14:paraId="409C8F4D" w14:textId="77777777" w:rsidR="0043677C" w:rsidRPr="0043677C" w:rsidRDefault="0043677C" w:rsidP="0043677C">
      <w:pPr>
        <w:pStyle w:val="Bodybullet1"/>
      </w:pPr>
      <w:r w:rsidRPr="0043677C">
        <w:t>approval of Board policy frameworks</w:t>
      </w:r>
    </w:p>
    <w:p w14:paraId="51324594" w14:textId="77777777" w:rsidR="0043677C" w:rsidRPr="0043677C" w:rsidRDefault="0043677C" w:rsidP="0043677C">
      <w:pPr>
        <w:pStyle w:val="Bodybullet1"/>
      </w:pPr>
      <w:r w:rsidRPr="0043677C">
        <w:t>interest rate reviews</w:t>
      </w:r>
    </w:p>
    <w:p w14:paraId="10A418FC" w14:textId="77777777" w:rsidR="0043677C" w:rsidRPr="0043677C" w:rsidRDefault="0043677C" w:rsidP="0043677C">
      <w:pPr>
        <w:pStyle w:val="Bodybullet1"/>
      </w:pPr>
      <w:r w:rsidRPr="0043677C">
        <w:t>Board governance matters including the annual review of the Board’s Charter, skills matrix and Board performance</w:t>
      </w:r>
    </w:p>
    <w:p w14:paraId="025F2357" w14:textId="77777777" w:rsidR="0043677C" w:rsidRPr="0043677C" w:rsidRDefault="0043677C" w:rsidP="0043677C">
      <w:pPr>
        <w:pStyle w:val="Bodybullet1"/>
      </w:pPr>
      <w:commentRangeStart w:id="11"/>
      <w:r w:rsidRPr="0043677C">
        <w:t>working closely with the Audit and Risk Committee on its advice and assurance in relation to financial and performance reporting, risk including climate-related risk, and internal controls.</w:t>
      </w:r>
      <w:commentRangeEnd w:id="11"/>
      <w:r w:rsidR="002430EE">
        <w:rPr>
          <w:rStyle w:val="CommentReference"/>
        </w:rPr>
        <w:commentReference w:id="11"/>
      </w:r>
    </w:p>
    <w:p w14:paraId="16DB5F07" w14:textId="77777777" w:rsidR="0043677C" w:rsidRPr="00BE243B" w:rsidRDefault="0043677C" w:rsidP="0043677C">
      <w:pPr>
        <w:pStyle w:val="Heading2"/>
        <w:rPr>
          <w:rFonts w:asciiTheme="minorHAnsi" w:hAnsiTheme="minorHAnsi" w:cstheme="minorHAnsi"/>
        </w:rPr>
      </w:pPr>
      <w:bookmarkStart w:id="12" w:name="_Ref186714746"/>
      <w:r w:rsidRPr="00BE243B">
        <w:rPr>
          <w:rFonts w:asciiTheme="minorHAnsi" w:hAnsiTheme="minorHAnsi" w:cstheme="minorHAnsi"/>
        </w:rPr>
        <w:t>Approach to risk, fraud and corruption</w:t>
      </w:r>
      <w:bookmarkEnd w:id="12"/>
    </w:p>
    <w:p w14:paraId="78D95FA4" w14:textId="4584A731" w:rsidR="0043677C" w:rsidRPr="00F015DC" w:rsidRDefault="0043677C" w:rsidP="0043677C">
      <w:pPr>
        <w:pStyle w:val="BodyText1"/>
        <w:rPr>
          <w:szCs w:val="22"/>
        </w:rPr>
      </w:pPr>
      <w:r w:rsidRPr="00F015DC">
        <w:rPr>
          <w:szCs w:val="22"/>
        </w:rPr>
        <w:t xml:space="preserve">As the Accountable Authority, the Board has put in place a system of risk management and oversight which includes the determination of risk appetite and tolerance. The Board also takes all reasonable measures to prevent, detect and respond to fraud and corruption. </w:t>
      </w:r>
      <w:commentRangeStart w:id="13"/>
      <w:r w:rsidRPr="00F015DC">
        <w:rPr>
          <w:szCs w:val="22"/>
        </w:rPr>
        <w:t xml:space="preserve">We have an </w:t>
      </w:r>
      <w:r w:rsidRPr="00F015DC">
        <w:rPr>
          <w:szCs w:val="22"/>
        </w:rPr>
        <w:lastRenderedPageBreak/>
        <w:t>Audit and Risk Committee that proactively manages risk, fraud and corruption and ensures our controls are aligned with industry standards and government policies, including the</w:t>
      </w:r>
      <w:commentRangeEnd w:id="13"/>
      <w:r w:rsidR="00435897">
        <w:rPr>
          <w:rStyle w:val="CommentReference"/>
          <w:bCs w:val="0"/>
        </w:rPr>
        <w:commentReference w:id="13"/>
      </w:r>
      <w:r w:rsidRPr="00F015DC">
        <w:rPr>
          <w:szCs w:val="22"/>
        </w:rPr>
        <w:t>:</w:t>
      </w:r>
    </w:p>
    <w:p w14:paraId="46370E17" w14:textId="77777777" w:rsidR="0043677C" w:rsidRPr="0043677C" w:rsidRDefault="0043677C" w:rsidP="0043677C">
      <w:pPr>
        <w:pStyle w:val="Bodybullet1"/>
      </w:pPr>
      <w:r w:rsidRPr="0043677C">
        <w:t>2021 industry standard AS8001: Fraud and Corruption Control</w:t>
      </w:r>
    </w:p>
    <w:p w14:paraId="49245768" w14:textId="77777777" w:rsidR="0043677C" w:rsidRPr="0043677C" w:rsidRDefault="0043677C" w:rsidP="0043677C">
      <w:pPr>
        <w:pStyle w:val="Bodybullet1"/>
      </w:pPr>
      <w:r w:rsidRPr="0043677C">
        <w:t>Commonwealth Risk Management Policy 2023</w:t>
      </w:r>
    </w:p>
    <w:p w14:paraId="1239FC76" w14:textId="77777777" w:rsidR="0043677C" w:rsidRPr="0043677C" w:rsidRDefault="0043677C" w:rsidP="0043677C">
      <w:pPr>
        <w:pStyle w:val="Bodybullet1"/>
      </w:pPr>
      <w:r w:rsidRPr="0043677C">
        <w:t>Australian Government Investigation Standards 2022</w:t>
      </w:r>
    </w:p>
    <w:p w14:paraId="5596FFE0" w14:textId="77777777" w:rsidR="0043677C" w:rsidRPr="0043677C" w:rsidRDefault="0043677C" w:rsidP="0043677C">
      <w:pPr>
        <w:pStyle w:val="Bodybullet1"/>
      </w:pPr>
      <w:r w:rsidRPr="0043677C">
        <w:t>Commonwealth Fraud and Corruption Control Framework (2024).</w:t>
      </w:r>
    </w:p>
    <w:p w14:paraId="1CE31961" w14:textId="77777777" w:rsidR="0043677C" w:rsidRPr="00F015DC" w:rsidRDefault="0043677C" w:rsidP="0043677C">
      <w:pPr>
        <w:pStyle w:val="BodyText1"/>
        <w:rPr>
          <w:szCs w:val="22"/>
        </w:rPr>
      </w:pPr>
      <w:r w:rsidRPr="00F015DC">
        <w:rPr>
          <w:szCs w:val="22"/>
        </w:rPr>
        <w:t xml:space="preserve">The Committee met three times during the year, attended to one matter out of session, and oversaw BRIC’s financial and performance reporting, its systems of risk oversight and management, and systems of internal control. </w:t>
      </w:r>
      <w:r w:rsidRPr="00F015DC">
        <w:rPr>
          <w:szCs w:val="22"/>
          <w:u w:val="single"/>
        </w:rPr>
        <w:t>Appendix 2</w:t>
      </w:r>
      <w:r w:rsidRPr="00F015DC">
        <w:rPr>
          <w:szCs w:val="22"/>
        </w:rPr>
        <w:t xml:space="preserve"> provides further details of the Audit and Risk Committee membership.</w:t>
      </w:r>
    </w:p>
    <w:p w14:paraId="5907129D" w14:textId="5DA2C5B9" w:rsidR="005341D5" w:rsidRPr="0043677C" w:rsidRDefault="0043677C" w:rsidP="00F015DC">
      <w:pPr>
        <w:pStyle w:val="BodyText1"/>
      </w:pPr>
      <w:commentRangeStart w:id="14"/>
      <w:r w:rsidRPr="0043677C">
        <w:rPr>
          <w:szCs w:val="22"/>
        </w:rPr>
        <w:t>The evolution of risk management practices has seen the BRIC shift from reactive risk management practices to an integrated and customised process of continual review, evaluation and environmental scanning. This approach means we take reasonable steps to ensure we are managing potential enterprise risks through regular reviews of our risk management practices. During the year we undertook a full review of the enterprise risk management framework to ensure that it continues to be fit for purpose</w:t>
      </w:r>
      <w:r w:rsidR="00FE5754">
        <w:rPr>
          <w:szCs w:val="22"/>
        </w:rPr>
        <w:t>, including the incorporation of components of C</w:t>
      </w:r>
      <w:r w:rsidR="007A59AA">
        <w:rPr>
          <w:szCs w:val="22"/>
        </w:rPr>
        <w:t xml:space="preserve">limate </w:t>
      </w:r>
      <w:r w:rsidR="00FE5754">
        <w:rPr>
          <w:szCs w:val="22"/>
        </w:rPr>
        <w:t>R</w:t>
      </w:r>
      <w:r w:rsidR="007A59AA">
        <w:rPr>
          <w:szCs w:val="22"/>
        </w:rPr>
        <w:t xml:space="preserve">isk and </w:t>
      </w:r>
      <w:r w:rsidR="00FE5754">
        <w:rPr>
          <w:szCs w:val="22"/>
        </w:rPr>
        <w:t>O</w:t>
      </w:r>
      <w:r w:rsidR="007A59AA">
        <w:rPr>
          <w:szCs w:val="22"/>
        </w:rPr>
        <w:t xml:space="preserve">pportunity </w:t>
      </w:r>
      <w:r w:rsidR="00FE5754">
        <w:rPr>
          <w:szCs w:val="22"/>
        </w:rPr>
        <w:t>M</w:t>
      </w:r>
      <w:r w:rsidR="007A59AA">
        <w:rPr>
          <w:szCs w:val="22"/>
        </w:rPr>
        <w:t xml:space="preserve">anagement </w:t>
      </w:r>
      <w:r w:rsidR="00FE5754">
        <w:rPr>
          <w:szCs w:val="22"/>
        </w:rPr>
        <w:t>P</w:t>
      </w:r>
      <w:r w:rsidR="007A59AA">
        <w:rPr>
          <w:szCs w:val="22"/>
        </w:rPr>
        <w:t>rogram</w:t>
      </w:r>
      <w:r w:rsidR="00FE5754">
        <w:rPr>
          <w:szCs w:val="22"/>
        </w:rPr>
        <w:t xml:space="preserve"> (where applicable in the assessment of climate-related risks and opportunities)</w:t>
      </w:r>
      <w:r w:rsidRPr="0043677C">
        <w:rPr>
          <w:szCs w:val="22"/>
        </w:rPr>
        <w:t>.</w:t>
      </w:r>
      <w:commentRangeEnd w:id="14"/>
      <w:r w:rsidR="002430EE">
        <w:rPr>
          <w:rStyle w:val="CommentReference"/>
          <w:bCs w:val="0"/>
        </w:rPr>
        <w:commentReference w:id="14"/>
      </w:r>
    </w:p>
    <w:p w14:paraId="0387274C" w14:textId="77777777" w:rsidR="00B96DB7" w:rsidRDefault="00B96DB7" w:rsidP="00B96DB7">
      <w:pPr>
        <w:pStyle w:val="Heading2"/>
        <w:pBdr>
          <w:top w:val="none" w:sz="0" w:space="0" w:color="auto"/>
          <w:bottom w:val="single" w:sz="4" w:space="1" w:color="auto"/>
        </w:pBdr>
      </w:pPr>
      <w:r>
        <w:t>Document control</w:t>
      </w:r>
    </w:p>
    <w:tbl>
      <w:tblPr>
        <w:tblStyle w:val="GridTable1Light-Accent2"/>
        <w:tblW w:w="5000" w:type="pct"/>
        <w:tblLook w:val="04A0" w:firstRow="1" w:lastRow="0" w:firstColumn="1" w:lastColumn="0" w:noHBand="0" w:noVBand="1"/>
      </w:tblPr>
      <w:tblGrid>
        <w:gridCol w:w="1837"/>
        <w:gridCol w:w="1986"/>
        <w:gridCol w:w="5579"/>
      </w:tblGrid>
      <w:tr w:rsidR="00B96DB7" w:rsidRPr="00C34F17" w14:paraId="299892E6" w14:textId="77777777" w:rsidTr="38D85B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 w:type="pct"/>
          </w:tcPr>
          <w:p w14:paraId="72FB3532" w14:textId="77777777" w:rsidR="00B96DB7" w:rsidRPr="00C34F17" w:rsidRDefault="00B96DB7" w:rsidP="00A37107">
            <w:pPr>
              <w:rPr>
                <w:rFonts w:asciiTheme="majorHAnsi" w:hAnsiTheme="majorHAnsi"/>
                <w:b w:val="0"/>
                <w:color w:val="000000" w:themeColor="text1"/>
                <w:szCs w:val="24"/>
              </w:rPr>
            </w:pPr>
            <w:r w:rsidRPr="00F9407A">
              <w:rPr>
                <w:rFonts w:asciiTheme="majorHAnsi" w:hAnsiTheme="majorHAnsi"/>
                <w:color w:val="000000" w:themeColor="text1"/>
                <w:szCs w:val="24"/>
              </w:rPr>
              <w:t>Version number</w:t>
            </w:r>
          </w:p>
        </w:tc>
        <w:tc>
          <w:tcPr>
            <w:tcW w:w="1056" w:type="pct"/>
          </w:tcPr>
          <w:p w14:paraId="2A34ADE9" w14:textId="77777777" w:rsidR="00B96DB7" w:rsidRPr="00C34F17" w:rsidRDefault="00B96DB7" w:rsidP="00A37107">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000000" w:themeColor="text1"/>
                <w:szCs w:val="24"/>
              </w:rPr>
            </w:pPr>
            <w:r w:rsidRPr="00F9407A">
              <w:rPr>
                <w:rFonts w:asciiTheme="majorHAnsi" w:hAnsiTheme="majorHAnsi"/>
                <w:color w:val="000000" w:themeColor="text1"/>
                <w:szCs w:val="24"/>
              </w:rPr>
              <w:t>Date of issue</w:t>
            </w:r>
          </w:p>
        </w:tc>
        <w:tc>
          <w:tcPr>
            <w:tcW w:w="2967" w:type="pct"/>
          </w:tcPr>
          <w:p w14:paraId="4200891A" w14:textId="77777777" w:rsidR="00B96DB7" w:rsidRPr="00C34F17" w:rsidRDefault="00B96DB7" w:rsidP="00A37107">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000000" w:themeColor="text1"/>
                <w:szCs w:val="24"/>
              </w:rPr>
            </w:pPr>
            <w:r w:rsidRPr="00F9407A">
              <w:rPr>
                <w:rFonts w:asciiTheme="majorHAnsi" w:hAnsiTheme="majorHAnsi"/>
                <w:color w:val="000000" w:themeColor="text1"/>
                <w:szCs w:val="24"/>
              </w:rPr>
              <w:t>Brief description of change</w:t>
            </w:r>
          </w:p>
        </w:tc>
      </w:tr>
      <w:tr w:rsidR="00B96DB7" w:rsidRPr="00C34F17" w14:paraId="0535BA41" w14:textId="77777777" w:rsidTr="38D85B78">
        <w:tc>
          <w:tcPr>
            <w:cnfStyle w:val="001000000000" w:firstRow="0" w:lastRow="0" w:firstColumn="1" w:lastColumn="0" w:oddVBand="0" w:evenVBand="0" w:oddHBand="0" w:evenHBand="0" w:firstRowFirstColumn="0" w:firstRowLastColumn="0" w:lastRowFirstColumn="0" w:lastRowLastColumn="0"/>
            <w:tcW w:w="977" w:type="pct"/>
          </w:tcPr>
          <w:p w14:paraId="5D483CF9" w14:textId="77777777" w:rsidR="00B96DB7" w:rsidRPr="00B07E26" w:rsidRDefault="00B96DB7" w:rsidP="00A37107">
            <w:pPr>
              <w:spacing w:before="60" w:after="60"/>
              <w:rPr>
                <w:rFonts w:asciiTheme="minorHAnsi" w:hAnsiTheme="minorHAnsi"/>
                <w:b w:val="0"/>
                <w:bCs w:val="0"/>
                <w:color w:val="000000" w:themeColor="text1"/>
                <w:szCs w:val="24"/>
              </w:rPr>
            </w:pPr>
            <w:r w:rsidRPr="00B07E26">
              <w:rPr>
                <w:rFonts w:asciiTheme="minorHAnsi" w:hAnsiTheme="minorHAnsi"/>
                <w:b w:val="0"/>
                <w:bCs w:val="0"/>
                <w:color w:val="000000" w:themeColor="text1"/>
                <w:szCs w:val="24"/>
              </w:rPr>
              <w:t>1</w:t>
            </w:r>
          </w:p>
        </w:tc>
        <w:tc>
          <w:tcPr>
            <w:tcW w:w="1056" w:type="pct"/>
          </w:tcPr>
          <w:p w14:paraId="3757F7DF" w14:textId="0614AFBB" w:rsidR="00B96DB7" w:rsidRDefault="00C1537F" w:rsidP="00A37107">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24"/>
              </w:rPr>
            </w:pPr>
            <w:r>
              <w:rPr>
                <w:rFonts w:asciiTheme="minorHAnsi" w:hAnsiTheme="minorHAnsi"/>
                <w:color w:val="000000" w:themeColor="text1"/>
                <w:szCs w:val="24"/>
              </w:rPr>
              <w:t>21</w:t>
            </w:r>
            <w:r w:rsidR="00B96DB7">
              <w:rPr>
                <w:rFonts w:asciiTheme="minorHAnsi" w:hAnsiTheme="minorHAnsi"/>
                <w:color w:val="000000" w:themeColor="text1"/>
                <w:szCs w:val="24"/>
              </w:rPr>
              <w:t>/</w:t>
            </w:r>
            <w:r w:rsidR="00BB5B52">
              <w:rPr>
                <w:rFonts w:asciiTheme="minorHAnsi" w:hAnsiTheme="minorHAnsi"/>
                <w:color w:val="000000" w:themeColor="text1"/>
                <w:szCs w:val="24"/>
              </w:rPr>
              <w:t>03</w:t>
            </w:r>
            <w:r w:rsidR="00B96DB7">
              <w:rPr>
                <w:rFonts w:asciiTheme="minorHAnsi" w:hAnsiTheme="minorHAnsi"/>
                <w:color w:val="000000" w:themeColor="text1"/>
                <w:szCs w:val="24"/>
              </w:rPr>
              <w:t>/2025</w:t>
            </w:r>
          </w:p>
        </w:tc>
        <w:tc>
          <w:tcPr>
            <w:tcW w:w="2967" w:type="pct"/>
          </w:tcPr>
          <w:p w14:paraId="44CCF091" w14:textId="77777777" w:rsidR="00B96DB7" w:rsidRDefault="00B96DB7" w:rsidP="00A37107">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24"/>
              </w:rPr>
            </w:pPr>
            <w:r>
              <w:rPr>
                <w:rFonts w:asciiTheme="minorHAnsi" w:hAnsiTheme="minorHAnsi"/>
                <w:color w:val="000000" w:themeColor="text1"/>
                <w:szCs w:val="24"/>
              </w:rPr>
              <w:t>Initial publication</w:t>
            </w:r>
          </w:p>
        </w:tc>
      </w:tr>
      <w:tr w:rsidR="38D85B78" w14:paraId="65441BFD" w14:textId="77777777" w:rsidTr="38D85B78">
        <w:trPr>
          <w:trHeight w:val="300"/>
        </w:trPr>
        <w:tc>
          <w:tcPr>
            <w:cnfStyle w:val="001000000000" w:firstRow="0" w:lastRow="0" w:firstColumn="1" w:lastColumn="0" w:oddVBand="0" w:evenVBand="0" w:oddHBand="0" w:evenHBand="0" w:firstRowFirstColumn="0" w:firstRowLastColumn="0" w:lastRowFirstColumn="0" w:lastRowLastColumn="0"/>
            <w:tcW w:w="1837" w:type="dxa"/>
          </w:tcPr>
          <w:p w14:paraId="19FD847B" w14:textId="37F1F9D8" w:rsidR="6A20ACDC" w:rsidRDefault="6A20ACDC" w:rsidP="38D85B78">
            <w:pPr>
              <w:rPr>
                <w:rFonts w:asciiTheme="minorHAnsi" w:hAnsiTheme="minorHAnsi"/>
                <w:b w:val="0"/>
                <w:bCs w:val="0"/>
                <w:color w:val="000000" w:themeColor="text1"/>
              </w:rPr>
            </w:pPr>
            <w:r w:rsidRPr="38D85B78">
              <w:rPr>
                <w:rFonts w:asciiTheme="minorHAnsi" w:hAnsiTheme="minorHAnsi"/>
                <w:b w:val="0"/>
                <w:bCs w:val="0"/>
                <w:color w:val="000000" w:themeColor="text1"/>
              </w:rPr>
              <w:t>2</w:t>
            </w:r>
          </w:p>
        </w:tc>
        <w:tc>
          <w:tcPr>
            <w:tcW w:w="1986" w:type="dxa"/>
          </w:tcPr>
          <w:p w14:paraId="24B46C21" w14:textId="1BEA3F46" w:rsidR="6A20ACDC" w:rsidRDefault="6A20ACDC" w:rsidP="38D85B78">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rPr>
            </w:pPr>
            <w:r w:rsidRPr="38D85B78">
              <w:rPr>
                <w:rFonts w:asciiTheme="minorHAnsi" w:hAnsiTheme="minorHAnsi"/>
                <w:color w:val="000000" w:themeColor="text1"/>
              </w:rPr>
              <w:t>09/07/2025</w:t>
            </w:r>
          </w:p>
        </w:tc>
        <w:tc>
          <w:tcPr>
            <w:tcW w:w="5579" w:type="dxa"/>
          </w:tcPr>
          <w:p w14:paraId="0763DC7D" w14:textId="03525648" w:rsidR="6A20ACDC" w:rsidRDefault="006C15D3" w:rsidP="38D85B78">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rPr>
            </w:pPr>
            <w:r>
              <w:rPr>
                <w:rFonts w:asciiTheme="minorHAnsi" w:hAnsiTheme="minorHAnsi"/>
                <w:color w:val="000000" w:themeColor="text1"/>
              </w:rPr>
              <w:t>Update for 2025-26 reporting period</w:t>
            </w:r>
          </w:p>
        </w:tc>
      </w:tr>
    </w:tbl>
    <w:p w14:paraId="7936FF57" w14:textId="77777777" w:rsidR="00B96DB7" w:rsidRDefault="00B96DB7" w:rsidP="00B96DB7">
      <w:pPr>
        <w:pStyle w:val="BodyText1"/>
      </w:pPr>
    </w:p>
    <w:p w14:paraId="69B7AEEC" w14:textId="77777777" w:rsidR="005F5F5F" w:rsidRPr="00294736" w:rsidRDefault="005F5F5F" w:rsidP="00294736"/>
    <w:sectPr w:rsidR="005F5F5F" w:rsidRPr="00294736" w:rsidSect="00D22BED">
      <w:pgSz w:w="11906" w:h="16838" w:code="9"/>
      <w:pgMar w:top="1739" w:right="1247" w:bottom="1247" w:left="1247" w:header="284"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Author" w:initials="A">
    <w:p w14:paraId="533F74E4" w14:textId="5BD95E3F" w:rsidR="00296A96" w:rsidRDefault="00296A96" w:rsidP="00296A96">
      <w:pPr>
        <w:pStyle w:val="CommentText"/>
      </w:pPr>
      <w:r>
        <w:rPr>
          <w:rStyle w:val="CommentReference"/>
        </w:rPr>
        <w:annotationRef/>
      </w:r>
      <w:r>
        <w:t>R2(a)</w:t>
      </w:r>
    </w:p>
  </w:comment>
  <w:comment w:id="3" w:author="Author" w:initials="A">
    <w:p w14:paraId="0090075F" w14:textId="77777777" w:rsidR="00925452" w:rsidRDefault="00925452" w:rsidP="00925452">
      <w:pPr>
        <w:pStyle w:val="CommentText"/>
      </w:pPr>
      <w:r>
        <w:rPr>
          <w:rStyle w:val="CommentReference"/>
        </w:rPr>
        <w:annotationRef/>
      </w:r>
      <w:r>
        <w:t>R1(a), R1(a)iv, R1(a)v, R1(c)</w:t>
      </w:r>
    </w:p>
  </w:comment>
  <w:comment w:id="4" w:author="Author" w:initials="A">
    <w:p w14:paraId="5816E0A2" w14:textId="77777777" w:rsidR="00E849B4" w:rsidRDefault="00E849B4" w:rsidP="00E849B4">
      <w:pPr>
        <w:pStyle w:val="CommentText"/>
      </w:pPr>
      <w:r>
        <w:rPr>
          <w:rStyle w:val="CommentReference"/>
        </w:rPr>
        <w:annotationRef/>
      </w:r>
      <w:r>
        <w:t>R1(b)</w:t>
      </w:r>
    </w:p>
  </w:comment>
  <w:comment w:id="5" w:author="Author" w:initials="A">
    <w:p w14:paraId="58FE33E7" w14:textId="77777777" w:rsidR="008B57B4" w:rsidRDefault="008B57B4" w:rsidP="008B57B4">
      <w:pPr>
        <w:pStyle w:val="CommentText"/>
      </w:pPr>
      <w:r>
        <w:rPr>
          <w:rStyle w:val="CommentReference"/>
        </w:rPr>
        <w:annotationRef/>
      </w:r>
      <w:r>
        <w:t>R1(a)i</w:t>
      </w:r>
    </w:p>
  </w:comment>
  <w:comment w:id="11" w:author="Author" w:initials="A">
    <w:p w14:paraId="1BFC5915" w14:textId="466B3AA5" w:rsidR="002430EE" w:rsidRDefault="002430EE" w:rsidP="002430EE">
      <w:pPr>
        <w:pStyle w:val="CommentText"/>
      </w:pPr>
      <w:r>
        <w:rPr>
          <w:rStyle w:val="CommentReference"/>
        </w:rPr>
        <w:annotationRef/>
      </w:r>
      <w:r>
        <w:t>R1(a)v</w:t>
      </w:r>
    </w:p>
  </w:comment>
  <w:comment w:id="13" w:author="Author" w:initials="A">
    <w:p w14:paraId="6BEC009F" w14:textId="77777777" w:rsidR="002430EE" w:rsidRDefault="00435897" w:rsidP="002430EE">
      <w:pPr>
        <w:pStyle w:val="CommentText"/>
      </w:pPr>
      <w:r>
        <w:rPr>
          <w:rStyle w:val="CommentReference"/>
        </w:rPr>
        <w:annotationRef/>
      </w:r>
      <w:r w:rsidR="002430EE">
        <w:t>R1(a)iv</w:t>
      </w:r>
    </w:p>
  </w:comment>
  <w:comment w:id="14" w:author="Author" w:initials="A">
    <w:p w14:paraId="00B839C3" w14:textId="77777777" w:rsidR="002430EE" w:rsidRDefault="002430EE" w:rsidP="002430EE">
      <w:pPr>
        <w:pStyle w:val="CommentText"/>
      </w:pPr>
      <w:r>
        <w:rPr>
          <w:rStyle w:val="CommentReference"/>
        </w:rPr>
        <w:annotationRef/>
      </w:r>
      <w:r>
        <w:t>R1(a)iv</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33F74E4" w15:done="0"/>
  <w15:commentEx w15:paraId="0090075F" w15:done="0"/>
  <w15:commentEx w15:paraId="5816E0A2" w15:done="0"/>
  <w15:commentEx w15:paraId="58FE33E7" w15:done="0"/>
  <w15:commentEx w15:paraId="1BFC5915" w15:done="0"/>
  <w15:commentEx w15:paraId="6BEC009F" w15:done="0"/>
  <w15:commentEx w15:paraId="00B839C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33F74E4" w16cid:durableId="76AA05E5"/>
  <w16cid:commentId w16cid:paraId="0090075F" w16cid:durableId="1069B622"/>
  <w16cid:commentId w16cid:paraId="5816E0A2" w16cid:durableId="4060669B"/>
  <w16cid:commentId w16cid:paraId="58FE33E7" w16cid:durableId="5798B0A6"/>
  <w16cid:commentId w16cid:paraId="1BFC5915" w16cid:durableId="28E11565"/>
  <w16cid:commentId w16cid:paraId="6BEC009F" w16cid:durableId="4EDE74A5"/>
  <w16cid:commentId w16cid:paraId="00B839C3" w16cid:durableId="2FFABA6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11CA4E" w14:textId="77777777" w:rsidR="003D465D" w:rsidRDefault="003D465D" w:rsidP="0030644C">
      <w:pPr>
        <w:spacing w:after="0"/>
      </w:pPr>
      <w:r>
        <w:separator/>
      </w:r>
    </w:p>
  </w:endnote>
  <w:endnote w:type="continuationSeparator" w:id="0">
    <w:p w14:paraId="05B8D5DA" w14:textId="77777777" w:rsidR="003D465D" w:rsidRDefault="003D465D" w:rsidP="0030644C">
      <w:pPr>
        <w:spacing w:after="0"/>
      </w:pPr>
      <w:r>
        <w:continuationSeparator/>
      </w:r>
    </w:p>
  </w:endnote>
  <w:endnote w:type="continuationNotice" w:id="1">
    <w:p w14:paraId="15D63112" w14:textId="77777777" w:rsidR="003D465D" w:rsidRDefault="003D465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altName w:val="Calibri"/>
    <w:charset w:val="00"/>
    <w:family w:val="auto"/>
    <w:pitch w:val="variable"/>
    <w:sig w:usb0="8000002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yriad Pro Light">
    <w:altName w:val="Segoe UI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1947330"/>
      <w:docPartObj>
        <w:docPartGallery w:val="Page Numbers (Bottom of Page)"/>
        <w:docPartUnique/>
      </w:docPartObj>
    </w:sdtPr>
    <w:sdtEndPr>
      <w:rPr>
        <w:rStyle w:val="FooterChar"/>
        <w:color w:val="0D0D0D" w:themeColor="text1" w:themeTint="F2"/>
        <w:sz w:val="18"/>
        <w:szCs w:val="18"/>
      </w:rPr>
    </w:sdtEndPr>
    <w:sdtContent>
      <w:p w14:paraId="6547CE37" w14:textId="399CBB98" w:rsidR="006A0540" w:rsidRPr="00864D66" w:rsidRDefault="006A0540" w:rsidP="001125AC">
        <w:pPr>
          <w:pStyle w:val="BodyText1"/>
          <w:rPr>
            <w:rStyle w:val="FooterChar"/>
          </w:rPr>
        </w:pPr>
        <w:r w:rsidRPr="000969C3">
          <w:rPr>
            <w:rStyle w:val="FooterChar"/>
          </w:rPr>
          <w:fldChar w:fldCharType="begin"/>
        </w:r>
        <w:r w:rsidRPr="000969C3">
          <w:rPr>
            <w:rStyle w:val="FooterChar"/>
          </w:rPr>
          <w:instrText xml:space="preserve"> PAGE   \* MERGEFORMAT </w:instrText>
        </w:r>
        <w:r w:rsidRPr="000969C3">
          <w:rPr>
            <w:rStyle w:val="FooterChar"/>
          </w:rPr>
          <w:fldChar w:fldCharType="separate"/>
        </w:r>
        <w:r>
          <w:rPr>
            <w:rStyle w:val="FooterChar"/>
          </w:rPr>
          <w:t>1</w:t>
        </w:r>
        <w:r w:rsidRPr="000969C3">
          <w:rPr>
            <w:rStyle w:val="FooterChar"/>
            <w:noProof/>
          </w:rPr>
          <w:fldChar w:fldCharType="end"/>
        </w:r>
        <w:r w:rsidRPr="000969C3">
          <w:rPr>
            <w:rStyle w:val="FooterChar"/>
          </w:rPr>
          <w:t xml:space="preserve"> | </w:t>
        </w:r>
        <w:r w:rsidR="00670978">
          <w:rPr>
            <w:rStyle w:val="FooterChar"/>
          </w:rPr>
          <w:t>COMMONWEALTH CLIMATE DISCLOSURE</w:t>
        </w:r>
        <w:r w:rsidRPr="00864D66">
          <w:rPr>
            <w:rStyle w:val="FooterChar"/>
          </w:rPr>
          <w:t xml:space="preserve"> </w:t>
        </w:r>
        <w:r w:rsidR="00434888">
          <w:rPr>
            <w:rStyle w:val="FooterChar"/>
          </w:rPr>
          <w:t>–</w:t>
        </w:r>
        <w:r>
          <w:rPr>
            <w:rStyle w:val="FooterChar"/>
          </w:rPr>
          <w:t xml:space="preserve"> </w:t>
        </w:r>
        <w:r w:rsidR="00434888">
          <w:rPr>
            <w:rStyle w:val="FooterChar"/>
          </w:rPr>
          <w:t xml:space="preserve">Example </w:t>
        </w:r>
        <w:r w:rsidR="00843C45">
          <w:rPr>
            <w:rStyle w:val="FooterChar"/>
          </w:rPr>
          <w:t>Risk Management</w:t>
        </w:r>
        <w:r w:rsidR="00434888">
          <w:rPr>
            <w:rStyle w:val="FooterChar"/>
          </w:rPr>
          <w:t xml:space="preserve"> Disclosure – </w:t>
        </w:r>
        <w:r w:rsidR="00D17AE7">
          <w:rPr>
            <w:rStyle w:val="FooterChar"/>
          </w:rPr>
          <w:t>Small SIV</w:t>
        </w:r>
        <w:r>
          <w:rPr>
            <w:rStyle w:val="FooterChar"/>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1485992"/>
      <w:docPartObj>
        <w:docPartGallery w:val="Page Numbers (Bottom of Page)"/>
        <w:docPartUnique/>
      </w:docPartObj>
    </w:sdtPr>
    <w:sdtEndPr>
      <w:rPr>
        <w:rStyle w:val="FooterChar"/>
        <w:color w:val="0D0D0D" w:themeColor="text1" w:themeTint="F2"/>
        <w:sz w:val="18"/>
        <w:szCs w:val="18"/>
      </w:rPr>
    </w:sdtEndPr>
    <w:sdtContent>
      <w:p w14:paraId="5DFB1B0E" w14:textId="325F27EE" w:rsidR="002F0593" w:rsidRPr="00864D66" w:rsidRDefault="00966D24" w:rsidP="001125AC">
        <w:pPr>
          <w:pStyle w:val="BodyText1"/>
          <w:rPr>
            <w:rStyle w:val="FooterChar"/>
          </w:rPr>
        </w:pPr>
        <w:r w:rsidRPr="000969C3">
          <w:rPr>
            <w:rStyle w:val="FooterChar"/>
          </w:rPr>
          <w:fldChar w:fldCharType="begin"/>
        </w:r>
        <w:r w:rsidRPr="000969C3">
          <w:rPr>
            <w:rStyle w:val="FooterChar"/>
          </w:rPr>
          <w:instrText xml:space="preserve"> PAGE   \* MERGEFORMAT </w:instrText>
        </w:r>
        <w:r w:rsidRPr="000969C3">
          <w:rPr>
            <w:rStyle w:val="FooterChar"/>
          </w:rPr>
          <w:fldChar w:fldCharType="separate"/>
        </w:r>
        <w:r>
          <w:rPr>
            <w:rStyle w:val="FooterChar"/>
          </w:rPr>
          <w:t>1</w:t>
        </w:r>
        <w:r w:rsidRPr="000969C3">
          <w:rPr>
            <w:rStyle w:val="FooterChar"/>
            <w:noProof/>
          </w:rPr>
          <w:fldChar w:fldCharType="end"/>
        </w:r>
        <w:r w:rsidRPr="000969C3">
          <w:rPr>
            <w:rStyle w:val="FooterChar"/>
          </w:rPr>
          <w:t xml:space="preserve"> | </w:t>
        </w:r>
        <w:r w:rsidR="00670978">
          <w:rPr>
            <w:rStyle w:val="FooterChar"/>
          </w:rPr>
          <w:t>COMMONWEALTH CLIMATE DISCLOSURE</w:t>
        </w:r>
        <w:r w:rsidR="002F0593" w:rsidRPr="00864D66">
          <w:rPr>
            <w:rStyle w:val="FooterChar"/>
          </w:rPr>
          <w:t xml:space="preserve"> </w:t>
        </w:r>
        <w:r w:rsidR="003936E8">
          <w:rPr>
            <w:rStyle w:val="FooterChar"/>
          </w:rPr>
          <w:t>–</w:t>
        </w:r>
        <w:r w:rsidR="00022690">
          <w:rPr>
            <w:rStyle w:val="FooterChar"/>
          </w:rPr>
          <w:t xml:space="preserve"> </w:t>
        </w:r>
        <w:r w:rsidR="003936E8">
          <w:rPr>
            <w:rStyle w:val="FooterChar"/>
          </w:rPr>
          <w:t xml:space="preserve">Example </w:t>
        </w:r>
        <w:r w:rsidR="006B15E3">
          <w:rPr>
            <w:rStyle w:val="FooterChar"/>
          </w:rPr>
          <w:t>Risk Management</w:t>
        </w:r>
        <w:r w:rsidR="003936E8">
          <w:rPr>
            <w:rStyle w:val="FooterChar"/>
          </w:rPr>
          <w:t xml:space="preserve"> Disclosure</w:t>
        </w:r>
        <w:r w:rsidR="002F0593">
          <w:rPr>
            <w:rStyle w:val="FooterChar"/>
          </w:rPr>
          <w:t xml:space="preserve"> </w:t>
        </w:r>
        <w:r w:rsidR="00E94099">
          <w:rPr>
            <w:rStyle w:val="FooterChar"/>
          </w:rPr>
          <w:t xml:space="preserve">– </w:t>
        </w:r>
        <w:r w:rsidR="00CA19EF">
          <w:rPr>
            <w:rStyle w:val="FooterChar"/>
          </w:rPr>
          <w:t>Small SIV</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6B1AC3" w14:textId="77777777" w:rsidR="003D465D" w:rsidRPr="00FA00FB" w:rsidRDefault="003D465D" w:rsidP="001125AC">
      <w:pPr>
        <w:pStyle w:val="Footer"/>
      </w:pPr>
    </w:p>
  </w:footnote>
  <w:footnote w:type="continuationSeparator" w:id="0">
    <w:p w14:paraId="0C6866CC" w14:textId="77777777" w:rsidR="003D465D" w:rsidRDefault="003D465D" w:rsidP="0030644C">
      <w:pPr>
        <w:spacing w:after="0"/>
      </w:pPr>
      <w:r>
        <w:continuationSeparator/>
      </w:r>
    </w:p>
  </w:footnote>
  <w:footnote w:type="continuationNotice" w:id="1">
    <w:p w14:paraId="52148B04" w14:textId="77777777" w:rsidR="003D465D" w:rsidRDefault="003D465D">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B43FA" w14:textId="7EF5120F" w:rsidR="00EC6266" w:rsidRDefault="00EC6266" w:rsidP="00EC6266">
    <w:pPr>
      <w:pStyle w:val="Header"/>
      <w:tabs>
        <w:tab w:val="clear" w:pos="3119"/>
        <w:tab w:val="clear" w:pos="4513"/>
        <w:tab w:val="clear" w:pos="9026"/>
        <w:tab w:val="left" w:pos="636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2394B" w14:textId="4739B066" w:rsidR="001146A7" w:rsidRPr="004924F5" w:rsidRDefault="00F443C2" w:rsidP="004924F5">
    <w:pPr>
      <w:pStyle w:val="Header"/>
      <w:pBdr>
        <w:bottom w:val="none" w:sz="0" w:space="0" w:color="auto"/>
      </w:pBdr>
      <w:rPr>
        <w:b/>
        <w:bCs/>
      </w:rPr>
    </w:pPr>
    <w:r>
      <w:rPr>
        <w:noProof/>
      </w:rPr>
      <w:drawing>
        <wp:anchor distT="0" distB="0" distL="114300" distR="114300" simplePos="0" relativeHeight="251658240" behindDoc="0" locked="0" layoutInCell="1" allowOverlap="1" wp14:anchorId="0B3110F3" wp14:editId="6C5CF65E">
          <wp:simplePos x="0" y="0"/>
          <wp:positionH relativeFrom="page">
            <wp:posOffset>-38100</wp:posOffset>
          </wp:positionH>
          <wp:positionV relativeFrom="paragraph">
            <wp:posOffset>-203200</wp:posOffset>
          </wp:positionV>
          <wp:extent cx="7587310" cy="2392680"/>
          <wp:effectExtent l="0" t="0" r="0" b="7620"/>
          <wp:wrapNone/>
          <wp:docPr id="1455998767" name="Picture 1455998767"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10649" name="Picture 1018110649" descr="A close up of a pla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09989" cy="2399832"/>
                  </a:xfrm>
                  <a:prstGeom prst="rect">
                    <a:avLst/>
                  </a:prstGeom>
                  <a:solidFill>
                    <a:schemeClr val="accent2"/>
                  </a:solid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225E0" w14:textId="133297AF" w:rsidR="004E3D9D" w:rsidRDefault="004E3D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F9787"/>
    <w:multiLevelType w:val="hybridMultilevel"/>
    <w:tmpl w:val="FFFFFFFF"/>
    <w:lvl w:ilvl="0" w:tplc="E182B3A2">
      <w:start w:val="1"/>
      <w:numFmt w:val="bullet"/>
      <w:lvlText w:val=""/>
      <w:lvlJc w:val="left"/>
      <w:pPr>
        <w:ind w:left="720" w:hanging="360"/>
      </w:pPr>
      <w:rPr>
        <w:rFonts w:ascii="Symbol" w:hAnsi="Symbol" w:hint="default"/>
      </w:rPr>
    </w:lvl>
    <w:lvl w:ilvl="1" w:tplc="FA8A0DC4">
      <w:start w:val="1"/>
      <w:numFmt w:val="bullet"/>
      <w:lvlText w:val="o"/>
      <w:lvlJc w:val="left"/>
      <w:pPr>
        <w:ind w:left="1440" w:hanging="360"/>
      </w:pPr>
      <w:rPr>
        <w:rFonts w:ascii="Courier New" w:hAnsi="Courier New" w:hint="default"/>
      </w:rPr>
    </w:lvl>
    <w:lvl w:ilvl="2" w:tplc="88ACA7A0">
      <w:start w:val="1"/>
      <w:numFmt w:val="bullet"/>
      <w:lvlText w:val=""/>
      <w:lvlJc w:val="left"/>
      <w:pPr>
        <w:ind w:left="2160" w:hanging="360"/>
      </w:pPr>
      <w:rPr>
        <w:rFonts w:ascii="Wingdings" w:hAnsi="Wingdings" w:hint="default"/>
      </w:rPr>
    </w:lvl>
    <w:lvl w:ilvl="3" w:tplc="107256F4">
      <w:start w:val="1"/>
      <w:numFmt w:val="bullet"/>
      <w:lvlText w:val=""/>
      <w:lvlJc w:val="left"/>
      <w:pPr>
        <w:ind w:left="2880" w:hanging="360"/>
      </w:pPr>
      <w:rPr>
        <w:rFonts w:ascii="Symbol" w:hAnsi="Symbol" w:hint="default"/>
      </w:rPr>
    </w:lvl>
    <w:lvl w:ilvl="4" w:tplc="54F4AF50">
      <w:start w:val="1"/>
      <w:numFmt w:val="bullet"/>
      <w:lvlText w:val="o"/>
      <w:lvlJc w:val="left"/>
      <w:pPr>
        <w:ind w:left="3600" w:hanging="360"/>
      </w:pPr>
      <w:rPr>
        <w:rFonts w:ascii="Courier New" w:hAnsi="Courier New" w:hint="default"/>
      </w:rPr>
    </w:lvl>
    <w:lvl w:ilvl="5" w:tplc="3D927E96">
      <w:start w:val="1"/>
      <w:numFmt w:val="bullet"/>
      <w:lvlText w:val=""/>
      <w:lvlJc w:val="left"/>
      <w:pPr>
        <w:ind w:left="4320" w:hanging="360"/>
      </w:pPr>
      <w:rPr>
        <w:rFonts w:ascii="Wingdings" w:hAnsi="Wingdings" w:hint="default"/>
      </w:rPr>
    </w:lvl>
    <w:lvl w:ilvl="6" w:tplc="B776DE64">
      <w:start w:val="1"/>
      <w:numFmt w:val="bullet"/>
      <w:lvlText w:val=""/>
      <w:lvlJc w:val="left"/>
      <w:pPr>
        <w:ind w:left="5040" w:hanging="360"/>
      </w:pPr>
      <w:rPr>
        <w:rFonts w:ascii="Symbol" w:hAnsi="Symbol" w:hint="default"/>
      </w:rPr>
    </w:lvl>
    <w:lvl w:ilvl="7" w:tplc="3E72EF2E">
      <w:start w:val="1"/>
      <w:numFmt w:val="bullet"/>
      <w:lvlText w:val="o"/>
      <w:lvlJc w:val="left"/>
      <w:pPr>
        <w:ind w:left="5760" w:hanging="360"/>
      </w:pPr>
      <w:rPr>
        <w:rFonts w:ascii="Courier New" w:hAnsi="Courier New" w:hint="default"/>
      </w:rPr>
    </w:lvl>
    <w:lvl w:ilvl="8" w:tplc="45F41342">
      <w:start w:val="1"/>
      <w:numFmt w:val="bullet"/>
      <w:lvlText w:val=""/>
      <w:lvlJc w:val="left"/>
      <w:pPr>
        <w:ind w:left="6480" w:hanging="360"/>
      </w:pPr>
      <w:rPr>
        <w:rFonts w:ascii="Wingdings" w:hAnsi="Wingdings" w:hint="default"/>
      </w:rPr>
    </w:lvl>
  </w:abstractNum>
  <w:abstractNum w:abstractNumId="1" w15:restartNumberingAfterBreak="0">
    <w:nsid w:val="11AF2C2D"/>
    <w:multiLevelType w:val="singleLevel"/>
    <w:tmpl w:val="3CB67C72"/>
    <w:lvl w:ilvl="0">
      <w:start w:val="1"/>
      <w:numFmt w:val="bullet"/>
      <w:pStyle w:val="Bullet2ndlevel"/>
      <w:lvlText w:val="–"/>
      <w:lvlJc w:val="left"/>
      <w:pPr>
        <w:tabs>
          <w:tab w:val="num" w:pos="340"/>
        </w:tabs>
        <w:ind w:left="340" w:hanging="340"/>
      </w:pPr>
      <w:rPr>
        <w:rFonts w:ascii="Univers 45 Light" w:hAnsi="Univers 45 Light" w:hint="default"/>
        <w:color w:val="auto"/>
        <w:sz w:val="22"/>
      </w:rPr>
    </w:lvl>
  </w:abstractNum>
  <w:abstractNum w:abstractNumId="2" w15:restartNumberingAfterBreak="0">
    <w:nsid w:val="29527C01"/>
    <w:multiLevelType w:val="hybridMultilevel"/>
    <w:tmpl w:val="DA300A9C"/>
    <w:lvl w:ilvl="0" w:tplc="120A5AE2">
      <w:numFmt w:val="bullet"/>
      <w:lvlText w:val=""/>
      <w:lvlJc w:val="left"/>
      <w:pPr>
        <w:ind w:left="720" w:hanging="360"/>
      </w:pPr>
      <w:rPr>
        <w:rFonts w:ascii="Symbol" w:hAnsi="Symbol" w:hint="default"/>
      </w:rPr>
    </w:lvl>
    <w:lvl w:ilvl="1" w:tplc="0C2AF6B2" w:tentative="1">
      <w:start w:val="1"/>
      <w:numFmt w:val="bullet"/>
      <w:lvlText w:val="o"/>
      <w:lvlJc w:val="left"/>
      <w:pPr>
        <w:ind w:left="1440" w:hanging="360"/>
      </w:pPr>
      <w:rPr>
        <w:rFonts w:ascii="Courier New" w:hAnsi="Courier New" w:hint="default"/>
      </w:rPr>
    </w:lvl>
    <w:lvl w:ilvl="2" w:tplc="8DD83538" w:tentative="1">
      <w:start w:val="1"/>
      <w:numFmt w:val="bullet"/>
      <w:lvlText w:val=""/>
      <w:lvlJc w:val="left"/>
      <w:pPr>
        <w:ind w:left="2160" w:hanging="360"/>
      </w:pPr>
      <w:rPr>
        <w:rFonts w:ascii="Wingdings" w:hAnsi="Wingdings" w:hint="default"/>
      </w:rPr>
    </w:lvl>
    <w:lvl w:ilvl="3" w:tplc="0A60503E" w:tentative="1">
      <w:start w:val="1"/>
      <w:numFmt w:val="bullet"/>
      <w:lvlText w:val=""/>
      <w:lvlJc w:val="left"/>
      <w:pPr>
        <w:ind w:left="2880" w:hanging="360"/>
      </w:pPr>
      <w:rPr>
        <w:rFonts w:ascii="Symbol" w:hAnsi="Symbol" w:hint="default"/>
      </w:rPr>
    </w:lvl>
    <w:lvl w:ilvl="4" w:tplc="ED1AB112" w:tentative="1">
      <w:start w:val="1"/>
      <w:numFmt w:val="bullet"/>
      <w:lvlText w:val="o"/>
      <w:lvlJc w:val="left"/>
      <w:pPr>
        <w:ind w:left="3600" w:hanging="360"/>
      </w:pPr>
      <w:rPr>
        <w:rFonts w:ascii="Courier New" w:hAnsi="Courier New" w:hint="default"/>
      </w:rPr>
    </w:lvl>
    <w:lvl w:ilvl="5" w:tplc="887ED506" w:tentative="1">
      <w:start w:val="1"/>
      <w:numFmt w:val="bullet"/>
      <w:lvlText w:val=""/>
      <w:lvlJc w:val="left"/>
      <w:pPr>
        <w:ind w:left="4320" w:hanging="360"/>
      </w:pPr>
      <w:rPr>
        <w:rFonts w:ascii="Wingdings" w:hAnsi="Wingdings" w:hint="default"/>
      </w:rPr>
    </w:lvl>
    <w:lvl w:ilvl="6" w:tplc="CB4CC106" w:tentative="1">
      <w:start w:val="1"/>
      <w:numFmt w:val="bullet"/>
      <w:lvlText w:val=""/>
      <w:lvlJc w:val="left"/>
      <w:pPr>
        <w:ind w:left="5040" w:hanging="360"/>
      </w:pPr>
      <w:rPr>
        <w:rFonts w:ascii="Symbol" w:hAnsi="Symbol" w:hint="default"/>
      </w:rPr>
    </w:lvl>
    <w:lvl w:ilvl="7" w:tplc="BDC48C66" w:tentative="1">
      <w:start w:val="1"/>
      <w:numFmt w:val="bullet"/>
      <w:lvlText w:val="o"/>
      <w:lvlJc w:val="left"/>
      <w:pPr>
        <w:ind w:left="5760" w:hanging="360"/>
      </w:pPr>
      <w:rPr>
        <w:rFonts w:ascii="Courier New" w:hAnsi="Courier New" w:hint="default"/>
      </w:rPr>
    </w:lvl>
    <w:lvl w:ilvl="8" w:tplc="C8A88F7E" w:tentative="1">
      <w:start w:val="1"/>
      <w:numFmt w:val="bullet"/>
      <w:lvlText w:val=""/>
      <w:lvlJc w:val="left"/>
      <w:pPr>
        <w:ind w:left="6480" w:hanging="360"/>
      </w:pPr>
      <w:rPr>
        <w:rFonts w:ascii="Wingdings" w:hAnsi="Wingdings" w:hint="default"/>
      </w:rPr>
    </w:lvl>
  </w:abstractNum>
  <w:abstractNum w:abstractNumId="3" w15:restartNumberingAfterBreak="0">
    <w:nsid w:val="34B42E62"/>
    <w:multiLevelType w:val="hybridMultilevel"/>
    <w:tmpl w:val="84AC3544"/>
    <w:lvl w:ilvl="0" w:tplc="52642AC2">
      <w:numFmt w:val="bullet"/>
      <w:lvlText w:val=""/>
      <w:lvlJc w:val="left"/>
      <w:pPr>
        <w:ind w:left="360" w:hanging="360"/>
      </w:pPr>
      <w:rPr>
        <w:rFonts w:ascii="Symbol" w:hAnsi="Symbol" w:hint="default"/>
      </w:rPr>
    </w:lvl>
    <w:lvl w:ilvl="1" w:tplc="9CD297C6" w:tentative="1">
      <w:start w:val="1"/>
      <w:numFmt w:val="bullet"/>
      <w:lvlText w:val="o"/>
      <w:lvlJc w:val="left"/>
      <w:pPr>
        <w:ind w:left="1080" w:hanging="360"/>
      </w:pPr>
      <w:rPr>
        <w:rFonts w:ascii="Courier New" w:hAnsi="Courier New" w:hint="default"/>
      </w:rPr>
    </w:lvl>
    <w:lvl w:ilvl="2" w:tplc="290AC400" w:tentative="1">
      <w:start w:val="1"/>
      <w:numFmt w:val="bullet"/>
      <w:lvlText w:val=""/>
      <w:lvlJc w:val="left"/>
      <w:pPr>
        <w:ind w:left="1800" w:hanging="360"/>
      </w:pPr>
      <w:rPr>
        <w:rFonts w:ascii="Wingdings" w:hAnsi="Wingdings" w:hint="default"/>
      </w:rPr>
    </w:lvl>
    <w:lvl w:ilvl="3" w:tplc="B100FAD2" w:tentative="1">
      <w:start w:val="1"/>
      <w:numFmt w:val="bullet"/>
      <w:lvlText w:val=""/>
      <w:lvlJc w:val="left"/>
      <w:pPr>
        <w:ind w:left="2520" w:hanging="360"/>
      </w:pPr>
      <w:rPr>
        <w:rFonts w:ascii="Symbol" w:hAnsi="Symbol" w:hint="default"/>
      </w:rPr>
    </w:lvl>
    <w:lvl w:ilvl="4" w:tplc="EACE68C6" w:tentative="1">
      <w:start w:val="1"/>
      <w:numFmt w:val="bullet"/>
      <w:lvlText w:val="o"/>
      <w:lvlJc w:val="left"/>
      <w:pPr>
        <w:ind w:left="3240" w:hanging="360"/>
      </w:pPr>
      <w:rPr>
        <w:rFonts w:ascii="Courier New" w:hAnsi="Courier New" w:hint="default"/>
      </w:rPr>
    </w:lvl>
    <w:lvl w:ilvl="5" w:tplc="D93A1C1A" w:tentative="1">
      <w:start w:val="1"/>
      <w:numFmt w:val="bullet"/>
      <w:lvlText w:val=""/>
      <w:lvlJc w:val="left"/>
      <w:pPr>
        <w:ind w:left="3960" w:hanging="360"/>
      </w:pPr>
      <w:rPr>
        <w:rFonts w:ascii="Wingdings" w:hAnsi="Wingdings" w:hint="default"/>
      </w:rPr>
    </w:lvl>
    <w:lvl w:ilvl="6" w:tplc="7E90B71A" w:tentative="1">
      <w:start w:val="1"/>
      <w:numFmt w:val="bullet"/>
      <w:lvlText w:val=""/>
      <w:lvlJc w:val="left"/>
      <w:pPr>
        <w:ind w:left="4680" w:hanging="360"/>
      </w:pPr>
      <w:rPr>
        <w:rFonts w:ascii="Symbol" w:hAnsi="Symbol" w:hint="default"/>
      </w:rPr>
    </w:lvl>
    <w:lvl w:ilvl="7" w:tplc="D2A6C0D4" w:tentative="1">
      <w:start w:val="1"/>
      <w:numFmt w:val="bullet"/>
      <w:lvlText w:val="o"/>
      <w:lvlJc w:val="left"/>
      <w:pPr>
        <w:ind w:left="5400" w:hanging="360"/>
      </w:pPr>
      <w:rPr>
        <w:rFonts w:ascii="Courier New" w:hAnsi="Courier New" w:hint="default"/>
      </w:rPr>
    </w:lvl>
    <w:lvl w:ilvl="8" w:tplc="36C45786" w:tentative="1">
      <w:start w:val="1"/>
      <w:numFmt w:val="bullet"/>
      <w:lvlText w:val=""/>
      <w:lvlJc w:val="left"/>
      <w:pPr>
        <w:ind w:left="6120" w:hanging="360"/>
      </w:pPr>
      <w:rPr>
        <w:rFonts w:ascii="Wingdings" w:hAnsi="Wingdings" w:hint="default"/>
      </w:rPr>
    </w:lvl>
  </w:abstractNum>
  <w:abstractNum w:abstractNumId="4" w15:restartNumberingAfterBreak="0">
    <w:nsid w:val="3FC47B59"/>
    <w:multiLevelType w:val="multilevel"/>
    <w:tmpl w:val="155A5CDE"/>
    <w:lvl w:ilvl="0">
      <w:start w:val="1"/>
      <w:numFmt w:val="decimal"/>
      <w:pStyle w:val="Numberedlist1"/>
      <w:lvlText w:val="%1."/>
      <w:lvlJc w:val="left"/>
      <w:pPr>
        <w:ind w:left="360" w:hanging="360"/>
      </w:pPr>
      <w:rPr>
        <w:rFonts w:ascii="Arial" w:hAnsi="Arial" w:hint="default"/>
        <w:b w:val="0"/>
        <w:i w:val="0"/>
        <w:color w:val="auto"/>
        <w:sz w:val="22"/>
      </w:rPr>
    </w:lvl>
    <w:lvl w:ilvl="1">
      <w:start w:val="1"/>
      <w:numFmt w:val="lowerLetter"/>
      <w:lvlText w:val="%2."/>
      <w:lvlJc w:val="left"/>
      <w:pPr>
        <w:ind w:left="284" w:firstLine="0"/>
      </w:pPr>
      <w:rPr>
        <w:rFonts w:hint="default"/>
      </w:rPr>
    </w:lvl>
    <w:lvl w:ilvl="2">
      <w:start w:val="1"/>
      <w:numFmt w:val="lowerRoman"/>
      <w:lvlText w:val="%3."/>
      <w:lvlJc w:val="right"/>
      <w:pPr>
        <w:ind w:left="284" w:firstLine="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6446CDC"/>
    <w:multiLevelType w:val="hybridMultilevel"/>
    <w:tmpl w:val="CA629FD4"/>
    <w:lvl w:ilvl="0" w:tplc="DCBC9DE6">
      <w:start w:val="1"/>
      <w:numFmt w:val="bullet"/>
      <w:pStyle w:val="Bodybullet1"/>
      <w:lvlText w:val=""/>
      <w:lvlJc w:val="left"/>
      <w:pPr>
        <w:ind w:left="720" w:hanging="360"/>
      </w:pPr>
      <w:rPr>
        <w:rFonts w:ascii="Symbol" w:hAnsi="Symbol" w:hint="default"/>
      </w:rPr>
    </w:lvl>
    <w:lvl w:ilvl="1" w:tplc="10168B74">
      <w:start w:val="1"/>
      <w:numFmt w:val="bullet"/>
      <w:lvlText w:val="o"/>
      <w:lvlJc w:val="left"/>
      <w:pPr>
        <w:ind w:left="1440" w:hanging="360"/>
      </w:pPr>
      <w:rPr>
        <w:rFonts w:ascii="Courier New" w:hAnsi="Courier New" w:hint="default"/>
      </w:rPr>
    </w:lvl>
    <w:lvl w:ilvl="2" w:tplc="58C4B422">
      <w:start w:val="1"/>
      <w:numFmt w:val="bullet"/>
      <w:lvlText w:val=""/>
      <w:lvlJc w:val="left"/>
      <w:pPr>
        <w:ind w:left="2160" w:hanging="360"/>
      </w:pPr>
      <w:rPr>
        <w:rFonts w:ascii="Wingdings" w:hAnsi="Wingdings" w:hint="default"/>
      </w:rPr>
    </w:lvl>
    <w:lvl w:ilvl="3" w:tplc="2AA21264" w:tentative="1">
      <w:start w:val="1"/>
      <w:numFmt w:val="bullet"/>
      <w:lvlText w:val=""/>
      <w:lvlJc w:val="left"/>
      <w:pPr>
        <w:ind w:left="2880" w:hanging="360"/>
      </w:pPr>
      <w:rPr>
        <w:rFonts w:ascii="Symbol" w:hAnsi="Symbol" w:hint="default"/>
      </w:rPr>
    </w:lvl>
    <w:lvl w:ilvl="4" w:tplc="CF98B0F2" w:tentative="1">
      <w:start w:val="1"/>
      <w:numFmt w:val="bullet"/>
      <w:lvlText w:val="o"/>
      <w:lvlJc w:val="left"/>
      <w:pPr>
        <w:ind w:left="3600" w:hanging="360"/>
      </w:pPr>
      <w:rPr>
        <w:rFonts w:ascii="Courier New" w:hAnsi="Courier New" w:hint="default"/>
      </w:rPr>
    </w:lvl>
    <w:lvl w:ilvl="5" w:tplc="BE9E26B4" w:tentative="1">
      <w:start w:val="1"/>
      <w:numFmt w:val="bullet"/>
      <w:lvlText w:val=""/>
      <w:lvlJc w:val="left"/>
      <w:pPr>
        <w:ind w:left="4320" w:hanging="360"/>
      </w:pPr>
      <w:rPr>
        <w:rFonts w:ascii="Wingdings" w:hAnsi="Wingdings" w:hint="default"/>
      </w:rPr>
    </w:lvl>
    <w:lvl w:ilvl="6" w:tplc="1EB0CC1C" w:tentative="1">
      <w:start w:val="1"/>
      <w:numFmt w:val="bullet"/>
      <w:lvlText w:val=""/>
      <w:lvlJc w:val="left"/>
      <w:pPr>
        <w:ind w:left="5040" w:hanging="360"/>
      </w:pPr>
      <w:rPr>
        <w:rFonts w:ascii="Symbol" w:hAnsi="Symbol" w:hint="default"/>
      </w:rPr>
    </w:lvl>
    <w:lvl w:ilvl="7" w:tplc="C238570E" w:tentative="1">
      <w:start w:val="1"/>
      <w:numFmt w:val="bullet"/>
      <w:lvlText w:val="o"/>
      <w:lvlJc w:val="left"/>
      <w:pPr>
        <w:ind w:left="5760" w:hanging="360"/>
      </w:pPr>
      <w:rPr>
        <w:rFonts w:ascii="Courier New" w:hAnsi="Courier New" w:hint="default"/>
      </w:rPr>
    </w:lvl>
    <w:lvl w:ilvl="8" w:tplc="460EFD40" w:tentative="1">
      <w:start w:val="1"/>
      <w:numFmt w:val="bullet"/>
      <w:lvlText w:val=""/>
      <w:lvlJc w:val="left"/>
      <w:pPr>
        <w:ind w:left="6480" w:hanging="360"/>
      </w:pPr>
      <w:rPr>
        <w:rFonts w:ascii="Wingdings" w:hAnsi="Wingdings" w:hint="default"/>
      </w:rPr>
    </w:lvl>
  </w:abstractNum>
  <w:abstractNum w:abstractNumId="6" w15:restartNumberingAfterBreak="0">
    <w:nsid w:val="561236B7"/>
    <w:multiLevelType w:val="hybridMultilevel"/>
    <w:tmpl w:val="0C902D14"/>
    <w:lvl w:ilvl="0" w:tplc="8C587F46">
      <w:start w:val="1"/>
      <w:numFmt w:val="bullet"/>
      <w:pStyle w:val="Tablebullet1"/>
      <w:lvlText w:val="·"/>
      <w:lvlJc w:val="left"/>
      <w:pPr>
        <w:ind w:left="720" w:hanging="360"/>
      </w:pPr>
      <w:rPr>
        <w:rFonts w:ascii="Symbol" w:hAnsi="Symbol" w:hint="default"/>
        <w:color w:val="00477C"/>
        <w:sz w:val="20"/>
      </w:rPr>
    </w:lvl>
    <w:lvl w:ilvl="1" w:tplc="1D2A49C6" w:tentative="1">
      <w:start w:val="1"/>
      <w:numFmt w:val="bullet"/>
      <w:lvlText w:val="o"/>
      <w:lvlJc w:val="left"/>
      <w:pPr>
        <w:ind w:left="1440" w:hanging="360"/>
      </w:pPr>
      <w:rPr>
        <w:rFonts w:ascii="Courier New" w:hAnsi="Courier New" w:hint="default"/>
      </w:rPr>
    </w:lvl>
    <w:lvl w:ilvl="2" w:tplc="80EEB6F4" w:tentative="1">
      <w:start w:val="1"/>
      <w:numFmt w:val="bullet"/>
      <w:lvlText w:val=""/>
      <w:lvlJc w:val="left"/>
      <w:pPr>
        <w:ind w:left="2160" w:hanging="360"/>
      </w:pPr>
      <w:rPr>
        <w:rFonts w:ascii="Wingdings" w:hAnsi="Wingdings" w:hint="default"/>
      </w:rPr>
    </w:lvl>
    <w:lvl w:ilvl="3" w:tplc="610433C2" w:tentative="1">
      <w:start w:val="1"/>
      <w:numFmt w:val="bullet"/>
      <w:lvlText w:val=""/>
      <w:lvlJc w:val="left"/>
      <w:pPr>
        <w:ind w:left="2880" w:hanging="360"/>
      </w:pPr>
      <w:rPr>
        <w:rFonts w:ascii="Symbol" w:hAnsi="Symbol" w:hint="default"/>
      </w:rPr>
    </w:lvl>
    <w:lvl w:ilvl="4" w:tplc="052847D8" w:tentative="1">
      <w:start w:val="1"/>
      <w:numFmt w:val="bullet"/>
      <w:lvlText w:val="o"/>
      <w:lvlJc w:val="left"/>
      <w:pPr>
        <w:ind w:left="3600" w:hanging="360"/>
      </w:pPr>
      <w:rPr>
        <w:rFonts w:ascii="Courier New" w:hAnsi="Courier New" w:hint="default"/>
      </w:rPr>
    </w:lvl>
    <w:lvl w:ilvl="5" w:tplc="7C241356" w:tentative="1">
      <w:start w:val="1"/>
      <w:numFmt w:val="bullet"/>
      <w:lvlText w:val=""/>
      <w:lvlJc w:val="left"/>
      <w:pPr>
        <w:ind w:left="4320" w:hanging="360"/>
      </w:pPr>
      <w:rPr>
        <w:rFonts w:ascii="Wingdings" w:hAnsi="Wingdings" w:hint="default"/>
      </w:rPr>
    </w:lvl>
    <w:lvl w:ilvl="6" w:tplc="0E24C43A" w:tentative="1">
      <w:start w:val="1"/>
      <w:numFmt w:val="bullet"/>
      <w:lvlText w:val=""/>
      <w:lvlJc w:val="left"/>
      <w:pPr>
        <w:ind w:left="5040" w:hanging="360"/>
      </w:pPr>
      <w:rPr>
        <w:rFonts w:ascii="Symbol" w:hAnsi="Symbol" w:hint="default"/>
      </w:rPr>
    </w:lvl>
    <w:lvl w:ilvl="7" w:tplc="5A968F72" w:tentative="1">
      <w:start w:val="1"/>
      <w:numFmt w:val="bullet"/>
      <w:lvlText w:val="o"/>
      <w:lvlJc w:val="left"/>
      <w:pPr>
        <w:ind w:left="5760" w:hanging="360"/>
      </w:pPr>
      <w:rPr>
        <w:rFonts w:ascii="Courier New" w:hAnsi="Courier New" w:hint="default"/>
      </w:rPr>
    </w:lvl>
    <w:lvl w:ilvl="8" w:tplc="9A90F442" w:tentative="1">
      <w:start w:val="1"/>
      <w:numFmt w:val="bullet"/>
      <w:lvlText w:val=""/>
      <w:lvlJc w:val="left"/>
      <w:pPr>
        <w:ind w:left="6480" w:hanging="360"/>
      </w:pPr>
      <w:rPr>
        <w:rFonts w:ascii="Wingdings" w:hAnsi="Wingdings" w:hint="default"/>
      </w:rPr>
    </w:lvl>
  </w:abstractNum>
  <w:abstractNum w:abstractNumId="7" w15:restartNumberingAfterBreak="0">
    <w:nsid w:val="5BD82ACF"/>
    <w:multiLevelType w:val="hybridMultilevel"/>
    <w:tmpl w:val="6EAA0D2E"/>
    <w:lvl w:ilvl="0" w:tplc="FA18FDEA">
      <w:start w:val="1"/>
      <w:numFmt w:val="lowerLetter"/>
      <w:pStyle w:val="Numberedlistabc"/>
      <w:lvlText w:val="%1."/>
      <w:lvlJc w:val="left"/>
      <w:pPr>
        <w:ind w:left="1145" w:hanging="360"/>
      </w:pPr>
      <w:rPr>
        <w:rFonts w:ascii="Arial" w:hAnsi="Arial" w:hint="default"/>
        <w:b w:val="0"/>
        <w:i w:val="0"/>
        <w:sz w:val="20"/>
      </w:rPr>
    </w:lvl>
    <w:lvl w:ilvl="1" w:tplc="0C090019" w:tentative="1">
      <w:start w:val="1"/>
      <w:numFmt w:val="lowerLetter"/>
      <w:lvlText w:val="%2."/>
      <w:lvlJc w:val="left"/>
      <w:pPr>
        <w:ind w:left="1865" w:hanging="360"/>
      </w:pPr>
    </w:lvl>
    <w:lvl w:ilvl="2" w:tplc="1C8815C4">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8" w15:restartNumberingAfterBreak="0">
    <w:nsid w:val="5EA365BA"/>
    <w:multiLevelType w:val="hybridMultilevel"/>
    <w:tmpl w:val="F8F0C988"/>
    <w:lvl w:ilvl="0" w:tplc="C062F39A">
      <w:start w:val="1"/>
      <w:numFmt w:val="bullet"/>
      <w:lvlText w:val="-"/>
      <w:lvlJc w:val="left"/>
      <w:pPr>
        <w:tabs>
          <w:tab w:val="num" w:pos="340"/>
        </w:tabs>
        <w:ind w:left="340" w:hanging="340"/>
      </w:pPr>
      <w:rPr>
        <w:rFonts w:ascii="Univers 45 Light" w:hAnsi="Univers 45 Light" w:hint="default"/>
        <w:color w:val="auto"/>
        <w:sz w:val="22"/>
      </w:rPr>
    </w:lvl>
    <w:lvl w:ilvl="1" w:tplc="EF2AD866" w:tentative="1">
      <w:start w:val="1"/>
      <w:numFmt w:val="bullet"/>
      <w:lvlText w:val="o"/>
      <w:lvlJc w:val="left"/>
      <w:pPr>
        <w:ind w:left="1440" w:hanging="360"/>
      </w:pPr>
      <w:rPr>
        <w:rFonts w:ascii="Courier New" w:hAnsi="Courier New" w:hint="default"/>
      </w:rPr>
    </w:lvl>
    <w:lvl w:ilvl="2" w:tplc="8354BCD6">
      <w:start w:val="1"/>
      <w:numFmt w:val="bullet"/>
      <w:pStyle w:val="Bullet3rdlevel"/>
      <w:lvlText w:val=""/>
      <w:lvlJc w:val="left"/>
      <w:pPr>
        <w:ind w:left="2160" w:hanging="360"/>
      </w:pPr>
      <w:rPr>
        <w:rFonts w:ascii="Wingdings" w:hAnsi="Wingdings" w:hint="default"/>
      </w:rPr>
    </w:lvl>
    <w:lvl w:ilvl="3" w:tplc="E43ED618" w:tentative="1">
      <w:start w:val="1"/>
      <w:numFmt w:val="bullet"/>
      <w:lvlText w:val=""/>
      <w:lvlJc w:val="left"/>
      <w:pPr>
        <w:ind w:left="2880" w:hanging="360"/>
      </w:pPr>
      <w:rPr>
        <w:rFonts w:ascii="Symbol" w:hAnsi="Symbol" w:hint="default"/>
      </w:rPr>
    </w:lvl>
    <w:lvl w:ilvl="4" w:tplc="CE9A8E6E" w:tentative="1">
      <w:start w:val="1"/>
      <w:numFmt w:val="bullet"/>
      <w:lvlText w:val="o"/>
      <w:lvlJc w:val="left"/>
      <w:pPr>
        <w:ind w:left="3600" w:hanging="360"/>
      </w:pPr>
      <w:rPr>
        <w:rFonts w:ascii="Courier New" w:hAnsi="Courier New" w:hint="default"/>
      </w:rPr>
    </w:lvl>
    <w:lvl w:ilvl="5" w:tplc="A7E80E66" w:tentative="1">
      <w:start w:val="1"/>
      <w:numFmt w:val="bullet"/>
      <w:lvlText w:val=""/>
      <w:lvlJc w:val="left"/>
      <w:pPr>
        <w:ind w:left="4320" w:hanging="360"/>
      </w:pPr>
      <w:rPr>
        <w:rFonts w:ascii="Wingdings" w:hAnsi="Wingdings" w:hint="default"/>
      </w:rPr>
    </w:lvl>
    <w:lvl w:ilvl="6" w:tplc="D780F5D6" w:tentative="1">
      <w:start w:val="1"/>
      <w:numFmt w:val="bullet"/>
      <w:lvlText w:val=""/>
      <w:lvlJc w:val="left"/>
      <w:pPr>
        <w:ind w:left="5040" w:hanging="360"/>
      </w:pPr>
      <w:rPr>
        <w:rFonts w:ascii="Symbol" w:hAnsi="Symbol" w:hint="default"/>
      </w:rPr>
    </w:lvl>
    <w:lvl w:ilvl="7" w:tplc="C966F7D8" w:tentative="1">
      <w:start w:val="1"/>
      <w:numFmt w:val="bullet"/>
      <w:lvlText w:val="o"/>
      <w:lvlJc w:val="left"/>
      <w:pPr>
        <w:ind w:left="5760" w:hanging="360"/>
      </w:pPr>
      <w:rPr>
        <w:rFonts w:ascii="Courier New" w:hAnsi="Courier New" w:hint="default"/>
      </w:rPr>
    </w:lvl>
    <w:lvl w:ilvl="8" w:tplc="B00E8484" w:tentative="1">
      <w:start w:val="1"/>
      <w:numFmt w:val="bullet"/>
      <w:lvlText w:val=""/>
      <w:lvlJc w:val="left"/>
      <w:pPr>
        <w:ind w:left="6480" w:hanging="360"/>
      </w:pPr>
      <w:rPr>
        <w:rFonts w:ascii="Wingdings" w:hAnsi="Wingdings" w:hint="default"/>
      </w:rPr>
    </w:lvl>
  </w:abstractNum>
  <w:abstractNum w:abstractNumId="9" w15:restartNumberingAfterBreak="0">
    <w:nsid w:val="665C157E"/>
    <w:multiLevelType w:val="hybridMultilevel"/>
    <w:tmpl w:val="B2225502"/>
    <w:lvl w:ilvl="0" w:tplc="93D82EAC">
      <w:start w:val="1"/>
      <w:numFmt w:val="decimal"/>
      <w:pStyle w:val="Boxed2Text"/>
      <w:lvlText w:val="Action %1."/>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0" w15:restartNumberingAfterBreak="0">
    <w:nsid w:val="66732314"/>
    <w:multiLevelType w:val="hybridMultilevel"/>
    <w:tmpl w:val="7BBAFB70"/>
    <w:lvl w:ilvl="0" w:tplc="346EA9CE">
      <w:numFmt w:val="bullet"/>
      <w:lvlText w:val=""/>
      <w:lvlJc w:val="left"/>
      <w:pPr>
        <w:ind w:left="1080" w:hanging="360"/>
      </w:pPr>
      <w:rPr>
        <w:rFonts w:ascii="Symbol" w:hAnsi="Symbol" w:hint="default"/>
      </w:rPr>
    </w:lvl>
    <w:lvl w:ilvl="1" w:tplc="C4128496" w:tentative="1">
      <w:start w:val="1"/>
      <w:numFmt w:val="bullet"/>
      <w:lvlText w:val="o"/>
      <w:lvlJc w:val="left"/>
      <w:pPr>
        <w:ind w:left="1800" w:hanging="360"/>
      </w:pPr>
      <w:rPr>
        <w:rFonts w:ascii="Courier New" w:hAnsi="Courier New" w:hint="default"/>
      </w:rPr>
    </w:lvl>
    <w:lvl w:ilvl="2" w:tplc="EBEEAA38" w:tentative="1">
      <w:start w:val="1"/>
      <w:numFmt w:val="bullet"/>
      <w:lvlText w:val=""/>
      <w:lvlJc w:val="left"/>
      <w:pPr>
        <w:ind w:left="2520" w:hanging="360"/>
      </w:pPr>
      <w:rPr>
        <w:rFonts w:ascii="Wingdings" w:hAnsi="Wingdings" w:hint="default"/>
      </w:rPr>
    </w:lvl>
    <w:lvl w:ilvl="3" w:tplc="D174E0C0" w:tentative="1">
      <w:start w:val="1"/>
      <w:numFmt w:val="bullet"/>
      <w:lvlText w:val=""/>
      <w:lvlJc w:val="left"/>
      <w:pPr>
        <w:ind w:left="3240" w:hanging="360"/>
      </w:pPr>
      <w:rPr>
        <w:rFonts w:ascii="Symbol" w:hAnsi="Symbol" w:hint="default"/>
      </w:rPr>
    </w:lvl>
    <w:lvl w:ilvl="4" w:tplc="C14C2002" w:tentative="1">
      <w:start w:val="1"/>
      <w:numFmt w:val="bullet"/>
      <w:lvlText w:val="o"/>
      <w:lvlJc w:val="left"/>
      <w:pPr>
        <w:ind w:left="3960" w:hanging="360"/>
      </w:pPr>
      <w:rPr>
        <w:rFonts w:ascii="Courier New" w:hAnsi="Courier New" w:hint="default"/>
      </w:rPr>
    </w:lvl>
    <w:lvl w:ilvl="5" w:tplc="6B565986" w:tentative="1">
      <w:start w:val="1"/>
      <w:numFmt w:val="bullet"/>
      <w:lvlText w:val=""/>
      <w:lvlJc w:val="left"/>
      <w:pPr>
        <w:ind w:left="4680" w:hanging="360"/>
      </w:pPr>
      <w:rPr>
        <w:rFonts w:ascii="Wingdings" w:hAnsi="Wingdings" w:hint="default"/>
      </w:rPr>
    </w:lvl>
    <w:lvl w:ilvl="6" w:tplc="06845D9C" w:tentative="1">
      <w:start w:val="1"/>
      <w:numFmt w:val="bullet"/>
      <w:lvlText w:val=""/>
      <w:lvlJc w:val="left"/>
      <w:pPr>
        <w:ind w:left="5400" w:hanging="360"/>
      </w:pPr>
      <w:rPr>
        <w:rFonts w:ascii="Symbol" w:hAnsi="Symbol" w:hint="default"/>
      </w:rPr>
    </w:lvl>
    <w:lvl w:ilvl="7" w:tplc="C25252B4" w:tentative="1">
      <w:start w:val="1"/>
      <w:numFmt w:val="bullet"/>
      <w:lvlText w:val="o"/>
      <w:lvlJc w:val="left"/>
      <w:pPr>
        <w:ind w:left="6120" w:hanging="360"/>
      </w:pPr>
      <w:rPr>
        <w:rFonts w:ascii="Courier New" w:hAnsi="Courier New" w:hint="default"/>
      </w:rPr>
    </w:lvl>
    <w:lvl w:ilvl="8" w:tplc="1640163C" w:tentative="1">
      <w:start w:val="1"/>
      <w:numFmt w:val="bullet"/>
      <w:lvlText w:val=""/>
      <w:lvlJc w:val="left"/>
      <w:pPr>
        <w:ind w:left="6840" w:hanging="360"/>
      </w:pPr>
      <w:rPr>
        <w:rFonts w:ascii="Wingdings" w:hAnsi="Wingdings" w:hint="default"/>
      </w:rPr>
    </w:lvl>
  </w:abstractNum>
  <w:abstractNum w:abstractNumId="11" w15:restartNumberingAfterBreak="0">
    <w:nsid w:val="69DE479F"/>
    <w:multiLevelType w:val="hybridMultilevel"/>
    <w:tmpl w:val="3F7E4AA4"/>
    <w:lvl w:ilvl="0" w:tplc="82AC8F8C">
      <w:numFmt w:val="bullet"/>
      <w:lvlText w:val=""/>
      <w:lvlJc w:val="left"/>
      <w:pPr>
        <w:ind w:left="720" w:hanging="360"/>
      </w:pPr>
      <w:rPr>
        <w:rFonts w:ascii="Symbol" w:hAnsi="Symbol" w:hint="default"/>
      </w:rPr>
    </w:lvl>
    <w:lvl w:ilvl="1" w:tplc="8848A758" w:tentative="1">
      <w:start w:val="1"/>
      <w:numFmt w:val="bullet"/>
      <w:lvlText w:val="o"/>
      <w:lvlJc w:val="left"/>
      <w:pPr>
        <w:ind w:left="1440" w:hanging="360"/>
      </w:pPr>
      <w:rPr>
        <w:rFonts w:ascii="Courier New" w:hAnsi="Courier New" w:hint="default"/>
      </w:rPr>
    </w:lvl>
    <w:lvl w:ilvl="2" w:tplc="6C30056C" w:tentative="1">
      <w:start w:val="1"/>
      <w:numFmt w:val="bullet"/>
      <w:lvlText w:val=""/>
      <w:lvlJc w:val="left"/>
      <w:pPr>
        <w:ind w:left="2160" w:hanging="360"/>
      </w:pPr>
      <w:rPr>
        <w:rFonts w:ascii="Wingdings" w:hAnsi="Wingdings" w:hint="default"/>
      </w:rPr>
    </w:lvl>
    <w:lvl w:ilvl="3" w:tplc="534C013A" w:tentative="1">
      <w:start w:val="1"/>
      <w:numFmt w:val="bullet"/>
      <w:lvlText w:val=""/>
      <w:lvlJc w:val="left"/>
      <w:pPr>
        <w:ind w:left="2880" w:hanging="360"/>
      </w:pPr>
      <w:rPr>
        <w:rFonts w:ascii="Symbol" w:hAnsi="Symbol" w:hint="default"/>
      </w:rPr>
    </w:lvl>
    <w:lvl w:ilvl="4" w:tplc="88F83C18" w:tentative="1">
      <w:start w:val="1"/>
      <w:numFmt w:val="bullet"/>
      <w:lvlText w:val="o"/>
      <w:lvlJc w:val="left"/>
      <w:pPr>
        <w:ind w:left="3600" w:hanging="360"/>
      </w:pPr>
      <w:rPr>
        <w:rFonts w:ascii="Courier New" w:hAnsi="Courier New" w:hint="default"/>
      </w:rPr>
    </w:lvl>
    <w:lvl w:ilvl="5" w:tplc="AF365844" w:tentative="1">
      <w:start w:val="1"/>
      <w:numFmt w:val="bullet"/>
      <w:lvlText w:val=""/>
      <w:lvlJc w:val="left"/>
      <w:pPr>
        <w:ind w:left="4320" w:hanging="360"/>
      </w:pPr>
      <w:rPr>
        <w:rFonts w:ascii="Wingdings" w:hAnsi="Wingdings" w:hint="default"/>
      </w:rPr>
    </w:lvl>
    <w:lvl w:ilvl="6" w:tplc="B15475C2" w:tentative="1">
      <w:start w:val="1"/>
      <w:numFmt w:val="bullet"/>
      <w:lvlText w:val=""/>
      <w:lvlJc w:val="left"/>
      <w:pPr>
        <w:ind w:left="5040" w:hanging="360"/>
      </w:pPr>
      <w:rPr>
        <w:rFonts w:ascii="Symbol" w:hAnsi="Symbol" w:hint="default"/>
      </w:rPr>
    </w:lvl>
    <w:lvl w:ilvl="7" w:tplc="F7B8FBB2" w:tentative="1">
      <w:start w:val="1"/>
      <w:numFmt w:val="bullet"/>
      <w:lvlText w:val="o"/>
      <w:lvlJc w:val="left"/>
      <w:pPr>
        <w:ind w:left="5760" w:hanging="360"/>
      </w:pPr>
      <w:rPr>
        <w:rFonts w:ascii="Courier New" w:hAnsi="Courier New" w:hint="default"/>
      </w:rPr>
    </w:lvl>
    <w:lvl w:ilvl="8" w:tplc="937686A0" w:tentative="1">
      <w:start w:val="1"/>
      <w:numFmt w:val="bullet"/>
      <w:lvlText w:val=""/>
      <w:lvlJc w:val="left"/>
      <w:pPr>
        <w:ind w:left="6480" w:hanging="360"/>
      </w:pPr>
      <w:rPr>
        <w:rFonts w:ascii="Wingdings" w:hAnsi="Wingdings" w:hint="default"/>
      </w:rPr>
    </w:lvl>
  </w:abstractNum>
  <w:abstractNum w:abstractNumId="12" w15:restartNumberingAfterBreak="0">
    <w:nsid w:val="6DA1064E"/>
    <w:multiLevelType w:val="hybridMultilevel"/>
    <w:tmpl w:val="0AD4A120"/>
    <w:lvl w:ilvl="0" w:tplc="705E5376">
      <w:start w:val="1"/>
      <w:numFmt w:val="bullet"/>
      <w:pStyle w:val="Bodybullet2"/>
      <w:lvlText w:val="―"/>
      <w:lvlJc w:val="left"/>
      <w:pPr>
        <w:ind w:left="720" w:hanging="360"/>
      </w:pPr>
      <w:rPr>
        <w:rFonts w:ascii="Calibri" w:hAnsi="Calibri" w:hint="default"/>
        <w:color w:val="auto"/>
        <w:sz w:val="22"/>
      </w:rPr>
    </w:lvl>
    <w:lvl w:ilvl="1" w:tplc="34249FA8" w:tentative="1">
      <w:start w:val="1"/>
      <w:numFmt w:val="bullet"/>
      <w:lvlText w:val="o"/>
      <w:lvlJc w:val="left"/>
      <w:pPr>
        <w:ind w:left="1440" w:hanging="360"/>
      </w:pPr>
      <w:rPr>
        <w:rFonts w:ascii="Courier New" w:hAnsi="Courier New" w:hint="default"/>
      </w:rPr>
    </w:lvl>
    <w:lvl w:ilvl="2" w:tplc="948C3B44" w:tentative="1">
      <w:start w:val="1"/>
      <w:numFmt w:val="bullet"/>
      <w:lvlText w:val=""/>
      <w:lvlJc w:val="left"/>
      <w:pPr>
        <w:ind w:left="2160" w:hanging="360"/>
      </w:pPr>
      <w:rPr>
        <w:rFonts w:ascii="Wingdings" w:hAnsi="Wingdings" w:hint="default"/>
      </w:rPr>
    </w:lvl>
    <w:lvl w:ilvl="3" w:tplc="1BF6F9B0" w:tentative="1">
      <w:start w:val="1"/>
      <w:numFmt w:val="bullet"/>
      <w:lvlText w:val=""/>
      <w:lvlJc w:val="left"/>
      <w:pPr>
        <w:ind w:left="2880" w:hanging="360"/>
      </w:pPr>
      <w:rPr>
        <w:rFonts w:ascii="Symbol" w:hAnsi="Symbol" w:hint="default"/>
      </w:rPr>
    </w:lvl>
    <w:lvl w:ilvl="4" w:tplc="93663D66" w:tentative="1">
      <w:start w:val="1"/>
      <w:numFmt w:val="bullet"/>
      <w:lvlText w:val="o"/>
      <w:lvlJc w:val="left"/>
      <w:pPr>
        <w:ind w:left="3600" w:hanging="360"/>
      </w:pPr>
      <w:rPr>
        <w:rFonts w:ascii="Courier New" w:hAnsi="Courier New" w:hint="default"/>
      </w:rPr>
    </w:lvl>
    <w:lvl w:ilvl="5" w:tplc="F51851A6" w:tentative="1">
      <w:start w:val="1"/>
      <w:numFmt w:val="bullet"/>
      <w:lvlText w:val=""/>
      <w:lvlJc w:val="left"/>
      <w:pPr>
        <w:ind w:left="4320" w:hanging="360"/>
      </w:pPr>
      <w:rPr>
        <w:rFonts w:ascii="Wingdings" w:hAnsi="Wingdings" w:hint="default"/>
      </w:rPr>
    </w:lvl>
    <w:lvl w:ilvl="6" w:tplc="BA480848" w:tentative="1">
      <w:start w:val="1"/>
      <w:numFmt w:val="bullet"/>
      <w:lvlText w:val=""/>
      <w:lvlJc w:val="left"/>
      <w:pPr>
        <w:ind w:left="5040" w:hanging="360"/>
      </w:pPr>
      <w:rPr>
        <w:rFonts w:ascii="Symbol" w:hAnsi="Symbol" w:hint="default"/>
      </w:rPr>
    </w:lvl>
    <w:lvl w:ilvl="7" w:tplc="26EA38F2" w:tentative="1">
      <w:start w:val="1"/>
      <w:numFmt w:val="bullet"/>
      <w:lvlText w:val="o"/>
      <w:lvlJc w:val="left"/>
      <w:pPr>
        <w:ind w:left="5760" w:hanging="360"/>
      </w:pPr>
      <w:rPr>
        <w:rFonts w:ascii="Courier New" w:hAnsi="Courier New" w:hint="default"/>
      </w:rPr>
    </w:lvl>
    <w:lvl w:ilvl="8" w:tplc="EAE28C2E" w:tentative="1">
      <w:start w:val="1"/>
      <w:numFmt w:val="bullet"/>
      <w:lvlText w:val=""/>
      <w:lvlJc w:val="left"/>
      <w:pPr>
        <w:ind w:left="6480" w:hanging="360"/>
      </w:pPr>
      <w:rPr>
        <w:rFonts w:ascii="Wingdings" w:hAnsi="Wingdings" w:hint="default"/>
      </w:rPr>
    </w:lvl>
  </w:abstractNum>
  <w:abstractNum w:abstractNumId="13" w15:restartNumberingAfterBreak="0">
    <w:nsid w:val="714C44F5"/>
    <w:multiLevelType w:val="hybridMultilevel"/>
    <w:tmpl w:val="BBF2ECF6"/>
    <w:lvl w:ilvl="0" w:tplc="ACBAC61E">
      <w:start w:val="1"/>
      <w:numFmt w:val="bullet"/>
      <w:pStyle w:val="Tablebullet2"/>
      <w:lvlText w:val="―"/>
      <w:lvlJc w:val="left"/>
      <w:pPr>
        <w:ind w:left="1004" w:hanging="360"/>
      </w:pPr>
      <w:rPr>
        <w:rFonts w:ascii="Calibri" w:hAnsi="Calibri" w:hint="default"/>
        <w:color w:val="auto"/>
        <w:sz w:val="18"/>
      </w:rPr>
    </w:lvl>
    <w:lvl w:ilvl="1" w:tplc="E4B6B242" w:tentative="1">
      <w:start w:val="1"/>
      <w:numFmt w:val="bullet"/>
      <w:lvlText w:val="o"/>
      <w:lvlJc w:val="left"/>
      <w:pPr>
        <w:ind w:left="1724" w:hanging="360"/>
      </w:pPr>
      <w:rPr>
        <w:rFonts w:ascii="Courier New" w:hAnsi="Courier New" w:hint="default"/>
      </w:rPr>
    </w:lvl>
    <w:lvl w:ilvl="2" w:tplc="32381A62" w:tentative="1">
      <w:start w:val="1"/>
      <w:numFmt w:val="bullet"/>
      <w:lvlText w:val=""/>
      <w:lvlJc w:val="left"/>
      <w:pPr>
        <w:ind w:left="2444" w:hanging="360"/>
      </w:pPr>
      <w:rPr>
        <w:rFonts w:ascii="Wingdings" w:hAnsi="Wingdings" w:hint="default"/>
      </w:rPr>
    </w:lvl>
    <w:lvl w:ilvl="3" w:tplc="858CE278" w:tentative="1">
      <w:start w:val="1"/>
      <w:numFmt w:val="bullet"/>
      <w:lvlText w:val=""/>
      <w:lvlJc w:val="left"/>
      <w:pPr>
        <w:ind w:left="3164" w:hanging="360"/>
      </w:pPr>
      <w:rPr>
        <w:rFonts w:ascii="Symbol" w:hAnsi="Symbol" w:hint="default"/>
      </w:rPr>
    </w:lvl>
    <w:lvl w:ilvl="4" w:tplc="9C585B36" w:tentative="1">
      <w:start w:val="1"/>
      <w:numFmt w:val="bullet"/>
      <w:lvlText w:val="o"/>
      <w:lvlJc w:val="left"/>
      <w:pPr>
        <w:ind w:left="3884" w:hanging="360"/>
      </w:pPr>
      <w:rPr>
        <w:rFonts w:ascii="Courier New" w:hAnsi="Courier New" w:hint="default"/>
      </w:rPr>
    </w:lvl>
    <w:lvl w:ilvl="5" w:tplc="AAD2C3D4" w:tentative="1">
      <w:start w:val="1"/>
      <w:numFmt w:val="bullet"/>
      <w:lvlText w:val=""/>
      <w:lvlJc w:val="left"/>
      <w:pPr>
        <w:ind w:left="4604" w:hanging="360"/>
      </w:pPr>
      <w:rPr>
        <w:rFonts w:ascii="Wingdings" w:hAnsi="Wingdings" w:hint="default"/>
      </w:rPr>
    </w:lvl>
    <w:lvl w:ilvl="6" w:tplc="4BC2D404" w:tentative="1">
      <w:start w:val="1"/>
      <w:numFmt w:val="bullet"/>
      <w:lvlText w:val=""/>
      <w:lvlJc w:val="left"/>
      <w:pPr>
        <w:ind w:left="5324" w:hanging="360"/>
      </w:pPr>
      <w:rPr>
        <w:rFonts w:ascii="Symbol" w:hAnsi="Symbol" w:hint="default"/>
      </w:rPr>
    </w:lvl>
    <w:lvl w:ilvl="7" w:tplc="48425CE0" w:tentative="1">
      <w:start w:val="1"/>
      <w:numFmt w:val="bullet"/>
      <w:lvlText w:val="o"/>
      <w:lvlJc w:val="left"/>
      <w:pPr>
        <w:ind w:left="6044" w:hanging="360"/>
      </w:pPr>
      <w:rPr>
        <w:rFonts w:ascii="Courier New" w:hAnsi="Courier New" w:hint="default"/>
      </w:rPr>
    </w:lvl>
    <w:lvl w:ilvl="8" w:tplc="90D6C5C6" w:tentative="1">
      <w:start w:val="1"/>
      <w:numFmt w:val="bullet"/>
      <w:lvlText w:val=""/>
      <w:lvlJc w:val="left"/>
      <w:pPr>
        <w:ind w:left="6764" w:hanging="360"/>
      </w:pPr>
      <w:rPr>
        <w:rFonts w:ascii="Wingdings" w:hAnsi="Wingdings" w:hint="default"/>
      </w:rPr>
    </w:lvl>
  </w:abstractNum>
  <w:abstractNum w:abstractNumId="14" w15:restartNumberingAfterBreak="0">
    <w:nsid w:val="7EAD03E7"/>
    <w:multiLevelType w:val="hybridMultilevel"/>
    <w:tmpl w:val="A98ABBB6"/>
    <w:lvl w:ilvl="0" w:tplc="ABC42968">
      <w:start w:val="1"/>
      <w:numFmt w:val="lowerRoman"/>
      <w:pStyle w:val="Numberedlistii"/>
      <w:lvlText w:val="%1."/>
      <w:lvlJc w:val="left"/>
      <w:pPr>
        <w:ind w:left="1636"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5" w15:restartNumberingAfterBreak="0">
    <w:nsid w:val="7F23422B"/>
    <w:multiLevelType w:val="hybridMultilevel"/>
    <w:tmpl w:val="70F03C5A"/>
    <w:lvl w:ilvl="0" w:tplc="4D147126">
      <w:start w:val="1"/>
      <w:numFmt w:val="bullet"/>
      <w:lvlText w:val=""/>
      <w:lvlJc w:val="left"/>
      <w:pPr>
        <w:ind w:left="720" w:hanging="360"/>
      </w:pPr>
      <w:rPr>
        <w:rFonts w:ascii="Symbol" w:hAnsi="Symbol" w:hint="default"/>
      </w:rPr>
    </w:lvl>
    <w:lvl w:ilvl="1" w:tplc="59F4614E" w:tentative="1">
      <w:start w:val="1"/>
      <w:numFmt w:val="bullet"/>
      <w:lvlText w:val="o"/>
      <w:lvlJc w:val="left"/>
      <w:pPr>
        <w:ind w:left="1440" w:hanging="360"/>
      </w:pPr>
      <w:rPr>
        <w:rFonts w:ascii="Courier New" w:hAnsi="Courier New" w:hint="default"/>
      </w:rPr>
    </w:lvl>
    <w:lvl w:ilvl="2" w:tplc="4BAEB40E" w:tentative="1">
      <w:start w:val="1"/>
      <w:numFmt w:val="bullet"/>
      <w:lvlText w:val=""/>
      <w:lvlJc w:val="left"/>
      <w:pPr>
        <w:ind w:left="2160" w:hanging="360"/>
      </w:pPr>
      <w:rPr>
        <w:rFonts w:ascii="Wingdings" w:hAnsi="Wingdings" w:hint="default"/>
      </w:rPr>
    </w:lvl>
    <w:lvl w:ilvl="3" w:tplc="1526AA60" w:tentative="1">
      <w:start w:val="1"/>
      <w:numFmt w:val="bullet"/>
      <w:lvlText w:val=""/>
      <w:lvlJc w:val="left"/>
      <w:pPr>
        <w:ind w:left="2880" w:hanging="360"/>
      </w:pPr>
      <w:rPr>
        <w:rFonts w:ascii="Symbol" w:hAnsi="Symbol" w:hint="default"/>
      </w:rPr>
    </w:lvl>
    <w:lvl w:ilvl="4" w:tplc="D6120ABE" w:tentative="1">
      <w:start w:val="1"/>
      <w:numFmt w:val="bullet"/>
      <w:lvlText w:val="o"/>
      <w:lvlJc w:val="left"/>
      <w:pPr>
        <w:ind w:left="3600" w:hanging="360"/>
      </w:pPr>
      <w:rPr>
        <w:rFonts w:ascii="Courier New" w:hAnsi="Courier New" w:hint="default"/>
      </w:rPr>
    </w:lvl>
    <w:lvl w:ilvl="5" w:tplc="6A584764" w:tentative="1">
      <w:start w:val="1"/>
      <w:numFmt w:val="bullet"/>
      <w:lvlText w:val=""/>
      <w:lvlJc w:val="left"/>
      <w:pPr>
        <w:ind w:left="4320" w:hanging="360"/>
      </w:pPr>
      <w:rPr>
        <w:rFonts w:ascii="Wingdings" w:hAnsi="Wingdings" w:hint="default"/>
      </w:rPr>
    </w:lvl>
    <w:lvl w:ilvl="6" w:tplc="2062D8C2" w:tentative="1">
      <w:start w:val="1"/>
      <w:numFmt w:val="bullet"/>
      <w:lvlText w:val=""/>
      <w:lvlJc w:val="left"/>
      <w:pPr>
        <w:ind w:left="5040" w:hanging="360"/>
      </w:pPr>
      <w:rPr>
        <w:rFonts w:ascii="Symbol" w:hAnsi="Symbol" w:hint="default"/>
      </w:rPr>
    </w:lvl>
    <w:lvl w:ilvl="7" w:tplc="04F6CBFE" w:tentative="1">
      <w:start w:val="1"/>
      <w:numFmt w:val="bullet"/>
      <w:lvlText w:val="o"/>
      <w:lvlJc w:val="left"/>
      <w:pPr>
        <w:ind w:left="5760" w:hanging="360"/>
      </w:pPr>
      <w:rPr>
        <w:rFonts w:ascii="Courier New" w:hAnsi="Courier New" w:hint="default"/>
      </w:rPr>
    </w:lvl>
    <w:lvl w:ilvl="8" w:tplc="736EC092" w:tentative="1">
      <w:start w:val="1"/>
      <w:numFmt w:val="bullet"/>
      <w:lvlText w:val=""/>
      <w:lvlJc w:val="left"/>
      <w:pPr>
        <w:ind w:left="6480" w:hanging="360"/>
      </w:pPr>
      <w:rPr>
        <w:rFonts w:ascii="Wingdings" w:hAnsi="Wingdings" w:hint="default"/>
      </w:rPr>
    </w:lvl>
  </w:abstractNum>
  <w:num w:numId="1" w16cid:durableId="2142729045">
    <w:abstractNumId w:val="12"/>
  </w:num>
  <w:num w:numId="2" w16cid:durableId="1306399879">
    <w:abstractNumId w:val="6"/>
  </w:num>
  <w:num w:numId="3" w16cid:durableId="353384724">
    <w:abstractNumId w:val="13"/>
  </w:num>
  <w:num w:numId="4" w16cid:durableId="1368990630">
    <w:abstractNumId w:val="4"/>
  </w:num>
  <w:num w:numId="5" w16cid:durableId="1983801536">
    <w:abstractNumId w:val="7"/>
  </w:num>
  <w:num w:numId="6" w16cid:durableId="546645872">
    <w:abstractNumId w:val="1"/>
  </w:num>
  <w:num w:numId="7" w16cid:durableId="1404991699">
    <w:abstractNumId w:val="8"/>
  </w:num>
  <w:num w:numId="8" w16cid:durableId="860439761">
    <w:abstractNumId w:val="5"/>
  </w:num>
  <w:num w:numId="9" w16cid:durableId="1424763064">
    <w:abstractNumId w:val="9"/>
  </w:num>
  <w:num w:numId="10" w16cid:durableId="1455249089">
    <w:abstractNumId w:val="14"/>
  </w:num>
  <w:num w:numId="11" w16cid:durableId="21521594">
    <w:abstractNumId w:val="15"/>
  </w:num>
  <w:num w:numId="12" w16cid:durableId="1698191508">
    <w:abstractNumId w:val="11"/>
  </w:num>
  <w:num w:numId="13" w16cid:durableId="865293505">
    <w:abstractNumId w:val="3"/>
  </w:num>
  <w:num w:numId="14" w16cid:durableId="686516457">
    <w:abstractNumId w:val="10"/>
  </w:num>
  <w:num w:numId="15" w16cid:durableId="304044669">
    <w:abstractNumId w:val="2"/>
  </w:num>
  <w:num w:numId="16" w16cid:durableId="2113426655">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C41"/>
    <w:rsid w:val="000004BF"/>
    <w:rsid w:val="00000583"/>
    <w:rsid w:val="000019E0"/>
    <w:rsid w:val="0000235D"/>
    <w:rsid w:val="00005C15"/>
    <w:rsid w:val="00005EEE"/>
    <w:rsid w:val="0000622C"/>
    <w:rsid w:val="00006B2E"/>
    <w:rsid w:val="00011847"/>
    <w:rsid w:val="00012A50"/>
    <w:rsid w:val="00012AB6"/>
    <w:rsid w:val="00012C6B"/>
    <w:rsid w:val="00012E5A"/>
    <w:rsid w:val="00012FD4"/>
    <w:rsid w:val="0001336C"/>
    <w:rsid w:val="0001509D"/>
    <w:rsid w:val="000159F5"/>
    <w:rsid w:val="00016E39"/>
    <w:rsid w:val="0001736F"/>
    <w:rsid w:val="00017624"/>
    <w:rsid w:val="00017C9D"/>
    <w:rsid w:val="0002102A"/>
    <w:rsid w:val="00021FCB"/>
    <w:rsid w:val="00022690"/>
    <w:rsid w:val="00022D0E"/>
    <w:rsid w:val="000240EC"/>
    <w:rsid w:val="000248B8"/>
    <w:rsid w:val="00024D9B"/>
    <w:rsid w:val="00025EDE"/>
    <w:rsid w:val="00026AF9"/>
    <w:rsid w:val="000277B9"/>
    <w:rsid w:val="00027C14"/>
    <w:rsid w:val="00027E68"/>
    <w:rsid w:val="000304B5"/>
    <w:rsid w:val="00030C4E"/>
    <w:rsid w:val="000317D4"/>
    <w:rsid w:val="0003295C"/>
    <w:rsid w:val="00032F4D"/>
    <w:rsid w:val="00033F1E"/>
    <w:rsid w:val="00034750"/>
    <w:rsid w:val="00034E2B"/>
    <w:rsid w:val="00035B54"/>
    <w:rsid w:val="000363C7"/>
    <w:rsid w:val="000364C4"/>
    <w:rsid w:val="00036AA2"/>
    <w:rsid w:val="00036EF7"/>
    <w:rsid w:val="00037203"/>
    <w:rsid w:val="000374F0"/>
    <w:rsid w:val="00042063"/>
    <w:rsid w:val="000435C9"/>
    <w:rsid w:val="00045772"/>
    <w:rsid w:val="000505C5"/>
    <w:rsid w:val="000509E9"/>
    <w:rsid w:val="00051094"/>
    <w:rsid w:val="00051CAE"/>
    <w:rsid w:val="0005360B"/>
    <w:rsid w:val="00053E7C"/>
    <w:rsid w:val="00053EDE"/>
    <w:rsid w:val="00055817"/>
    <w:rsid w:val="000559B6"/>
    <w:rsid w:val="0005610F"/>
    <w:rsid w:val="0005650B"/>
    <w:rsid w:val="00056D71"/>
    <w:rsid w:val="0005713B"/>
    <w:rsid w:val="00057265"/>
    <w:rsid w:val="00057973"/>
    <w:rsid w:val="00057E95"/>
    <w:rsid w:val="00060BD9"/>
    <w:rsid w:val="00060DF2"/>
    <w:rsid w:val="0006173D"/>
    <w:rsid w:val="00061A1F"/>
    <w:rsid w:val="00062312"/>
    <w:rsid w:val="000623A5"/>
    <w:rsid w:val="00065BF2"/>
    <w:rsid w:val="00066CD2"/>
    <w:rsid w:val="00070765"/>
    <w:rsid w:val="00072169"/>
    <w:rsid w:val="00073669"/>
    <w:rsid w:val="0007415B"/>
    <w:rsid w:val="000744A9"/>
    <w:rsid w:val="000747B0"/>
    <w:rsid w:val="000752DF"/>
    <w:rsid w:val="000769A2"/>
    <w:rsid w:val="00076BED"/>
    <w:rsid w:val="00077821"/>
    <w:rsid w:val="000803A4"/>
    <w:rsid w:val="0008146C"/>
    <w:rsid w:val="00081566"/>
    <w:rsid w:val="00085FAB"/>
    <w:rsid w:val="00086B09"/>
    <w:rsid w:val="0009037B"/>
    <w:rsid w:val="000917BE"/>
    <w:rsid w:val="00091CE0"/>
    <w:rsid w:val="00091D49"/>
    <w:rsid w:val="00093F02"/>
    <w:rsid w:val="00094ADC"/>
    <w:rsid w:val="00094BA2"/>
    <w:rsid w:val="00095A8F"/>
    <w:rsid w:val="000969C3"/>
    <w:rsid w:val="00097A17"/>
    <w:rsid w:val="000A174A"/>
    <w:rsid w:val="000A2822"/>
    <w:rsid w:val="000A32D2"/>
    <w:rsid w:val="000A352B"/>
    <w:rsid w:val="000A3AA9"/>
    <w:rsid w:val="000A457D"/>
    <w:rsid w:val="000A4817"/>
    <w:rsid w:val="000A6BDC"/>
    <w:rsid w:val="000A6C62"/>
    <w:rsid w:val="000A7EF4"/>
    <w:rsid w:val="000B0104"/>
    <w:rsid w:val="000B085A"/>
    <w:rsid w:val="000B0BF9"/>
    <w:rsid w:val="000B0FBF"/>
    <w:rsid w:val="000B105E"/>
    <w:rsid w:val="000B1693"/>
    <w:rsid w:val="000B16B1"/>
    <w:rsid w:val="000B3F52"/>
    <w:rsid w:val="000B3F9A"/>
    <w:rsid w:val="000B3F9B"/>
    <w:rsid w:val="000B445A"/>
    <w:rsid w:val="000B47FC"/>
    <w:rsid w:val="000B583A"/>
    <w:rsid w:val="000B7903"/>
    <w:rsid w:val="000C031C"/>
    <w:rsid w:val="000C1E4D"/>
    <w:rsid w:val="000C293D"/>
    <w:rsid w:val="000C3098"/>
    <w:rsid w:val="000C310E"/>
    <w:rsid w:val="000C3873"/>
    <w:rsid w:val="000C40F9"/>
    <w:rsid w:val="000C4D03"/>
    <w:rsid w:val="000C5FEC"/>
    <w:rsid w:val="000C626F"/>
    <w:rsid w:val="000C641B"/>
    <w:rsid w:val="000C6C44"/>
    <w:rsid w:val="000D0075"/>
    <w:rsid w:val="000D0721"/>
    <w:rsid w:val="000D0758"/>
    <w:rsid w:val="000D19AB"/>
    <w:rsid w:val="000D4F6F"/>
    <w:rsid w:val="000D50F2"/>
    <w:rsid w:val="000D5FCA"/>
    <w:rsid w:val="000D5FDE"/>
    <w:rsid w:val="000D631A"/>
    <w:rsid w:val="000D791E"/>
    <w:rsid w:val="000D7D50"/>
    <w:rsid w:val="000E0414"/>
    <w:rsid w:val="000E1420"/>
    <w:rsid w:val="000E1EC8"/>
    <w:rsid w:val="000E47D4"/>
    <w:rsid w:val="000E4E83"/>
    <w:rsid w:val="000E5D48"/>
    <w:rsid w:val="000E5D82"/>
    <w:rsid w:val="000F11BF"/>
    <w:rsid w:val="000F1AC6"/>
    <w:rsid w:val="000F298A"/>
    <w:rsid w:val="000F34E4"/>
    <w:rsid w:val="000F35FB"/>
    <w:rsid w:val="000F41A4"/>
    <w:rsid w:val="000F44B4"/>
    <w:rsid w:val="000F4673"/>
    <w:rsid w:val="000F48F3"/>
    <w:rsid w:val="000F48F7"/>
    <w:rsid w:val="000F4B91"/>
    <w:rsid w:val="000F4F3F"/>
    <w:rsid w:val="000F5042"/>
    <w:rsid w:val="000F5201"/>
    <w:rsid w:val="000F5DC6"/>
    <w:rsid w:val="000F61AF"/>
    <w:rsid w:val="000F7883"/>
    <w:rsid w:val="0010001E"/>
    <w:rsid w:val="00101941"/>
    <w:rsid w:val="001021FF"/>
    <w:rsid w:val="0010242D"/>
    <w:rsid w:val="001039C2"/>
    <w:rsid w:val="001040E8"/>
    <w:rsid w:val="00104137"/>
    <w:rsid w:val="0010464A"/>
    <w:rsid w:val="001046BE"/>
    <w:rsid w:val="00104E8C"/>
    <w:rsid w:val="001050A8"/>
    <w:rsid w:val="00105FAE"/>
    <w:rsid w:val="00107BD5"/>
    <w:rsid w:val="0011050F"/>
    <w:rsid w:val="00111125"/>
    <w:rsid w:val="00111CE2"/>
    <w:rsid w:val="00112099"/>
    <w:rsid w:val="001125AC"/>
    <w:rsid w:val="001127F1"/>
    <w:rsid w:val="001146A7"/>
    <w:rsid w:val="0011697C"/>
    <w:rsid w:val="00116ED4"/>
    <w:rsid w:val="00117267"/>
    <w:rsid w:val="00117C28"/>
    <w:rsid w:val="001207D3"/>
    <w:rsid w:val="00120C50"/>
    <w:rsid w:val="001230E1"/>
    <w:rsid w:val="00123DD0"/>
    <w:rsid w:val="00124404"/>
    <w:rsid w:val="00124A59"/>
    <w:rsid w:val="00124A81"/>
    <w:rsid w:val="0012680C"/>
    <w:rsid w:val="00126AC0"/>
    <w:rsid w:val="0012732F"/>
    <w:rsid w:val="001273C0"/>
    <w:rsid w:val="001274B8"/>
    <w:rsid w:val="0012767C"/>
    <w:rsid w:val="00127895"/>
    <w:rsid w:val="0013034F"/>
    <w:rsid w:val="001327F3"/>
    <w:rsid w:val="00132C67"/>
    <w:rsid w:val="0013318D"/>
    <w:rsid w:val="00133DF2"/>
    <w:rsid w:val="0013411A"/>
    <w:rsid w:val="0013462E"/>
    <w:rsid w:val="0013493A"/>
    <w:rsid w:val="00134E3F"/>
    <w:rsid w:val="00135044"/>
    <w:rsid w:val="00136782"/>
    <w:rsid w:val="00140C80"/>
    <w:rsid w:val="001415FC"/>
    <w:rsid w:val="00141B3A"/>
    <w:rsid w:val="00141D1C"/>
    <w:rsid w:val="00142045"/>
    <w:rsid w:val="00143296"/>
    <w:rsid w:val="00144031"/>
    <w:rsid w:val="001442C8"/>
    <w:rsid w:val="001448E1"/>
    <w:rsid w:val="0014494B"/>
    <w:rsid w:val="00144962"/>
    <w:rsid w:val="001455AB"/>
    <w:rsid w:val="00145692"/>
    <w:rsid w:val="001459B7"/>
    <w:rsid w:val="001463BD"/>
    <w:rsid w:val="0015031F"/>
    <w:rsid w:val="00150395"/>
    <w:rsid w:val="0015151A"/>
    <w:rsid w:val="001526FF"/>
    <w:rsid w:val="00152CFC"/>
    <w:rsid w:val="00152EA0"/>
    <w:rsid w:val="001533BF"/>
    <w:rsid w:val="00153C0E"/>
    <w:rsid w:val="00154780"/>
    <w:rsid w:val="00154FBC"/>
    <w:rsid w:val="00155A00"/>
    <w:rsid w:val="00156944"/>
    <w:rsid w:val="001617A8"/>
    <w:rsid w:val="00161A33"/>
    <w:rsid w:val="00162A14"/>
    <w:rsid w:val="00162CC7"/>
    <w:rsid w:val="0016472B"/>
    <w:rsid w:val="001662B8"/>
    <w:rsid w:val="00166F89"/>
    <w:rsid w:val="0016704E"/>
    <w:rsid w:val="0016799A"/>
    <w:rsid w:val="00167B56"/>
    <w:rsid w:val="00167E95"/>
    <w:rsid w:val="00170464"/>
    <w:rsid w:val="00171690"/>
    <w:rsid w:val="00171DE5"/>
    <w:rsid w:val="00171DFC"/>
    <w:rsid w:val="00172A80"/>
    <w:rsid w:val="00174A6B"/>
    <w:rsid w:val="001751DC"/>
    <w:rsid w:val="00175561"/>
    <w:rsid w:val="00175778"/>
    <w:rsid w:val="0017586A"/>
    <w:rsid w:val="001758DD"/>
    <w:rsid w:val="00176C9B"/>
    <w:rsid w:val="00177005"/>
    <w:rsid w:val="00180156"/>
    <w:rsid w:val="00180C55"/>
    <w:rsid w:val="00180F33"/>
    <w:rsid w:val="001814BA"/>
    <w:rsid w:val="00182C87"/>
    <w:rsid w:val="00183672"/>
    <w:rsid w:val="00184687"/>
    <w:rsid w:val="00185DF3"/>
    <w:rsid w:val="00186D63"/>
    <w:rsid w:val="00190282"/>
    <w:rsid w:val="00190535"/>
    <w:rsid w:val="00190DB4"/>
    <w:rsid w:val="001912CA"/>
    <w:rsid w:val="00191E53"/>
    <w:rsid w:val="00192FC8"/>
    <w:rsid w:val="00194896"/>
    <w:rsid w:val="00194B7E"/>
    <w:rsid w:val="0019651F"/>
    <w:rsid w:val="00196BE5"/>
    <w:rsid w:val="00196D15"/>
    <w:rsid w:val="001A0D9E"/>
    <w:rsid w:val="001A1DF2"/>
    <w:rsid w:val="001A278B"/>
    <w:rsid w:val="001A44DA"/>
    <w:rsid w:val="001A4C39"/>
    <w:rsid w:val="001A543D"/>
    <w:rsid w:val="001A5472"/>
    <w:rsid w:val="001A59E1"/>
    <w:rsid w:val="001A62E4"/>
    <w:rsid w:val="001B1056"/>
    <w:rsid w:val="001B1C66"/>
    <w:rsid w:val="001B3537"/>
    <w:rsid w:val="001B39BF"/>
    <w:rsid w:val="001B3B2E"/>
    <w:rsid w:val="001B51E1"/>
    <w:rsid w:val="001B5702"/>
    <w:rsid w:val="001B572A"/>
    <w:rsid w:val="001B62A8"/>
    <w:rsid w:val="001B638A"/>
    <w:rsid w:val="001B68D4"/>
    <w:rsid w:val="001B71D2"/>
    <w:rsid w:val="001C1903"/>
    <w:rsid w:val="001C1FAB"/>
    <w:rsid w:val="001C2440"/>
    <w:rsid w:val="001C2575"/>
    <w:rsid w:val="001C3681"/>
    <w:rsid w:val="001C3A95"/>
    <w:rsid w:val="001C3FDB"/>
    <w:rsid w:val="001C4A2A"/>
    <w:rsid w:val="001C56F9"/>
    <w:rsid w:val="001C6595"/>
    <w:rsid w:val="001D01E3"/>
    <w:rsid w:val="001D099E"/>
    <w:rsid w:val="001D0A16"/>
    <w:rsid w:val="001D0AB4"/>
    <w:rsid w:val="001D0CA0"/>
    <w:rsid w:val="001D162D"/>
    <w:rsid w:val="001D4A2B"/>
    <w:rsid w:val="001D5EB9"/>
    <w:rsid w:val="001D617A"/>
    <w:rsid w:val="001D6962"/>
    <w:rsid w:val="001D6B7F"/>
    <w:rsid w:val="001D7690"/>
    <w:rsid w:val="001D7988"/>
    <w:rsid w:val="001E01F4"/>
    <w:rsid w:val="001E0898"/>
    <w:rsid w:val="001E14EB"/>
    <w:rsid w:val="001E21B6"/>
    <w:rsid w:val="001E2489"/>
    <w:rsid w:val="001E2AE2"/>
    <w:rsid w:val="001E321B"/>
    <w:rsid w:val="001E40FF"/>
    <w:rsid w:val="001E4BA5"/>
    <w:rsid w:val="001E6053"/>
    <w:rsid w:val="001E6760"/>
    <w:rsid w:val="001E7AAB"/>
    <w:rsid w:val="001E7E5D"/>
    <w:rsid w:val="001E7F7A"/>
    <w:rsid w:val="001F08B0"/>
    <w:rsid w:val="001F2EDD"/>
    <w:rsid w:val="001F40DB"/>
    <w:rsid w:val="001F4857"/>
    <w:rsid w:val="001F4F65"/>
    <w:rsid w:val="001F5E1B"/>
    <w:rsid w:val="001F603E"/>
    <w:rsid w:val="001F7233"/>
    <w:rsid w:val="001F7601"/>
    <w:rsid w:val="002018EF"/>
    <w:rsid w:val="00201F78"/>
    <w:rsid w:val="00203409"/>
    <w:rsid w:val="0020345C"/>
    <w:rsid w:val="0020348F"/>
    <w:rsid w:val="0020378A"/>
    <w:rsid w:val="00203872"/>
    <w:rsid w:val="00204C0D"/>
    <w:rsid w:val="00204F77"/>
    <w:rsid w:val="002052E7"/>
    <w:rsid w:val="00205F15"/>
    <w:rsid w:val="00206A09"/>
    <w:rsid w:val="00206F25"/>
    <w:rsid w:val="002071D1"/>
    <w:rsid w:val="00207543"/>
    <w:rsid w:val="00207C9F"/>
    <w:rsid w:val="00210184"/>
    <w:rsid w:val="002105CF"/>
    <w:rsid w:val="00210CC1"/>
    <w:rsid w:val="00210FD0"/>
    <w:rsid w:val="002118DA"/>
    <w:rsid w:val="00212EAD"/>
    <w:rsid w:val="00213960"/>
    <w:rsid w:val="00213BEB"/>
    <w:rsid w:val="00215342"/>
    <w:rsid w:val="00215F88"/>
    <w:rsid w:val="002165E5"/>
    <w:rsid w:val="002208E0"/>
    <w:rsid w:val="00221D07"/>
    <w:rsid w:val="00222311"/>
    <w:rsid w:val="002226C3"/>
    <w:rsid w:val="002239C1"/>
    <w:rsid w:val="002242C8"/>
    <w:rsid w:val="002247AC"/>
    <w:rsid w:val="002267BC"/>
    <w:rsid w:val="002267DC"/>
    <w:rsid w:val="00230FCF"/>
    <w:rsid w:val="002324C0"/>
    <w:rsid w:val="00232872"/>
    <w:rsid w:val="002328D4"/>
    <w:rsid w:val="002329E3"/>
    <w:rsid w:val="0023321C"/>
    <w:rsid w:val="00233446"/>
    <w:rsid w:val="0023376E"/>
    <w:rsid w:val="00233822"/>
    <w:rsid w:val="00233B71"/>
    <w:rsid w:val="00233D41"/>
    <w:rsid w:val="0023488D"/>
    <w:rsid w:val="00234D23"/>
    <w:rsid w:val="00235A56"/>
    <w:rsid w:val="00235E28"/>
    <w:rsid w:val="00236C6C"/>
    <w:rsid w:val="00236CB7"/>
    <w:rsid w:val="00236D4F"/>
    <w:rsid w:val="00236FC1"/>
    <w:rsid w:val="00237626"/>
    <w:rsid w:val="0024068D"/>
    <w:rsid w:val="00240972"/>
    <w:rsid w:val="0024129E"/>
    <w:rsid w:val="002417C1"/>
    <w:rsid w:val="0024201E"/>
    <w:rsid w:val="00242B50"/>
    <w:rsid w:val="002430EE"/>
    <w:rsid w:val="00243366"/>
    <w:rsid w:val="00243F65"/>
    <w:rsid w:val="00245F23"/>
    <w:rsid w:val="002460B8"/>
    <w:rsid w:val="0024738E"/>
    <w:rsid w:val="0024743A"/>
    <w:rsid w:val="002476A9"/>
    <w:rsid w:val="002531EF"/>
    <w:rsid w:val="00253997"/>
    <w:rsid w:val="00253B75"/>
    <w:rsid w:val="00253EA6"/>
    <w:rsid w:val="00253F71"/>
    <w:rsid w:val="002542B7"/>
    <w:rsid w:val="00254B5E"/>
    <w:rsid w:val="00254BA9"/>
    <w:rsid w:val="00254F44"/>
    <w:rsid w:val="00256EDD"/>
    <w:rsid w:val="00256EFD"/>
    <w:rsid w:val="00257563"/>
    <w:rsid w:val="00260A6A"/>
    <w:rsid w:val="00260B5C"/>
    <w:rsid w:val="00260C30"/>
    <w:rsid w:val="00261B31"/>
    <w:rsid w:val="00261B7F"/>
    <w:rsid w:val="00261EB5"/>
    <w:rsid w:val="00261ED0"/>
    <w:rsid w:val="002627CE"/>
    <w:rsid w:val="00262D0B"/>
    <w:rsid w:val="00262F54"/>
    <w:rsid w:val="00262FD9"/>
    <w:rsid w:val="0026366F"/>
    <w:rsid w:val="002636DF"/>
    <w:rsid w:val="00263954"/>
    <w:rsid w:val="0026424A"/>
    <w:rsid w:val="0026424F"/>
    <w:rsid w:val="00264A45"/>
    <w:rsid w:val="00266B7F"/>
    <w:rsid w:val="00267AA1"/>
    <w:rsid w:val="00270007"/>
    <w:rsid w:val="002710DA"/>
    <w:rsid w:val="0027151D"/>
    <w:rsid w:val="00271D7B"/>
    <w:rsid w:val="00271EC3"/>
    <w:rsid w:val="00272B2E"/>
    <w:rsid w:val="00273D22"/>
    <w:rsid w:val="002741D8"/>
    <w:rsid w:val="00274DA1"/>
    <w:rsid w:val="002754F7"/>
    <w:rsid w:val="00275AF9"/>
    <w:rsid w:val="00276176"/>
    <w:rsid w:val="002768CE"/>
    <w:rsid w:val="00277AEF"/>
    <w:rsid w:val="00277C52"/>
    <w:rsid w:val="00280213"/>
    <w:rsid w:val="00280E95"/>
    <w:rsid w:val="002828BD"/>
    <w:rsid w:val="00282CE2"/>
    <w:rsid w:val="002839FE"/>
    <w:rsid w:val="0028457D"/>
    <w:rsid w:val="00284AE8"/>
    <w:rsid w:val="00284D25"/>
    <w:rsid w:val="00285D48"/>
    <w:rsid w:val="002861A5"/>
    <w:rsid w:val="00286522"/>
    <w:rsid w:val="00286FFE"/>
    <w:rsid w:val="00287010"/>
    <w:rsid w:val="0028778F"/>
    <w:rsid w:val="00287F0D"/>
    <w:rsid w:val="0029001B"/>
    <w:rsid w:val="0029050A"/>
    <w:rsid w:val="00290B0B"/>
    <w:rsid w:val="00291164"/>
    <w:rsid w:val="002911DC"/>
    <w:rsid w:val="00291EE8"/>
    <w:rsid w:val="0029200F"/>
    <w:rsid w:val="00292518"/>
    <w:rsid w:val="0029381D"/>
    <w:rsid w:val="002939EB"/>
    <w:rsid w:val="00293F69"/>
    <w:rsid w:val="00294736"/>
    <w:rsid w:val="00294CDE"/>
    <w:rsid w:val="002955A8"/>
    <w:rsid w:val="00295BB5"/>
    <w:rsid w:val="0029656C"/>
    <w:rsid w:val="00296A96"/>
    <w:rsid w:val="00296D9D"/>
    <w:rsid w:val="0029719C"/>
    <w:rsid w:val="002977E2"/>
    <w:rsid w:val="00297E1F"/>
    <w:rsid w:val="002A12C9"/>
    <w:rsid w:val="002A1591"/>
    <w:rsid w:val="002A18E1"/>
    <w:rsid w:val="002A203F"/>
    <w:rsid w:val="002A3B9B"/>
    <w:rsid w:val="002A52EB"/>
    <w:rsid w:val="002A54E0"/>
    <w:rsid w:val="002A5988"/>
    <w:rsid w:val="002A5E1F"/>
    <w:rsid w:val="002A7650"/>
    <w:rsid w:val="002B0355"/>
    <w:rsid w:val="002B0C3F"/>
    <w:rsid w:val="002B31CC"/>
    <w:rsid w:val="002B39E8"/>
    <w:rsid w:val="002B3ABB"/>
    <w:rsid w:val="002B56D9"/>
    <w:rsid w:val="002B611F"/>
    <w:rsid w:val="002B6374"/>
    <w:rsid w:val="002B6A23"/>
    <w:rsid w:val="002B7CAC"/>
    <w:rsid w:val="002C1741"/>
    <w:rsid w:val="002C3F43"/>
    <w:rsid w:val="002C4422"/>
    <w:rsid w:val="002C44A4"/>
    <w:rsid w:val="002C5A04"/>
    <w:rsid w:val="002C5D11"/>
    <w:rsid w:val="002C62E2"/>
    <w:rsid w:val="002C6AE8"/>
    <w:rsid w:val="002C7057"/>
    <w:rsid w:val="002C7771"/>
    <w:rsid w:val="002D02F7"/>
    <w:rsid w:val="002D07D9"/>
    <w:rsid w:val="002D09A1"/>
    <w:rsid w:val="002D0BFA"/>
    <w:rsid w:val="002D0F1F"/>
    <w:rsid w:val="002D1BB4"/>
    <w:rsid w:val="002D1D1B"/>
    <w:rsid w:val="002D337D"/>
    <w:rsid w:val="002D376F"/>
    <w:rsid w:val="002D37B8"/>
    <w:rsid w:val="002D436E"/>
    <w:rsid w:val="002D48CD"/>
    <w:rsid w:val="002D54DA"/>
    <w:rsid w:val="002D6145"/>
    <w:rsid w:val="002D62BE"/>
    <w:rsid w:val="002D663F"/>
    <w:rsid w:val="002D6C8B"/>
    <w:rsid w:val="002D758B"/>
    <w:rsid w:val="002D7CB1"/>
    <w:rsid w:val="002E00EE"/>
    <w:rsid w:val="002E2822"/>
    <w:rsid w:val="002E2B98"/>
    <w:rsid w:val="002E4342"/>
    <w:rsid w:val="002E5520"/>
    <w:rsid w:val="002E5FA2"/>
    <w:rsid w:val="002E6661"/>
    <w:rsid w:val="002F0593"/>
    <w:rsid w:val="002F1AE9"/>
    <w:rsid w:val="002F203B"/>
    <w:rsid w:val="002F316D"/>
    <w:rsid w:val="002F3796"/>
    <w:rsid w:val="002F45CA"/>
    <w:rsid w:val="002F623A"/>
    <w:rsid w:val="002F6BD0"/>
    <w:rsid w:val="002F7F7B"/>
    <w:rsid w:val="003013DB"/>
    <w:rsid w:val="00301EC3"/>
    <w:rsid w:val="00301FF0"/>
    <w:rsid w:val="00302302"/>
    <w:rsid w:val="00302312"/>
    <w:rsid w:val="003027D3"/>
    <w:rsid w:val="00303B66"/>
    <w:rsid w:val="00303DA0"/>
    <w:rsid w:val="0030425E"/>
    <w:rsid w:val="00304F93"/>
    <w:rsid w:val="003050E2"/>
    <w:rsid w:val="0030644C"/>
    <w:rsid w:val="003065B5"/>
    <w:rsid w:val="00306738"/>
    <w:rsid w:val="00306BCA"/>
    <w:rsid w:val="00307264"/>
    <w:rsid w:val="003075D2"/>
    <w:rsid w:val="003100E0"/>
    <w:rsid w:val="00311B9C"/>
    <w:rsid w:val="00312613"/>
    <w:rsid w:val="0031348F"/>
    <w:rsid w:val="00314D26"/>
    <w:rsid w:val="0031524D"/>
    <w:rsid w:val="00315B0C"/>
    <w:rsid w:val="00315E0A"/>
    <w:rsid w:val="00320835"/>
    <w:rsid w:val="00320FDC"/>
    <w:rsid w:val="0032386C"/>
    <w:rsid w:val="00323B63"/>
    <w:rsid w:val="00324D3C"/>
    <w:rsid w:val="0032503B"/>
    <w:rsid w:val="003269C8"/>
    <w:rsid w:val="003279B3"/>
    <w:rsid w:val="003318C5"/>
    <w:rsid w:val="00331E89"/>
    <w:rsid w:val="003321FE"/>
    <w:rsid w:val="003325AE"/>
    <w:rsid w:val="00332A8D"/>
    <w:rsid w:val="00332EAD"/>
    <w:rsid w:val="00333F20"/>
    <w:rsid w:val="00334933"/>
    <w:rsid w:val="00334FCC"/>
    <w:rsid w:val="00335574"/>
    <w:rsid w:val="0033629B"/>
    <w:rsid w:val="00337702"/>
    <w:rsid w:val="00337737"/>
    <w:rsid w:val="00337FF9"/>
    <w:rsid w:val="00340230"/>
    <w:rsid w:val="00340998"/>
    <w:rsid w:val="00340E2A"/>
    <w:rsid w:val="00341410"/>
    <w:rsid w:val="003439D7"/>
    <w:rsid w:val="00344D92"/>
    <w:rsid w:val="00345807"/>
    <w:rsid w:val="00345BC9"/>
    <w:rsid w:val="003460BA"/>
    <w:rsid w:val="0034657F"/>
    <w:rsid w:val="00346617"/>
    <w:rsid w:val="0034733D"/>
    <w:rsid w:val="0034794B"/>
    <w:rsid w:val="00350050"/>
    <w:rsid w:val="003505BA"/>
    <w:rsid w:val="0035102F"/>
    <w:rsid w:val="0035132B"/>
    <w:rsid w:val="0035176A"/>
    <w:rsid w:val="00351CE3"/>
    <w:rsid w:val="00352CC0"/>
    <w:rsid w:val="0035343B"/>
    <w:rsid w:val="003534E5"/>
    <w:rsid w:val="00353C98"/>
    <w:rsid w:val="00353E94"/>
    <w:rsid w:val="00353F64"/>
    <w:rsid w:val="00354164"/>
    <w:rsid w:val="00354320"/>
    <w:rsid w:val="00354D35"/>
    <w:rsid w:val="00356680"/>
    <w:rsid w:val="00356A4B"/>
    <w:rsid w:val="00356F3B"/>
    <w:rsid w:val="00360BFD"/>
    <w:rsid w:val="0036137C"/>
    <w:rsid w:val="00361924"/>
    <w:rsid w:val="0036361F"/>
    <w:rsid w:val="003658AD"/>
    <w:rsid w:val="0036618F"/>
    <w:rsid w:val="003661FB"/>
    <w:rsid w:val="0037196E"/>
    <w:rsid w:val="00372E64"/>
    <w:rsid w:val="00373811"/>
    <w:rsid w:val="00373A86"/>
    <w:rsid w:val="00373C1B"/>
    <w:rsid w:val="003740D2"/>
    <w:rsid w:val="00374B57"/>
    <w:rsid w:val="00375F0A"/>
    <w:rsid w:val="00376AE3"/>
    <w:rsid w:val="00377991"/>
    <w:rsid w:val="00381552"/>
    <w:rsid w:val="003815BA"/>
    <w:rsid w:val="00381F7F"/>
    <w:rsid w:val="0038361D"/>
    <w:rsid w:val="003838A6"/>
    <w:rsid w:val="00383AE9"/>
    <w:rsid w:val="0038487F"/>
    <w:rsid w:val="00384BCC"/>
    <w:rsid w:val="00385127"/>
    <w:rsid w:val="0038733E"/>
    <w:rsid w:val="00387659"/>
    <w:rsid w:val="003904AB"/>
    <w:rsid w:val="00390ED0"/>
    <w:rsid w:val="003910A3"/>
    <w:rsid w:val="0039110A"/>
    <w:rsid w:val="0039125A"/>
    <w:rsid w:val="0039178D"/>
    <w:rsid w:val="003926BC"/>
    <w:rsid w:val="003928D8"/>
    <w:rsid w:val="00392E4C"/>
    <w:rsid w:val="00393698"/>
    <w:rsid w:val="003936E8"/>
    <w:rsid w:val="00394666"/>
    <w:rsid w:val="00395739"/>
    <w:rsid w:val="00395772"/>
    <w:rsid w:val="00397B88"/>
    <w:rsid w:val="00397F71"/>
    <w:rsid w:val="003A03AA"/>
    <w:rsid w:val="003A0C15"/>
    <w:rsid w:val="003A1E4A"/>
    <w:rsid w:val="003A2185"/>
    <w:rsid w:val="003A22B5"/>
    <w:rsid w:val="003A25CB"/>
    <w:rsid w:val="003A27C7"/>
    <w:rsid w:val="003A33C6"/>
    <w:rsid w:val="003A3906"/>
    <w:rsid w:val="003A4BA0"/>
    <w:rsid w:val="003A515A"/>
    <w:rsid w:val="003A66A1"/>
    <w:rsid w:val="003A6A52"/>
    <w:rsid w:val="003A6FAF"/>
    <w:rsid w:val="003A7CCD"/>
    <w:rsid w:val="003B00D4"/>
    <w:rsid w:val="003B0A66"/>
    <w:rsid w:val="003B186E"/>
    <w:rsid w:val="003B348D"/>
    <w:rsid w:val="003B481F"/>
    <w:rsid w:val="003B48A6"/>
    <w:rsid w:val="003B4CDA"/>
    <w:rsid w:val="003B53DE"/>
    <w:rsid w:val="003B57DE"/>
    <w:rsid w:val="003B59C3"/>
    <w:rsid w:val="003B63A8"/>
    <w:rsid w:val="003B6680"/>
    <w:rsid w:val="003B71D6"/>
    <w:rsid w:val="003C0B8A"/>
    <w:rsid w:val="003C0BC5"/>
    <w:rsid w:val="003C0FE9"/>
    <w:rsid w:val="003C116D"/>
    <w:rsid w:val="003C1AFF"/>
    <w:rsid w:val="003C1B1B"/>
    <w:rsid w:val="003C2A43"/>
    <w:rsid w:val="003C389D"/>
    <w:rsid w:val="003C4843"/>
    <w:rsid w:val="003C4C2F"/>
    <w:rsid w:val="003C4C93"/>
    <w:rsid w:val="003C50D8"/>
    <w:rsid w:val="003C5329"/>
    <w:rsid w:val="003C6388"/>
    <w:rsid w:val="003C74E8"/>
    <w:rsid w:val="003C75C8"/>
    <w:rsid w:val="003D1B97"/>
    <w:rsid w:val="003D1EE4"/>
    <w:rsid w:val="003D27E7"/>
    <w:rsid w:val="003D465D"/>
    <w:rsid w:val="003D4A59"/>
    <w:rsid w:val="003D5151"/>
    <w:rsid w:val="003D6007"/>
    <w:rsid w:val="003D6C4C"/>
    <w:rsid w:val="003D6F84"/>
    <w:rsid w:val="003D7943"/>
    <w:rsid w:val="003E2790"/>
    <w:rsid w:val="003E2FE4"/>
    <w:rsid w:val="003E6049"/>
    <w:rsid w:val="003E65BD"/>
    <w:rsid w:val="003E6F43"/>
    <w:rsid w:val="003E7337"/>
    <w:rsid w:val="003E7439"/>
    <w:rsid w:val="003E7E39"/>
    <w:rsid w:val="003F081D"/>
    <w:rsid w:val="003F14ED"/>
    <w:rsid w:val="003F30C0"/>
    <w:rsid w:val="003F3BC0"/>
    <w:rsid w:val="003F4090"/>
    <w:rsid w:val="003F5163"/>
    <w:rsid w:val="003F5C9A"/>
    <w:rsid w:val="003F6737"/>
    <w:rsid w:val="003F772F"/>
    <w:rsid w:val="00400021"/>
    <w:rsid w:val="0040058F"/>
    <w:rsid w:val="00400F60"/>
    <w:rsid w:val="004018F4"/>
    <w:rsid w:val="00401BF9"/>
    <w:rsid w:val="00403BE6"/>
    <w:rsid w:val="00403F5F"/>
    <w:rsid w:val="004044B0"/>
    <w:rsid w:val="0040498C"/>
    <w:rsid w:val="00404CA2"/>
    <w:rsid w:val="00404EB0"/>
    <w:rsid w:val="0040581C"/>
    <w:rsid w:val="00406071"/>
    <w:rsid w:val="004100B5"/>
    <w:rsid w:val="004101B0"/>
    <w:rsid w:val="00411483"/>
    <w:rsid w:val="00411982"/>
    <w:rsid w:val="004127A5"/>
    <w:rsid w:val="00412A57"/>
    <w:rsid w:val="004136A4"/>
    <w:rsid w:val="00413BF3"/>
    <w:rsid w:val="00413DAE"/>
    <w:rsid w:val="004148E6"/>
    <w:rsid w:val="0041581C"/>
    <w:rsid w:val="00416C9C"/>
    <w:rsid w:val="00417733"/>
    <w:rsid w:val="0041792C"/>
    <w:rsid w:val="00421719"/>
    <w:rsid w:val="00421873"/>
    <w:rsid w:val="0042220B"/>
    <w:rsid w:val="00422D65"/>
    <w:rsid w:val="00423283"/>
    <w:rsid w:val="00423876"/>
    <w:rsid w:val="0042396F"/>
    <w:rsid w:val="00423E16"/>
    <w:rsid w:val="00424455"/>
    <w:rsid w:val="004248B2"/>
    <w:rsid w:val="00425544"/>
    <w:rsid w:val="00425CE2"/>
    <w:rsid w:val="0042634A"/>
    <w:rsid w:val="0042634D"/>
    <w:rsid w:val="00426956"/>
    <w:rsid w:val="00426C05"/>
    <w:rsid w:val="00427E09"/>
    <w:rsid w:val="00430C6C"/>
    <w:rsid w:val="00430EFA"/>
    <w:rsid w:val="00431F3B"/>
    <w:rsid w:val="00432F98"/>
    <w:rsid w:val="004342A1"/>
    <w:rsid w:val="004343BB"/>
    <w:rsid w:val="00434888"/>
    <w:rsid w:val="00435631"/>
    <w:rsid w:val="00435897"/>
    <w:rsid w:val="00435D50"/>
    <w:rsid w:val="0043677C"/>
    <w:rsid w:val="00436875"/>
    <w:rsid w:val="004377CC"/>
    <w:rsid w:val="00440994"/>
    <w:rsid w:val="00441A7F"/>
    <w:rsid w:val="0044262F"/>
    <w:rsid w:val="00443883"/>
    <w:rsid w:val="00444BC1"/>
    <w:rsid w:val="004454CE"/>
    <w:rsid w:val="00446B26"/>
    <w:rsid w:val="00451E1A"/>
    <w:rsid w:val="004532E9"/>
    <w:rsid w:val="0045377F"/>
    <w:rsid w:val="00453C92"/>
    <w:rsid w:val="004541E0"/>
    <w:rsid w:val="00456E8E"/>
    <w:rsid w:val="00461604"/>
    <w:rsid w:val="00461BAC"/>
    <w:rsid w:val="00463BF8"/>
    <w:rsid w:val="00463F1E"/>
    <w:rsid w:val="0046445A"/>
    <w:rsid w:val="00464576"/>
    <w:rsid w:val="0046477B"/>
    <w:rsid w:val="004649B6"/>
    <w:rsid w:val="00465CF7"/>
    <w:rsid w:val="004666C3"/>
    <w:rsid w:val="00466B9B"/>
    <w:rsid w:val="004673B3"/>
    <w:rsid w:val="004678C3"/>
    <w:rsid w:val="004706BD"/>
    <w:rsid w:val="00471B19"/>
    <w:rsid w:val="00472A54"/>
    <w:rsid w:val="00472D1C"/>
    <w:rsid w:val="00473168"/>
    <w:rsid w:val="0047347C"/>
    <w:rsid w:val="004739F8"/>
    <w:rsid w:val="00473DC3"/>
    <w:rsid w:val="00473EBD"/>
    <w:rsid w:val="004758F3"/>
    <w:rsid w:val="00480B2C"/>
    <w:rsid w:val="00480DA2"/>
    <w:rsid w:val="00481065"/>
    <w:rsid w:val="00482463"/>
    <w:rsid w:val="00483362"/>
    <w:rsid w:val="00485B4B"/>
    <w:rsid w:val="00485CB9"/>
    <w:rsid w:val="00485E29"/>
    <w:rsid w:val="00486C0F"/>
    <w:rsid w:val="00486E74"/>
    <w:rsid w:val="00487382"/>
    <w:rsid w:val="0048760A"/>
    <w:rsid w:val="004876A1"/>
    <w:rsid w:val="0048778F"/>
    <w:rsid w:val="00487906"/>
    <w:rsid w:val="00491692"/>
    <w:rsid w:val="004917D6"/>
    <w:rsid w:val="004924F5"/>
    <w:rsid w:val="004934A0"/>
    <w:rsid w:val="00493725"/>
    <w:rsid w:val="00493BCB"/>
    <w:rsid w:val="00493E89"/>
    <w:rsid w:val="00494BBD"/>
    <w:rsid w:val="004950E7"/>
    <w:rsid w:val="0049516F"/>
    <w:rsid w:val="00495F98"/>
    <w:rsid w:val="004962CC"/>
    <w:rsid w:val="00497EA7"/>
    <w:rsid w:val="004A0157"/>
    <w:rsid w:val="004A0789"/>
    <w:rsid w:val="004A0A7D"/>
    <w:rsid w:val="004A1C34"/>
    <w:rsid w:val="004A1ED7"/>
    <w:rsid w:val="004A1F4A"/>
    <w:rsid w:val="004A3BBB"/>
    <w:rsid w:val="004A5486"/>
    <w:rsid w:val="004A5D8F"/>
    <w:rsid w:val="004A6AAA"/>
    <w:rsid w:val="004A70AA"/>
    <w:rsid w:val="004A7418"/>
    <w:rsid w:val="004A7853"/>
    <w:rsid w:val="004B005D"/>
    <w:rsid w:val="004B0B81"/>
    <w:rsid w:val="004B43F8"/>
    <w:rsid w:val="004B46C3"/>
    <w:rsid w:val="004B569A"/>
    <w:rsid w:val="004B5729"/>
    <w:rsid w:val="004B5E63"/>
    <w:rsid w:val="004B7128"/>
    <w:rsid w:val="004B75AC"/>
    <w:rsid w:val="004B76FB"/>
    <w:rsid w:val="004C0217"/>
    <w:rsid w:val="004C0D25"/>
    <w:rsid w:val="004C0DBF"/>
    <w:rsid w:val="004C1290"/>
    <w:rsid w:val="004C17F2"/>
    <w:rsid w:val="004C19AE"/>
    <w:rsid w:val="004C1FDC"/>
    <w:rsid w:val="004C242B"/>
    <w:rsid w:val="004C2E87"/>
    <w:rsid w:val="004C32F3"/>
    <w:rsid w:val="004C4AAB"/>
    <w:rsid w:val="004D1E07"/>
    <w:rsid w:val="004D29BF"/>
    <w:rsid w:val="004D2E83"/>
    <w:rsid w:val="004D3188"/>
    <w:rsid w:val="004D335F"/>
    <w:rsid w:val="004D346F"/>
    <w:rsid w:val="004D37D8"/>
    <w:rsid w:val="004D37DF"/>
    <w:rsid w:val="004D3B8C"/>
    <w:rsid w:val="004D5186"/>
    <w:rsid w:val="004D5509"/>
    <w:rsid w:val="004D5613"/>
    <w:rsid w:val="004D5E6D"/>
    <w:rsid w:val="004D6278"/>
    <w:rsid w:val="004D64CA"/>
    <w:rsid w:val="004D7640"/>
    <w:rsid w:val="004D79C8"/>
    <w:rsid w:val="004E0720"/>
    <w:rsid w:val="004E08C2"/>
    <w:rsid w:val="004E0CD7"/>
    <w:rsid w:val="004E1EAB"/>
    <w:rsid w:val="004E3616"/>
    <w:rsid w:val="004E39C5"/>
    <w:rsid w:val="004E3D9D"/>
    <w:rsid w:val="004E41E0"/>
    <w:rsid w:val="004E5D2E"/>
    <w:rsid w:val="004E6587"/>
    <w:rsid w:val="004E7779"/>
    <w:rsid w:val="004F10CD"/>
    <w:rsid w:val="004F23D6"/>
    <w:rsid w:val="004F383C"/>
    <w:rsid w:val="004F5104"/>
    <w:rsid w:val="004F5565"/>
    <w:rsid w:val="004F7887"/>
    <w:rsid w:val="00501911"/>
    <w:rsid w:val="00501EFA"/>
    <w:rsid w:val="00502844"/>
    <w:rsid w:val="005028B8"/>
    <w:rsid w:val="005028C3"/>
    <w:rsid w:val="005046FB"/>
    <w:rsid w:val="0050511A"/>
    <w:rsid w:val="005061D4"/>
    <w:rsid w:val="00507729"/>
    <w:rsid w:val="00510699"/>
    <w:rsid w:val="0051169E"/>
    <w:rsid w:val="00511A0C"/>
    <w:rsid w:val="00512582"/>
    <w:rsid w:val="0051285F"/>
    <w:rsid w:val="0051417F"/>
    <w:rsid w:val="00514A2E"/>
    <w:rsid w:val="00515254"/>
    <w:rsid w:val="00515BF0"/>
    <w:rsid w:val="00516F32"/>
    <w:rsid w:val="005170B4"/>
    <w:rsid w:val="0052009F"/>
    <w:rsid w:val="0052066D"/>
    <w:rsid w:val="0052099C"/>
    <w:rsid w:val="00520F5B"/>
    <w:rsid w:val="00521242"/>
    <w:rsid w:val="005221B0"/>
    <w:rsid w:val="00522B17"/>
    <w:rsid w:val="00523307"/>
    <w:rsid w:val="0052338B"/>
    <w:rsid w:val="00525053"/>
    <w:rsid w:val="005265A6"/>
    <w:rsid w:val="00526B45"/>
    <w:rsid w:val="00526EFF"/>
    <w:rsid w:val="00530FED"/>
    <w:rsid w:val="005319EF"/>
    <w:rsid w:val="005323E9"/>
    <w:rsid w:val="00532786"/>
    <w:rsid w:val="0053330F"/>
    <w:rsid w:val="005337C3"/>
    <w:rsid w:val="00533F2E"/>
    <w:rsid w:val="005341D5"/>
    <w:rsid w:val="0053488B"/>
    <w:rsid w:val="00534F57"/>
    <w:rsid w:val="00535EEC"/>
    <w:rsid w:val="005364B1"/>
    <w:rsid w:val="005416D0"/>
    <w:rsid w:val="0054278E"/>
    <w:rsid w:val="00542996"/>
    <w:rsid w:val="00542D4D"/>
    <w:rsid w:val="005437A3"/>
    <w:rsid w:val="00543859"/>
    <w:rsid w:val="00543A2E"/>
    <w:rsid w:val="00544D4A"/>
    <w:rsid w:val="00546143"/>
    <w:rsid w:val="00546330"/>
    <w:rsid w:val="00546AE5"/>
    <w:rsid w:val="0055081C"/>
    <w:rsid w:val="00551556"/>
    <w:rsid w:val="00552DCE"/>
    <w:rsid w:val="005539E3"/>
    <w:rsid w:val="00555078"/>
    <w:rsid w:val="00555C06"/>
    <w:rsid w:val="00555D08"/>
    <w:rsid w:val="00556689"/>
    <w:rsid w:val="005576C0"/>
    <w:rsid w:val="0056014F"/>
    <w:rsid w:val="005613AF"/>
    <w:rsid w:val="0056159E"/>
    <w:rsid w:val="00562DB7"/>
    <w:rsid w:val="00563113"/>
    <w:rsid w:val="00563875"/>
    <w:rsid w:val="005639A6"/>
    <w:rsid w:val="00564B69"/>
    <w:rsid w:val="00567CF8"/>
    <w:rsid w:val="00570590"/>
    <w:rsid w:val="00570C34"/>
    <w:rsid w:val="0057101B"/>
    <w:rsid w:val="005715A1"/>
    <w:rsid w:val="005721AB"/>
    <w:rsid w:val="00572D1A"/>
    <w:rsid w:val="00572E32"/>
    <w:rsid w:val="00573214"/>
    <w:rsid w:val="0057376C"/>
    <w:rsid w:val="00573B4D"/>
    <w:rsid w:val="00573F4F"/>
    <w:rsid w:val="00574980"/>
    <w:rsid w:val="00576C1A"/>
    <w:rsid w:val="0057746E"/>
    <w:rsid w:val="005778F8"/>
    <w:rsid w:val="00577C04"/>
    <w:rsid w:val="005815B6"/>
    <w:rsid w:val="00581622"/>
    <w:rsid w:val="00581BBA"/>
    <w:rsid w:val="0058296F"/>
    <w:rsid w:val="005837B7"/>
    <w:rsid w:val="00584AAC"/>
    <w:rsid w:val="005854CC"/>
    <w:rsid w:val="005859B7"/>
    <w:rsid w:val="00586065"/>
    <w:rsid w:val="00586A4A"/>
    <w:rsid w:val="00586F63"/>
    <w:rsid w:val="005873B2"/>
    <w:rsid w:val="00591869"/>
    <w:rsid w:val="00591942"/>
    <w:rsid w:val="00593961"/>
    <w:rsid w:val="00593974"/>
    <w:rsid w:val="00593A5E"/>
    <w:rsid w:val="0059496F"/>
    <w:rsid w:val="00594D42"/>
    <w:rsid w:val="0059544F"/>
    <w:rsid w:val="0059797F"/>
    <w:rsid w:val="005A0340"/>
    <w:rsid w:val="005A151E"/>
    <w:rsid w:val="005A1D69"/>
    <w:rsid w:val="005A2362"/>
    <w:rsid w:val="005A3F26"/>
    <w:rsid w:val="005A4830"/>
    <w:rsid w:val="005A486C"/>
    <w:rsid w:val="005A6504"/>
    <w:rsid w:val="005B0443"/>
    <w:rsid w:val="005B0B33"/>
    <w:rsid w:val="005B2563"/>
    <w:rsid w:val="005B2DC6"/>
    <w:rsid w:val="005B3B61"/>
    <w:rsid w:val="005B3D06"/>
    <w:rsid w:val="005B4245"/>
    <w:rsid w:val="005B49F2"/>
    <w:rsid w:val="005B4A2D"/>
    <w:rsid w:val="005B517C"/>
    <w:rsid w:val="005B5EA9"/>
    <w:rsid w:val="005B7760"/>
    <w:rsid w:val="005B7C6D"/>
    <w:rsid w:val="005C02B6"/>
    <w:rsid w:val="005C18D3"/>
    <w:rsid w:val="005C2680"/>
    <w:rsid w:val="005C2898"/>
    <w:rsid w:val="005C29BA"/>
    <w:rsid w:val="005C3724"/>
    <w:rsid w:val="005C398C"/>
    <w:rsid w:val="005C3FD1"/>
    <w:rsid w:val="005C3FD2"/>
    <w:rsid w:val="005C4069"/>
    <w:rsid w:val="005C5EED"/>
    <w:rsid w:val="005D04DA"/>
    <w:rsid w:val="005D1144"/>
    <w:rsid w:val="005D12EB"/>
    <w:rsid w:val="005D35BF"/>
    <w:rsid w:val="005D373F"/>
    <w:rsid w:val="005D5E77"/>
    <w:rsid w:val="005D6D50"/>
    <w:rsid w:val="005D7B1B"/>
    <w:rsid w:val="005E1036"/>
    <w:rsid w:val="005E1484"/>
    <w:rsid w:val="005E1AA2"/>
    <w:rsid w:val="005E23BA"/>
    <w:rsid w:val="005E2672"/>
    <w:rsid w:val="005E2CFE"/>
    <w:rsid w:val="005E3AE4"/>
    <w:rsid w:val="005E3AED"/>
    <w:rsid w:val="005E55F9"/>
    <w:rsid w:val="005E75F5"/>
    <w:rsid w:val="005E82B3"/>
    <w:rsid w:val="005F0B0D"/>
    <w:rsid w:val="005F20BC"/>
    <w:rsid w:val="005F42FA"/>
    <w:rsid w:val="005F48E5"/>
    <w:rsid w:val="005F55CD"/>
    <w:rsid w:val="005F5F5F"/>
    <w:rsid w:val="005F78AF"/>
    <w:rsid w:val="005F7B2E"/>
    <w:rsid w:val="005F7F0B"/>
    <w:rsid w:val="0060051A"/>
    <w:rsid w:val="00600596"/>
    <w:rsid w:val="006011D2"/>
    <w:rsid w:val="006013F8"/>
    <w:rsid w:val="0060178D"/>
    <w:rsid w:val="00601AC8"/>
    <w:rsid w:val="0060311B"/>
    <w:rsid w:val="006046B0"/>
    <w:rsid w:val="006054AC"/>
    <w:rsid w:val="00605C15"/>
    <w:rsid w:val="0060654D"/>
    <w:rsid w:val="00606A5D"/>
    <w:rsid w:val="0061133B"/>
    <w:rsid w:val="00612705"/>
    <w:rsid w:val="0061365C"/>
    <w:rsid w:val="00615C99"/>
    <w:rsid w:val="00616D17"/>
    <w:rsid w:val="00617364"/>
    <w:rsid w:val="00621777"/>
    <w:rsid w:val="00622280"/>
    <w:rsid w:val="0062293C"/>
    <w:rsid w:val="00622979"/>
    <w:rsid w:val="00622CE0"/>
    <w:rsid w:val="00623FC1"/>
    <w:rsid w:val="006258DA"/>
    <w:rsid w:val="00626FE8"/>
    <w:rsid w:val="00627322"/>
    <w:rsid w:val="0062793A"/>
    <w:rsid w:val="00627DD3"/>
    <w:rsid w:val="006305DA"/>
    <w:rsid w:val="00630A98"/>
    <w:rsid w:val="00631C8A"/>
    <w:rsid w:val="00631EC6"/>
    <w:rsid w:val="0063337B"/>
    <w:rsid w:val="00633727"/>
    <w:rsid w:val="00633FA9"/>
    <w:rsid w:val="00634AEE"/>
    <w:rsid w:val="006354AD"/>
    <w:rsid w:val="00636D47"/>
    <w:rsid w:val="00637D24"/>
    <w:rsid w:val="006400D8"/>
    <w:rsid w:val="00640385"/>
    <w:rsid w:val="00640B29"/>
    <w:rsid w:val="00641123"/>
    <w:rsid w:val="00641685"/>
    <w:rsid w:val="006416ED"/>
    <w:rsid w:val="00642A69"/>
    <w:rsid w:val="006452FE"/>
    <w:rsid w:val="00645A4E"/>
    <w:rsid w:val="00647952"/>
    <w:rsid w:val="00647DAC"/>
    <w:rsid w:val="00650700"/>
    <w:rsid w:val="00650719"/>
    <w:rsid w:val="00651787"/>
    <w:rsid w:val="00651E19"/>
    <w:rsid w:val="00652949"/>
    <w:rsid w:val="00653502"/>
    <w:rsid w:val="006552A1"/>
    <w:rsid w:val="00655D36"/>
    <w:rsid w:val="006601C5"/>
    <w:rsid w:val="00661418"/>
    <w:rsid w:val="00663178"/>
    <w:rsid w:val="00663EAD"/>
    <w:rsid w:val="00666A59"/>
    <w:rsid w:val="00667515"/>
    <w:rsid w:val="006701BC"/>
    <w:rsid w:val="00670978"/>
    <w:rsid w:val="00671D8F"/>
    <w:rsid w:val="00671E46"/>
    <w:rsid w:val="0067278F"/>
    <w:rsid w:val="00673326"/>
    <w:rsid w:val="0067343B"/>
    <w:rsid w:val="0067371C"/>
    <w:rsid w:val="00674205"/>
    <w:rsid w:val="00674ADE"/>
    <w:rsid w:val="00674DA8"/>
    <w:rsid w:val="006752B5"/>
    <w:rsid w:val="00677006"/>
    <w:rsid w:val="006802AA"/>
    <w:rsid w:val="00681BFB"/>
    <w:rsid w:val="00682040"/>
    <w:rsid w:val="00683B5F"/>
    <w:rsid w:val="00684B73"/>
    <w:rsid w:val="00684E29"/>
    <w:rsid w:val="00685EB2"/>
    <w:rsid w:val="00686213"/>
    <w:rsid w:val="00686296"/>
    <w:rsid w:val="00686AD0"/>
    <w:rsid w:val="00686EBB"/>
    <w:rsid w:val="0068783B"/>
    <w:rsid w:val="006907AA"/>
    <w:rsid w:val="00690EA3"/>
    <w:rsid w:val="00691732"/>
    <w:rsid w:val="0069328A"/>
    <w:rsid w:val="00693B98"/>
    <w:rsid w:val="00693C95"/>
    <w:rsid w:val="006956C4"/>
    <w:rsid w:val="006975D7"/>
    <w:rsid w:val="00697AED"/>
    <w:rsid w:val="006A03C5"/>
    <w:rsid w:val="006A0540"/>
    <w:rsid w:val="006A09B2"/>
    <w:rsid w:val="006A1028"/>
    <w:rsid w:val="006A1CD8"/>
    <w:rsid w:val="006A31AA"/>
    <w:rsid w:val="006A364E"/>
    <w:rsid w:val="006A3C7A"/>
    <w:rsid w:val="006A4E90"/>
    <w:rsid w:val="006A5DBC"/>
    <w:rsid w:val="006A679D"/>
    <w:rsid w:val="006A695A"/>
    <w:rsid w:val="006A7188"/>
    <w:rsid w:val="006A77A2"/>
    <w:rsid w:val="006A7AE5"/>
    <w:rsid w:val="006A7BDB"/>
    <w:rsid w:val="006A7C3A"/>
    <w:rsid w:val="006A7F1D"/>
    <w:rsid w:val="006B00FA"/>
    <w:rsid w:val="006B15E3"/>
    <w:rsid w:val="006B1FA9"/>
    <w:rsid w:val="006B21FC"/>
    <w:rsid w:val="006B5351"/>
    <w:rsid w:val="006B6424"/>
    <w:rsid w:val="006B7E74"/>
    <w:rsid w:val="006C08F1"/>
    <w:rsid w:val="006C15D3"/>
    <w:rsid w:val="006C1767"/>
    <w:rsid w:val="006C23B4"/>
    <w:rsid w:val="006C2D43"/>
    <w:rsid w:val="006C2F40"/>
    <w:rsid w:val="006C3284"/>
    <w:rsid w:val="006C32A7"/>
    <w:rsid w:val="006C32CB"/>
    <w:rsid w:val="006C3552"/>
    <w:rsid w:val="006C385E"/>
    <w:rsid w:val="006C3F3A"/>
    <w:rsid w:val="006C501D"/>
    <w:rsid w:val="006C708A"/>
    <w:rsid w:val="006C73A2"/>
    <w:rsid w:val="006D2357"/>
    <w:rsid w:val="006D57DD"/>
    <w:rsid w:val="006D6E4B"/>
    <w:rsid w:val="006D70CA"/>
    <w:rsid w:val="006D7776"/>
    <w:rsid w:val="006E04D7"/>
    <w:rsid w:val="006E0997"/>
    <w:rsid w:val="006E0EEA"/>
    <w:rsid w:val="006E10ED"/>
    <w:rsid w:val="006E2041"/>
    <w:rsid w:val="006E2435"/>
    <w:rsid w:val="006E31B0"/>
    <w:rsid w:val="006E33E4"/>
    <w:rsid w:val="006E347D"/>
    <w:rsid w:val="006E4153"/>
    <w:rsid w:val="006E4B1D"/>
    <w:rsid w:val="006E5980"/>
    <w:rsid w:val="006E5B63"/>
    <w:rsid w:val="006E5D14"/>
    <w:rsid w:val="006E5E1A"/>
    <w:rsid w:val="006E6D6D"/>
    <w:rsid w:val="006F0CA8"/>
    <w:rsid w:val="006F108D"/>
    <w:rsid w:val="006F2DFC"/>
    <w:rsid w:val="006F2F4A"/>
    <w:rsid w:val="006F6BBC"/>
    <w:rsid w:val="006F7814"/>
    <w:rsid w:val="006F78F2"/>
    <w:rsid w:val="0070066F"/>
    <w:rsid w:val="007013E7"/>
    <w:rsid w:val="007019AA"/>
    <w:rsid w:val="007022C0"/>
    <w:rsid w:val="0070314E"/>
    <w:rsid w:val="00705944"/>
    <w:rsid w:val="00705BA0"/>
    <w:rsid w:val="00706026"/>
    <w:rsid w:val="00706718"/>
    <w:rsid w:val="00707B12"/>
    <w:rsid w:val="0071019A"/>
    <w:rsid w:val="0071056A"/>
    <w:rsid w:val="007105D8"/>
    <w:rsid w:val="00712627"/>
    <w:rsid w:val="00712C83"/>
    <w:rsid w:val="0071495E"/>
    <w:rsid w:val="00714AC1"/>
    <w:rsid w:val="00716245"/>
    <w:rsid w:val="00720581"/>
    <w:rsid w:val="00720C20"/>
    <w:rsid w:val="007215E7"/>
    <w:rsid w:val="00721CAF"/>
    <w:rsid w:val="00722100"/>
    <w:rsid w:val="00722B9F"/>
    <w:rsid w:val="0072350F"/>
    <w:rsid w:val="007247C5"/>
    <w:rsid w:val="00725131"/>
    <w:rsid w:val="00725B0C"/>
    <w:rsid w:val="007262DE"/>
    <w:rsid w:val="00726C68"/>
    <w:rsid w:val="00726C6F"/>
    <w:rsid w:val="00727102"/>
    <w:rsid w:val="00730739"/>
    <w:rsid w:val="007314EC"/>
    <w:rsid w:val="00731FA7"/>
    <w:rsid w:val="00732379"/>
    <w:rsid w:val="00733DE8"/>
    <w:rsid w:val="00733EAA"/>
    <w:rsid w:val="00734413"/>
    <w:rsid w:val="00734E55"/>
    <w:rsid w:val="00737473"/>
    <w:rsid w:val="00740AF4"/>
    <w:rsid w:val="0074243B"/>
    <w:rsid w:val="007426A0"/>
    <w:rsid w:val="00742D45"/>
    <w:rsid w:val="0074418C"/>
    <w:rsid w:val="00745082"/>
    <w:rsid w:val="00745099"/>
    <w:rsid w:val="00745524"/>
    <w:rsid w:val="0074555C"/>
    <w:rsid w:val="007460ED"/>
    <w:rsid w:val="00746597"/>
    <w:rsid w:val="00746677"/>
    <w:rsid w:val="0074694D"/>
    <w:rsid w:val="00746A52"/>
    <w:rsid w:val="00746D7F"/>
    <w:rsid w:val="00747DE0"/>
    <w:rsid w:val="00747FE0"/>
    <w:rsid w:val="0075173C"/>
    <w:rsid w:val="00754DB8"/>
    <w:rsid w:val="007551D9"/>
    <w:rsid w:val="00756371"/>
    <w:rsid w:val="00757764"/>
    <w:rsid w:val="00757954"/>
    <w:rsid w:val="007602CE"/>
    <w:rsid w:val="00760571"/>
    <w:rsid w:val="00760FFB"/>
    <w:rsid w:val="007618E3"/>
    <w:rsid w:val="00761FEE"/>
    <w:rsid w:val="00762CAD"/>
    <w:rsid w:val="00764AEB"/>
    <w:rsid w:val="007666B7"/>
    <w:rsid w:val="007676B4"/>
    <w:rsid w:val="007700C5"/>
    <w:rsid w:val="007704A0"/>
    <w:rsid w:val="0077084B"/>
    <w:rsid w:val="0077088D"/>
    <w:rsid w:val="00770D84"/>
    <w:rsid w:val="00770DC6"/>
    <w:rsid w:val="00770E5C"/>
    <w:rsid w:val="00771005"/>
    <w:rsid w:val="00771429"/>
    <w:rsid w:val="0077142B"/>
    <w:rsid w:val="0077262E"/>
    <w:rsid w:val="00773322"/>
    <w:rsid w:val="00773924"/>
    <w:rsid w:val="00775D18"/>
    <w:rsid w:val="007763F8"/>
    <w:rsid w:val="00776547"/>
    <w:rsid w:val="0077697A"/>
    <w:rsid w:val="00776A98"/>
    <w:rsid w:val="0077755F"/>
    <w:rsid w:val="00781866"/>
    <w:rsid w:val="00783125"/>
    <w:rsid w:val="00784909"/>
    <w:rsid w:val="00784EC9"/>
    <w:rsid w:val="0078685A"/>
    <w:rsid w:val="007870C0"/>
    <w:rsid w:val="00790F88"/>
    <w:rsid w:val="00794082"/>
    <w:rsid w:val="0079485C"/>
    <w:rsid w:val="00794AEB"/>
    <w:rsid w:val="007951BE"/>
    <w:rsid w:val="00795A02"/>
    <w:rsid w:val="00795DC6"/>
    <w:rsid w:val="00795F6F"/>
    <w:rsid w:val="00795F77"/>
    <w:rsid w:val="00797500"/>
    <w:rsid w:val="00797ADB"/>
    <w:rsid w:val="007A08D3"/>
    <w:rsid w:val="007A0D6C"/>
    <w:rsid w:val="007A1C41"/>
    <w:rsid w:val="007A1E53"/>
    <w:rsid w:val="007A2D5F"/>
    <w:rsid w:val="007A3C05"/>
    <w:rsid w:val="007A40AC"/>
    <w:rsid w:val="007A45DB"/>
    <w:rsid w:val="007A4A5E"/>
    <w:rsid w:val="007A59AA"/>
    <w:rsid w:val="007A5E71"/>
    <w:rsid w:val="007A69AC"/>
    <w:rsid w:val="007A7458"/>
    <w:rsid w:val="007A76D3"/>
    <w:rsid w:val="007B0987"/>
    <w:rsid w:val="007B0A59"/>
    <w:rsid w:val="007B0E5D"/>
    <w:rsid w:val="007B1BE8"/>
    <w:rsid w:val="007B211C"/>
    <w:rsid w:val="007B258A"/>
    <w:rsid w:val="007B46D8"/>
    <w:rsid w:val="007B4733"/>
    <w:rsid w:val="007B5499"/>
    <w:rsid w:val="007B765D"/>
    <w:rsid w:val="007B7727"/>
    <w:rsid w:val="007B7752"/>
    <w:rsid w:val="007C1ACE"/>
    <w:rsid w:val="007C20EA"/>
    <w:rsid w:val="007C22AC"/>
    <w:rsid w:val="007C40CE"/>
    <w:rsid w:val="007C4710"/>
    <w:rsid w:val="007C48EE"/>
    <w:rsid w:val="007C522F"/>
    <w:rsid w:val="007C5AC9"/>
    <w:rsid w:val="007C5CC5"/>
    <w:rsid w:val="007C5E3B"/>
    <w:rsid w:val="007C6928"/>
    <w:rsid w:val="007C7427"/>
    <w:rsid w:val="007D0112"/>
    <w:rsid w:val="007D066D"/>
    <w:rsid w:val="007D0DE3"/>
    <w:rsid w:val="007D1E39"/>
    <w:rsid w:val="007D2248"/>
    <w:rsid w:val="007D2417"/>
    <w:rsid w:val="007D38CD"/>
    <w:rsid w:val="007D3962"/>
    <w:rsid w:val="007D4153"/>
    <w:rsid w:val="007D47F0"/>
    <w:rsid w:val="007D4B97"/>
    <w:rsid w:val="007D4D20"/>
    <w:rsid w:val="007D4FB9"/>
    <w:rsid w:val="007D78A6"/>
    <w:rsid w:val="007E0F86"/>
    <w:rsid w:val="007E0FE9"/>
    <w:rsid w:val="007E1B49"/>
    <w:rsid w:val="007E264C"/>
    <w:rsid w:val="007E3594"/>
    <w:rsid w:val="007E405E"/>
    <w:rsid w:val="007E4195"/>
    <w:rsid w:val="007E4466"/>
    <w:rsid w:val="007E5F74"/>
    <w:rsid w:val="007E6B4B"/>
    <w:rsid w:val="007E6C21"/>
    <w:rsid w:val="007E6F4B"/>
    <w:rsid w:val="007F0207"/>
    <w:rsid w:val="007F037E"/>
    <w:rsid w:val="007F0A6A"/>
    <w:rsid w:val="007F1370"/>
    <w:rsid w:val="007F2D3C"/>
    <w:rsid w:val="007F4947"/>
    <w:rsid w:val="007F5BFE"/>
    <w:rsid w:val="007F6ABE"/>
    <w:rsid w:val="007F7F09"/>
    <w:rsid w:val="00800B38"/>
    <w:rsid w:val="008013B6"/>
    <w:rsid w:val="0080170D"/>
    <w:rsid w:val="00802930"/>
    <w:rsid w:val="008031FE"/>
    <w:rsid w:val="0080341A"/>
    <w:rsid w:val="00803F54"/>
    <w:rsid w:val="008040A1"/>
    <w:rsid w:val="00804E2B"/>
    <w:rsid w:val="00806C33"/>
    <w:rsid w:val="00807199"/>
    <w:rsid w:val="008074F9"/>
    <w:rsid w:val="008079C8"/>
    <w:rsid w:val="00807FDA"/>
    <w:rsid w:val="00810B45"/>
    <w:rsid w:val="008144EA"/>
    <w:rsid w:val="00814D3C"/>
    <w:rsid w:val="008163C2"/>
    <w:rsid w:val="00816552"/>
    <w:rsid w:val="00816DD3"/>
    <w:rsid w:val="008172A3"/>
    <w:rsid w:val="00817FCA"/>
    <w:rsid w:val="00820267"/>
    <w:rsid w:val="00821E63"/>
    <w:rsid w:val="0082350F"/>
    <w:rsid w:val="0082417F"/>
    <w:rsid w:val="00824C98"/>
    <w:rsid w:val="008254E6"/>
    <w:rsid w:val="008256BE"/>
    <w:rsid w:val="0082672C"/>
    <w:rsid w:val="008275C4"/>
    <w:rsid w:val="00830EB6"/>
    <w:rsid w:val="008326AC"/>
    <w:rsid w:val="00832889"/>
    <w:rsid w:val="00834C99"/>
    <w:rsid w:val="00834CF2"/>
    <w:rsid w:val="00834E42"/>
    <w:rsid w:val="00837A5C"/>
    <w:rsid w:val="00840357"/>
    <w:rsid w:val="00840970"/>
    <w:rsid w:val="00840A14"/>
    <w:rsid w:val="00840E3E"/>
    <w:rsid w:val="0084126C"/>
    <w:rsid w:val="008426BC"/>
    <w:rsid w:val="0084298F"/>
    <w:rsid w:val="00843C45"/>
    <w:rsid w:val="0084451A"/>
    <w:rsid w:val="00844B18"/>
    <w:rsid w:val="00845C0E"/>
    <w:rsid w:val="008465CA"/>
    <w:rsid w:val="00846E55"/>
    <w:rsid w:val="008478DC"/>
    <w:rsid w:val="00850064"/>
    <w:rsid w:val="00850700"/>
    <w:rsid w:val="00850D0F"/>
    <w:rsid w:val="00851F5A"/>
    <w:rsid w:val="00852AE8"/>
    <w:rsid w:val="0085368F"/>
    <w:rsid w:val="008549B9"/>
    <w:rsid w:val="00856CE8"/>
    <w:rsid w:val="008607ED"/>
    <w:rsid w:val="00860D08"/>
    <w:rsid w:val="0086120B"/>
    <w:rsid w:val="0086132F"/>
    <w:rsid w:val="008614B1"/>
    <w:rsid w:val="00861A0D"/>
    <w:rsid w:val="00861E0E"/>
    <w:rsid w:val="00862518"/>
    <w:rsid w:val="00862A7B"/>
    <w:rsid w:val="0086345D"/>
    <w:rsid w:val="00863B0D"/>
    <w:rsid w:val="00864043"/>
    <w:rsid w:val="008643EF"/>
    <w:rsid w:val="00864D66"/>
    <w:rsid w:val="00865034"/>
    <w:rsid w:val="00865900"/>
    <w:rsid w:val="00865E8E"/>
    <w:rsid w:val="00866848"/>
    <w:rsid w:val="00867A19"/>
    <w:rsid w:val="00867AF4"/>
    <w:rsid w:val="00870419"/>
    <w:rsid w:val="00871CBD"/>
    <w:rsid w:val="00875AB4"/>
    <w:rsid w:val="0087602F"/>
    <w:rsid w:val="00880303"/>
    <w:rsid w:val="008808C7"/>
    <w:rsid w:val="00881201"/>
    <w:rsid w:val="00881399"/>
    <w:rsid w:val="00881C17"/>
    <w:rsid w:val="008841CA"/>
    <w:rsid w:val="00884669"/>
    <w:rsid w:val="008851D2"/>
    <w:rsid w:val="00886534"/>
    <w:rsid w:val="00887A4F"/>
    <w:rsid w:val="00887D4C"/>
    <w:rsid w:val="008901F6"/>
    <w:rsid w:val="008918EC"/>
    <w:rsid w:val="00891C35"/>
    <w:rsid w:val="0089260C"/>
    <w:rsid w:val="00893394"/>
    <w:rsid w:val="008942A8"/>
    <w:rsid w:val="008952FC"/>
    <w:rsid w:val="00895DE5"/>
    <w:rsid w:val="00896135"/>
    <w:rsid w:val="008966A1"/>
    <w:rsid w:val="0089680F"/>
    <w:rsid w:val="00896B08"/>
    <w:rsid w:val="00896B73"/>
    <w:rsid w:val="00896C5C"/>
    <w:rsid w:val="008A1744"/>
    <w:rsid w:val="008A26BA"/>
    <w:rsid w:val="008A3B35"/>
    <w:rsid w:val="008A3EA4"/>
    <w:rsid w:val="008A4F44"/>
    <w:rsid w:val="008B0B6B"/>
    <w:rsid w:val="008B0DE3"/>
    <w:rsid w:val="008B2D45"/>
    <w:rsid w:val="008B4631"/>
    <w:rsid w:val="008B57B4"/>
    <w:rsid w:val="008B6B66"/>
    <w:rsid w:val="008B6CCA"/>
    <w:rsid w:val="008B6EB6"/>
    <w:rsid w:val="008B7209"/>
    <w:rsid w:val="008B72E4"/>
    <w:rsid w:val="008B7799"/>
    <w:rsid w:val="008C1C47"/>
    <w:rsid w:val="008C2637"/>
    <w:rsid w:val="008C3D85"/>
    <w:rsid w:val="008C4FB5"/>
    <w:rsid w:val="008C5404"/>
    <w:rsid w:val="008C5706"/>
    <w:rsid w:val="008C5717"/>
    <w:rsid w:val="008C5A40"/>
    <w:rsid w:val="008C7162"/>
    <w:rsid w:val="008C7427"/>
    <w:rsid w:val="008D1422"/>
    <w:rsid w:val="008D18C7"/>
    <w:rsid w:val="008D1CDB"/>
    <w:rsid w:val="008D1E37"/>
    <w:rsid w:val="008D2220"/>
    <w:rsid w:val="008D28A2"/>
    <w:rsid w:val="008D2917"/>
    <w:rsid w:val="008D3137"/>
    <w:rsid w:val="008D318A"/>
    <w:rsid w:val="008D31DC"/>
    <w:rsid w:val="008D34F7"/>
    <w:rsid w:val="008D521A"/>
    <w:rsid w:val="008D55DF"/>
    <w:rsid w:val="008D5985"/>
    <w:rsid w:val="008D60AF"/>
    <w:rsid w:val="008D644E"/>
    <w:rsid w:val="008D6C2F"/>
    <w:rsid w:val="008D6C41"/>
    <w:rsid w:val="008D6D91"/>
    <w:rsid w:val="008E0191"/>
    <w:rsid w:val="008E0B43"/>
    <w:rsid w:val="008E1453"/>
    <w:rsid w:val="008E19C4"/>
    <w:rsid w:val="008E1D5E"/>
    <w:rsid w:val="008E2531"/>
    <w:rsid w:val="008E3276"/>
    <w:rsid w:val="008E38F4"/>
    <w:rsid w:val="008E48BC"/>
    <w:rsid w:val="008E4AD7"/>
    <w:rsid w:val="008E4FB5"/>
    <w:rsid w:val="008E5778"/>
    <w:rsid w:val="008E59B0"/>
    <w:rsid w:val="008E69D4"/>
    <w:rsid w:val="008E74F5"/>
    <w:rsid w:val="008F107C"/>
    <w:rsid w:val="008F137F"/>
    <w:rsid w:val="008F23B8"/>
    <w:rsid w:val="008F3A15"/>
    <w:rsid w:val="008F49FA"/>
    <w:rsid w:val="008F4BAC"/>
    <w:rsid w:val="008F568A"/>
    <w:rsid w:val="008F5D99"/>
    <w:rsid w:val="008F5E4E"/>
    <w:rsid w:val="008F7416"/>
    <w:rsid w:val="008F7539"/>
    <w:rsid w:val="008F7D5B"/>
    <w:rsid w:val="009010E2"/>
    <w:rsid w:val="009016D5"/>
    <w:rsid w:val="00902AB1"/>
    <w:rsid w:val="00902EEA"/>
    <w:rsid w:val="00903002"/>
    <w:rsid w:val="009039AA"/>
    <w:rsid w:val="00903D30"/>
    <w:rsid w:val="00904682"/>
    <w:rsid w:val="00904B70"/>
    <w:rsid w:val="0090644A"/>
    <w:rsid w:val="009070AE"/>
    <w:rsid w:val="0090792E"/>
    <w:rsid w:val="0090794D"/>
    <w:rsid w:val="009104EB"/>
    <w:rsid w:val="00911235"/>
    <w:rsid w:val="009129B9"/>
    <w:rsid w:val="009143B4"/>
    <w:rsid w:val="00915378"/>
    <w:rsid w:val="0091584E"/>
    <w:rsid w:val="00916709"/>
    <w:rsid w:val="00916CB2"/>
    <w:rsid w:val="00920439"/>
    <w:rsid w:val="00920D7D"/>
    <w:rsid w:val="00921177"/>
    <w:rsid w:val="009211B4"/>
    <w:rsid w:val="0092175D"/>
    <w:rsid w:val="0092334B"/>
    <w:rsid w:val="0092378A"/>
    <w:rsid w:val="00924394"/>
    <w:rsid w:val="00924DD2"/>
    <w:rsid w:val="00925452"/>
    <w:rsid w:val="0092657B"/>
    <w:rsid w:val="0092687A"/>
    <w:rsid w:val="0092708E"/>
    <w:rsid w:val="009276A4"/>
    <w:rsid w:val="00930419"/>
    <w:rsid w:val="009307FB"/>
    <w:rsid w:val="009321EB"/>
    <w:rsid w:val="0093339B"/>
    <w:rsid w:val="00935324"/>
    <w:rsid w:val="00935F5C"/>
    <w:rsid w:val="00935F87"/>
    <w:rsid w:val="00935FAF"/>
    <w:rsid w:val="009363F4"/>
    <w:rsid w:val="00936E91"/>
    <w:rsid w:val="009375D4"/>
    <w:rsid w:val="00937961"/>
    <w:rsid w:val="00940E6D"/>
    <w:rsid w:val="0094416C"/>
    <w:rsid w:val="00945B8C"/>
    <w:rsid w:val="00946490"/>
    <w:rsid w:val="0094694E"/>
    <w:rsid w:val="00946958"/>
    <w:rsid w:val="00946F7B"/>
    <w:rsid w:val="00947B2F"/>
    <w:rsid w:val="00947F22"/>
    <w:rsid w:val="00950824"/>
    <w:rsid w:val="0095148E"/>
    <w:rsid w:val="0095200B"/>
    <w:rsid w:val="00952EBC"/>
    <w:rsid w:val="0095316B"/>
    <w:rsid w:val="00953BC6"/>
    <w:rsid w:val="0095460A"/>
    <w:rsid w:val="009559DC"/>
    <w:rsid w:val="00956A72"/>
    <w:rsid w:val="00956D2E"/>
    <w:rsid w:val="009604EB"/>
    <w:rsid w:val="00960DFC"/>
    <w:rsid w:val="00960E0C"/>
    <w:rsid w:val="00961621"/>
    <w:rsid w:val="009617AF"/>
    <w:rsid w:val="00961955"/>
    <w:rsid w:val="00961D9D"/>
    <w:rsid w:val="00961EB9"/>
    <w:rsid w:val="00962F6C"/>
    <w:rsid w:val="00963C5A"/>
    <w:rsid w:val="00963DCB"/>
    <w:rsid w:val="00963E35"/>
    <w:rsid w:val="00965B33"/>
    <w:rsid w:val="009666CB"/>
    <w:rsid w:val="00966D24"/>
    <w:rsid w:val="00967E99"/>
    <w:rsid w:val="009705DE"/>
    <w:rsid w:val="00970C0A"/>
    <w:rsid w:val="00970CB9"/>
    <w:rsid w:val="00970D73"/>
    <w:rsid w:val="0097126F"/>
    <w:rsid w:val="0097160C"/>
    <w:rsid w:val="00971D81"/>
    <w:rsid w:val="00971D93"/>
    <w:rsid w:val="0097202F"/>
    <w:rsid w:val="00972367"/>
    <w:rsid w:val="0097274A"/>
    <w:rsid w:val="00972B38"/>
    <w:rsid w:val="009747AA"/>
    <w:rsid w:val="00974DBB"/>
    <w:rsid w:val="0097565F"/>
    <w:rsid w:val="00975994"/>
    <w:rsid w:val="00976031"/>
    <w:rsid w:val="009760B8"/>
    <w:rsid w:val="0097661E"/>
    <w:rsid w:val="00976743"/>
    <w:rsid w:val="00980009"/>
    <w:rsid w:val="00980482"/>
    <w:rsid w:val="009819D1"/>
    <w:rsid w:val="009823DD"/>
    <w:rsid w:val="00982454"/>
    <w:rsid w:val="00982E7A"/>
    <w:rsid w:val="00983840"/>
    <w:rsid w:val="00983D3B"/>
    <w:rsid w:val="00984A7A"/>
    <w:rsid w:val="009855DC"/>
    <w:rsid w:val="00986BD1"/>
    <w:rsid w:val="009870E7"/>
    <w:rsid w:val="00990185"/>
    <w:rsid w:val="00990526"/>
    <w:rsid w:val="00990B09"/>
    <w:rsid w:val="00991CBF"/>
    <w:rsid w:val="00992CC5"/>
    <w:rsid w:val="00992ED3"/>
    <w:rsid w:val="009931CE"/>
    <w:rsid w:val="00993E0A"/>
    <w:rsid w:val="0099431F"/>
    <w:rsid w:val="00994A5A"/>
    <w:rsid w:val="00994F97"/>
    <w:rsid w:val="0099528E"/>
    <w:rsid w:val="0099584A"/>
    <w:rsid w:val="00995A50"/>
    <w:rsid w:val="00997B3D"/>
    <w:rsid w:val="00997F2C"/>
    <w:rsid w:val="009A1375"/>
    <w:rsid w:val="009A163A"/>
    <w:rsid w:val="009A1FD3"/>
    <w:rsid w:val="009A2A54"/>
    <w:rsid w:val="009A2DDC"/>
    <w:rsid w:val="009A4907"/>
    <w:rsid w:val="009A54F6"/>
    <w:rsid w:val="009A5C0E"/>
    <w:rsid w:val="009A5FB1"/>
    <w:rsid w:val="009A6BB4"/>
    <w:rsid w:val="009A6E0C"/>
    <w:rsid w:val="009B02F6"/>
    <w:rsid w:val="009B10AE"/>
    <w:rsid w:val="009B1642"/>
    <w:rsid w:val="009B1855"/>
    <w:rsid w:val="009B1B93"/>
    <w:rsid w:val="009B420B"/>
    <w:rsid w:val="009B4B52"/>
    <w:rsid w:val="009B520A"/>
    <w:rsid w:val="009B679F"/>
    <w:rsid w:val="009B73F1"/>
    <w:rsid w:val="009C0022"/>
    <w:rsid w:val="009C1744"/>
    <w:rsid w:val="009C206A"/>
    <w:rsid w:val="009C30E7"/>
    <w:rsid w:val="009C323D"/>
    <w:rsid w:val="009C45A4"/>
    <w:rsid w:val="009C4D51"/>
    <w:rsid w:val="009C6261"/>
    <w:rsid w:val="009C67C2"/>
    <w:rsid w:val="009C7309"/>
    <w:rsid w:val="009C78C1"/>
    <w:rsid w:val="009D1051"/>
    <w:rsid w:val="009D1540"/>
    <w:rsid w:val="009D3121"/>
    <w:rsid w:val="009D540E"/>
    <w:rsid w:val="009D593C"/>
    <w:rsid w:val="009D5D9A"/>
    <w:rsid w:val="009D628B"/>
    <w:rsid w:val="009E12FC"/>
    <w:rsid w:val="009E21F5"/>
    <w:rsid w:val="009E3D77"/>
    <w:rsid w:val="009E4C3B"/>
    <w:rsid w:val="009E4DD3"/>
    <w:rsid w:val="009E5838"/>
    <w:rsid w:val="009E613C"/>
    <w:rsid w:val="009E72C5"/>
    <w:rsid w:val="009E76D4"/>
    <w:rsid w:val="009E775E"/>
    <w:rsid w:val="009F0301"/>
    <w:rsid w:val="009F0C6F"/>
    <w:rsid w:val="009F17D5"/>
    <w:rsid w:val="009F1B3B"/>
    <w:rsid w:val="009F22FD"/>
    <w:rsid w:val="009F2BFC"/>
    <w:rsid w:val="009F346B"/>
    <w:rsid w:val="009F461A"/>
    <w:rsid w:val="009F4B7E"/>
    <w:rsid w:val="009F4F23"/>
    <w:rsid w:val="009F5221"/>
    <w:rsid w:val="009F6474"/>
    <w:rsid w:val="009F68FB"/>
    <w:rsid w:val="009F7C9A"/>
    <w:rsid w:val="009F7F5E"/>
    <w:rsid w:val="00A0054A"/>
    <w:rsid w:val="00A00C71"/>
    <w:rsid w:val="00A01020"/>
    <w:rsid w:val="00A010EE"/>
    <w:rsid w:val="00A016C7"/>
    <w:rsid w:val="00A024C6"/>
    <w:rsid w:val="00A06677"/>
    <w:rsid w:val="00A0707C"/>
    <w:rsid w:val="00A10134"/>
    <w:rsid w:val="00A11717"/>
    <w:rsid w:val="00A11A73"/>
    <w:rsid w:val="00A134DD"/>
    <w:rsid w:val="00A13E06"/>
    <w:rsid w:val="00A13EB3"/>
    <w:rsid w:val="00A14B7F"/>
    <w:rsid w:val="00A15273"/>
    <w:rsid w:val="00A15859"/>
    <w:rsid w:val="00A1684B"/>
    <w:rsid w:val="00A16B95"/>
    <w:rsid w:val="00A201C0"/>
    <w:rsid w:val="00A20217"/>
    <w:rsid w:val="00A20A07"/>
    <w:rsid w:val="00A21472"/>
    <w:rsid w:val="00A21901"/>
    <w:rsid w:val="00A21D7B"/>
    <w:rsid w:val="00A21F46"/>
    <w:rsid w:val="00A2257A"/>
    <w:rsid w:val="00A2295E"/>
    <w:rsid w:val="00A234EE"/>
    <w:rsid w:val="00A23839"/>
    <w:rsid w:val="00A23AC5"/>
    <w:rsid w:val="00A24147"/>
    <w:rsid w:val="00A24896"/>
    <w:rsid w:val="00A2599F"/>
    <w:rsid w:val="00A25D4B"/>
    <w:rsid w:val="00A26C64"/>
    <w:rsid w:val="00A2762E"/>
    <w:rsid w:val="00A27F8A"/>
    <w:rsid w:val="00A30AFE"/>
    <w:rsid w:val="00A31CF2"/>
    <w:rsid w:val="00A328AD"/>
    <w:rsid w:val="00A334B6"/>
    <w:rsid w:val="00A34966"/>
    <w:rsid w:val="00A34F4C"/>
    <w:rsid w:val="00A355AD"/>
    <w:rsid w:val="00A357F6"/>
    <w:rsid w:val="00A3621F"/>
    <w:rsid w:val="00A36804"/>
    <w:rsid w:val="00A36C65"/>
    <w:rsid w:val="00A3702D"/>
    <w:rsid w:val="00A37107"/>
    <w:rsid w:val="00A37A7F"/>
    <w:rsid w:val="00A37DB5"/>
    <w:rsid w:val="00A3B033"/>
    <w:rsid w:val="00A413C2"/>
    <w:rsid w:val="00A42257"/>
    <w:rsid w:val="00A429DB"/>
    <w:rsid w:val="00A45066"/>
    <w:rsid w:val="00A45528"/>
    <w:rsid w:val="00A45D8D"/>
    <w:rsid w:val="00A4619E"/>
    <w:rsid w:val="00A464D5"/>
    <w:rsid w:val="00A46B6F"/>
    <w:rsid w:val="00A47437"/>
    <w:rsid w:val="00A47C19"/>
    <w:rsid w:val="00A500FC"/>
    <w:rsid w:val="00A5123B"/>
    <w:rsid w:val="00A514E9"/>
    <w:rsid w:val="00A522BA"/>
    <w:rsid w:val="00A52770"/>
    <w:rsid w:val="00A529F1"/>
    <w:rsid w:val="00A52FE3"/>
    <w:rsid w:val="00A5433E"/>
    <w:rsid w:val="00A54551"/>
    <w:rsid w:val="00A551F6"/>
    <w:rsid w:val="00A55A3C"/>
    <w:rsid w:val="00A6053D"/>
    <w:rsid w:val="00A60670"/>
    <w:rsid w:val="00A60A44"/>
    <w:rsid w:val="00A60A96"/>
    <w:rsid w:val="00A620B3"/>
    <w:rsid w:val="00A62667"/>
    <w:rsid w:val="00A62957"/>
    <w:rsid w:val="00A62E57"/>
    <w:rsid w:val="00A63200"/>
    <w:rsid w:val="00A6321C"/>
    <w:rsid w:val="00A64CF8"/>
    <w:rsid w:val="00A65218"/>
    <w:rsid w:val="00A66A5F"/>
    <w:rsid w:val="00A66C59"/>
    <w:rsid w:val="00A671BC"/>
    <w:rsid w:val="00A6780E"/>
    <w:rsid w:val="00A70537"/>
    <w:rsid w:val="00A70711"/>
    <w:rsid w:val="00A70789"/>
    <w:rsid w:val="00A70D98"/>
    <w:rsid w:val="00A725AA"/>
    <w:rsid w:val="00A732DE"/>
    <w:rsid w:val="00A73430"/>
    <w:rsid w:val="00A735EC"/>
    <w:rsid w:val="00A74BEC"/>
    <w:rsid w:val="00A7520C"/>
    <w:rsid w:val="00A755EB"/>
    <w:rsid w:val="00A75D4C"/>
    <w:rsid w:val="00A75D75"/>
    <w:rsid w:val="00A769FB"/>
    <w:rsid w:val="00A76B9C"/>
    <w:rsid w:val="00A76E73"/>
    <w:rsid w:val="00A770C9"/>
    <w:rsid w:val="00A77336"/>
    <w:rsid w:val="00A77DE1"/>
    <w:rsid w:val="00A805E6"/>
    <w:rsid w:val="00A80D29"/>
    <w:rsid w:val="00A81C0D"/>
    <w:rsid w:val="00A82C1F"/>
    <w:rsid w:val="00A82EAE"/>
    <w:rsid w:val="00A831A7"/>
    <w:rsid w:val="00A84A3D"/>
    <w:rsid w:val="00A84B38"/>
    <w:rsid w:val="00A86219"/>
    <w:rsid w:val="00A86282"/>
    <w:rsid w:val="00A90359"/>
    <w:rsid w:val="00A917A9"/>
    <w:rsid w:val="00A92340"/>
    <w:rsid w:val="00A93777"/>
    <w:rsid w:val="00A937CC"/>
    <w:rsid w:val="00A93B17"/>
    <w:rsid w:val="00A947DD"/>
    <w:rsid w:val="00A95140"/>
    <w:rsid w:val="00AA03EC"/>
    <w:rsid w:val="00AA0941"/>
    <w:rsid w:val="00AA23AF"/>
    <w:rsid w:val="00AA2BFC"/>
    <w:rsid w:val="00AA440A"/>
    <w:rsid w:val="00AA506A"/>
    <w:rsid w:val="00AA5131"/>
    <w:rsid w:val="00AA53D5"/>
    <w:rsid w:val="00AA5786"/>
    <w:rsid w:val="00AA6155"/>
    <w:rsid w:val="00AA64B2"/>
    <w:rsid w:val="00AA698A"/>
    <w:rsid w:val="00AA7BE7"/>
    <w:rsid w:val="00AB149D"/>
    <w:rsid w:val="00AB25F8"/>
    <w:rsid w:val="00AB2B24"/>
    <w:rsid w:val="00AB33F4"/>
    <w:rsid w:val="00AB34D9"/>
    <w:rsid w:val="00AB425B"/>
    <w:rsid w:val="00AB482A"/>
    <w:rsid w:val="00AB5C57"/>
    <w:rsid w:val="00AB6D9A"/>
    <w:rsid w:val="00AB6E7E"/>
    <w:rsid w:val="00AC0C93"/>
    <w:rsid w:val="00AC2795"/>
    <w:rsid w:val="00AC3D96"/>
    <w:rsid w:val="00AC42D0"/>
    <w:rsid w:val="00AC4F7E"/>
    <w:rsid w:val="00AC4FAA"/>
    <w:rsid w:val="00AC5BF7"/>
    <w:rsid w:val="00AC631E"/>
    <w:rsid w:val="00AC72B7"/>
    <w:rsid w:val="00AC7B76"/>
    <w:rsid w:val="00AD1959"/>
    <w:rsid w:val="00AD3159"/>
    <w:rsid w:val="00AD357B"/>
    <w:rsid w:val="00AD38DC"/>
    <w:rsid w:val="00AD3B0E"/>
    <w:rsid w:val="00AD3F75"/>
    <w:rsid w:val="00AD4433"/>
    <w:rsid w:val="00AD5550"/>
    <w:rsid w:val="00AD5DAA"/>
    <w:rsid w:val="00AD73D1"/>
    <w:rsid w:val="00AE01F5"/>
    <w:rsid w:val="00AE1840"/>
    <w:rsid w:val="00AE4545"/>
    <w:rsid w:val="00AE4DA3"/>
    <w:rsid w:val="00AE4FCF"/>
    <w:rsid w:val="00AE545F"/>
    <w:rsid w:val="00AE67AB"/>
    <w:rsid w:val="00AE75CF"/>
    <w:rsid w:val="00AE7ABA"/>
    <w:rsid w:val="00AE7BB9"/>
    <w:rsid w:val="00AF1619"/>
    <w:rsid w:val="00AF2019"/>
    <w:rsid w:val="00AF44E1"/>
    <w:rsid w:val="00AF4925"/>
    <w:rsid w:val="00AF4E9D"/>
    <w:rsid w:val="00AF6B19"/>
    <w:rsid w:val="00B01024"/>
    <w:rsid w:val="00B0114F"/>
    <w:rsid w:val="00B01AFA"/>
    <w:rsid w:val="00B01BAC"/>
    <w:rsid w:val="00B020B8"/>
    <w:rsid w:val="00B0246A"/>
    <w:rsid w:val="00B02A6A"/>
    <w:rsid w:val="00B02CD4"/>
    <w:rsid w:val="00B0421F"/>
    <w:rsid w:val="00B045D2"/>
    <w:rsid w:val="00B050F8"/>
    <w:rsid w:val="00B0634E"/>
    <w:rsid w:val="00B066DE"/>
    <w:rsid w:val="00B06C30"/>
    <w:rsid w:val="00B0786E"/>
    <w:rsid w:val="00B10BE1"/>
    <w:rsid w:val="00B127A4"/>
    <w:rsid w:val="00B14C61"/>
    <w:rsid w:val="00B14E83"/>
    <w:rsid w:val="00B1598B"/>
    <w:rsid w:val="00B17115"/>
    <w:rsid w:val="00B17799"/>
    <w:rsid w:val="00B17E80"/>
    <w:rsid w:val="00B20817"/>
    <w:rsid w:val="00B22CA0"/>
    <w:rsid w:val="00B2337F"/>
    <w:rsid w:val="00B235E3"/>
    <w:rsid w:val="00B243AF"/>
    <w:rsid w:val="00B24A71"/>
    <w:rsid w:val="00B26193"/>
    <w:rsid w:val="00B26257"/>
    <w:rsid w:val="00B26C8A"/>
    <w:rsid w:val="00B2782F"/>
    <w:rsid w:val="00B3001C"/>
    <w:rsid w:val="00B302D7"/>
    <w:rsid w:val="00B30302"/>
    <w:rsid w:val="00B31176"/>
    <w:rsid w:val="00B323F9"/>
    <w:rsid w:val="00B32ACB"/>
    <w:rsid w:val="00B32BE2"/>
    <w:rsid w:val="00B334B1"/>
    <w:rsid w:val="00B33CC1"/>
    <w:rsid w:val="00B34D36"/>
    <w:rsid w:val="00B35234"/>
    <w:rsid w:val="00B3583F"/>
    <w:rsid w:val="00B35B82"/>
    <w:rsid w:val="00B35D84"/>
    <w:rsid w:val="00B361CF"/>
    <w:rsid w:val="00B37854"/>
    <w:rsid w:val="00B37F06"/>
    <w:rsid w:val="00B40C4E"/>
    <w:rsid w:val="00B44930"/>
    <w:rsid w:val="00B44FDE"/>
    <w:rsid w:val="00B45E28"/>
    <w:rsid w:val="00B4637D"/>
    <w:rsid w:val="00B46EB5"/>
    <w:rsid w:val="00B470D6"/>
    <w:rsid w:val="00B51DFA"/>
    <w:rsid w:val="00B53391"/>
    <w:rsid w:val="00B54854"/>
    <w:rsid w:val="00B55814"/>
    <w:rsid w:val="00B56048"/>
    <w:rsid w:val="00B56CE7"/>
    <w:rsid w:val="00B57042"/>
    <w:rsid w:val="00B5711C"/>
    <w:rsid w:val="00B60BE5"/>
    <w:rsid w:val="00B625A3"/>
    <w:rsid w:val="00B63CD5"/>
    <w:rsid w:val="00B64C32"/>
    <w:rsid w:val="00B65BC1"/>
    <w:rsid w:val="00B66431"/>
    <w:rsid w:val="00B70148"/>
    <w:rsid w:val="00B70E28"/>
    <w:rsid w:val="00B71C0B"/>
    <w:rsid w:val="00B726BD"/>
    <w:rsid w:val="00B72B4E"/>
    <w:rsid w:val="00B73865"/>
    <w:rsid w:val="00B74938"/>
    <w:rsid w:val="00B75234"/>
    <w:rsid w:val="00B76A3D"/>
    <w:rsid w:val="00B76E55"/>
    <w:rsid w:val="00B76FB8"/>
    <w:rsid w:val="00B84934"/>
    <w:rsid w:val="00B850CD"/>
    <w:rsid w:val="00B8527E"/>
    <w:rsid w:val="00B868B8"/>
    <w:rsid w:val="00B86AB7"/>
    <w:rsid w:val="00B90BA5"/>
    <w:rsid w:val="00B91045"/>
    <w:rsid w:val="00B91910"/>
    <w:rsid w:val="00B91ADA"/>
    <w:rsid w:val="00B91DBC"/>
    <w:rsid w:val="00B92545"/>
    <w:rsid w:val="00B93732"/>
    <w:rsid w:val="00B943E3"/>
    <w:rsid w:val="00B959F7"/>
    <w:rsid w:val="00B96899"/>
    <w:rsid w:val="00B96DB7"/>
    <w:rsid w:val="00B96F60"/>
    <w:rsid w:val="00BA0A44"/>
    <w:rsid w:val="00BA13A8"/>
    <w:rsid w:val="00BA2160"/>
    <w:rsid w:val="00BA2B0C"/>
    <w:rsid w:val="00BA2EA7"/>
    <w:rsid w:val="00BA39A9"/>
    <w:rsid w:val="00BA625A"/>
    <w:rsid w:val="00BA6334"/>
    <w:rsid w:val="00BA6ED1"/>
    <w:rsid w:val="00BA7C21"/>
    <w:rsid w:val="00BB137C"/>
    <w:rsid w:val="00BB13A8"/>
    <w:rsid w:val="00BB1BBB"/>
    <w:rsid w:val="00BB2954"/>
    <w:rsid w:val="00BB380C"/>
    <w:rsid w:val="00BB3CAB"/>
    <w:rsid w:val="00BB4865"/>
    <w:rsid w:val="00BB53A9"/>
    <w:rsid w:val="00BB546F"/>
    <w:rsid w:val="00BB5B52"/>
    <w:rsid w:val="00BB5B93"/>
    <w:rsid w:val="00BB676E"/>
    <w:rsid w:val="00BC0989"/>
    <w:rsid w:val="00BC0B03"/>
    <w:rsid w:val="00BC10A0"/>
    <w:rsid w:val="00BC168A"/>
    <w:rsid w:val="00BC1DEA"/>
    <w:rsid w:val="00BC207A"/>
    <w:rsid w:val="00BC2D04"/>
    <w:rsid w:val="00BC3A7E"/>
    <w:rsid w:val="00BC3DF9"/>
    <w:rsid w:val="00BC4212"/>
    <w:rsid w:val="00BC496C"/>
    <w:rsid w:val="00BC4A51"/>
    <w:rsid w:val="00BC4C9A"/>
    <w:rsid w:val="00BC5516"/>
    <w:rsid w:val="00BC579D"/>
    <w:rsid w:val="00BC5B98"/>
    <w:rsid w:val="00BC66BC"/>
    <w:rsid w:val="00BC7DA5"/>
    <w:rsid w:val="00BD0216"/>
    <w:rsid w:val="00BD1159"/>
    <w:rsid w:val="00BD179B"/>
    <w:rsid w:val="00BD2344"/>
    <w:rsid w:val="00BD27EE"/>
    <w:rsid w:val="00BD29B1"/>
    <w:rsid w:val="00BD2A89"/>
    <w:rsid w:val="00BD36BF"/>
    <w:rsid w:val="00BD3A24"/>
    <w:rsid w:val="00BD437E"/>
    <w:rsid w:val="00BD555F"/>
    <w:rsid w:val="00BD5D4B"/>
    <w:rsid w:val="00BD6B18"/>
    <w:rsid w:val="00BD6EA2"/>
    <w:rsid w:val="00BD7154"/>
    <w:rsid w:val="00BE0035"/>
    <w:rsid w:val="00BE0A11"/>
    <w:rsid w:val="00BE16E9"/>
    <w:rsid w:val="00BE222C"/>
    <w:rsid w:val="00BE243B"/>
    <w:rsid w:val="00BE326D"/>
    <w:rsid w:val="00BE6C9A"/>
    <w:rsid w:val="00BF0E55"/>
    <w:rsid w:val="00BF1447"/>
    <w:rsid w:val="00BF2132"/>
    <w:rsid w:val="00BF2409"/>
    <w:rsid w:val="00BF2449"/>
    <w:rsid w:val="00BF2579"/>
    <w:rsid w:val="00BF5A8E"/>
    <w:rsid w:val="00BF5FC8"/>
    <w:rsid w:val="00BF63FC"/>
    <w:rsid w:val="00BF686D"/>
    <w:rsid w:val="00BF6972"/>
    <w:rsid w:val="00C00A3C"/>
    <w:rsid w:val="00C00C9E"/>
    <w:rsid w:val="00C0269E"/>
    <w:rsid w:val="00C02A57"/>
    <w:rsid w:val="00C03FF2"/>
    <w:rsid w:val="00C04102"/>
    <w:rsid w:val="00C042AC"/>
    <w:rsid w:val="00C074EB"/>
    <w:rsid w:val="00C108D5"/>
    <w:rsid w:val="00C1141D"/>
    <w:rsid w:val="00C12D03"/>
    <w:rsid w:val="00C12E7B"/>
    <w:rsid w:val="00C12F6B"/>
    <w:rsid w:val="00C14FC1"/>
    <w:rsid w:val="00C1537F"/>
    <w:rsid w:val="00C16849"/>
    <w:rsid w:val="00C1705D"/>
    <w:rsid w:val="00C17AFC"/>
    <w:rsid w:val="00C20216"/>
    <w:rsid w:val="00C20EC9"/>
    <w:rsid w:val="00C211FD"/>
    <w:rsid w:val="00C2161A"/>
    <w:rsid w:val="00C2264E"/>
    <w:rsid w:val="00C22699"/>
    <w:rsid w:val="00C23870"/>
    <w:rsid w:val="00C23980"/>
    <w:rsid w:val="00C241E1"/>
    <w:rsid w:val="00C249E6"/>
    <w:rsid w:val="00C2516B"/>
    <w:rsid w:val="00C25B65"/>
    <w:rsid w:val="00C30A6F"/>
    <w:rsid w:val="00C31EB8"/>
    <w:rsid w:val="00C32D1B"/>
    <w:rsid w:val="00C346A5"/>
    <w:rsid w:val="00C35405"/>
    <w:rsid w:val="00C3647F"/>
    <w:rsid w:val="00C36B14"/>
    <w:rsid w:val="00C403E6"/>
    <w:rsid w:val="00C412A5"/>
    <w:rsid w:val="00C426B0"/>
    <w:rsid w:val="00C43024"/>
    <w:rsid w:val="00C43557"/>
    <w:rsid w:val="00C44665"/>
    <w:rsid w:val="00C45B7C"/>
    <w:rsid w:val="00C4605C"/>
    <w:rsid w:val="00C465B8"/>
    <w:rsid w:val="00C46A2C"/>
    <w:rsid w:val="00C46A5C"/>
    <w:rsid w:val="00C46ADE"/>
    <w:rsid w:val="00C520E4"/>
    <w:rsid w:val="00C52118"/>
    <w:rsid w:val="00C552C4"/>
    <w:rsid w:val="00C5553E"/>
    <w:rsid w:val="00C55AD3"/>
    <w:rsid w:val="00C56653"/>
    <w:rsid w:val="00C5672F"/>
    <w:rsid w:val="00C579FD"/>
    <w:rsid w:val="00C61721"/>
    <w:rsid w:val="00C61DB7"/>
    <w:rsid w:val="00C628C3"/>
    <w:rsid w:val="00C64F66"/>
    <w:rsid w:val="00C65677"/>
    <w:rsid w:val="00C65FB1"/>
    <w:rsid w:val="00C66CA4"/>
    <w:rsid w:val="00C70079"/>
    <w:rsid w:val="00C700DA"/>
    <w:rsid w:val="00C70EF5"/>
    <w:rsid w:val="00C71649"/>
    <w:rsid w:val="00C73A2F"/>
    <w:rsid w:val="00C7403A"/>
    <w:rsid w:val="00C748D4"/>
    <w:rsid w:val="00C75341"/>
    <w:rsid w:val="00C77895"/>
    <w:rsid w:val="00C80655"/>
    <w:rsid w:val="00C812CB"/>
    <w:rsid w:val="00C81A52"/>
    <w:rsid w:val="00C830ED"/>
    <w:rsid w:val="00C83D89"/>
    <w:rsid w:val="00C83F14"/>
    <w:rsid w:val="00C8430A"/>
    <w:rsid w:val="00C8488B"/>
    <w:rsid w:val="00C85820"/>
    <w:rsid w:val="00C85ECB"/>
    <w:rsid w:val="00C85F74"/>
    <w:rsid w:val="00C87547"/>
    <w:rsid w:val="00C9087D"/>
    <w:rsid w:val="00C91A0C"/>
    <w:rsid w:val="00C931D1"/>
    <w:rsid w:val="00C93C7A"/>
    <w:rsid w:val="00C948DB"/>
    <w:rsid w:val="00C949A7"/>
    <w:rsid w:val="00C95213"/>
    <w:rsid w:val="00C9773B"/>
    <w:rsid w:val="00C97856"/>
    <w:rsid w:val="00CA120B"/>
    <w:rsid w:val="00CA19E1"/>
    <w:rsid w:val="00CA19EF"/>
    <w:rsid w:val="00CA2AC1"/>
    <w:rsid w:val="00CA34AE"/>
    <w:rsid w:val="00CA4143"/>
    <w:rsid w:val="00CA46C9"/>
    <w:rsid w:val="00CA471E"/>
    <w:rsid w:val="00CA4FAA"/>
    <w:rsid w:val="00CA582C"/>
    <w:rsid w:val="00CA5C75"/>
    <w:rsid w:val="00CA7022"/>
    <w:rsid w:val="00CB07C9"/>
    <w:rsid w:val="00CB099D"/>
    <w:rsid w:val="00CB0E3B"/>
    <w:rsid w:val="00CB21AA"/>
    <w:rsid w:val="00CB36E5"/>
    <w:rsid w:val="00CB3918"/>
    <w:rsid w:val="00CB43BB"/>
    <w:rsid w:val="00CB4907"/>
    <w:rsid w:val="00CB4EB0"/>
    <w:rsid w:val="00CB4F12"/>
    <w:rsid w:val="00CB609E"/>
    <w:rsid w:val="00CB7B36"/>
    <w:rsid w:val="00CC079F"/>
    <w:rsid w:val="00CC0B53"/>
    <w:rsid w:val="00CC1AFF"/>
    <w:rsid w:val="00CC24F5"/>
    <w:rsid w:val="00CC3283"/>
    <w:rsid w:val="00CC3CD5"/>
    <w:rsid w:val="00CC5009"/>
    <w:rsid w:val="00CC6441"/>
    <w:rsid w:val="00CC71E5"/>
    <w:rsid w:val="00CC7516"/>
    <w:rsid w:val="00CC7644"/>
    <w:rsid w:val="00CC76F2"/>
    <w:rsid w:val="00CD0C4E"/>
    <w:rsid w:val="00CD1A66"/>
    <w:rsid w:val="00CD30D1"/>
    <w:rsid w:val="00CD4F2E"/>
    <w:rsid w:val="00CD5331"/>
    <w:rsid w:val="00CD586A"/>
    <w:rsid w:val="00CD5E42"/>
    <w:rsid w:val="00CD6104"/>
    <w:rsid w:val="00CD6310"/>
    <w:rsid w:val="00CD657F"/>
    <w:rsid w:val="00CD65FF"/>
    <w:rsid w:val="00CD670D"/>
    <w:rsid w:val="00CD6DB0"/>
    <w:rsid w:val="00CD706A"/>
    <w:rsid w:val="00CD7F9A"/>
    <w:rsid w:val="00CD7FEA"/>
    <w:rsid w:val="00CE0AD1"/>
    <w:rsid w:val="00CE0ECB"/>
    <w:rsid w:val="00CE19EC"/>
    <w:rsid w:val="00CE355C"/>
    <w:rsid w:val="00CE38C7"/>
    <w:rsid w:val="00CE4C4C"/>
    <w:rsid w:val="00CE4E9A"/>
    <w:rsid w:val="00CE54D8"/>
    <w:rsid w:val="00CE5F38"/>
    <w:rsid w:val="00CE6A50"/>
    <w:rsid w:val="00CF0284"/>
    <w:rsid w:val="00CF133F"/>
    <w:rsid w:val="00CF37CF"/>
    <w:rsid w:val="00CF3B3D"/>
    <w:rsid w:val="00CF3CC9"/>
    <w:rsid w:val="00CF3E66"/>
    <w:rsid w:val="00CF5FEE"/>
    <w:rsid w:val="00CF70E8"/>
    <w:rsid w:val="00CF7302"/>
    <w:rsid w:val="00CF77B6"/>
    <w:rsid w:val="00D005B6"/>
    <w:rsid w:val="00D00851"/>
    <w:rsid w:val="00D00D23"/>
    <w:rsid w:val="00D013FF"/>
    <w:rsid w:val="00D02359"/>
    <w:rsid w:val="00D0276F"/>
    <w:rsid w:val="00D02E62"/>
    <w:rsid w:val="00D03548"/>
    <w:rsid w:val="00D03F7D"/>
    <w:rsid w:val="00D05E6E"/>
    <w:rsid w:val="00D05EEA"/>
    <w:rsid w:val="00D07B55"/>
    <w:rsid w:val="00D07BE3"/>
    <w:rsid w:val="00D109F2"/>
    <w:rsid w:val="00D11457"/>
    <w:rsid w:val="00D115C9"/>
    <w:rsid w:val="00D116A5"/>
    <w:rsid w:val="00D118B1"/>
    <w:rsid w:val="00D11E96"/>
    <w:rsid w:val="00D12FF8"/>
    <w:rsid w:val="00D1304B"/>
    <w:rsid w:val="00D145ED"/>
    <w:rsid w:val="00D15B34"/>
    <w:rsid w:val="00D15D44"/>
    <w:rsid w:val="00D15F2E"/>
    <w:rsid w:val="00D160F7"/>
    <w:rsid w:val="00D1631D"/>
    <w:rsid w:val="00D1692A"/>
    <w:rsid w:val="00D16AEB"/>
    <w:rsid w:val="00D16C51"/>
    <w:rsid w:val="00D17AE7"/>
    <w:rsid w:val="00D20014"/>
    <w:rsid w:val="00D21A48"/>
    <w:rsid w:val="00D21E24"/>
    <w:rsid w:val="00D22BED"/>
    <w:rsid w:val="00D22C84"/>
    <w:rsid w:val="00D22F82"/>
    <w:rsid w:val="00D23AF5"/>
    <w:rsid w:val="00D2401E"/>
    <w:rsid w:val="00D25B41"/>
    <w:rsid w:val="00D25D97"/>
    <w:rsid w:val="00D2657C"/>
    <w:rsid w:val="00D3022F"/>
    <w:rsid w:val="00D32309"/>
    <w:rsid w:val="00D3268E"/>
    <w:rsid w:val="00D33576"/>
    <w:rsid w:val="00D35899"/>
    <w:rsid w:val="00D35AA6"/>
    <w:rsid w:val="00D35AD5"/>
    <w:rsid w:val="00D36B5A"/>
    <w:rsid w:val="00D407C4"/>
    <w:rsid w:val="00D420E4"/>
    <w:rsid w:val="00D43369"/>
    <w:rsid w:val="00D43C8E"/>
    <w:rsid w:val="00D43DA4"/>
    <w:rsid w:val="00D4589C"/>
    <w:rsid w:val="00D45FCA"/>
    <w:rsid w:val="00D47068"/>
    <w:rsid w:val="00D5157F"/>
    <w:rsid w:val="00D5200A"/>
    <w:rsid w:val="00D54163"/>
    <w:rsid w:val="00D543C0"/>
    <w:rsid w:val="00D54601"/>
    <w:rsid w:val="00D549D3"/>
    <w:rsid w:val="00D5686D"/>
    <w:rsid w:val="00D60103"/>
    <w:rsid w:val="00D60423"/>
    <w:rsid w:val="00D60B11"/>
    <w:rsid w:val="00D60F1F"/>
    <w:rsid w:val="00D61EC2"/>
    <w:rsid w:val="00D6305E"/>
    <w:rsid w:val="00D63069"/>
    <w:rsid w:val="00D63244"/>
    <w:rsid w:val="00D63503"/>
    <w:rsid w:val="00D63A9A"/>
    <w:rsid w:val="00D64EA0"/>
    <w:rsid w:val="00D64F40"/>
    <w:rsid w:val="00D65C45"/>
    <w:rsid w:val="00D6619A"/>
    <w:rsid w:val="00D6662C"/>
    <w:rsid w:val="00D67BAC"/>
    <w:rsid w:val="00D67C68"/>
    <w:rsid w:val="00D70696"/>
    <w:rsid w:val="00D73564"/>
    <w:rsid w:val="00D73846"/>
    <w:rsid w:val="00D74045"/>
    <w:rsid w:val="00D748E4"/>
    <w:rsid w:val="00D75EDD"/>
    <w:rsid w:val="00D7612F"/>
    <w:rsid w:val="00D763CB"/>
    <w:rsid w:val="00D765C4"/>
    <w:rsid w:val="00D80639"/>
    <w:rsid w:val="00D80C77"/>
    <w:rsid w:val="00D81455"/>
    <w:rsid w:val="00D81E90"/>
    <w:rsid w:val="00D83323"/>
    <w:rsid w:val="00D83550"/>
    <w:rsid w:val="00D8387F"/>
    <w:rsid w:val="00D83C2D"/>
    <w:rsid w:val="00D847B0"/>
    <w:rsid w:val="00D84861"/>
    <w:rsid w:val="00D85AB2"/>
    <w:rsid w:val="00D8607E"/>
    <w:rsid w:val="00D86C99"/>
    <w:rsid w:val="00D86E85"/>
    <w:rsid w:val="00D874C0"/>
    <w:rsid w:val="00D90C1A"/>
    <w:rsid w:val="00D90CBE"/>
    <w:rsid w:val="00D9154B"/>
    <w:rsid w:val="00D92C75"/>
    <w:rsid w:val="00D92FAC"/>
    <w:rsid w:val="00D94C14"/>
    <w:rsid w:val="00D9504B"/>
    <w:rsid w:val="00D953D7"/>
    <w:rsid w:val="00D9649B"/>
    <w:rsid w:val="00D96680"/>
    <w:rsid w:val="00D96AC9"/>
    <w:rsid w:val="00D970D1"/>
    <w:rsid w:val="00D97B8E"/>
    <w:rsid w:val="00DA0F68"/>
    <w:rsid w:val="00DA1776"/>
    <w:rsid w:val="00DA25B9"/>
    <w:rsid w:val="00DA32AB"/>
    <w:rsid w:val="00DA3512"/>
    <w:rsid w:val="00DA5C70"/>
    <w:rsid w:val="00DB04F8"/>
    <w:rsid w:val="00DB0579"/>
    <w:rsid w:val="00DB0756"/>
    <w:rsid w:val="00DB0B7B"/>
    <w:rsid w:val="00DB1E11"/>
    <w:rsid w:val="00DB1FE4"/>
    <w:rsid w:val="00DB22B0"/>
    <w:rsid w:val="00DB23F3"/>
    <w:rsid w:val="00DB2F86"/>
    <w:rsid w:val="00DB2FA1"/>
    <w:rsid w:val="00DB3D6B"/>
    <w:rsid w:val="00DB4C3B"/>
    <w:rsid w:val="00DB508B"/>
    <w:rsid w:val="00DB5404"/>
    <w:rsid w:val="00DB5674"/>
    <w:rsid w:val="00DB5BB1"/>
    <w:rsid w:val="00DB61E6"/>
    <w:rsid w:val="00DB665D"/>
    <w:rsid w:val="00DB7A95"/>
    <w:rsid w:val="00DC20A9"/>
    <w:rsid w:val="00DC2350"/>
    <w:rsid w:val="00DC5292"/>
    <w:rsid w:val="00DC5E76"/>
    <w:rsid w:val="00DC6822"/>
    <w:rsid w:val="00DC73E9"/>
    <w:rsid w:val="00DC7AC6"/>
    <w:rsid w:val="00DD0D4C"/>
    <w:rsid w:val="00DD1376"/>
    <w:rsid w:val="00DD1642"/>
    <w:rsid w:val="00DD19AF"/>
    <w:rsid w:val="00DD255B"/>
    <w:rsid w:val="00DD2B60"/>
    <w:rsid w:val="00DD3A6F"/>
    <w:rsid w:val="00DD3B8C"/>
    <w:rsid w:val="00DD3FFB"/>
    <w:rsid w:val="00DD41B8"/>
    <w:rsid w:val="00DD4A81"/>
    <w:rsid w:val="00DD534B"/>
    <w:rsid w:val="00DD54A1"/>
    <w:rsid w:val="00DD5D22"/>
    <w:rsid w:val="00DD6333"/>
    <w:rsid w:val="00DD63D9"/>
    <w:rsid w:val="00DD6EF5"/>
    <w:rsid w:val="00DE00AA"/>
    <w:rsid w:val="00DE40BA"/>
    <w:rsid w:val="00DE6619"/>
    <w:rsid w:val="00DE669C"/>
    <w:rsid w:val="00DE7A21"/>
    <w:rsid w:val="00DF1A74"/>
    <w:rsid w:val="00DF29D2"/>
    <w:rsid w:val="00DF2B32"/>
    <w:rsid w:val="00DF2B4D"/>
    <w:rsid w:val="00DF3704"/>
    <w:rsid w:val="00DF37AF"/>
    <w:rsid w:val="00DF47C7"/>
    <w:rsid w:val="00DF4D3A"/>
    <w:rsid w:val="00DF680B"/>
    <w:rsid w:val="00DF758E"/>
    <w:rsid w:val="00E00449"/>
    <w:rsid w:val="00E0050C"/>
    <w:rsid w:val="00E00771"/>
    <w:rsid w:val="00E00A05"/>
    <w:rsid w:val="00E00FD7"/>
    <w:rsid w:val="00E025C6"/>
    <w:rsid w:val="00E02F27"/>
    <w:rsid w:val="00E04A98"/>
    <w:rsid w:val="00E052D8"/>
    <w:rsid w:val="00E06128"/>
    <w:rsid w:val="00E063C8"/>
    <w:rsid w:val="00E0667F"/>
    <w:rsid w:val="00E0728D"/>
    <w:rsid w:val="00E07D90"/>
    <w:rsid w:val="00E10426"/>
    <w:rsid w:val="00E10624"/>
    <w:rsid w:val="00E10735"/>
    <w:rsid w:val="00E1080E"/>
    <w:rsid w:val="00E108D5"/>
    <w:rsid w:val="00E10E54"/>
    <w:rsid w:val="00E12380"/>
    <w:rsid w:val="00E12D1B"/>
    <w:rsid w:val="00E13D57"/>
    <w:rsid w:val="00E141B4"/>
    <w:rsid w:val="00E1474A"/>
    <w:rsid w:val="00E148C5"/>
    <w:rsid w:val="00E16A4F"/>
    <w:rsid w:val="00E170DB"/>
    <w:rsid w:val="00E2043D"/>
    <w:rsid w:val="00E207D0"/>
    <w:rsid w:val="00E20C34"/>
    <w:rsid w:val="00E2328F"/>
    <w:rsid w:val="00E24AB4"/>
    <w:rsid w:val="00E24C2F"/>
    <w:rsid w:val="00E256FB"/>
    <w:rsid w:val="00E30C5C"/>
    <w:rsid w:val="00E31574"/>
    <w:rsid w:val="00E31815"/>
    <w:rsid w:val="00E3231C"/>
    <w:rsid w:val="00E3250E"/>
    <w:rsid w:val="00E34AD1"/>
    <w:rsid w:val="00E35DA7"/>
    <w:rsid w:val="00E35EC3"/>
    <w:rsid w:val="00E36181"/>
    <w:rsid w:val="00E3753C"/>
    <w:rsid w:val="00E40459"/>
    <w:rsid w:val="00E4328A"/>
    <w:rsid w:val="00E44DC8"/>
    <w:rsid w:val="00E46EEF"/>
    <w:rsid w:val="00E474D9"/>
    <w:rsid w:val="00E475A2"/>
    <w:rsid w:val="00E50BBA"/>
    <w:rsid w:val="00E50DC9"/>
    <w:rsid w:val="00E51525"/>
    <w:rsid w:val="00E51842"/>
    <w:rsid w:val="00E51FCB"/>
    <w:rsid w:val="00E525A8"/>
    <w:rsid w:val="00E52CDB"/>
    <w:rsid w:val="00E538AA"/>
    <w:rsid w:val="00E54312"/>
    <w:rsid w:val="00E543B7"/>
    <w:rsid w:val="00E54561"/>
    <w:rsid w:val="00E54581"/>
    <w:rsid w:val="00E5518C"/>
    <w:rsid w:val="00E55F2F"/>
    <w:rsid w:val="00E565F2"/>
    <w:rsid w:val="00E5719C"/>
    <w:rsid w:val="00E575F9"/>
    <w:rsid w:val="00E57626"/>
    <w:rsid w:val="00E60475"/>
    <w:rsid w:val="00E612BC"/>
    <w:rsid w:val="00E614E8"/>
    <w:rsid w:val="00E62AE3"/>
    <w:rsid w:val="00E62E9D"/>
    <w:rsid w:val="00E63AAF"/>
    <w:rsid w:val="00E641A2"/>
    <w:rsid w:val="00E64AE6"/>
    <w:rsid w:val="00E650E6"/>
    <w:rsid w:val="00E650E9"/>
    <w:rsid w:val="00E653D4"/>
    <w:rsid w:val="00E65F9C"/>
    <w:rsid w:val="00E66409"/>
    <w:rsid w:val="00E667E7"/>
    <w:rsid w:val="00E66CDC"/>
    <w:rsid w:val="00E67697"/>
    <w:rsid w:val="00E67D02"/>
    <w:rsid w:val="00E70107"/>
    <w:rsid w:val="00E7047F"/>
    <w:rsid w:val="00E706D5"/>
    <w:rsid w:val="00E7097E"/>
    <w:rsid w:val="00E725E3"/>
    <w:rsid w:val="00E72D32"/>
    <w:rsid w:val="00E730DD"/>
    <w:rsid w:val="00E745F5"/>
    <w:rsid w:val="00E7634B"/>
    <w:rsid w:val="00E76CC5"/>
    <w:rsid w:val="00E772CA"/>
    <w:rsid w:val="00E77CE9"/>
    <w:rsid w:val="00E7D917"/>
    <w:rsid w:val="00E80A7A"/>
    <w:rsid w:val="00E80DD2"/>
    <w:rsid w:val="00E813F3"/>
    <w:rsid w:val="00E81EB4"/>
    <w:rsid w:val="00E82606"/>
    <w:rsid w:val="00E837E3"/>
    <w:rsid w:val="00E8412E"/>
    <w:rsid w:val="00E8497C"/>
    <w:rsid w:val="00E849B4"/>
    <w:rsid w:val="00E86654"/>
    <w:rsid w:val="00E901B7"/>
    <w:rsid w:val="00E904B7"/>
    <w:rsid w:val="00E910E3"/>
    <w:rsid w:val="00E92433"/>
    <w:rsid w:val="00E92D1E"/>
    <w:rsid w:val="00E94099"/>
    <w:rsid w:val="00E9567E"/>
    <w:rsid w:val="00E960AF"/>
    <w:rsid w:val="00E979DC"/>
    <w:rsid w:val="00EA0070"/>
    <w:rsid w:val="00EA0B3B"/>
    <w:rsid w:val="00EA0C2C"/>
    <w:rsid w:val="00EA18D5"/>
    <w:rsid w:val="00EA1F17"/>
    <w:rsid w:val="00EA30AC"/>
    <w:rsid w:val="00EA45AF"/>
    <w:rsid w:val="00EA4608"/>
    <w:rsid w:val="00EA4755"/>
    <w:rsid w:val="00EA493C"/>
    <w:rsid w:val="00EA4BBF"/>
    <w:rsid w:val="00EA5619"/>
    <w:rsid w:val="00EA74D7"/>
    <w:rsid w:val="00EB07CE"/>
    <w:rsid w:val="00EB1256"/>
    <w:rsid w:val="00EB1A94"/>
    <w:rsid w:val="00EB4458"/>
    <w:rsid w:val="00EB4704"/>
    <w:rsid w:val="00EB48CC"/>
    <w:rsid w:val="00EB4AA8"/>
    <w:rsid w:val="00EB5B78"/>
    <w:rsid w:val="00EB5DF0"/>
    <w:rsid w:val="00EB62AE"/>
    <w:rsid w:val="00EB62CF"/>
    <w:rsid w:val="00EB6AB4"/>
    <w:rsid w:val="00EB6DE4"/>
    <w:rsid w:val="00EB6EF8"/>
    <w:rsid w:val="00EB7A16"/>
    <w:rsid w:val="00EC23DB"/>
    <w:rsid w:val="00EC5387"/>
    <w:rsid w:val="00EC6266"/>
    <w:rsid w:val="00EC7953"/>
    <w:rsid w:val="00ED1DCA"/>
    <w:rsid w:val="00ED24EE"/>
    <w:rsid w:val="00ED2CC7"/>
    <w:rsid w:val="00ED3042"/>
    <w:rsid w:val="00ED3459"/>
    <w:rsid w:val="00ED3F69"/>
    <w:rsid w:val="00ED59EB"/>
    <w:rsid w:val="00ED59EC"/>
    <w:rsid w:val="00ED5D0E"/>
    <w:rsid w:val="00EE11DE"/>
    <w:rsid w:val="00EE121A"/>
    <w:rsid w:val="00EE2D04"/>
    <w:rsid w:val="00EE2FC2"/>
    <w:rsid w:val="00EE4144"/>
    <w:rsid w:val="00EE440E"/>
    <w:rsid w:val="00EE45E0"/>
    <w:rsid w:val="00EE6DD7"/>
    <w:rsid w:val="00EE72B8"/>
    <w:rsid w:val="00EF0CC7"/>
    <w:rsid w:val="00EF1976"/>
    <w:rsid w:val="00EF2785"/>
    <w:rsid w:val="00EF3C7A"/>
    <w:rsid w:val="00EF4287"/>
    <w:rsid w:val="00EF50A0"/>
    <w:rsid w:val="00EF57D9"/>
    <w:rsid w:val="00EF6290"/>
    <w:rsid w:val="00EF76A8"/>
    <w:rsid w:val="00EF7E10"/>
    <w:rsid w:val="00EF7E75"/>
    <w:rsid w:val="00F003D9"/>
    <w:rsid w:val="00F015DC"/>
    <w:rsid w:val="00F01CB6"/>
    <w:rsid w:val="00F02F8A"/>
    <w:rsid w:val="00F03FA2"/>
    <w:rsid w:val="00F0554D"/>
    <w:rsid w:val="00F055DD"/>
    <w:rsid w:val="00F05A2E"/>
    <w:rsid w:val="00F05C04"/>
    <w:rsid w:val="00F0673A"/>
    <w:rsid w:val="00F10D29"/>
    <w:rsid w:val="00F10DF5"/>
    <w:rsid w:val="00F11078"/>
    <w:rsid w:val="00F11202"/>
    <w:rsid w:val="00F12733"/>
    <w:rsid w:val="00F157FE"/>
    <w:rsid w:val="00F160D6"/>
    <w:rsid w:val="00F16C1A"/>
    <w:rsid w:val="00F175A0"/>
    <w:rsid w:val="00F2051D"/>
    <w:rsid w:val="00F20530"/>
    <w:rsid w:val="00F21EA4"/>
    <w:rsid w:val="00F2354D"/>
    <w:rsid w:val="00F243BE"/>
    <w:rsid w:val="00F2461E"/>
    <w:rsid w:val="00F247A5"/>
    <w:rsid w:val="00F25062"/>
    <w:rsid w:val="00F25808"/>
    <w:rsid w:val="00F259E2"/>
    <w:rsid w:val="00F27269"/>
    <w:rsid w:val="00F278F5"/>
    <w:rsid w:val="00F27FC2"/>
    <w:rsid w:val="00F30910"/>
    <w:rsid w:val="00F30FBA"/>
    <w:rsid w:val="00F31A90"/>
    <w:rsid w:val="00F3266E"/>
    <w:rsid w:val="00F37FC6"/>
    <w:rsid w:val="00F419F5"/>
    <w:rsid w:val="00F41ABA"/>
    <w:rsid w:val="00F424FA"/>
    <w:rsid w:val="00F42FA8"/>
    <w:rsid w:val="00F43073"/>
    <w:rsid w:val="00F434D5"/>
    <w:rsid w:val="00F443C2"/>
    <w:rsid w:val="00F45C68"/>
    <w:rsid w:val="00F461A1"/>
    <w:rsid w:val="00F501C7"/>
    <w:rsid w:val="00F50381"/>
    <w:rsid w:val="00F509EE"/>
    <w:rsid w:val="00F50A62"/>
    <w:rsid w:val="00F51752"/>
    <w:rsid w:val="00F53240"/>
    <w:rsid w:val="00F532BB"/>
    <w:rsid w:val="00F5334F"/>
    <w:rsid w:val="00F533B9"/>
    <w:rsid w:val="00F53EA2"/>
    <w:rsid w:val="00F54253"/>
    <w:rsid w:val="00F543B8"/>
    <w:rsid w:val="00F567D5"/>
    <w:rsid w:val="00F569D4"/>
    <w:rsid w:val="00F56CF5"/>
    <w:rsid w:val="00F56D9E"/>
    <w:rsid w:val="00F570BC"/>
    <w:rsid w:val="00F57163"/>
    <w:rsid w:val="00F608C7"/>
    <w:rsid w:val="00F60975"/>
    <w:rsid w:val="00F60F2B"/>
    <w:rsid w:val="00F616E1"/>
    <w:rsid w:val="00F62307"/>
    <w:rsid w:val="00F6414D"/>
    <w:rsid w:val="00F6430C"/>
    <w:rsid w:val="00F65035"/>
    <w:rsid w:val="00F65ABE"/>
    <w:rsid w:val="00F67466"/>
    <w:rsid w:val="00F72CB0"/>
    <w:rsid w:val="00F72D4C"/>
    <w:rsid w:val="00F73A8D"/>
    <w:rsid w:val="00F74E0D"/>
    <w:rsid w:val="00F759EE"/>
    <w:rsid w:val="00F7706D"/>
    <w:rsid w:val="00F802F7"/>
    <w:rsid w:val="00F8056A"/>
    <w:rsid w:val="00F809AA"/>
    <w:rsid w:val="00F80CD2"/>
    <w:rsid w:val="00F80E6B"/>
    <w:rsid w:val="00F8370F"/>
    <w:rsid w:val="00F839ED"/>
    <w:rsid w:val="00F844FB"/>
    <w:rsid w:val="00F84C4F"/>
    <w:rsid w:val="00F84FF3"/>
    <w:rsid w:val="00F8514B"/>
    <w:rsid w:val="00F854A1"/>
    <w:rsid w:val="00F85FE0"/>
    <w:rsid w:val="00F876F1"/>
    <w:rsid w:val="00F90910"/>
    <w:rsid w:val="00F90E37"/>
    <w:rsid w:val="00F91340"/>
    <w:rsid w:val="00F92700"/>
    <w:rsid w:val="00F929EE"/>
    <w:rsid w:val="00F932BF"/>
    <w:rsid w:val="00F93A9C"/>
    <w:rsid w:val="00F94407"/>
    <w:rsid w:val="00F949A7"/>
    <w:rsid w:val="00F953BE"/>
    <w:rsid w:val="00F956E8"/>
    <w:rsid w:val="00F956F0"/>
    <w:rsid w:val="00F959C8"/>
    <w:rsid w:val="00F96DD0"/>
    <w:rsid w:val="00F973DD"/>
    <w:rsid w:val="00F976CE"/>
    <w:rsid w:val="00F97D44"/>
    <w:rsid w:val="00FA00FB"/>
    <w:rsid w:val="00FA0C94"/>
    <w:rsid w:val="00FA0D6E"/>
    <w:rsid w:val="00FA1971"/>
    <w:rsid w:val="00FA19FA"/>
    <w:rsid w:val="00FA1B53"/>
    <w:rsid w:val="00FA22C7"/>
    <w:rsid w:val="00FA2582"/>
    <w:rsid w:val="00FA3F34"/>
    <w:rsid w:val="00FA5344"/>
    <w:rsid w:val="00FA5DA0"/>
    <w:rsid w:val="00FA63B6"/>
    <w:rsid w:val="00FA72EF"/>
    <w:rsid w:val="00FA77AA"/>
    <w:rsid w:val="00FB0E88"/>
    <w:rsid w:val="00FB146E"/>
    <w:rsid w:val="00FB23B2"/>
    <w:rsid w:val="00FB26B1"/>
    <w:rsid w:val="00FB2828"/>
    <w:rsid w:val="00FB2B34"/>
    <w:rsid w:val="00FB2D0C"/>
    <w:rsid w:val="00FB4D6A"/>
    <w:rsid w:val="00FB50BD"/>
    <w:rsid w:val="00FB593B"/>
    <w:rsid w:val="00FB60A7"/>
    <w:rsid w:val="00FB68B7"/>
    <w:rsid w:val="00FB6A27"/>
    <w:rsid w:val="00FB7304"/>
    <w:rsid w:val="00FB74F3"/>
    <w:rsid w:val="00FB7A27"/>
    <w:rsid w:val="00FB7BF5"/>
    <w:rsid w:val="00FC0425"/>
    <w:rsid w:val="00FC08DF"/>
    <w:rsid w:val="00FC0BEA"/>
    <w:rsid w:val="00FC1763"/>
    <w:rsid w:val="00FC34EB"/>
    <w:rsid w:val="00FC3CF1"/>
    <w:rsid w:val="00FC43B4"/>
    <w:rsid w:val="00FC5196"/>
    <w:rsid w:val="00FC5292"/>
    <w:rsid w:val="00FC5A73"/>
    <w:rsid w:val="00FC5C84"/>
    <w:rsid w:val="00FC6E23"/>
    <w:rsid w:val="00FC7300"/>
    <w:rsid w:val="00FD0654"/>
    <w:rsid w:val="00FD0AE5"/>
    <w:rsid w:val="00FD12B0"/>
    <w:rsid w:val="00FD12DC"/>
    <w:rsid w:val="00FD20F8"/>
    <w:rsid w:val="00FD289D"/>
    <w:rsid w:val="00FD2AA5"/>
    <w:rsid w:val="00FD3623"/>
    <w:rsid w:val="00FD40CF"/>
    <w:rsid w:val="00FD441A"/>
    <w:rsid w:val="00FD4591"/>
    <w:rsid w:val="00FD6141"/>
    <w:rsid w:val="00FD6D2F"/>
    <w:rsid w:val="00FD6F08"/>
    <w:rsid w:val="00FD74AC"/>
    <w:rsid w:val="00FD768A"/>
    <w:rsid w:val="00FD7A98"/>
    <w:rsid w:val="00FE3518"/>
    <w:rsid w:val="00FE37DF"/>
    <w:rsid w:val="00FE3992"/>
    <w:rsid w:val="00FE4061"/>
    <w:rsid w:val="00FE4838"/>
    <w:rsid w:val="00FE5754"/>
    <w:rsid w:val="00FE5AA3"/>
    <w:rsid w:val="00FE6103"/>
    <w:rsid w:val="00FE7731"/>
    <w:rsid w:val="00FE7966"/>
    <w:rsid w:val="00FE7A94"/>
    <w:rsid w:val="00FF0859"/>
    <w:rsid w:val="00FF14D3"/>
    <w:rsid w:val="00FF14F6"/>
    <w:rsid w:val="00FF31FC"/>
    <w:rsid w:val="00FF3E76"/>
    <w:rsid w:val="00FF5875"/>
    <w:rsid w:val="00FF5C7C"/>
    <w:rsid w:val="00FF60F9"/>
    <w:rsid w:val="0188C8AD"/>
    <w:rsid w:val="02A07779"/>
    <w:rsid w:val="032F460A"/>
    <w:rsid w:val="0340D27E"/>
    <w:rsid w:val="03F4BA58"/>
    <w:rsid w:val="04A60291"/>
    <w:rsid w:val="04C1D9CB"/>
    <w:rsid w:val="05070288"/>
    <w:rsid w:val="055BF79D"/>
    <w:rsid w:val="059F3726"/>
    <w:rsid w:val="05A106E8"/>
    <w:rsid w:val="05D7428D"/>
    <w:rsid w:val="074E6F7B"/>
    <w:rsid w:val="0763D6B3"/>
    <w:rsid w:val="09C2F8C8"/>
    <w:rsid w:val="0A4299C7"/>
    <w:rsid w:val="0A971BF3"/>
    <w:rsid w:val="0AC99800"/>
    <w:rsid w:val="0B535D91"/>
    <w:rsid w:val="0B8A3907"/>
    <w:rsid w:val="0C166D3C"/>
    <w:rsid w:val="0D71FF92"/>
    <w:rsid w:val="0DD569BB"/>
    <w:rsid w:val="0E5DD7E5"/>
    <w:rsid w:val="0FB03349"/>
    <w:rsid w:val="0FEE2E59"/>
    <w:rsid w:val="122F23F8"/>
    <w:rsid w:val="133E982C"/>
    <w:rsid w:val="13856C5E"/>
    <w:rsid w:val="14A856EA"/>
    <w:rsid w:val="1514BFFD"/>
    <w:rsid w:val="157AE2DB"/>
    <w:rsid w:val="15BE2B4C"/>
    <w:rsid w:val="16F97E5A"/>
    <w:rsid w:val="177946AC"/>
    <w:rsid w:val="184F93B2"/>
    <w:rsid w:val="19AFFF01"/>
    <w:rsid w:val="19EFC76B"/>
    <w:rsid w:val="1A8236AA"/>
    <w:rsid w:val="1A961032"/>
    <w:rsid w:val="1ADCB2DD"/>
    <w:rsid w:val="1D2304D5"/>
    <w:rsid w:val="1EBED536"/>
    <w:rsid w:val="1ECBF90A"/>
    <w:rsid w:val="1ED23B94"/>
    <w:rsid w:val="2027AB5D"/>
    <w:rsid w:val="2040ADC4"/>
    <w:rsid w:val="21146C4B"/>
    <w:rsid w:val="214E688A"/>
    <w:rsid w:val="23C40153"/>
    <w:rsid w:val="23E8F4E5"/>
    <w:rsid w:val="24CFCE3D"/>
    <w:rsid w:val="2596EC85"/>
    <w:rsid w:val="261688A3"/>
    <w:rsid w:val="277FC3F8"/>
    <w:rsid w:val="286B0BEA"/>
    <w:rsid w:val="29B09EDE"/>
    <w:rsid w:val="29C91C53"/>
    <w:rsid w:val="2ADC2273"/>
    <w:rsid w:val="2C4578BE"/>
    <w:rsid w:val="2C99B53D"/>
    <w:rsid w:val="2D27EDC8"/>
    <w:rsid w:val="2D6F548C"/>
    <w:rsid w:val="2FE7A5CC"/>
    <w:rsid w:val="2FFEB50F"/>
    <w:rsid w:val="309719C1"/>
    <w:rsid w:val="31429C18"/>
    <w:rsid w:val="33E10D02"/>
    <w:rsid w:val="344207DC"/>
    <w:rsid w:val="344DFD32"/>
    <w:rsid w:val="36397284"/>
    <w:rsid w:val="36946B51"/>
    <w:rsid w:val="37842A38"/>
    <w:rsid w:val="38D85B78"/>
    <w:rsid w:val="394622E0"/>
    <w:rsid w:val="39697D55"/>
    <w:rsid w:val="3C5945D2"/>
    <w:rsid w:val="3CAD0077"/>
    <w:rsid w:val="3D8968B4"/>
    <w:rsid w:val="3E481261"/>
    <w:rsid w:val="419B63FE"/>
    <w:rsid w:val="4287DFE1"/>
    <w:rsid w:val="42B0667A"/>
    <w:rsid w:val="42FC2E74"/>
    <w:rsid w:val="4314A9D6"/>
    <w:rsid w:val="43279E54"/>
    <w:rsid w:val="434CB1DC"/>
    <w:rsid w:val="4512B44B"/>
    <w:rsid w:val="45F1EFCC"/>
    <w:rsid w:val="4621190B"/>
    <w:rsid w:val="462AC0EE"/>
    <w:rsid w:val="46489B42"/>
    <w:rsid w:val="46DE8DD6"/>
    <w:rsid w:val="4776BB3A"/>
    <w:rsid w:val="47ADAE38"/>
    <w:rsid w:val="4879C0C6"/>
    <w:rsid w:val="487CC6EB"/>
    <w:rsid w:val="49EF9D61"/>
    <w:rsid w:val="4AD0F5B4"/>
    <w:rsid w:val="4B44C4CB"/>
    <w:rsid w:val="4B6AABC8"/>
    <w:rsid w:val="4B8A52E8"/>
    <w:rsid w:val="4DED99F0"/>
    <w:rsid w:val="4E67DAA9"/>
    <w:rsid w:val="4FF8BFDE"/>
    <w:rsid w:val="5007E98C"/>
    <w:rsid w:val="50B9F9BE"/>
    <w:rsid w:val="5142FAE3"/>
    <w:rsid w:val="51A317EE"/>
    <w:rsid w:val="5352DBD7"/>
    <w:rsid w:val="5360B47C"/>
    <w:rsid w:val="53EC8229"/>
    <w:rsid w:val="553F1B71"/>
    <w:rsid w:val="572DA4CA"/>
    <w:rsid w:val="57DD9FBE"/>
    <w:rsid w:val="5A071FF8"/>
    <w:rsid w:val="5A9A8DC2"/>
    <w:rsid w:val="5A9E48DE"/>
    <w:rsid w:val="5B511AF9"/>
    <w:rsid w:val="5BA0242F"/>
    <w:rsid w:val="5D83BDF1"/>
    <w:rsid w:val="60BB5EB3"/>
    <w:rsid w:val="61054EC4"/>
    <w:rsid w:val="61328F09"/>
    <w:rsid w:val="631EC265"/>
    <w:rsid w:val="636A0ED4"/>
    <w:rsid w:val="6374B36E"/>
    <w:rsid w:val="64B37488"/>
    <w:rsid w:val="64D8040A"/>
    <w:rsid w:val="6635606C"/>
    <w:rsid w:val="664B8CCA"/>
    <w:rsid w:val="67879093"/>
    <w:rsid w:val="67D8EE49"/>
    <w:rsid w:val="68271E38"/>
    <w:rsid w:val="68E3F508"/>
    <w:rsid w:val="6948DE96"/>
    <w:rsid w:val="69697845"/>
    <w:rsid w:val="698FDA54"/>
    <w:rsid w:val="69D35BE8"/>
    <w:rsid w:val="6A20ACDC"/>
    <w:rsid w:val="6A2893E9"/>
    <w:rsid w:val="6AB3F323"/>
    <w:rsid w:val="6B904B89"/>
    <w:rsid w:val="6C362390"/>
    <w:rsid w:val="6CFBDAD6"/>
    <w:rsid w:val="6D150846"/>
    <w:rsid w:val="6DD88B9A"/>
    <w:rsid w:val="6E7BE735"/>
    <w:rsid w:val="6FD5C9F4"/>
    <w:rsid w:val="709D868F"/>
    <w:rsid w:val="719CEA99"/>
    <w:rsid w:val="726D52DE"/>
    <w:rsid w:val="752045F3"/>
    <w:rsid w:val="754B29EE"/>
    <w:rsid w:val="7599099A"/>
    <w:rsid w:val="77526F22"/>
    <w:rsid w:val="775C67D4"/>
    <w:rsid w:val="7781911D"/>
    <w:rsid w:val="77B93AD8"/>
    <w:rsid w:val="77BEDC35"/>
    <w:rsid w:val="78EA76B1"/>
    <w:rsid w:val="79DC333F"/>
    <w:rsid w:val="79F2F221"/>
    <w:rsid w:val="7A2530BC"/>
    <w:rsid w:val="7A606D2D"/>
    <w:rsid w:val="7ADBC083"/>
    <w:rsid w:val="7B947FEC"/>
    <w:rsid w:val="7C9566F8"/>
    <w:rsid w:val="7D46A1F6"/>
    <w:rsid w:val="7FDECF6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5D67A0"/>
  <w14:defaultImageDpi w14:val="32767"/>
  <w15:chartTrackingRefBased/>
  <w15:docId w15:val="{BD462EC6-F3AF-4AD7-98A9-C545C3C7B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locked="1" w:uiPriority="1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locked="1" w:semiHidden="1" w:qFormat="1"/>
    <w:lsdException w:name="Book Title" w:semiHidden="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qFormat/>
    <w:rsid w:val="009C45A4"/>
    <w:pPr>
      <w:spacing w:before="120" w:after="120" w:line="240" w:lineRule="auto"/>
    </w:pPr>
    <w:rPr>
      <w:rFonts w:ascii="Arial" w:hAnsi="Arial"/>
      <w:sz w:val="20"/>
    </w:rPr>
  </w:style>
  <w:style w:type="paragraph" w:styleId="Heading1">
    <w:name w:val="heading 1"/>
    <w:basedOn w:val="Heading1Numbered"/>
    <w:next w:val="Normal"/>
    <w:link w:val="Heading1Char"/>
    <w:autoRedefine/>
    <w:qFormat/>
    <w:rsid w:val="00072169"/>
    <w:pPr>
      <w:spacing w:before="0" w:after="120"/>
      <w:outlineLvl w:val="0"/>
    </w:pPr>
  </w:style>
  <w:style w:type="paragraph" w:styleId="Heading2">
    <w:name w:val="heading 2"/>
    <w:basedOn w:val="Normal"/>
    <w:next w:val="Normal"/>
    <w:link w:val="Heading2Char"/>
    <w:autoRedefine/>
    <w:qFormat/>
    <w:rsid w:val="00DD6EF5"/>
    <w:pPr>
      <w:keepNext/>
      <w:keepLines/>
      <w:pBdr>
        <w:top w:val="single" w:sz="4" w:space="4" w:color="808080" w:themeColor="background1" w:themeShade="80"/>
        <w:bottom w:val="single" w:sz="4" w:space="4" w:color="808080" w:themeColor="background1" w:themeShade="80"/>
      </w:pBdr>
      <w:spacing w:before="240" w:line="276" w:lineRule="auto"/>
      <w:outlineLvl w:val="1"/>
    </w:pPr>
    <w:rPr>
      <w:rFonts w:asciiTheme="majorHAnsi" w:eastAsiaTheme="majorEastAsia" w:hAnsiTheme="majorHAnsi" w:cstheme="majorBidi"/>
      <w:b/>
      <w:bCs/>
      <w:color w:val="000000" w:themeColor="text1"/>
      <w:sz w:val="24"/>
      <w:szCs w:val="26"/>
    </w:rPr>
  </w:style>
  <w:style w:type="paragraph" w:styleId="Heading3">
    <w:name w:val="heading 3"/>
    <w:basedOn w:val="Normal"/>
    <w:next w:val="Normal"/>
    <w:link w:val="Heading3Char"/>
    <w:autoRedefine/>
    <w:qFormat/>
    <w:rsid w:val="00105FAE"/>
    <w:pPr>
      <w:spacing w:before="240" w:after="200" w:line="276" w:lineRule="auto"/>
      <w:outlineLvl w:val="2"/>
    </w:pPr>
    <w:rPr>
      <w:rFonts w:asciiTheme="minorHAnsi" w:eastAsiaTheme="majorEastAsia" w:hAnsiTheme="minorHAnsi" w:cstheme="majorBidi"/>
      <w:b/>
      <w:color w:val="000000" w:themeColor="text1"/>
      <w:sz w:val="24"/>
      <w:szCs w:val="24"/>
    </w:rPr>
  </w:style>
  <w:style w:type="paragraph" w:styleId="Heading4">
    <w:name w:val="heading 4"/>
    <w:basedOn w:val="Normal"/>
    <w:next w:val="Normal"/>
    <w:link w:val="Heading4Char"/>
    <w:autoRedefine/>
    <w:qFormat/>
    <w:rsid w:val="00215342"/>
    <w:pPr>
      <w:spacing w:before="240" w:line="276" w:lineRule="auto"/>
      <w:outlineLvl w:val="3"/>
    </w:pPr>
    <w:rPr>
      <w:rFonts w:asciiTheme="majorHAnsi" w:eastAsiaTheme="majorEastAsia" w:hAnsiTheme="majorHAnsi" w:cstheme="majorBidi"/>
      <w:color w:val="000000" w:themeColor="text1"/>
      <w:sz w:val="22"/>
      <w:szCs w:val="20"/>
    </w:rPr>
  </w:style>
  <w:style w:type="paragraph" w:styleId="Heading5">
    <w:name w:val="heading 5"/>
    <w:basedOn w:val="Normal"/>
    <w:next w:val="Normal"/>
    <w:link w:val="Heading5Char"/>
    <w:autoRedefine/>
    <w:qFormat/>
    <w:rsid w:val="00215342"/>
    <w:pPr>
      <w:spacing w:before="240" w:line="276" w:lineRule="auto"/>
      <w:outlineLvl w:val="4"/>
    </w:pPr>
    <w:rPr>
      <w:rFonts w:asciiTheme="majorHAnsi" w:eastAsiaTheme="majorEastAsia" w:hAnsiTheme="majorHAnsi" w:cstheme="majorBidi"/>
      <w:i/>
      <w:iCs/>
      <w:color w:val="000000" w:themeColor="text1"/>
      <w:sz w:val="22"/>
    </w:rPr>
  </w:style>
  <w:style w:type="paragraph" w:styleId="Heading6">
    <w:name w:val="heading 6"/>
    <w:basedOn w:val="Normal"/>
    <w:next w:val="Normal"/>
    <w:link w:val="Heading6Char"/>
    <w:uiPriority w:val="6"/>
    <w:semiHidden/>
    <w:rsid w:val="0090794D"/>
    <w:pPr>
      <w:keepNext/>
      <w:keepLines/>
      <w:spacing w:before="40" w:after="0"/>
      <w:outlineLvl w:val="5"/>
    </w:pPr>
    <w:rPr>
      <w:rFonts w:asciiTheme="majorHAnsi" w:eastAsiaTheme="majorEastAsia" w:hAnsiTheme="majorHAnsi" w:cstheme="majorBidi"/>
      <w:color w:val="81601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72169"/>
    <w:rPr>
      <w:rFonts w:asciiTheme="majorHAnsi" w:hAnsiTheme="majorHAnsi" w:cstheme="majorHAnsi"/>
      <w:b/>
      <w:sz w:val="56"/>
    </w:rPr>
  </w:style>
  <w:style w:type="paragraph" w:customStyle="1" w:styleId="BodyText1">
    <w:name w:val="Body Text 1"/>
    <w:link w:val="BodyText1Char"/>
    <w:autoRedefine/>
    <w:uiPriority w:val="2"/>
    <w:qFormat/>
    <w:rsid w:val="004B0B81"/>
    <w:pPr>
      <w:tabs>
        <w:tab w:val="right" w:pos="9356"/>
      </w:tabs>
      <w:spacing w:before="120" w:after="120" w:line="276" w:lineRule="auto"/>
    </w:pPr>
    <w:rPr>
      <w:bCs/>
      <w:szCs w:val="20"/>
    </w:rPr>
  </w:style>
  <w:style w:type="character" w:customStyle="1" w:styleId="Heading2Char">
    <w:name w:val="Heading 2 Char"/>
    <w:basedOn w:val="DefaultParagraphFont"/>
    <w:link w:val="Heading2"/>
    <w:rsid w:val="00DD6EF5"/>
    <w:rPr>
      <w:rFonts w:asciiTheme="majorHAnsi" w:eastAsiaTheme="majorEastAsia" w:hAnsiTheme="majorHAnsi" w:cstheme="majorBidi"/>
      <w:b/>
      <w:bCs/>
      <w:color w:val="000000" w:themeColor="text1"/>
      <w:sz w:val="24"/>
      <w:szCs w:val="26"/>
    </w:rPr>
  </w:style>
  <w:style w:type="paragraph" w:customStyle="1" w:styleId="Bodybullet1">
    <w:name w:val="Body bullet 1"/>
    <w:autoRedefine/>
    <w:uiPriority w:val="2"/>
    <w:qFormat/>
    <w:rsid w:val="00FA5344"/>
    <w:pPr>
      <w:numPr>
        <w:numId w:val="8"/>
      </w:numPr>
      <w:spacing w:before="120" w:after="120" w:line="276" w:lineRule="auto"/>
      <w:ind w:left="360"/>
    </w:pPr>
  </w:style>
  <w:style w:type="paragraph" w:customStyle="1" w:styleId="Bodybullet2">
    <w:name w:val="Body bullet 2"/>
    <w:next w:val="Normal"/>
    <w:uiPriority w:val="99"/>
    <w:semiHidden/>
    <w:qFormat/>
    <w:rsid w:val="0030644C"/>
    <w:pPr>
      <w:numPr>
        <w:numId w:val="1"/>
      </w:numPr>
      <w:spacing w:before="60" w:after="60" w:line="240" w:lineRule="auto"/>
    </w:pPr>
    <w:rPr>
      <w:rFonts w:ascii="Arial" w:hAnsi="Arial"/>
      <w:sz w:val="20"/>
    </w:rPr>
  </w:style>
  <w:style w:type="table" w:styleId="TableGrid">
    <w:name w:val="Table Grid"/>
    <w:basedOn w:val="TableNormal"/>
    <w:uiPriority w:val="39"/>
    <w:rsid w:val="00306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oshow">
    <w:name w:val="Heading 1_No show"/>
    <w:next w:val="BodyText1"/>
    <w:autoRedefine/>
    <w:qFormat/>
    <w:rsid w:val="00236CB7"/>
    <w:pPr>
      <w:spacing w:before="360" w:after="0" w:line="240" w:lineRule="auto"/>
    </w:pPr>
    <w:rPr>
      <w:rFonts w:asciiTheme="majorHAnsi" w:eastAsiaTheme="majorEastAsia" w:hAnsiTheme="majorHAnsi" w:cstheme="majorBidi"/>
      <w:b/>
      <w:color w:val="359D9A" w:themeColor="accent2"/>
      <w:sz w:val="72"/>
      <w:szCs w:val="72"/>
    </w:rPr>
  </w:style>
  <w:style w:type="character" w:customStyle="1" w:styleId="Heading3Char">
    <w:name w:val="Heading 3 Char"/>
    <w:basedOn w:val="DefaultParagraphFont"/>
    <w:link w:val="Heading3"/>
    <w:rsid w:val="00105FAE"/>
    <w:rPr>
      <w:rFonts w:eastAsiaTheme="majorEastAsia" w:cstheme="majorBidi"/>
      <w:b/>
      <w:color w:val="000000" w:themeColor="text1"/>
      <w:sz w:val="24"/>
      <w:szCs w:val="24"/>
    </w:rPr>
  </w:style>
  <w:style w:type="paragraph" w:styleId="TOC1">
    <w:name w:val="toc 1"/>
    <w:basedOn w:val="Normal"/>
    <w:next w:val="Normal"/>
    <w:autoRedefine/>
    <w:uiPriority w:val="39"/>
    <w:qFormat/>
    <w:rsid w:val="0029001B"/>
    <w:pPr>
      <w:tabs>
        <w:tab w:val="right" w:leader="dot" w:pos="9402"/>
      </w:tabs>
      <w:spacing w:before="240" w:after="60" w:line="360" w:lineRule="auto"/>
    </w:pPr>
    <w:rPr>
      <w:rFonts w:asciiTheme="minorHAnsi" w:hAnsiTheme="minorHAnsi"/>
      <w:b/>
      <w:noProof/>
      <w:sz w:val="24"/>
      <w:szCs w:val="24"/>
    </w:rPr>
  </w:style>
  <w:style w:type="paragraph" w:styleId="TOC2">
    <w:name w:val="toc 2"/>
    <w:basedOn w:val="Normal"/>
    <w:next w:val="Normal"/>
    <w:autoRedefine/>
    <w:uiPriority w:val="39"/>
    <w:qFormat/>
    <w:rsid w:val="0029001B"/>
    <w:pPr>
      <w:tabs>
        <w:tab w:val="right" w:leader="dot" w:pos="9402"/>
      </w:tabs>
      <w:spacing w:line="360" w:lineRule="auto"/>
      <w:ind w:left="221"/>
    </w:pPr>
    <w:rPr>
      <w:rFonts w:asciiTheme="minorHAnsi" w:hAnsiTheme="minorHAnsi"/>
      <w:noProof/>
      <w:sz w:val="24"/>
      <w:szCs w:val="24"/>
    </w:rPr>
  </w:style>
  <w:style w:type="character" w:styleId="Hyperlink">
    <w:name w:val="Hyperlink"/>
    <w:basedOn w:val="DefaultParagraphFont"/>
    <w:uiPriority w:val="99"/>
    <w:unhideWhenUsed/>
    <w:qFormat/>
    <w:rsid w:val="001D0CA0"/>
    <w:rPr>
      <w:color w:val="277572" w:themeColor="accent2" w:themeShade="BF"/>
      <w:u w:val="single"/>
    </w:rPr>
  </w:style>
  <w:style w:type="paragraph" w:styleId="Header">
    <w:name w:val="header"/>
    <w:basedOn w:val="Normal"/>
    <w:link w:val="HeaderChar"/>
    <w:autoRedefine/>
    <w:uiPriority w:val="99"/>
    <w:semiHidden/>
    <w:qFormat/>
    <w:rsid w:val="00340230"/>
    <w:pPr>
      <w:pBdr>
        <w:bottom w:val="single" w:sz="4" w:space="1" w:color="D9D9D9" w:themeColor="background1" w:themeShade="D9"/>
      </w:pBdr>
      <w:tabs>
        <w:tab w:val="left" w:pos="3119"/>
        <w:tab w:val="center" w:pos="4513"/>
        <w:tab w:val="right" w:pos="9026"/>
      </w:tabs>
      <w:spacing w:after="0"/>
    </w:pPr>
    <w:rPr>
      <w:color w:val="808080" w:themeColor="background1" w:themeShade="80"/>
      <w:sz w:val="16"/>
    </w:rPr>
  </w:style>
  <w:style w:type="character" w:customStyle="1" w:styleId="HeaderChar">
    <w:name w:val="Header Char"/>
    <w:basedOn w:val="DefaultParagraphFont"/>
    <w:link w:val="Header"/>
    <w:uiPriority w:val="99"/>
    <w:semiHidden/>
    <w:rsid w:val="00AE67AB"/>
    <w:rPr>
      <w:rFonts w:ascii="Arial" w:hAnsi="Arial"/>
      <w:color w:val="808080" w:themeColor="background1" w:themeShade="80"/>
      <w:sz w:val="16"/>
    </w:rPr>
  </w:style>
  <w:style w:type="paragraph" w:styleId="Footer">
    <w:name w:val="footer"/>
    <w:basedOn w:val="BodyText1"/>
    <w:link w:val="FooterChar"/>
    <w:autoRedefine/>
    <w:uiPriority w:val="99"/>
    <w:unhideWhenUsed/>
    <w:qFormat/>
    <w:rsid w:val="00864D66"/>
    <w:rPr>
      <w:color w:val="0D0D0D" w:themeColor="text1" w:themeTint="F2"/>
      <w:sz w:val="18"/>
      <w:szCs w:val="18"/>
    </w:rPr>
  </w:style>
  <w:style w:type="character" w:customStyle="1" w:styleId="FooterChar">
    <w:name w:val="Footer Char"/>
    <w:basedOn w:val="DefaultParagraphFont"/>
    <w:link w:val="Footer"/>
    <w:uiPriority w:val="99"/>
    <w:rsid w:val="00864D66"/>
    <w:rPr>
      <w:color w:val="0D0D0D" w:themeColor="text1" w:themeTint="F2"/>
      <w:sz w:val="18"/>
      <w:szCs w:val="18"/>
    </w:rPr>
  </w:style>
  <w:style w:type="paragraph" w:customStyle="1" w:styleId="KPMG">
    <w:name w:val="KPMG"/>
    <w:basedOn w:val="Normal"/>
    <w:link w:val="KPMGChar"/>
    <w:autoRedefine/>
    <w:uiPriority w:val="99"/>
    <w:semiHidden/>
    <w:qFormat/>
    <w:locked/>
    <w:rsid w:val="00F27FC2"/>
    <w:pPr>
      <w:spacing w:before="240" w:after="600" w:line="192" w:lineRule="auto"/>
    </w:pPr>
    <w:rPr>
      <w:rFonts w:asciiTheme="majorHAnsi" w:eastAsia="SimSun" w:hAnsiTheme="majorHAnsi" w:cstheme="minorHAnsi"/>
      <w:color w:val="DFB558" w:themeColor="accent1"/>
      <w:sz w:val="56"/>
      <w:szCs w:val="56"/>
    </w:rPr>
  </w:style>
  <w:style w:type="character" w:customStyle="1" w:styleId="KPMGChar">
    <w:name w:val="KPMG Char"/>
    <w:basedOn w:val="DefaultParagraphFont"/>
    <w:link w:val="KPMG"/>
    <w:uiPriority w:val="99"/>
    <w:semiHidden/>
    <w:rsid w:val="00AE67AB"/>
    <w:rPr>
      <w:rFonts w:asciiTheme="majorHAnsi" w:eastAsia="SimSun" w:hAnsiTheme="majorHAnsi" w:cstheme="minorHAnsi"/>
      <w:color w:val="DFB558" w:themeColor="accent1"/>
      <w:sz w:val="56"/>
      <w:szCs w:val="56"/>
    </w:rPr>
  </w:style>
  <w:style w:type="paragraph" w:customStyle="1" w:styleId="Tableheading">
    <w:name w:val="Table heading"/>
    <w:next w:val="Normal"/>
    <w:link w:val="TableheadingChar"/>
    <w:autoRedefine/>
    <w:uiPriority w:val="11"/>
    <w:qFormat/>
    <w:rsid w:val="006A0540"/>
    <w:pPr>
      <w:spacing w:before="120" w:after="120" w:line="240" w:lineRule="auto"/>
    </w:pPr>
    <w:rPr>
      <w:rFonts w:asciiTheme="majorHAnsi" w:hAnsiTheme="majorHAnsi"/>
      <w:b/>
      <w:color w:val="000000" w:themeColor="text1"/>
      <w:sz w:val="18"/>
    </w:rPr>
  </w:style>
  <w:style w:type="paragraph" w:customStyle="1" w:styleId="Tablebodytext">
    <w:name w:val="Table body text"/>
    <w:autoRedefine/>
    <w:uiPriority w:val="12"/>
    <w:qFormat/>
    <w:rsid w:val="00461BAC"/>
    <w:pPr>
      <w:spacing w:before="60" w:after="60" w:line="240" w:lineRule="auto"/>
    </w:pPr>
    <w:rPr>
      <w:sz w:val="18"/>
    </w:rPr>
  </w:style>
  <w:style w:type="paragraph" w:customStyle="1" w:styleId="Tablebullet1">
    <w:name w:val="Table bullet 1"/>
    <w:next w:val="BodyText1"/>
    <w:autoRedefine/>
    <w:uiPriority w:val="12"/>
    <w:qFormat/>
    <w:rsid w:val="00461BAC"/>
    <w:pPr>
      <w:numPr>
        <w:numId w:val="2"/>
      </w:numPr>
      <w:spacing w:before="40" w:after="40" w:line="240" w:lineRule="auto"/>
    </w:pPr>
    <w:rPr>
      <w:sz w:val="18"/>
    </w:rPr>
  </w:style>
  <w:style w:type="paragraph" w:customStyle="1" w:styleId="Tablebullet2">
    <w:name w:val="Table bullet 2"/>
    <w:next w:val="BodyText1"/>
    <w:autoRedefine/>
    <w:uiPriority w:val="12"/>
    <w:qFormat/>
    <w:rsid w:val="00461BAC"/>
    <w:pPr>
      <w:numPr>
        <w:numId w:val="3"/>
      </w:numPr>
      <w:spacing w:before="40" w:after="40" w:line="240" w:lineRule="auto"/>
    </w:pPr>
    <w:rPr>
      <w:sz w:val="18"/>
    </w:rPr>
  </w:style>
  <w:style w:type="paragraph" w:customStyle="1" w:styleId="Numberedlist1">
    <w:name w:val="Numbered list 1"/>
    <w:autoRedefine/>
    <w:uiPriority w:val="7"/>
    <w:qFormat/>
    <w:rsid w:val="006A0540"/>
    <w:pPr>
      <w:numPr>
        <w:numId w:val="4"/>
      </w:numPr>
      <w:spacing w:before="120" w:after="120" w:line="276" w:lineRule="auto"/>
      <w:ind w:left="567" w:hanging="567"/>
    </w:pPr>
  </w:style>
  <w:style w:type="paragraph" w:customStyle="1" w:styleId="BodytextBold">
    <w:name w:val="Body text_Bold"/>
    <w:uiPriority w:val="99"/>
    <w:semiHidden/>
    <w:qFormat/>
    <w:rsid w:val="0093339B"/>
    <w:pPr>
      <w:spacing w:before="120" w:after="120" w:line="240" w:lineRule="auto"/>
    </w:pPr>
    <w:rPr>
      <w:rFonts w:ascii="Arial" w:hAnsi="Arial"/>
      <w:b/>
      <w:bCs/>
      <w:sz w:val="20"/>
    </w:rPr>
  </w:style>
  <w:style w:type="paragraph" w:customStyle="1" w:styleId="Quotetext">
    <w:name w:val="Quote text"/>
    <w:autoRedefine/>
    <w:uiPriority w:val="10"/>
    <w:qFormat/>
    <w:rsid w:val="00236CB7"/>
    <w:pPr>
      <w:spacing w:before="240" w:after="240" w:line="240" w:lineRule="auto"/>
    </w:pPr>
    <w:rPr>
      <w:i/>
      <w:color w:val="000000" w:themeColor="text1"/>
      <w:sz w:val="24"/>
    </w:rPr>
  </w:style>
  <w:style w:type="paragraph" w:customStyle="1" w:styleId="Numberedlistabc">
    <w:name w:val="Numbered list_abc"/>
    <w:autoRedefine/>
    <w:uiPriority w:val="9"/>
    <w:qFormat/>
    <w:rsid w:val="006A0540"/>
    <w:pPr>
      <w:numPr>
        <w:numId w:val="5"/>
      </w:numPr>
      <w:spacing w:before="120" w:after="120" w:line="276" w:lineRule="auto"/>
      <w:ind w:left="1140" w:hanging="573"/>
    </w:pPr>
  </w:style>
  <w:style w:type="paragraph" w:customStyle="1" w:styleId="Numberedlistii">
    <w:name w:val="Numbered list_ii"/>
    <w:autoRedefine/>
    <w:uiPriority w:val="9"/>
    <w:qFormat/>
    <w:rsid w:val="006A0540"/>
    <w:pPr>
      <w:numPr>
        <w:numId w:val="10"/>
      </w:numPr>
      <w:spacing w:before="120" w:after="120" w:line="276" w:lineRule="auto"/>
      <w:ind w:left="1701" w:hanging="567"/>
    </w:pPr>
  </w:style>
  <w:style w:type="paragraph" w:customStyle="1" w:styleId="Figuretext">
    <w:name w:val="Figure text"/>
    <w:autoRedefine/>
    <w:uiPriority w:val="13"/>
    <w:qFormat/>
    <w:rsid w:val="00461BAC"/>
    <w:pPr>
      <w:spacing w:before="60" w:after="240" w:line="240" w:lineRule="auto"/>
    </w:pPr>
    <w:rPr>
      <w:i/>
      <w:sz w:val="20"/>
    </w:rPr>
  </w:style>
  <w:style w:type="paragraph" w:customStyle="1" w:styleId="Heading2Noshow">
    <w:name w:val="Heading 2_No show"/>
    <w:autoRedefine/>
    <w:qFormat/>
    <w:rsid w:val="00236CB7"/>
    <w:pPr>
      <w:spacing w:beforeLines="500" w:before="1200" w:beforeAutospacing="1" w:after="100" w:afterAutospacing="1" w:line="240" w:lineRule="auto"/>
    </w:pPr>
    <w:rPr>
      <w:rFonts w:asciiTheme="majorHAnsi" w:eastAsiaTheme="majorEastAsia" w:hAnsiTheme="majorHAnsi" w:cstheme="majorBidi"/>
      <w:color w:val="000000" w:themeColor="text1"/>
      <w:sz w:val="32"/>
      <w:szCs w:val="26"/>
    </w:rPr>
  </w:style>
  <w:style w:type="paragraph" w:styleId="FootnoteText">
    <w:name w:val="footnote text"/>
    <w:basedOn w:val="Normal"/>
    <w:link w:val="FootnoteTextChar"/>
    <w:uiPriority w:val="99"/>
    <w:semiHidden/>
    <w:unhideWhenUsed/>
    <w:rsid w:val="001814BA"/>
    <w:pPr>
      <w:spacing w:before="0" w:after="0"/>
    </w:pPr>
    <w:rPr>
      <w:szCs w:val="20"/>
    </w:rPr>
  </w:style>
  <w:style w:type="character" w:customStyle="1" w:styleId="FootnoteTextChar">
    <w:name w:val="Footnote Text Char"/>
    <w:basedOn w:val="DefaultParagraphFont"/>
    <w:link w:val="FootnoteText"/>
    <w:uiPriority w:val="99"/>
    <w:semiHidden/>
    <w:rsid w:val="001814BA"/>
    <w:rPr>
      <w:rFonts w:ascii="Arial" w:hAnsi="Arial"/>
      <w:sz w:val="20"/>
      <w:szCs w:val="20"/>
    </w:rPr>
  </w:style>
  <w:style w:type="character" w:styleId="FootnoteReference">
    <w:name w:val="footnote reference"/>
    <w:basedOn w:val="DefaultParagraphFont"/>
    <w:uiPriority w:val="99"/>
    <w:unhideWhenUsed/>
    <w:qFormat/>
    <w:rsid w:val="001D162D"/>
    <w:rPr>
      <w:rFonts w:asciiTheme="minorHAnsi" w:hAnsiTheme="minorHAnsi"/>
      <w:color w:val="0D0D0D" w:themeColor="text1" w:themeTint="F2"/>
      <w:sz w:val="18"/>
      <w:bdr w:val="none" w:sz="0" w:space="0" w:color="auto"/>
      <w:vertAlign w:val="superscript"/>
    </w:rPr>
  </w:style>
  <w:style w:type="paragraph" w:customStyle="1" w:styleId="FootnoteText1">
    <w:name w:val="Footnote Text1"/>
    <w:autoRedefine/>
    <w:uiPriority w:val="99"/>
    <w:qFormat/>
    <w:rsid w:val="00236CB7"/>
    <w:pPr>
      <w:spacing w:before="100" w:beforeAutospacing="1" w:after="60" w:line="240" w:lineRule="auto"/>
    </w:pPr>
    <w:rPr>
      <w:szCs w:val="20"/>
    </w:rPr>
  </w:style>
  <w:style w:type="paragraph" w:styleId="Title">
    <w:name w:val="Title"/>
    <w:basedOn w:val="Normal"/>
    <w:next w:val="Normal"/>
    <w:link w:val="TitleChar"/>
    <w:uiPriority w:val="99"/>
    <w:semiHidden/>
    <w:qFormat/>
    <w:rsid w:val="00F27FC2"/>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semiHidden/>
    <w:rsid w:val="00AE67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99"/>
    <w:semiHidden/>
    <w:qFormat/>
    <w:rsid w:val="00F27FC2"/>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99"/>
    <w:semiHidden/>
    <w:rsid w:val="00AE67AB"/>
    <w:rPr>
      <w:rFonts w:eastAsiaTheme="minorEastAsia"/>
      <w:color w:val="5A5A5A" w:themeColor="text1" w:themeTint="A5"/>
      <w:spacing w:val="15"/>
    </w:rPr>
  </w:style>
  <w:style w:type="paragraph" w:customStyle="1" w:styleId="Bodycopy">
    <w:name w:val="Body copy"/>
    <w:basedOn w:val="Normal"/>
    <w:uiPriority w:val="99"/>
    <w:semiHidden/>
    <w:rsid w:val="00AC4F7E"/>
    <w:pPr>
      <w:suppressAutoHyphens/>
      <w:autoSpaceDE w:val="0"/>
      <w:autoSpaceDN w:val="0"/>
      <w:adjustRightInd w:val="0"/>
      <w:spacing w:before="0" w:after="113" w:line="260" w:lineRule="atLeast"/>
      <w:textAlignment w:val="center"/>
    </w:pPr>
    <w:rPr>
      <w:rFonts w:ascii="Univers 45 Light" w:hAnsi="Univers 45 Light" w:cs="Univers 45 Light"/>
      <w:color w:val="000000"/>
      <w:szCs w:val="20"/>
      <w:lang w:val="en-GB"/>
    </w:rPr>
  </w:style>
  <w:style w:type="character" w:customStyle="1" w:styleId="Heading4Char">
    <w:name w:val="Heading 4 Char"/>
    <w:basedOn w:val="DefaultParagraphFont"/>
    <w:link w:val="Heading4"/>
    <w:rsid w:val="00215342"/>
    <w:rPr>
      <w:rFonts w:asciiTheme="majorHAnsi" w:eastAsiaTheme="majorEastAsia" w:hAnsiTheme="majorHAnsi" w:cstheme="majorBidi"/>
      <w:color w:val="000000" w:themeColor="text1"/>
      <w:szCs w:val="20"/>
    </w:rPr>
  </w:style>
  <w:style w:type="character" w:customStyle="1" w:styleId="Heading5Char">
    <w:name w:val="Heading 5 Char"/>
    <w:basedOn w:val="DefaultParagraphFont"/>
    <w:link w:val="Heading5"/>
    <w:rsid w:val="00215342"/>
    <w:rPr>
      <w:rFonts w:asciiTheme="majorHAnsi" w:eastAsiaTheme="majorEastAsia" w:hAnsiTheme="majorHAnsi" w:cstheme="majorBidi"/>
      <w:i/>
      <w:iCs/>
      <w:color w:val="000000" w:themeColor="text1"/>
    </w:rPr>
  </w:style>
  <w:style w:type="character" w:customStyle="1" w:styleId="Heading6Char">
    <w:name w:val="Heading 6 Char"/>
    <w:basedOn w:val="DefaultParagraphFont"/>
    <w:link w:val="Heading6"/>
    <w:uiPriority w:val="6"/>
    <w:semiHidden/>
    <w:rsid w:val="00AE67AB"/>
    <w:rPr>
      <w:rFonts w:asciiTheme="majorHAnsi" w:eastAsiaTheme="majorEastAsia" w:hAnsiTheme="majorHAnsi" w:cstheme="majorBidi"/>
      <w:color w:val="816019" w:themeColor="accent1" w:themeShade="7F"/>
      <w:sz w:val="20"/>
    </w:rPr>
  </w:style>
  <w:style w:type="character" w:styleId="UnresolvedMention">
    <w:name w:val="Unresolved Mention"/>
    <w:basedOn w:val="DefaultParagraphFont"/>
    <w:uiPriority w:val="99"/>
    <w:semiHidden/>
    <w:unhideWhenUsed/>
    <w:rsid w:val="003E2790"/>
    <w:rPr>
      <w:color w:val="605E5C"/>
      <w:shd w:val="clear" w:color="auto" w:fill="E1DFDD"/>
    </w:rPr>
  </w:style>
  <w:style w:type="character" w:styleId="FollowedHyperlink">
    <w:name w:val="FollowedHyperlink"/>
    <w:basedOn w:val="DefaultParagraphFont"/>
    <w:uiPriority w:val="99"/>
    <w:semiHidden/>
    <w:unhideWhenUsed/>
    <w:rsid w:val="00D9504B"/>
    <w:rPr>
      <w:color w:val="954F72" w:themeColor="followedHyperlink"/>
      <w:u w:val="single"/>
    </w:rPr>
  </w:style>
  <w:style w:type="paragraph" w:styleId="Revision">
    <w:name w:val="Revision"/>
    <w:hidden/>
    <w:uiPriority w:val="99"/>
    <w:semiHidden/>
    <w:rsid w:val="00D543C0"/>
    <w:pPr>
      <w:spacing w:after="0" w:line="240" w:lineRule="auto"/>
    </w:pPr>
    <w:rPr>
      <w:rFonts w:ascii="Arial" w:hAnsi="Arial"/>
      <w:sz w:val="20"/>
    </w:rPr>
  </w:style>
  <w:style w:type="paragraph" w:styleId="Quote">
    <w:name w:val="Quote"/>
    <w:basedOn w:val="Normal"/>
    <w:next w:val="Normal"/>
    <w:link w:val="QuoteChar"/>
    <w:uiPriority w:val="99"/>
    <w:semiHidden/>
    <w:qFormat/>
    <w:locked/>
    <w:rsid w:val="00332A8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332A8D"/>
    <w:rPr>
      <w:rFonts w:ascii="Arial" w:hAnsi="Arial"/>
      <w:i/>
      <w:iCs/>
      <w:color w:val="404040" w:themeColor="text1" w:themeTint="BF"/>
      <w:sz w:val="20"/>
    </w:rPr>
  </w:style>
  <w:style w:type="paragraph" w:customStyle="1" w:styleId="Bullet2ndlevel">
    <w:name w:val="Bullet 2nd level"/>
    <w:basedOn w:val="Normal"/>
    <w:autoRedefine/>
    <w:uiPriority w:val="2"/>
    <w:qFormat/>
    <w:rsid w:val="006A0540"/>
    <w:pPr>
      <w:numPr>
        <w:numId w:val="6"/>
      </w:numPr>
      <w:tabs>
        <w:tab w:val="clear" w:pos="340"/>
      </w:tabs>
      <w:spacing w:line="276" w:lineRule="auto"/>
      <w:ind w:left="1134" w:hanging="567"/>
    </w:pPr>
    <w:rPr>
      <w:rFonts w:asciiTheme="minorHAnsi" w:hAnsiTheme="minorHAnsi" w:cs="Arial"/>
      <w:sz w:val="22"/>
    </w:rPr>
  </w:style>
  <w:style w:type="paragraph" w:customStyle="1" w:styleId="Bullet3rdlevel">
    <w:name w:val="Bullet 3rd level"/>
    <w:basedOn w:val="Normal"/>
    <w:autoRedefine/>
    <w:uiPriority w:val="2"/>
    <w:qFormat/>
    <w:rsid w:val="006A0540"/>
    <w:pPr>
      <w:numPr>
        <w:ilvl w:val="2"/>
        <w:numId w:val="7"/>
      </w:numPr>
      <w:spacing w:line="276" w:lineRule="auto"/>
    </w:pPr>
    <w:rPr>
      <w:rFonts w:asciiTheme="minorHAnsi" w:hAnsiTheme="minorHAnsi" w:cstheme="minorHAnsi"/>
      <w:sz w:val="22"/>
    </w:rPr>
  </w:style>
  <w:style w:type="paragraph" w:customStyle="1" w:styleId="Contactus">
    <w:name w:val="Contact us"/>
    <w:basedOn w:val="Normal"/>
    <w:autoRedefine/>
    <w:uiPriority w:val="14"/>
    <w:qFormat/>
    <w:rsid w:val="00236CB7"/>
    <w:pPr>
      <w:spacing w:before="1680" w:after="240"/>
    </w:pPr>
    <w:rPr>
      <w:rFonts w:asciiTheme="majorHAnsi" w:hAnsiTheme="majorHAnsi" w:cs="Segoe UI"/>
      <w:b/>
      <w:color w:val="359D9A" w:themeColor="accent2"/>
      <w:sz w:val="44"/>
    </w:rPr>
  </w:style>
  <w:style w:type="paragraph" w:customStyle="1" w:styleId="backcoverdetails">
    <w:name w:val="back cover details"/>
    <w:basedOn w:val="Normal"/>
    <w:autoRedefine/>
    <w:uiPriority w:val="14"/>
    <w:qFormat/>
    <w:rsid w:val="00EB48CC"/>
    <w:pPr>
      <w:spacing w:before="0" w:after="0"/>
    </w:pPr>
    <w:rPr>
      <w:rFonts w:asciiTheme="minorHAnsi" w:hAnsiTheme="minorHAnsi" w:cstheme="minorHAnsi"/>
      <w:b/>
      <w:color w:val="000000" w:themeColor="text1"/>
    </w:rPr>
  </w:style>
  <w:style w:type="character" w:styleId="Strong">
    <w:name w:val="Strong"/>
    <w:basedOn w:val="DefaultParagraphFont"/>
    <w:uiPriority w:val="22"/>
    <w:qFormat/>
    <w:rsid w:val="009A5FB1"/>
    <w:rPr>
      <w:b/>
      <w:bCs/>
    </w:rPr>
  </w:style>
  <w:style w:type="paragraph" w:customStyle="1" w:styleId="TableHeadinggreen">
    <w:name w:val="Table Heading green"/>
    <w:basedOn w:val="Tableheading"/>
    <w:link w:val="TableHeadinggreenChar"/>
    <w:autoRedefine/>
    <w:uiPriority w:val="11"/>
    <w:qFormat/>
    <w:rsid w:val="00E06128"/>
  </w:style>
  <w:style w:type="character" w:customStyle="1" w:styleId="TableheadingChar">
    <w:name w:val="Table heading Char"/>
    <w:basedOn w:val="DefaultParagraphFont"/>
    <w:link w:val="Tableheading"/>
    <w:uiPriority w:val="11"/>
    <w:rsid w:val="006A0540"/>
    <w:rPr>
      <w:rFonts w:asciiTheme="majorHAnsi" w:hAnsiTheme="majorHAnsi"/>
      <w:b/>
      <w:color w:val="000000" w:themeColor="text1"/>
      <w:sz w:val="18"/>
    </w:rPr>
  </w:style>
  <w:style w:type="character" w:customStyle="1" w:styleId="TableHeadinggreenChar">
    <w:name w:val="Table Heading green Char"/>
    <w:basedOn w:val="TableheadingChar"/>
    <w:link w:val="TableHeadinggreen"/>
    <w:uiPriority w:val="11"/>
    <w:rsid w:val="00E06128"/>
    <w:rPr>
      <w:rFonts w:ascii="Arial" w:hAnsi="Arial"/>
      <w:b/>
      <w:color w:val="00338D" w:themeColor="accent3"/>
      <w:sz w:val="18"/>
    </w:rPr>
  </w:style>
  <w:style w:type="paragraph" w:styleId="IntenseQuote">
    <w:name w:val="Intense Quote"/>
    <w:basedOn w:val="Normal"/>
    <w:next w:val="Normal"/>
    <w:link w:val="IntenseQuoteChar"/>
    <w:autoRedefine/>
    <w:uiPriority w:val="99"/>
    <w:semiHidden/>
    <w:qFormat/>
    <w:rsid w:val="009C45A4"/>
    <w:pPr>
      <w:pBdr>
        <w:top w:val="single" w:sz="4" w:space="10" w:color="DFB558" w:themeColor="accent1"/>
        <w:bottom w:val="single" w:sz="4" w:space="10" w:color="DFB558" w:themeColor="accent1"/>
      </w:pBdr>
      <w:spacing w:before="360" w:after="360"/>
      <w:ind w:left="864" w:right="864"/>
      <w:jc w:val="center"/>
    </w:pPr>
    <w:rPr>
      <w:rFonts w:asciiTheme="minorHAnsi" w:hAnsiTheme="minorHAnsi"/>
      <w:i/>
      <w:iCs/>
      <w:color w:val="5271FF" w:themeColor="text2"/>
    </w:rPr>
  </w:style>
  <w:style w:type="character" w:customStyle="1" w:styleId="IntenseQuoteChar">
    <w:name w:val="Intense Quote Char"/>
    <w:basedOn w:val="DefaultParagraphFont"/>
    <w:link w:val="IntenseQuote"/>
    <w:uiPriority w:val="99"/>
    <w:semiHidden/>
    <w:rsid w:val="009C45A4"/>
    <w:rPr>
      <w:i/>
      <w:iCs/>
      <w:color w:val="5271FF" w:themeColor="text2"/>
      <w:sz w:val="20"/>
    </w:rPr>
  </w:style>
  <w:style w:type="paragraph" w:customStyle="1" w:styleId="IntroText">
    <w:name w:val="Intro Text"/>
    <w:basedOn w:val="Normal"/>
    <w:autoRedefine/>
    <w:qFormat/>
    <w:rsid w:val="006A0540"/>
    <w:pPr>
      <w:spacing w:before="600" w:after="480" w:line="276" w:lineRule="auto"/>
    </w:pPr>
    <w:rPr>
      <w:rFonts w:asciiTheme="majorHAnsi" w:eastAsia="Arial" w:hAnsiTheme="majorHAnsi" w:cs="Arial"/>
      <w:color w:val="000000" w:themeColor="text1"/>
      <w:sz w:val="28"/>
      <w:szCs w:val="28"/>
    </w:rPr>
  </w:style>
  <w:style w:type="paragraph" w:customStyle="1" w:styleId="Bannerheading">
    <w:name w:val="Banner heading"/>
    <w:uiPriority w:val="99"/>
    <w:qFormat/>
    <w:rsid w:val="00C32D1B"/>
    <w:rPr>
      <w:rFonts w:ascii="Arial" w:hAnsi="Arial"/>
      <w:b/>
      <w:color w:val="359D9A" w:themeColor="accent2"/>
      <w:sz w:val="56"/>
    </w:rPr>
  </w:style>
  <w:style w:type="paragraph" w:customStyle="1" w:styleId="Subheading">
    <w:name w:val="Subheading"/>
    <w:basedOn w:val="Heading2Noshow"/>
    <w:uiPriority w:val="99"/>
    <w:qFormat/>
    <w:rsid w:val="003D6007"/>
  </w:style>
  <w:style w:type="paragraph" w:customStyle="1" w:styleId="NumberedList10">
    <w:name w:val="Numbered List 1"/>
    <w:basedOn w:val="Normal"/>
    <w:qFormat/>
    <w:rsid w:val="001D0CA0"/>
    <w:pPr>
      <w:suppressAutoHyphens/>
      <w:spacing w:before="180" w:after="60" w:line="280" w:lineRule="atLeast"/>
    </w:pPr>
    <w:rPr>
      <w:rFonts w:asciiTheme="minorHAnsi" w:hAnsiTheme="minorHAnsi"/>
      <w:sz w:val="22"/>
    </w:rPr>
  </w:style>
  <w:style w:type="paragraph" w:customStyle="1" w:styleId="Heading1Numbered">
    <w:name w:val="Heading 1 Numbered"/>
    <w:basedOn w:val="Bannerheading"/>
    <w:next w:val="Normal"/>
    <w:qFormat/>
    <w:rsid w:val="003D6007"/>
    <w:pPr>
      <w:spacing w:before="360"/>
    </w:pPr>
    <w:rPr>
      <w:rFonts w:asciiTheme="majorHAnsi" w:hAnsiTheme="majorHAnsi" w:cstheme="majorHAnsi"/>
      <w:color w:val="auto"/>
    </w:rPr>
  </w:style>
  <w:style w:type="paragraph" w:customStyle="1" w:styleId="Boxed2Text">
    <w:name w:val="Boxed 2 Text"/>
    <w:basedOn w:val="Normal"/>
    <w:autoRedefine/>
    <w:qFormat/>
    <w:rsid w:val="002F6BD0"/>
    <w:pPr>
      <w:numPr>
        <w:numId w:val="9"/>
      </w:numPr>
      <w:pBdr>
        <w:top w:val="single" w:sz="4" w:space="14" w:color="DFB558" w:themeColor="accent1"/>
        <w:left w:val="single" w:sz="4" w:space="14" w:color="DFB558" w:themeColor="accent1"/>
        <w:bottom w:val="single" w:sz="4" w:space="14" w:color="DFB558" w:themeColor="accent1"/>
        <w:right w:val="single" w:sz="4" w:space="14" w:color="DFB558" w:themeColor="accent1"/>
      </w:pBdr>
      <w:shd w:val="clear" w:color="auto" w:fill="F2E1BC" w:themeFill="accent1" w:themeFillTint="66"/>
      <w:suppressAutoHyphens/>
      <w:spacing w:before="180" w:after="60" w:line="280" w:lineRule="atLeast"/>
      <w:ind w:right="284" w:hanging="720"/>
    </w:pPr>
    <w:rPr>
      <w:rFonts w:asciiTheme="minorHAnsi" w:hAnsiTheme="minorHAnsi"/>
      <w:sz w:val="22"/>
    </w:rPr>
  </w:style>
  <w:style w:type="paragraph" w:styleId="ListParagraph">
    <w:name w:val="List Paragraph"/>
    <w:basedOn w:val="Normal"/>
    <w:uiPriority w:val="34"/>
    <w:qFormat/>
    <w:rsid w:val="001D0CA0"/>
    <w:pPr>
      <w:suppressAutoHyphens/>
      <w:spacing w:before="180" w:after="60" w:line="280" w:lineRule="atLeast"/>
      <w:ind w:left="720"/>
      <w:contextualSpacing/>
    </w:pPr>
    <w:rPr>
      <w:rFonts w:asciiTheme="minorHAnsi" w:hAnsiTheme="minorHAnsi"/>
      <w:sz w:val="22"/>
    </w:rPr>
  </w:style>
  <w:style w:type="character" w:styleId="CommentReference">
    <w:name w:val="annotation reference"/>
    <w:basedOn w:val="DefaultParagraphFont"/>
    <w:uiPriority w:val="99"/>
    <w:semiHidden/>
    <w:unhideWhenUsed/>
    <w:rsid w:val="001D0CA0"/>
    <w:rPr>
      <w:sz w:val="16"/>
      <w:szCs w:val="16"/>
    </w:rPr>
  </w:style>
  <w:style w:type="paragraph" w:styleId="CommentText">
    <w:name w:val="annotation text"/>
    <w:basedOn w:val="Normal"/>
    <w:link w:val="CommentTextChar"/>
    <w:uiPriority w:val="99"/>
    <w:unhideWhenUsed/>
    <w:rsid w:val="001D0CA0"/>
    <w:pPr>
      <w:suppressAutoHyphens/>
      <w:spacing w:before="180" w:after="60"/>
    </w:pPr>
    <w:rPr>
      <w:rFonts w:asciiTheme="minorHAnsi" w:hAnsiTheme="minorHAnsi"/>
      <w:szCs w:val="20"/>
    </w:rPr>
  </w:style>
  <w:style w:type="character" w:customStyle="1" w:styleId="CommentTextChar">
    <w:name w:val="Comment Text Char"/>
    <w:basedOn w:val="DefaultParagraphFont"/>
    <w:link w:val="CommentText"/>
    <w:uiPriority w:val="99"/>
    <w:rsid w:val="001D0CA0"/>
    <w:rPr>
      <w:sz w:val="20"/>
      <w:szCs w:val="20"/>
    </w:rPr>
  </w:style>
  <w:style w:type="paragraph" w:styleId="CommentSubject">
    <w:name w:val="annotation subject"/>
    <w:basedOn w:val="CommentText"/>
    <w:next w:val="CommentText"/>
    <w:link w:val="CommentSubjectChar"/>
    <w:uiPriority w:val="99"/>
    <w:semiHidden/>
    <w:unhideWhenUsed/>
    <w:rsid w:val="00C44665"/>
    <w:pPr>
      <w:suppressAutoHyphens w:val="0"/>
      <w:spacing w:before="120" w:after="120"/>
    </w:pPr>
    <w:rPr>
      <w:rFonts w:ascii="Arial" w:hAnsi="Arial"/>
      <w:b/>
      <w:bCs/>
    </w:rPr>
  </w:style>
  <w:style w:type="character" w:customStyle="1" w:styleId="CommentSubjectChar">
    <w:name w:val="Comment Subject Char"/>
    <w:basedOn w:val="CommentTextChar"/>
    <w:link w:val="CommentSubject"/>
    <w:uiPriority w:val="99"/>
    <w:semiHidden/>
    <w:rsid w:val="00C44665"/>
    <w:rPr>
      <w:rFonts w:ascii="Arial" w:hAnsi="Arial"/>
      <w:b/>
      <w:bCs/>
      <w:sz w:val="20"/>
      <w:szCs w:val="20"/>
    </w:rPr>
  </w:style>
  <w:style w:type="character" w:styleId="Mention">
    <w:name w:val="Mention"/>
    <w:basedOn w:val="DefaultParagraphFont"/>
    <w:uiPriority w:val="99"/>
    <w:unhideWhenUsed/>
    <w:rsid w:val="00E650E6"/>
    <w:rPr>
      <w:color w:val="2B579A"/>
      <w:shd w:val="clear" w:color="auto" w:fill="E1DFDD"/>
    </w:rPr>
  </w:style>
  <w:style w:type="paragraph" w:customStyle="1" w:styleId="TableSourceNotes">
    <w:name w:val="Table Source Notes"/>
    <w:basedOn w:val="Normal"/>
    <w:qFormat/>
    <w:rsid w:val="00902AB1"/>
    <w:pPr>
      <w:suppressAutoHyphens/>
      <w:spacing w:after="60" w:line="240" w:lineRule="atLeast"/>
      <w:ind w:left="284" w:hanging="284"/>
      <w:contextualSpacing/>
    </w:pPr>
    <w:rPr>
      <w:rFonts w:asciiTheme="minorHAnsi" w:hAnsiTheme="minorHAnsi"/>
      <w:sz w:val="18"/>
    </w:rPr>
  </w:style>
  <w:style w:type="character" w:customStyle="1" w:styleId="BodyText1Char">
    <w:name w:val="Body Text 1 Char"/>
    <w:basedOn w:val="DefaultParagraphFont"/>
    <w:link w:val="BodyText1"/>
    <w:uiPriority w:val="2"/>
    <w:rsid w:val="004B0B81"/>
    <w:rPr>
      <w:bCs/>
      <w:szCs w:val="20"/>
    </w:rPr>
  </w:style>
  <w:style w:type="paragraph" w:customStyle="1" w:styleId="EgHeading1">
    <w:name w:val="Eg Heading 1"/>
    <w:basedOn w:val="Heading1"/>
    <w:link w:val="EgHeading1Char"/>
    <w:uiPriority w:val="99"/>
    <w:qFormat/>
    <w:rsid w:val="00A34966"/>
    <w:pPr>
      <w:keepNext/>
      <w:keepLines/>
      <w:spacing w:before="120" w:after="360" w:line="240" w:lineRule="auto"/>
    </w:pPr>
    <w:rPr>
      <w:rFonts w:eastAsiaTheme="majorEastAsia" w:cstheme="majorBidi"/>
      <w:sz w:val="48"/>
      <w:szCs w:val="32"/>
    </w:rPr>
  </w:style>
  <w:style w:type="character" w:customStyle="1" w:styleId="EgHeading1Char">
    <w:name w:val="Eg Heading 1 Char"/>
    <w:basedOn w:val="Heading1Char"/>
    <w:link w:val="EgHeading1"/>
    <w:uiPriority w:val="99"/>
    <w:rsid w:val="00A34966"/>
    <w:rPr>
      <w:rFonts w:asciiTheme="majorHAnsi" w:eastAsiaTheme="majorEastAsia" w:hAnsiTheme="majorHAnsi" w:cstheme="majorBidi"/>
      <w:b/>
      <w:sz w:val="48"/>
      <w:szCs w:val="32"/>
    </w:rPr>
  </w:style>
  <w:style w:type="paragraph" w:styleId="Caption">
    <w:name w:val="caption"/>
    <w:basedOn w:val="Normal"/>
    <w:next w:val="Normal"/>
    <w:uiPriority w:val="35"/>
    <w:unhideWhenUsed/>
    <w:qFormat/>
    <w:rsid w:val="007E6C21"/>
    <w:pPr>
      <w:spacing w:before="0" w:after="80"/>
    </w:pPr>
    <w:rPr>
      <w:i/>
      <w:iCs/>
      <w:sz w:val="18"/>
      <w:szCs w:val="18"/>
    </w:rPr>
  </w:style>
  <w:style w:type="table" w:styleId="GridTable1Light-Accent3">
    <w:name w:val="Grid Table 1 Light Accent 3"/>
    <w:basedOn w:val="TableNormal"/>
    <w:uiPriority w:val="46"/>
    <w:rsid w:val="007E6C21"/>
    <w:pPr>
      <w:spacing w:after="0" w:line="240" w:lineRule="auto"/>
    </w:pPr>
    <w:tblPr>
      <w:tblStyleRowBandSize w:val="1"/>
      <w:tblStyleColBandSize w:val="1"/>
      <w:tblBorders>
        <w:top w:val="single" w:sz="4" w:space="0" w:color="6BA0FF" w:themeColor="accent3" w:themeTint="66"/>
        <w:left w:val="single" w:sz="4" w:space="0" w:color="6BA0FF" w:themeColor="accent3" w:themeTint="66"/>
        <w:bottom w:val="single" w:sz="4" w:space="0" w:color="6BA0FF" w:themeColor="accent3" w:themeTint="66"/>
        <w:right w:val="single" w:sz="4" w:space="0" w:color="6BA0FF" w:themeColor="accent3" w:themeTint="66"/>
        <w:insideH w:val="single" w:sz="4" w:space="0" w:color="6BA0FF" w:themeColor="accent3" w:themeTint="66"/>
        <w:insideV w:val="single" w:sz="4" w:space="0" w:color="6BA0FF" w:themeColor="accent3" w:themeTint="66"/>
      </w:tblBorders>
    </w:tblPr>
    <w:tblStylePr w:type="firstRow">
      <w:rPr>
        <w:b/>
        <w:bCs/>
      </w:rPr>
      <w:tblPr/>
      <w:tcPr>
        <w:tcBorders>
          <w:bottom w:val="single" w:sz="12" w:space="0" w:color="2171FF" w:themeColor="accent3" w:themeTint="99"/>
        </w:tcBorders>
      </w:tcPr>
    </w:tblStylePr>
    <w:tblStylePr w:type="lastRow">
      <w:rPr>
        <w:b/>
        <w:bCs/>
      </w:rPr>
      <w:tblPr/>
      <w:tcPr>
        <w:tcBorders>
          <w:top w:val="double" w:sz="2" w:space="0" w:color="2171FF" w:themeColor="accent3" w:themeTint="99"/>
        </w:tcBorders>
      </w:tcPr>
    </w:tblStylePr>
    <w:tblStylePr w:type="firstCol">
      <w:rPr>
        <w:b/>
        <w:bCs/>
      </w:rPr>
    </w:tblStylePr>
    <w:tblStylePr w:type="lastCol">
      <w:rPr>
        <w:b/>
        <w:bCs/>
      </w:rPr>
    </w:tblStylePr>
  </w:style>
  <w:style w:type="paragraph" w:customStyle="1" w:styleId="Italicbodytext">
    <w:name w:val="Italic body text"/>
    <w:basedOn w:val="BodyText1"/>
    <w:link w:val="ItalicbodytextChar"/>
    <w:uiPriority w:val="99"/>
    <w:qFormat/>
    <w:rsid w:val="009070AE"/>
    <w:pPr>
      <w:tabs>
        <w:tab w:val="clear" w:pos="9356"/>
      </w:tabs>
    </w:pPr>
    <w:rPr>
      <w:rFonts w:ascii="Arial" w:hAnsi="Arial" w:cs="Myriad Pro Light"/>
      <w:bCs w:val="0"/>
      <w:i/>
      <w:color w:val="000000"/>
    </w:rPr>
  </w:style>
  <w:style w:type="character" w:customStyle="1" w:styleId="ItalicbodytextChar">
    <w:name w:val="Italic body text Char"/>
    <w:basedOn w:val="BodyText1Char"/>
    <w:link w:val="Italicbodytext"/>
    <w:uiPriority w:val="99"/>
    <w:rsid w:val="009070AE"/>
    <w:rPr>
      <w:rFonts w:ascii="Arial" w:hAnsi="Arial" w:cs="Myriad Pro Light"/>
      <w:bCs w:val="0"/>
      <w:i/>
      <w:color w:val="000000"/>
      <w:sz w:val="20"/>
      <w:szCs w:val="20"/>
    </w:rPr>
  </w:style>
  <w:style w:type="paragraph" w:customStyle="1" w:styleId="Coverheading1">
    <w:name w:val="Cover heading 1"/>
    <w:next w:val="BodyText1"/>
    <w:uiPriority w:val="99"/>
    <w:qFormat/>
    <w:rsid w:val="00961D9D"/>
    <w:rPr>
      <w:rFonts w:ascii="Arial" w:hAnsi="Arial"/>
      <w:b/>
      <w:color w:val="404040" w:themeColor="text1" w:themeTint="BF"/>
      <w:sz w:val="72"/>
    </w:rPr>
  </w:style>
  <w:style w:type="table" w:styleId="GridTable6Colorful-Accent3">
    <w:name w:val="Grid Table 6 Colorful Accent 3"/>
    <w:basedOn w:val="TableNormal"/>
    <w:uiPriority w:val="51"/>
    <w:rsid w:val="00961D9D"/>
    <w:pPr>
      <w:spacing w:after="0" w:line="240" w:lineRule="auto"/>
    </w:pPr>
    <w:rPr>
      <w:color w:val="002669" w:themeColor="accent3" w:themeShade="BF"/>
    </w:rPr>
    <w:tblPr>
      <w:tblStyleRowBandSize w:val="1"/>
      <w:tblStyleColBandSize w:val="1"/>
      <w:tblBorders>
        <w:top w:val="single" w:sz="4" w:space="0" w:color="2171FF" w:themeColor="accent3" w:themeTint="99"/>
        <w:left w:val="single" w:sz="4" w:space="0" w:color="2171FF" w:themeColor="accent3" w:themeTint="99"/>
        <w:bottom w:val="single" w:sz="4" w:space="0" w:color="2171FF" w:themeColor="accent3" w:themeTint="99"/>
        <w:right w:val="single" w:sz="4" w:space="0" w:color="2171FF" w:themeColor="accent3" w:themeTint="99"/>
        <w:insideH w:val="single" w:sz="4" w:space="0" w:color="2171FF" w:themeColor="accent3" w:themeTint="99"/>
        <w:insideV w:val="single" w:sz="4" w:space="0" w:color="2171FF" w:themeColor="accent3" w:themeTint="99"/>
      </w:tblBorders>
    </w:tblPr>
    <w:tblStylePr w:type="firstRow">
      <w:rPr>
        <w:b/>
        <w:bCs/>
      </w:rPr>
      <w:tblPr/>
      <w:tcPr>
        <w:tcBorders>
          <w:bottom w:val="single" w:sz="12" w:space="0" w:color="2171FF" w:themeColor="accent3" w:themeTint="99"/>
        </w:tcBorders>
      </w:tcPr>
    </w:tblStylePr>
    <w:tblStylePr w:type="lastRow">
      <w:rPr>
        <w:b/>
        <w:bCs/>
      </w:rPr>
      <w:tblPr/>
      <w:tcPr>
        <w:tcBorders>
          <w:top w:val="double" w:sz="4" w:space="0" w:color="2171FF" w:themeColor="accent3" w:themeTint="99"/>
        </w:tcBorders>
      </w:tcPr>
    </w:tblStylePr>
    <w:tblStylePr w:type="firstCol">
      <w:rPr>
        <w:b/>
        <w:bCs/>
      </w:rPr>
    </w:tblStylePr>
    <w:tblStylePr w:type="lastCol">
      <w:rPr>
        <w:b/>
        <w:bCs/>
      </w:rPr>
    </w:tblStylePr>
    <w:tblStylePr w:type="band1Vert">
      <w:tblPr/>
      <w:tcPr>
        <w:shd w:val="clear" w:color="auto" w:fill="B5CFFF" w:themeFill="accent3" w:themeFillTint="33"/>
      </w:tcPr>
    </w:tblStylePr>
    <w:tblStylePr w:type="band1Horz">
      <w:tblPr/>
      <w:tcPr>
        <w:shd w:val="clear" w:color="auto" w:fill="B5CFFF" w:themeFill="accent3" w:themeFillTint="33"/>
      </w:tcPr>
    </w:tblStylePr>
  </w:style>
  <w:style w:type="paragraph" w:customStyle="1" w:styleId="Centredheading1">
    <w:name w:val="Centred heading 1"/>
    <w:basedOn w:val="EgHeading1"/>
    <w:link w:val="Centredheading1Char"/>
    <w:uiPriority w:val="99"/>
    <w:qFormat/>
    <w:rsid w:val="00961D9D"/>
    <w:rPr>
      <w:color w:val="359D9A" w:themeColor="accent2"/>
      <w:sz w:val="32"/>
    </w:rPr>
  </w:style>
  <w:style w:type="character" w:customStyle="1" w:styleId="Centredheading1Char">
    <w:name w:val="Centred heading 1 Char"/>
    <w:basedOn w:val="EgHeading1Char"/>
    <w:link w:val="Centredheading1"/>
    <w:uiPriority w:val="99"/>
    <w:rsid w:val="00961D9D"/>
    <w:rPr>
      <w:rFonts w:asciiTheme="majorHAnsi" w:eastAsiaTheme="majorEastAsia" w:hAnsiTheme="majorHAnsi" w:cstheme="majorBidi"/>
      <w:b/>
      <w:color w:val="359D9A" w:themeColor="accent2"/>
      <w:sz w:val="32"/>
      <w:szCs w:val="32"/>
    </w:rPr>
  </w:style>
  <w:style w:type="paragraph" w:customStyle="1" w:styleId="Centredheading2">
    <w:name w:val="Centred heading 2"/>
    <w:basedOn w:val="EgHeading1"/>
    <w:link w:val="Centredheading2Char"/>
    <w:uiPriority w:val="99"/>
    <w:qFormat/>
    <w:rsid w:val="00961D9D"/>
    <w:rPr>
      <w:color w:val="359D9A" w:themeColor="accent2"/>
    </w:rPr>
  </w:style>
  <w:style w:type="character" w:customStyle="1" w:styleId="Centredheading2Char">
    <w:name w:val="Centred heading 2 Char"/>
    <w:basedOn w:val="EgHeading1Char"/>
    <w:link w:val="Centredheading2"/>
    <w:uiPriority w:val="99"/>
    <w:rsid w:val="00961D9D"/>
    <w:rPr>
      <w:rFonts w:asciiTheme="majorHAnsi" w:eastAsiaTheme="majorEastAsia" w:hAnsiTheme="majorHAnsi" w:cstheme="majorBidi"/>
      <w:b/>
      <w:color w:val="359D9A" w:themeColor="accent2"/>
      <w:sz w:val="48"/>
      <w:szCs w:val="32"/>
    </w:rPr>
  </w:style>
  <w:style w:type="table" w:styleId="GridTable7Colorful-Accent2">
    <w:name w:val="Grid Table 7 Colorful Accent 2"/>
    <w:basedOn w:val="TableNormal"/>
    <w:uiPriority w:val="52"/>
    <w:rsid w:val="00373811"/>
    <w:pPr>
      <w:spacing w:after="0" w:line="240" w:lineRule="auto"/>
    </w:pPr>
    <w:rPr>
      <w:color w:val="277572" w:themeColor="accent2" w:themeShade="BF"/>
    </w:rPr>
    <w:tblPr>
      <w:tblStyleRowBandSize w:val="1"/>
      <w:tblStyleColBandSize w:val="1"/>
      <w:tblBorders>
        <w:top w:val="single" w:sz="4" w:space="0" w:color="78D1CE" w:themeColor="accent2" w:themeTint="99"/>
        <w:left w:val="single" w:sz="4" w:space="0" w:color="78D1CE" w:themeColor="accent2" w:themeTint="99"/>
        <w:bottom w:val="single" w:sz="4" w:space="0" w:color="78D1CE" w:themeColor="accent2" w:themeTint="99"/>
        <w:right w:val="single" w:sz="4" w:space="0" w:color="78D1CE" w:themeColor="accent2" w:themeTint="99"/>
        <w:insideH w:val="single" w:sz="4" w:space="0" w:color="78D1CE" w:themeColor="accent2" w:themeTint="99"/>
        <w:insideV w:val="single" w:sz="4" w:space="0" w:color="78D1C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0EF" w:themeFill="accent2" w:themeFillTint="33"/>
      </w:tcPr>
    </w:tblStylePr>
    <w:tblStylePr w:type="band1Horz">
      <w:tblPr/>
      <w:tcPr>
        <w:shd w:val="clear" w:color="auto" w:fill="D2F0EF" w:themeFill="accent2" w:themeFillTint="33"/>
      </w:tcPr>
    </w:tblStylePr>
    <w:tblStylePr w:type="neCell">
      <w:tblPr/>
      <w:tcPr>
        <w:tcBorders>
          <w:bottom w:val="single" w:sz="4" w:space="0" w:color="78D1CE" w:themeColor="accent2" w:themeTint="99"/>
        </w:tcBorders>
      </w:tcPr>
    </w:tblStylePr>
    <w:tblStylePr w:type="nwCell">
      <w:tblPr/>
      <w:tcPr>
        <w:tcBorders>
          <w:bottom w:val="single" w:sz="4" w:space="0" w:color="78D1CE" w:themeColor="accent2" w:themeTint="99"/>
        </w:tcBorders>
      </w:tcPr>
    </w:tblStylePr>
    <w:tblStylePr w:type="seCell">
      <w:tblPr/>
      <w:tcPr>
        <w:tcBorders>
          <w:top w:val="single" w:sz="4" w:space="0" w:color="78D1CE" w:themeColor="accent2" w:themeTint="99"/>
        </w:tcBorders>
      </w:tcPr>
    </w:tblStylePr>
    <w:tblStylePr w:type="swCell">
      <w:tblPr/>
      <w:tcPr>
        <w:tcBorders>
          <w:top w:val="single" w:sz="4" w:space="0" w:color="78D1CE" w:themeColor="accent2" w:themeTint="99"/>
        </w:tcBorders>
      </w:tcPr>
    </w:tblStylePr>
  </w:style>
  <w:style w:type="table" w:styleId="GridTable1Light-Accent2">
    <w:name w:val="Grid Table 1 Light Accent 2"/>
    <w:basedOn w:val="TableNormal"/>
    <w:uiPriority w:val="46"/>
    <w:rsid w:val="00373811"/>
    <w:pPr>
      <w:spacing w:after="0" w:line="240" w:lineRule="auto"/>
    </w:pPr>
    <w:tblPr>
      <w:tblStyleRowBandSize w:val="1"/>
      <w:tblStyleColBandSize w:val="1"/>
      <w:tbl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insideH w:val="single" w:sz="4" w:space="0" w:color="A5E0DE" w:themeColor="accent2" w:themeTint="66"/>
        <w:insideV w:val="single" w:sz="4" w:space="0" w:color="A5E0DE" w:themeColor="accent2" w:themeTint="66"/>
      </w:tblBorders>
    </w:tblPr>
    <w:tblStylePr w:type="firstRow">
      <w:rPr>
        <w:b/>
        <w:bCs/>
      </w:rPr>
      <w:tblPr/>
      <w:tcPr>
        <w:tcBorders>
          <w:bottom w:val="single" w:sz="12" w:space="0" w:color="78D1CE" w:themeColor="accent2" w:themeTint="99"/>
        </w:tcBorders>
      </w:tcPr>
    </w:tblStylePr>
    <w:tblStylePr w:type="lastRow">
      <w:rPr>
        <w:b/>
        <w:bCs/>
      </w:rPr>
      <w:tblPr/>
      <w:tcPr>
        <w:tcBorders>
          <w:top w:val="double" w:sz="2" w:space="0" w:color="78D1CE" w:themeColor="accent2" w:themeTint="99"/>
        </w:tcBorders>
      </w:tcPr>
    </w:tblStylePr>
    <w:tblStylePr w:type="firstCol">
      <w:rPr>
        <w:b/>
        <w:bCs/>
      </w:rPr>
    </w:tblStylePr>
    <w:tblStylePr w:type="lastCol">
      <w:rPr>
        <w:b/>
        <w:bCs/>
      </w:rPr>
    </w:tblStylePr>
  </w:style>
  <w:style w:type="paragraph" w:customStyle="1" w:styleId="Heading2example">
    <w:name w:val="Heading 2 (example)"/>
    <w:basedOn w:val="Heading2"/>
    <w:link w:val="Heading2exampleChar"/>
    <w:uiPriority w:val="99"/>
    <w:qFormat/>
    <w:rsid w:val="00690EA3"/>
  </w:style>
  <w:style w:type="character" w:customStyle="1" w:styleId="Heading2exampleChar">
    <w:name w:val="Heading 2 (example) Char"/>
    <w:basedOn w:val="Heading2Char"/>
    <w:link w:val="Heading2example"/>
    <w:uiPriority w:val="99"/>
    <w:rsid w:val="00690EA3"/>
    <w:rPr>
      <w:rFonts w:asciiTheme="majorHAnsi" w:eastAsiaTheme="majorEastAsia" w:hAnsiTheme="majorHAnsi" w:cstheme="majorBidi"/>
      <w:b/>
      <w:bCs/>
      <w:color w:val="000000" w:themeColor="text1"/>
      <w:sz w:val="24"/>
      <w:szCs w:val="26"/>
    </w:rPr>
  </w:style>
  <w:style w:type="table" w:styleId="GridTable7Colorful">
    <w:name w:val="Grid Table 7 Colorful"/>
    <w:basedOn w:val="TableNormal"/>
    <w:uiPriority w:val="52"/>
    <w:rsid w:val="00690EA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Example-Centredheading">
    <w:name w:val="Example - Centred heading"/>
    <w:basedOn w:val="Centredheading2"/>
    <w:link w:val="Example-CentredheadingChar"/>
    <w:uiPriority w:val="99"/>
    <w:qFormat/>
    <w:rsid w:val="00690EA3"/>
    <w:pPr>
      <w:jc w:val="center"/>
    </w:pPr>
    <w:rPr>
      <w:color w:val="auto"/>
    </w:rPr>
  </w:style>
  <w:style w:type="character" w:customStyle="1" w:styleId="Example-CentredheadingChar">
    <w:name w:val="Example - Centred heading Char"/>
    <w:basedOn w:val="Centredheading2Char"/>
    <w:link w:val="Example-Centredheading"/>
    <w:uiPriority w:val="99"/>
    <w:rsid w:val="00690EA3"/>
    <w:rPr>
      <w:rFonts w:asciiTheme="majorHAnsi" w:eastAsiaTheme="majorEastAsia" w:hAnsiTheme="majorHAnsi" w:cstheme="majorBidi"/>
      <w:b/>
      <w:color w:val="359D9A" w:themeColor="accent2"/>
      <w:sz w:val="48"/>
      <w:szCs w:val="32"/>
    </w:rPr>
  </w:style>
  <w:style w:type="paragraph" w:customStyle="1" w:styleId="Example-Centredheading3">
    <w:name w:val="Example - Centred heading 3"/>
    <w:basedOn w:val="Centredheading1"/>
    <w:link w:val="Example-Centredheading3Char"/>
    <w:uiPriority w:val="99"/>
    <w:qFormat/>
    <w:rsid w:val="003936E8"/>
    <w:pPr>
      <w:jc w:val="center"/>
    </w:pPr>
    <w:rPr>
      <w:color w:val="auto"/>
    </w:rPr>
  </w:style>
  <w:style w:type="character" w:customStyle="1" w:styleId="Example-Centredheading3Char">
    <w:name w:val="Example - Centred heading 3 Char"/>
    <w:basedOn w:val="Centredheading1Char"/>
    <w:link w:val="Example-Centredheading3"/>
    <w:uiPriority w:val="99"/>
    <w:rsid w:val="003936E8"/>
    <w:rPr>
      <w:rFonts w:asciiTheme="majorHAnsi" w:eastAsiaTheme="majorEastAsia" w:hAnsiTheme="majorHAnsi" w:cstheme="majorBidi"/>
      <w:b/>
      <w:color w:val="359D9A" w:themeColor="accent2"/>
      <w:sz w:val="32"/>
      <w:szCs w:val="32"/>
    </w:rPr>
  </w:style>
  <w:style w:type="table" w:styleId="GridTable1Light">
    <w:name w:val="Grid Table 1 Light"/>
    <w:basedOn w:val="TableNormal"/>
    <w:uiPriority w:val="46"/>
    <w:rsid w:val="003936E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ndnoteText">
    <w:name w:val="endnote text"/>
    <w:basedOn w:val="Normal"/>
    <w:link w:val="EndnoteTextChar"/>
    <w:uiPriority w:val="99"/>
    <w:unhideWhenUsed/>
    <w:rsid w:val="00AB6E7E"/>
    <w:pPr>
      <w:spacing w:before="0" w:after="0"/>
    </w:pPr>
    <w:rPr>
      <w:szCs w:val="20"/>
    </w:rPr>
  </w:style>
  <w:style w:type="character" w:customStyle="1" w:styleId="EndnoteTextChar">
    <w:name w:val="Endnote Text Char"/>
    <w:basedOn w:val="DefaultParagraphFont"/>
    <w:link w:val="EndnoteText"/>
    <w:uiPriority w:val="99"/>
    <w:rsid w:val="00AB6E7E"/>
    <w:rPr>
      <w:rFonts w:ascii="Arial" w:hAnsi="Arial"/>
      <w:sz w:val="20"/>
      <w:szCs w:val="20"/>
    </w:rPr>
  </w:style>
  <w:style w:type="character" w:styleId="EndnoteReference">
    <w:name w:val="endnote reference"/>
    <w:basedOn w:val="DefaultParagraphFont"/>
    <w:uiPriority w:val="99"/>
    <w:semiHidden/>
    <w:unhideWhenUsed/>
    <w:rsid w:val="00AB6E7E"/>
    <w:rPr>
      <w:vertAlign w:val="superscript"/>
    </w:rPr>
  </w:style>
  <w:style w:type="character" w:customStyle="1" w:styleId="normaltextrun">
    <w:name w:val="normaltextrun"/>
    <w:basedOn w:val="DefaultParagraphFont"/>
    <w:rsid w:val="00057265"/>
  </w:style>
  <w:style w:type="character" w:customStyle="1" w:styleId="eop">
    <w:name w:val="eop"/>
    <w:basedOn w:val="DefaultParagraphFont"/>
    <w:rsid w:val="000572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299943">
      <w:bodyDiv w:val="1"/>
      <w:marLeft w:val="0"/>
      <w:marRight w:val="0"/>
      <w:marTop w:val="0"/>
      <w:marBottom w:val="0"/>
      <w:divBdr>
        <w:top w:val="none" w:sz="0" w:space="0" w:color="auto"/>
        <w:left w:val="none" w:sz="0" w:space="0" w:color="auto"/>
        <w:bottom w:val="none" w:sz="0" w:space="0" w:color="auto"/>
        <w:right w:val="none" w:sz="0" w:space="0" w:color="auto"/>
      </w:divBdr>
    </w:div>
    <w:div w:id="359358727">
      <w:bodyDiv w:val="1"/>
      <w:marLeft w:val="0"/>
      <w:marRight w:val="0"/>
      <w:marTop w:val="0"/>
      <w:marBottom w:val="0"/>
      <w:divBdr>
        <w:top w:val="none" w:sz="0" w:space="0" w:color="auto"/>
        <w:left w:val="none" w:sz="0" w:space="0" w:color="auto"/>
        <w:bottom w:val="none" w:sz="0" w:space="0" w:color="auto"/>
        <w:right w:val="none" w:sz="0" w:space="0" w:color="auto"/>
      </w:divBdr>
    </w:div>
    <w:div w:id="496383758">
      <w:bodyDiv w:val="1"/>
      <w:marLeft w:val="0"/>
      <w:marRight w:val="0"/>
      <w:marTop w:val="0"/>
      <w:marBottom w:val="0"/>
      <w:divBdr>
        <w:top w:val="none" w:sz="0" w:space="0" w:color="auto"/>
        <w:left w:val="none" w:sz="0" w:space="0" w:color="auto"/>
        <w:bottom w:val="none" w:sz="0" w:space="0" w:color="auto"/>
        <w:right w:val="none" w:sz="0" w:space="0" w:color="auto"/>
      </w:divBdr>
    </w:div>
    <w:div w:id="682125146">
      <w:bodyDiv w:val="1"/>
      <w:marLeft w:val="0"/>
      <w:marRight w:val="0"/>
      <w:marTop w:val="0"/>
      <w:marBottom w:val="0"/>
      <w:divBdr>
        <w:top w:val="none" w:sz="0" w:space="0" w:color="auto"/>
        <w:left w:val="none" w:sz="0" w:space="0" w:color="auto"/>
        <w:bottom w:val="none" w:sz="0" w:space="0" w:color="auto"/>
        <w:right w:val="none" w:sz="0" w:space="0" w:color="auto"/>
      </w:divBdr>
    </w:div>
    <w:div w:id="848910903">
      <w:bodyDiv w:val="1"/>
      <w:marLeft w:val="0"/>
      <w:marRight w:val="0"/>
      <w:marTop w:val="0"/>
      <w:marBottom w:val="0"/>
      <w:divBdr>
        <w:top w:val="none" w:sz="0" w:space="0" w:color="auto"/>
        <w:left w:val="none" w:sz="0" w:space="0" w:color="auto"/>
        <w:bottom w:val="none" w:sz="0" w:space="0" w:color="auto"/>
        <w:right w:val="none" w:sz="0" w:space="0" w:color="auto"/>
      </w:divBdr>
    </w:div>
    <w:div w:id="1065563582">
      <w:bodyDiv w:val="1"/>
      <w:marLeft w:val="0"/>
      <w:marRight w:val="0"/>
      <w:marTop w:val="0"/>
      <w:marBottom w:val="0"/>
      <w:divBdr>
        <w:top w:val="none" w:sz="0" w:space="0" w:color="auto"/>
        <w:left w:val="none" w:sz="0" w:space="0" w:color="auto"/>
        <w:bottom w:val="none" w:sz="0" w:space="0" w:color="auto"/>
        <w:right w:val="none" w:sz="0" w:space="0" w:color="auto"/>
      </w:divBdr>
    </w:div>
    <w:div w:id="1124159345">
      <w:bodyDiv w:val="1"/>
      <w:marLeft w:val="0"/>
      <w:marRight w:val="0"/>
      <w:marTop w:val="0"/>
      <w:marBottom w:val="0"/>
      <w:divBdr>
        <w:top w:val="none" w:sz="0" w:space="0" w:color="auto"/>
        <w:left w:val="none" w:sz="0" w:space="0" w:color="auto"/>
        <w:bottom w:val="none" w:sz="0" w:space="0" w:color="auto"/>
        <w:right w:val="none" w:sz="0" w:space="0" w:color="auto"/>
      </w:divBdr>
    </w:div>
    <w:div w:id="1681392554">
      <w:bodyDiv w:val="1"/>
      <w:marLeft w:val="0"/>
      <w:marRight w:val="0"/>
      <w:marTop w:val="0"/>
      <w:marBottom w:val="0"/>
      <w:divBdr>
        <w:top w:val="none" w:sz="0" w:space="0" w:color="auto"/>
        <w:left w:val="none" w:sz="0" w:space="0" w:color="auto"/>
        <w:bottom w:val="none" w:sz="0" w:space="0" w:color="auto"/>
        <w:right w:val="none" w:sz="0" w:space="0" w:color="auto"/>
      </w:divBdr>
    </w:div>
    <w:div w:id="1829326444">
      <w:bodyDiv w:val="1"/>
      <w:marLeft w:val="0"/>
      <w:marRight w:val="0"/>
      <w:marTop w:val="0"/>
      <w:marBottom w:val="0"/>
      <w:divBdr>
        <w:top w:val="none" w:sz="0" w:space="0" w:color="auto"/>
        <w:left w:val="none" w:sz="0" w:space="0" w:color="auto"/>
        <w:bottom w:val="none" w:sz="0" w:space="0" w:color="auto"/>
        <w:right w:val="none" w:sz="0" w:space="0" w:color="auto"/>
      </w:divBdr>
    </w:div>
    <w:div w:id="1972861018">
      <w:bodyDiv w:val="1"/>
      <w:marLeft w:val="0"/>
      <w:marRight w:val="0"/>
      <w:marTop w:val="0"/>
      <w:marBottom w:val="0"/>
      <w:divBdr>
        <w:top w:val="none" w:sz="0" w:space="0" w:color="auto"/>
        <w:left w:val="none" w:sz="0" w:space="0" w:color="auto"/>
        <w:bottom w:val="none" w:sz="0" w:space="0" w:color="auto"/>
        <w:right w:val="none" w:sz="0" w:space="0" w:color="auto"/>
      </w:divBdr>
    </w:div>
    <w:div w:id="2028409045">
      <w:bodyDiv w:val="1"/>
      <w:marLeft w:val="0"/>
      <w:marRight w:val="0"/>
      <w:marTop w:val="0"/>
      <w:marBottom w:val="0"/>
      <w:divBdr>
        <w:top w:val="none" w:sz="0" w:space="0" w:color="auto"/>
        <w:left w:val="none" w:sz="0" w:space="0" w:color="auto"/>
        <w:bottom w:val="none" w:sz="0" w:space="0" w:color="auto"/>
        <w:right w:val="none" w:sz="0" w:space="0" w:color="auto"/>
      </w:divBdr>
    </w:div>
    <w:div w:id="2032292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finance.gov.au/government/climate-action-government-operations/commonwealth-climate-disclosure-policy" TargetMode="External"/><Relationship Id="rId18" Type="http://schemas.openxmlformats.org/officeDocument/2006/relationships/header" Target="header2.xml"/><Relationship Id="rId2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hyperlink" Target="https://www.finance.gov.au/government/climate-action-government-operations/commonwealth-climate-disclosure-requirements"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finance.gov.au/government/climate-action-government-operations/commonwealth-climate-disclosure-policy" TargetMode="External"/><Relationship Id="rId29" Type="http://schemas.openxmlformats.org/officeDocument/2006/relationships/hyperlink" Target="https://www.finance.gov.au/government/commonwealth-investment-framework"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comments" Target="comments.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finance.gov.au/government/managing-commonwealth-resources/annual-reports-corporate-commonwealth-entities-rmg-136" TargetMode="External"/><Relationship Id="rId23" Type="http://schemas.openxmlformats.org/officeDocument/2006/relationships/hyperlink" Target="https://www.dcceew.gov.au/climate-change/publications/climate-risk-opportunity-management-program-resources" TargetMode="External"/><Relationship Id="rId28"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finance.gov.au/government/climate-action-government-operations/commonwealth-climate-disclosure-requirements" TargetMode="External"/><Relationship Id="rId22" Type="http://schemas.openxmlformats.org/officeDocument/2006/relationships/hyperlink" Target="https://www.dcceew.gov.au/sites/default/files/documents/climate-risk-management.pdf" TargetMode="External"/><Relationship Id="rId27" Type="http://schemas.openxmlformats.org/officeDocument/2006/relationships/hyperlink" Target="https://www.finance.gov.au/government/comcover/risk-services/management/commonwealth-risk-management-policy" TargetMode="External"/><Relationship Id="rId30"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TPSNZ">
      <a:dk1>
        <a:sysClr val="windowText" lastClr="000000"/>
      </a:dk1>
      <a:lt1>
        <a:sysClr val="window" lastClr="FFFFFF"/>
      </a:lt1>
      <a:dk2>
        <a:srgbClr val="5271FF"/>
      </a:dk2>
      <a:lt2>
        <a:srgbClr val="E7E6E6"/>
      </a:lt2>
      <a:accent1>
        <a:srgbClr val="DFB558"/>
      </a:accent1>
      <a:accent2>
        <a:srgbClr val="359D9A"/>
      </a:accent2>
      <a:accent3>
        <a:srgbClr val="00338D"/>
      </a:accent3>
      <a:accent4>
        <a:srgbClr val="FFFFFF"/>
      </a:accent4>
      <a:accent5>
        <a:srgbClr val="FFFFFF"/>
      </a:accent5>
      <a:accent6>
        <a:srgbClr val="FFFFFF"/>
      </a:accent6>
      <a:hlink>
        <a:srgbClr val="0563C1"/>
      </a:hlink>
      <a:folHlink>
        <a:srgbClr val="954F72"/>
      </a:folHlink>
    </a:clrScheme>
    <a:fontScheme name="APSNZ">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6a7e9632-768a-49bf-85ac-c69233ab2a52">FIN11911-160868515-42001</_dlc_DocId>
    <TaxKeywordTaxHTField xmlns="a334ba3b-e131-42d3-95f3-2728f5a41884">
      <Terms xmlns="http://schemas.microsoft.com/office/infopath/2007/PartnerControls">
        <TermInfo xmlns="http://schemas.microsoft.com/office/infopath/2007/PartnerControls">
          <TermName xmlns="http://schemas.microsoft.com/office/infopath/2007/PartnerControls">[SEC=OFFICIAL]</TermName>
          <TermId xmlns="http://schemas.microsoft.com/office/infopath/2007/PartnerControls">07351cc0-de73-4913-be2f-56f124cbf8bb</TermId>
        </TermInfo>
      </Terms>
    </TaxKeywordTaxHTField>
    <_Flow_SignoffStatus xmlns="be197717-4ab4-4766-95be-e743bd2101d5" xsi:nil="true"/>
    <lf395e0388bc45bfb8642f07b9d090f4 xmlns="a334ba3b-e131-42d3-95f3-2728f5a41884">
      <Terms xmlns="http://schemas.microsoft.com/office/infopath/2007/PartnerControls"/>
    </lf395e0388bc45bfb8642f07b9d090f4>
    <of934ccb37d6451ba60cdb89c1817167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lcf76f155ced4ddcb4097134ff3c332f xmlns="be197717-4ab4-4766-95be-e743bd2101d5">
      <Terms xmlns="http://schemas.microsoft.com/office/infopath/2007/PartnerControls"/>
    </lcf76f155ced4ddcb4097134ff3c332f>
    <TaxCatchAll xmlns="a334ba3b-e131-42d3-95f3-2728f5a41884">
      <Value>29</Value>
      <Value>38</Value>
      <Value>1</Value>
    </TaxCatchAll>
    <_dlc_DocIdPersistId xmlns="6a7e9632-768a-49bf-85ac-c69233ab2a52" xsi:nil="true"/>
    <e0fcb3f570964638902a63147cd98219 xmlns="a334ba3b-e131-42d3-95f3-2728f5a41884">
      <Terms xmlns="http://schemas.microsoft.com/office/infopath/2007/PartnerControls">
        <TermInfo xmlns="http://schemas.microsoft.com/office/infopath/2007/PartnerControls">
          <TermName xmlns="http://schemas.microsoft.com/office/infopath/2007/PartnerControls">APS Net Zero Unit</TermName>
          <TermId xmlns="http://schemas.microsoft.com/office/infopath/2007/PartnerControls">3a7b3834-5ac8-43b7-9496-8f951dc2a7fa</TermId>
        </TermInfo>
      </Terms>
    </e0fcb3f570964638902a63147cd98219>
    <Security_x0020_Classification xmlns="a334ba3b-e131-42d3-95f3-2728f5a41884">OFFICIAL</Security_x0020_Classification>
    <f0888ba7078d4a1bac90b097c1ed0fad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_dlc_DocIdUrl xmlns="6a7e9632-768a-49bf-85ac-c69233ab2a52">
      <Url>https://financegovau.sharepoint.com/sites/M365_DoF_51011911/_layouts/15/DocIdRedir.aspx?ID=FIN11911-160868515-42001</Url>
      <Description>FIN11911-160868515-42001</Description>
    </_dlc_DocIdUrl>
    <Original_x0020_Date_x0020_Created xmlns="a334ba3b-e131-42d3-95f3-2728f5a41884"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c4b2c377-c74f-46b8-b62e-9cefa93d8fc8" ContentTypeId="0x010100B7B479F47583304BA8B631462CC772D7" PreviousValue="true"/>
</file>

<file path=customXml/item6.xml><?xml version="1.0" encoding="utf-8"?>
<ct:contentTypeSchema xmlns:ct="http://schemas.microsoft.com/office/2006/metadata/contentType" xmlns:ma="http://schemas.microsoft.com/office/2006/metadata/properties/metaAttributes" ct:_="" ma:_="" ma:contentTypeName="Finance Document" ma:contentTypeID="0x010100B7B479F47583304BA8B631462CC772D700067E51C991F65340AC36B9604578C197" ma:contentTypeVersion="54" ma:contentTypeDescription="Create a new document." ma:contentTypeScope="" ma:versionID="1d959bddfa9307e73d71ff1e679e617b">
  <xsd:schema xmlns:xsd="http://www.w3.org/2001/XMLSchema" xmlns:xs="http://www.w3.org/2001/XMLSchema" xmlns:p="http://schemas.microsoft.com/office/2006/metadata/properties" xmlns:ns1="http://schemas.microsoft.com/sharepoint/v3" xmlns:ns2="a334ba3b-e131-42d3-95f3-2728f5a41884" xmlns:ns3="6a7e9632-768a-49bf-85ac-c69233ab2a52" xmlns:ns4="be197717-4ab4-4766-95be-e743bd2101d5" xmlns:ns5="bc0ad435-d67a-4fe2-9b47-ae50c5996250" targetNamespace="http://schemas.microsoft.com/office/2006/metadata/properties" ma:root="true" ma:fieldsID="1c1ab13b3c76bfb55697c7fa923afba7" ns1:_="" ns2:_="" ns3:_="" ns4:_="" ns5:_="">
    <xsd:import namespace="http://schemas.microsoft.com/sharepoint/v3"/>
    <xsd:import namespace="a334ba3b-e131-42d3-95f3-2728f5a41884"/>
    <xsd:import namespace="6a7e9632-768a-49bf-85ac-c69233ab2a52"/>
    <xsd:import namespace="be197717-4ab4-4766-95be-e743bd2101d5"/>
    <xsd:import namespace="bc0ad435-d67a-4fe2-9b47-ae50c5996250"/>
    <xsd:element name="properties">
      <xsd:complexType>
        <xsd:sequence>
          <xsd:element name="documentManagement">
            <xsd:complexType>
              <xsd:all>
                <xsd:element ref="ns2:Original_x0020_Date_x0020_Created" minOccurs="0"/>
                <xsd:element ref="ns3:_dlc_DocIdUrl" minOccurs="0"/>
                <xsd:element ref="ns4:_Flow_SignoffStatus" minOccurs="0"/>
                <xsd:element ref="ns2:e0fcb3f570964638902a63147cd98219" minOccurs="0"/>
                <xsd:element ref="ns2:f0888ba7078d4a1bac90b097c1ed0fad" minOccurs="0"/>
                <xsd:element ref="ns2:of934ccb37d6451ba60cdb89c1817167" minOccurs="0"/>
                <xsd:element ref="ns2:TaxKeywordTaxHTField" minOccurs="0"/>
                <xsd:element ref="ns2:lf395e0388bc45bfb8642f07b9d090f4" minOccurs="0"/>
                <xsd:element ref="ns2:TaxCatchAll" minOccurs="0"/>
                <xsd:element ref="ns4:MediaServiceFastMetadata" minOccurs="0"/>
                <xsd:element ref="ns5:SharedWithUsers" minOccurs="0"/>
                <xsd:element ref="ns5:SharedWithDetails" minOccurs="0"/>
                <xsd:element ref="ns4:MediaServiceMetadata" minOccurs="0"/>
                <xsd:element ref="ns4:MediaLengthInSeconds" minOccurs="0"/>
                <xsd:element ref="ns3:_dlc_DocId" minOccurs="0"/>
                <xsd:element ref="ns2:Security_x0020_Classification" minOccurs="0"/>
                <xsd:element ref="ns3:_dlc_DocIdPersistId" minOccurs="0"/>
                <xsd:element ref="ns4:MediaServiceDateTaken" minOccurs="0"/>
                <xsd:element ref="ns4:lcf76f155ced4ddcb4097134ff3c332f" minOccurs="0"/>
                <xsd:element ref="ns4:MediaServiceObjectDetectorVersions" minOccurs="0"/>
                <xsd:element ref="ns4:MediaServiceOCR" minOccurs="0"/>
                <xsd:element ref="ns4:MediaServiceGenerationTime" minOccurs="0"/>
                <xsd:element ref="ns4:MediaServiceEventHashCode" minOccurs="0"/>
                <xsd:element ref="ns2:TaxCatchAllLabel" minOccurs="0"/>
                <xsd:element ref="ns4:MediaServiceLocation" minOccurs="0"/>
                <xsd:element ref="ns4: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0" nillable="true" ma:displayName="Unified Compliance Policy Properties" ma:hidden="true" ma:internalName="_ip_UnifiedCompliancePolicyProperties">
      <xsd:simpleType>
        <xsd:restriction base="dms:Note"/>
      </xsd:simpleType>
    </xsd:element>
    <xsd:element name="_ip_UnifiedCompliancePolicyUIAction" ma:index="4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34ba3b-e131-42d3-95f3-2728f5a41884" elementFormDefault="qualified">
    <xsd:import namespace="http://schemas.microsoft.com/office/2006/documentManagement/types"/>
    <xsd:import namespace="http://schemas.microsoft.com/office/infopath/2007/PartnerControls"/>
    <xsd:element name="Original_x0020_Date_x0020_Created" ma:index="6" nillable="true" ma:displayName="Original Date Created" ma:default="" ma:format="DateOnly" ma:internalName="Original_x0020_Date_x0020_Created" ma:readOnly="false">
      <xsd:simpleType>
        <xsd:restriction base="dms:DateTime"/>
      </xsd:simpleType>
    </xsd:element>
    <xsd:element name="e0fcb3f570964638902a63147cd98219" ma:index="11" nillable="true" ma:taxonomy="true" ma:internalName="e0fcb3f570964638902a63147cd98219" ma:taxonomyFieldName="Organisation_x0020_Unit" ma:displayName="Organisation Unit" ma:default="" ma:fieldId="{e0fcb3f5-7096-4638-902a-63147cd98219}" ma:sspId="c4b2c377-c74f-46b8-b62e-9cefa93d8fc8" ma:termSetId="642ac736-c0d1-48cf-939c-a81b0e893448" ma:anchorId="00000000-0000-0000-0000-000000000000" ma:open="false" ma:isKeyword="false">
      <xsd:complexType>
        <xsd:sequence>
          <xsd:element ref="pc:Terms" minOccurs="0" maxOccurs="1"/>
        </xsd:sequence>
      </xsd:complexType>
    </xsd:element>
    <xsd:element name="f0888ba7078d4a1bac90b097c1ed0fad" ma:index="13" nillable="true" ma:taxonomy="true" ma:internalName="f0888ba7078d4a1bac90b097c1ed0fad" ma:taxonomyFieldName="Initiating_x0020_Entity" ma:displayName="Initiating Entity" ma:readOnly="false" ma:default="1;#Department of Finance|fd660e8f-8f31-49bd-92a3-d31d4da31afe" ma:fieldId="{f0888ba7-078d-4a1b-ac90-b097c1ed0fad}"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15" nillable="true" ma:taxonomy="true" ma:internalName="of934ccb37d6451ba60cdb89c1817167" ma:taxonomyFieldName="About_x0020_Entity" ma:displayName="About Entity" ma:readOnly="false" ma:default="1;#Department of Finance|fd660e8f-8f31-49bd-92a3-d31d4da31afe" ma:fieldId="{8f934ccb-37d6-451b-a60c-db89c1817167}"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Enterprise Keywords" ma:readOnly="false" ma:fieldId="{23f27201-bee3-471e-b2e7-b64fd8b7ca38}" ma:taxonomyMulti="true" ma:sspId="c4b2c377-c74f-46b8-b62e-9cefa93d8fc8" ma:termSetId="00000000-0000-0000-0000-000000000000" ma:anchorId="00000000-0000-0000-0000-000000000000" ma:open="true" ma:isKeyword="true">
      <xsd:complexType>
        <xsd:sequence>
          <xsd:element ref="pc:Terms" minOccurs="0" maxOccurs="1"/>
        </xsd:sequence>
      </xsd:complexType>
    </xsd:element>
    <xsd:element name="lf395e0388bc45bfb8642f07b9d090f4" ma:index="20" nillable="true" ma:taxonomy="true" ma:internalName="lf395e0388bc45bfb8642f07b9d090f4" ma:taxonomyFieldName="Function_x0020_and_x0020_Activity" ma:displayName="Function and Activity" ma:readOnly="false" ma:default="" ma:fieldId="{5f395e03-88bc-45bf-b864-2f07b9d090f4}" ma:sspId="c4b2c377-c74f-46b8-b62e-9cefa93d8fc8" ma:termSetId="d6a09c5b-e950-47cc-8e6b-7e27719f9f0b"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147f64ec-0960-41ab-a2b8-1cb034dcfdc7}" ma:internalName="TaxCatchAll" ma:readOnly="false" ma:showField="CatchAllData" ma:web="bc0ad435-d67a-4fe2-9b47-ae50c5996250">
      <xsd:complexType>
        <xsd:complexContent>
          <xsd:extension base="dms:MultiChoiceLookup">
            <xsd:sequence>
              <xsd:element name="Value" type="dms:Lookup" maxOccurs="unbounded" minOccurs="0" nillable="true"/>
            </xsd:sequence>
          </xsd:extension>
        </xsd:complexContent>
      </xsd:complexType>
    </xsd:element>
    <xsd:element name="Security_x0020_Classification" ma:index="28" nillable="true" ma:displayName="Security Classification" ma:default="OFFICIAL" ma:format="Dropdown" ma:hidden="true" ma:internalName="Security_x0020_Classification" ma:readOnly="false">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TaxCatchAllLabel" ma:index="37" nillable="true" ma:displayName="Taxonomy Catch All Column1" ma:hidden="true" ma:list="{147f64ec-0960-41ab-a2b8-1cb034dcfdc7}" ma:internalName="TaxCatchAllLabel" ma:readOnly="true" ma:showField="CatchAllDataLabel" ma:web="bc0ad435-d67a-4fe2-9b47-ae50c599625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a7e9632-768a-49bf-85ac-c69233ab2a52" elementFormDefault="qualified">
    <xsd:import namespace="http://schemas.microsoft.com/office/2006/documentManagement/types"/>
    <xsd:import namespace="http://schemas.microsoft.com/office/infopath/2007/PartnerControls"/>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27"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29"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e197717-4ab4-4766-95be-e743bd2101d5" elementFormDefault="qualified">
    <xsd:import namespace="http://schemas.microsoft.com/office/2006/documentManagement/types"/>
    <xsd:import namespace="http://schemas.microsoft.com/office/infopath/2007/PartnerControls"/>
    <xsd:element name="_Flow_SignoffStatus" ma:index="9" nillable="true" ma:displayName="Sign-off status" ma:internalName="Sign_x002d_off_x0020_status" ma:readOnly="false">
      <xsd:simpleType>
        <xsd:restriction base="dms:Text"/>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Metadata" ma:index="25" nillable="true" ma:displayName="MediaServiceMetadata" ma:hidden="true" ma:internalName="MediaServiceMetadata"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element name="MediaServiceDateTaken" ma:index="30" nillable="true" ma:displayName="MediaServiceDateTaken" ma:hidden="true" ma:indexed="true" ma:internalName="MediaServiceDateTaken" ma:readOnly="true">
      <xsd:simpleType>
        <xsd:restriction base="dms:Text"/>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c4b2c377-c74f-46b8-b62e-9cefa93d8f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OCR" ma:index="34" nillable="true" ma:displayName="Extracted Text" ma:hidden="true" ma:internalName="MediaServiceOCR" ma:readOnly="true">
      <xsd:simpleType>
        <xsd:restriction base="dms:Note"/>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Location" ma:index="38" nillable="true" ma:displayName="Location" ma:hidden="true" ma:indexed="true" ma:internalName="MediaServiceLocation"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0ad435-d67a-4fe2-9b47-ae50c5996250" elementFormDefault="qualified">
    <xsd:import namespace="http://schemas.microsoft.com/office/2006/documentManagement/types"/>
    <xsd:import namespace="http://schemas.microsoft.com/office/infopath/2007/PartnerControls"/>
    <xsd:element name="SharedWithUsers" ma:index="2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82659E-9279-414E-BFEE-CE85B7A72B33}">
  <ds:schemaRefs>
    <ds:schemaRef ds:uri="http://schemas.microsoft.com/office/2006/documentManagement/types"/>
    <ds:schemaRef ds:uri="6a7e9632-768a-49bf-85ac-c69233ab2a52"/>
    <ds:schemaRef ds:uri="http://schemas.openxmlformats.org/package/2006/metadata/core-properties"/>
    <ds:schemaRef ds:uri="http://purl.org/dc/terms/"/>
    <ds:schemaRef ds:uri="http://www.w3.org/XML/1998/namespace"/>
    <ds:schemaRef ds:uri="http://purl.org/dc/dcmitype/"/>
    <ds:schemaRef ds:uri="http://schemas.microsoft.com/office/2006/metadata/properties"/>
    <ds:schemaRef ds:uri="http://schemas.microsoft.com/office/infopath/2007/PartnerControls"/>
    <ds:schemaRef ds:uri="bc0ad435-d67a-4fe2-9b47-ae50c5996250"/>
    <ds:schemaRef ds:uri="http://purl.org/dc/elements/1.1/"/>
    <ds:schemaRef ds:uri="be197717-4ab4-4766-95be-e743bd2101d5"/>
    <ds:schemaRef ds:uri="a334ba3b-e131-42d3-95f3-2728f5a41884"/>
    <ds:schemaRef ds:uri="http://schemas.microsoft.com/sharepoint/v3"/>
  </ds:schemaRefs>
</ds:datastoreItem>
</file>

<file path=customXml/itemProps2.xml><?xml version="1.0" encoding="utf-8"?>
<ds:datastoreItem xmlns:ds="http://schemas.openxmlformats.org/officeDocument/2006/customXml" ds:itemID="{8128F5CC-EBAF-4F93-8481-6C00761D92D4}">
  <ds:schemaRefs>
    <ds:schemaRef ds:uri="http://schemas.microsoft.com/sharepoint/events"/>
  </ds:schemaRefs>
</ds:datastoreItem>
</file>

<file path=customXml/itemProps3.xml><?xml version="1.0" encoding="utf-8"?>
<ds:datastoreItem xmlns:ds="http://schemas.openxmlformats.org/officeDocument/2006/customXml" ds:itemID="{F4741DE2-DBDB-4D10-890D-30507C05B085}">
  <ds:schemaRefs>
    <ds:schemaRef ds:uri="http://schemas.microsoft.com/sharepoint/v3/contenttype/forms"/>
  </ds:schemaRefs>
</ds:datastoreItem>
</file>

<file path=customXml/itemProps4.xml><?xml version="1.0" encoding="utf-8"?>
<ds:datastoreItem xmlns:ds="http://schemas.openxmlformats.org/officeDocument/2006/customXml" ds:itemID="{0587E4FB-E321-414F-9555-9A116A445422}">
  <ds:schemaRefs>
    <ds:schemaRef ds:uri="http://schemas.openxmlformats.org/officeDocument/2006/bibliography"/>
  </ds:schemaRefs>
</ds:datastoreItem>
</file>

<file path=customXml/itemProps5.xml><?xml version="1.0" encoding="utf-8"?>
<ds:datastoreItem xmlns:ds="http://schemas.openxmlformats.org/officeDocument/2006/customXml" ds:itemID="{8739F04A-F479-446F-BDAF-F0E575229E2F}">
  <ds:schemaRefs>
    <ds:schemaRef ds:uri="Microsoft.SharePoint.Taxonomy.ContentTypeSync"/>
  </ds:schemaRefs>
</ds:datastoreItem>
</file>

<file path=customXml/itemProps6.xml><?xml version="1.0" encoding="utf-8"?>
<ds:datastoreItem xmlns:ds="http://schemas.openxmlformats.org/officeDocument/2006/customXml" ds:itemID="{C66A766B-4F4C-463A-B298-7EFA117C56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34ba3b-e131-42d3-95f3-2728f5a41884"/>
    <ds:schemaRef ds:uri="6a7e9632-768a-49bf-85ac-c69233ab2a52"/>
    <ds:schemaRef ds:uri="be197717-4ab4-4766-95be-e743bd2101d5"/>
    <ds:schemaRef ds:uri="bc0ad435-d67a-4fe2-9b47-ae50c59962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9</Pages>
  <Words>2254</Words>
  <Characters>13495</Characters>
  <Application>Microsoft Office Word</Application>
  <DocSecurity>0</DocSecurity>
  <Lines>299</Lines>
  <Paragraphs>137</Paragraphs>
  <ScaleCrop>false</ScaleCrop>
  <Company/>
  <LinksUpToDate>false</LinksUpToDate>
  <CharactersWithSpaces>15653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dc:description/>
  <cp:lastModifiedBy>James, Molly</cp:lastModifiedBy>
  <cp:revision>7</cp:revision>
  <dcterms:created xsi:type="dcterms:W3CDTF">2025-07-09T05:54:00Z</dcterms:created>
  <dcterms:modified xsi:type="dcterms:W3CDTF">2025-09-19T01:48:00Z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SecurityClassification">
    <vt:lpwstr>OFFICIAL</vt:lpwstr>
  </property>
  <property fmtid="{D5CDD505-2E9C-101B-9397-08002B2CF9AE}" pid="5" name="PMHMAC">
    <vt:lpwstr>v=2022.1;a=SHA256;h=EFC5B37CA2BCFE91CCE0EB85A1D35AFC0CA6D64E4A7A579C8FCD0EF073400A6A</vt:lpwstr>
  </property>
  <property fmtid="{D5CDD505-2E9C-101B-9397-08002B2CF9AE}" pid="6" name="PM_Qualifier">
    <vt:lpwstr/>
  </property>
  <property fmtid="{D5CDD505-2E9C-101B-9397-08002B2CF9AE}" pid="7" name="PM_Note">
    <vt:lpwstr/>
  </property>
  <property fmtid="{D5CDD505-2E9C-101B-9397-08002B2CF9AE}" pid="8" name="PM_ProtectiveMarkingValue_Header">
    <vt:lpwstr>OFFICIAL</vt:lpwstr>
  </property>
  <property fmtid="{D5CDD505-2E9C-101B-9397-08002B2CF9AE}" pid="9" name="PM_OriginationTimeStamp">
    <vt:lpwstr>2024-01-31T23:33:34Z</vt:lpwstr>
  </property>
  <property fmtid="{D5CDD505-2E9C-101B-9397-08002B2CF9AE}" pid="10" name="PM_Markers">
    <vt:lpwstr/>
  </property>
  <property fmtid="{D5CDD505-2E9C-101B-9397-08002B2CF9AE}" pid="11" name="MSIP_Label_87d6481e-ccdd-4ab6-8b26-05a0df5699e7_Name">
    <vt:lpwstr>OFFICIAL</vt:lpwstr>
  </property>
  <property fmtid="{D5CDD505-2E9C-101B-9397-08002B2CF9AE}" pid="12" name="MSIP_Label_87d6481e-ccdd-4ab6-8b26-05a0df5699e7_SiteId">
    <vt:lpwstr>08954cee-4782-4ff6-9ad5-1997dccef4b0</vt:lpwstr>
  </property>
  <property fmtid="{D5CDD505-2E9C-101B-9397-08002B2CF9AE}" pid="13" name="MSIP_Label_87d6481e-ccdd-4ab6-8b26-05a0df5699e7_Enabled">
    <vt:lpwstr>true</vt:lpwstr>
  </property>
  <property fmtid="{D5CDD505-2E9C-101B-9397-08002B2CF9AE}" pid="14" name="PM_OriginatorUserAccountName_SHA256">
    <vt:lpwstr>B0D76DF77E6AB4EA6D51F19592DDD54081B79CF437200C7E6E87F2B51E6E95ED</vt:lpwstr>
  </property>
  <property fmtid="{D5CDD505-2E9C-101B-9397-08002B2CF9AE}" pid="15" name="MSIP_Label_87d6481e-ccdd-4ab6-8b26-05a0df5699e7_SetDate">
    <vt:lpwstr>2024-01-31T23:33:34Z</vt:lpwstr>
  </property>
  <property fmtid="{D5CDD505-2E9C-101B-9397-08002B2CF9AE}" pid="16" name="PM_SecurityClassification_Prev">
    <vt:lpwstr>OFFICIAL</vt:lpwstr>
  </property>
  <property fmtid="{D5CDD505-2E9C-101B-9397-08002B2CF9AE}" pid="17" name="MSIP_Label_87d6481e-ccdd-4ab6-8b26-05a0df5699e7_Method">
    <vt:lpwstr>Privileged</vt:lpwstr>
  </property>
  <property fmtid="{D5CDD505-2E9C-101B-9397-08002B2CF9AE}" pid="18" name="MSIP_Label_87d6481e-ccdd-4ab6-8b26-05a0df5699e7_ContentBits">
    <vt:lpwstr>0</vt:lpwstr>
  </property>
  <property fmtid="{D5CDD505-2E9C-101B-9397-08002B2CF9AE}" pid="19" name="PM_InsertionValue">
    <vt:lpwstr>OFFICIAL</vt:lpwstr>
  </property>
  <property fmtid="{D5CDD505-2E9C-101B-9397-08002B2CF9AE}" pid="20" name="PM_DisplayValueSecClassificationWithQualifier">
    <vt:lpwstr>OFFICIAL</vt:lpwstr>
  </property>
  <property fmtid="{D5CDD505-2E9C-101B-9397-08002B2CF9AE}" pid="21" name="PM_ProtectiveMarkingValue_Footer">
    <vt:lpwstr>OFFICIAL</vt:lpwstr>
  </property>
  <property fmtid="{D5CDD505-2E9C-101B-9397-08002B2CF9AE}" pid="22" name="PM_Originating_FileId">
    <vt:lpwstr>AA2AC64332A64A2BBE0A3E6D5815BB89</vt:lpwstr>
  </property>
  <property fmtid="{D5CDD505-2E9C-101B-9397-08002B2CF9AE}" pid="23" name="PM_ProtectiveMarkingImage_Header">
    <vt:lpwstr>C:\Program Files\Common Files\janusNET Shared\janusSEAL\Images\DocumentSlashBlue.png</vt:lpwstr>
  </property>
  <property fmtid="{D5CDD505-2E9C-101B-9397-08002B2CF9AE}" pid="24" name="PM_ProtectiveMarkingImage_Footer">
    <vt:lpwstr>C:\Program Files\Common Files\janusNET Shared\janusSEAL\Images\DocumentSlashBlue.png</vt:lpwstr>
  </property>
  <property fmtid="{D5CDD505-2E9C-101B-9397-08002B2CF9AE}" pid="25" name="PM_Display">
    <vt:lpwstr>OFFICIAL</vt:lpwstr>
  </property>
  <property fmtid="{D5CDD505-2E9C-101B-9397-08002B2CF9AE}" pid="26" name="PM_OriginatorDomainName_SHA256">
    <vt:lpwstr>325440F6CA31C4C3BCE4433552DC42928CAAD3E2731ABE35FDE729ECEB763AF0</vt:lpwstr>
  </property>
  <property fmtid="{D5CDD505-2E9C-101B-9397-08002B2CF9AE}" pid="27" name="PMUuid">
    <vt:lpwstr>v=2022.2;d=gov.au;g=46DD6D7C-8107-577B-BC6E-F348953B2E44</vt:lpwstr>
  </property>
  <property fmtid="{D5CDD505-2E9C-101B-9397-08002B2CF9AE}" pid="28" name="PM_Hash_Version">
    <vt:lpwstr>2022.1</vt:lpwstr>
  </property>
  <property fmtid="{D5CDD505-2E9C-101B-9397-08002B2CF9AE}" pid="29" name="PM_Qualifier_Prev">
    <vt:lpwstr/>
  </property>
  <property fmtid="{D5CDD505-2E9C-101B-9397-08002B2CF9AE}" pid="30" name="MSIP_Label_87d6481e-ccdd-4ab6-8b26-05a0df5699e7_ActionId">
    <vt:lpwstr>24dd657b1e8b4a2ab2ece5299617b312</vt:lpwstr>
  </property>
  <property fmtid="{D5CDD505-2E9C-101B-9397-08002B2CF9AE}" pid="31" name="PM_Originator_Hash_SHA1">
    <vt:lpwstr>9A0CBDA595E47F3FFDE7B625E1D850F0D879FCE2</vt:lpwstr>
  </property>
  <property fmtid="{D5CDD505-2E9C-101B-9397-08002B2CF9AE}" pid="32" name="PM_Hash_Salt_Prev">
    <vt:lpwstr>0E4D8BCE1BC032041CDFE98A5C85E977</vt:lpwstr>
  </property>
  <property fmtid="{D5CDD505-2E9C-101B-9397-08002B2CF9AE}" pid="33" name="PM_Hash_Salt">
    <vt:lpwstr>2F954F15DAB4822404A930EC056B6BED</vt:lpwstr>
  </property>
  <property fmtid="{D5CDD505-2E9C-101B-9397-08002B2CF9AE}" pid="34" name="PM_Hash_SHA1">
    <vt:lpwstr>52F12DB002AAF31345A43A7D62B862FCD7166BCF</vt:lpwstr>
  </property>
  <property fmtid="{D5CDD505-2E9C-101B-9397-08002B2CF9AE}" pid="35" name="PM_Caveats_Count">
    <vt:lpwstr>0</vt:lpwstr>
  </property>
  <property fmtid="{D5CDD505-2E9C-101B-9397-08002B2CF9AE}" pid="36" name="TaxKeyword">
    <vt:lpwstr>29;#[SEC=OFFICIAL]|07351cc0-de73-4913-be2f-56f124cbf8bb</vt:lpwstr>
  </property>
  <property fmtid="{D5CDD505-2E9C-101B-9397-08002B2CF9AE}" pid="37" name="Organisation_x0020_Unit">
    <vt:lpwstr>38;#APS Net Zero Unit|3a7b3834-5ac8-43b7-9496-8f951dc2a7fa</vt:lpwstr>
  </property>
  <property fmtid="{D5CDD505-2E9C-101B-9397-08002B2CF9AE}" pid="38" name="MediaServiceImageTags">
    <vt:lpwstr/>
  </property>
  <property fmtid="{D5CDD505-2E9C-101B-9397-08002B2CF9AE}" pid="39" name="About_x0020_Entity">
    <vt:lpwstr>1;#Department of Finance|fd660e8f-8f31-49bd-92a3-d31d4da31afe</vt:lpwstr>
  </property>
  <property fmtid="{D5CDD505-2E9C-101B-9397-08002B2CF9AE}" pid="40" name="ContentTypeId">
    <vt:lpwstr>0x010100B7B479F47583304BA8B631462CC772D700067E51C991F65340AC36B9604578C197</vt:lpwstr>
  </property>
  <property fmtid="{D5CDD505-2E9C-101B-9397-08002B2CF9AE}" pid="41" name="Organisation Unit">
    <vt:lpwstr>38;#APS Net Zero Unit|3a7b3834-5ac8-43b7-9496-8f951dc2a7fa</vt:lpwstr>
  </property>
  <property fmtid="{D5CDD505-2E9C-101B-9397-08002B2CF9AE}" pid="42" name="Function_x0020_and_x0020_Activity">
    <vt:lpwstr/>
  </property>
  <property fmtid="{D5CDD505-2E9C-101B-9397-08002B2CF9AE}" pid="43" name="_dlc_DocIdItemGuid">
    <vt:lpwstr>d7bf231b-5b40-41f4-819d-8ca18048ceec</vt:lpwstr>
  </property>
  <property fmtid="{D5CDD505-2E9C-101B-9397-08002B2CF9AE}" pid="44" name="About Entity">
    <vt:lpwstr>1;#Department of Finance|fd660e8f-8f31-49bd-92a3-d31d4da31afe</vt:lpwstr>
  </property>
  <property fmtid="{D5CDD505-2E9C-101B-9397-08002B2CF9AE}" pid="45" name="Initiating Entity">
    <vt:lpwstr>1;#Department of Finance|fd660e8f-8f31-49bd-92a3-d31d4da31afe</vt:lpwstr>
  </property>
  <property fmtid="{D5CDD505-2E9C-101B-9397-08002B2CF9AE}" pid="46" name="Function and Activity">
    <vt:lpwstr/>
  </property>
  <property fmtid="{D5CDD505-2E9C-101B-9397-08002B2CF9AE}" pid="47" name="Initiating_x0020_Entity">
    <vt:lpwstr>1;#Department of Finance|fd660e8f-8f31-49bd-92a3-d31d4da31afe</vt:lpwstr>
  </property>
</Properties>
</file>