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EF0E" w14:textId="5C654E6A" w:rsidR="000C2A48" w:rsidRPr="00403543" w:rsidRDefault="00CB7E2F" w:rsidP="00A05DE4">
      <w:pPr>
        <w:pStyle w:val="Title"/>
      </w:pPr>
      <w:bookmarkStart w:id="0" w:name="_Hlk205294544"/>
      <w:r>
        <w:t>APS Data Governance Framework</w:t>
      </w:r>
      <w:r w:rsidR="0054265B">
        <w:t xml:space="preserve"> Fact Sheet</w:t>
      </w:r>
    </w:p>
    <w:p w14:paraId="76BFD4FC" w14:textId="683F4FA1" w:rsidR="00CC1438" w:rsidRPr="00403543" w:rsidRDefault="001639FB" w:rsidP="00A05DE4">
      <w:pPr>
        <w:pStyle w:val="Title"/>
      </w:pPr>
      <w:r>
        <w:t>Data Governance Checklist</w:t>
      </w:r>
    </w:p>
    <w:bookmarkEnd w:id="0"/>
    <w:p w14:paraId="385AACC7" w14:textId="7E1C30A1" w:rsidR="00CC1438" w:rsidRPr="00512E5A" w:rsidRDefault="004C3600" w:rsidP="00403543">
      <w:pPr>
        <w:pStyle w:val="Date"/>
        <w:rPr>
          <w:color w:val="FFFFFF" w:themeColor="background1"/>
        </w:rPr>
      </w:pPr>
      <w:r w:rsidRPr="00512E5A">
        <w:rPr>
          <w:color w:val="FFFFFF" w:themeColor="background1"/>
        </w:rPr>
        <w:t xml:space="preserve">APS Data Governance Framework - </w:t>
      </w:r>
      <w:r w:rsidR="00CB7E2F" w:rsidRPr="00512E5A">
        <w:rPr>
          <w:color w:val="FFFFFF" w:themeColor="background1"/>
        </w:rPr>
        <w:t xml:space="preserve">Attachment </w:t>
      </w:r>
      <w:r w:rsidR="001639FB" w:rsidRPr="00512E5A">
        <w:rPr>
          <w:color w:val="FFFFFF" w:themeColor="background1"/>
        </w:rPr>
        <w:t>A</w:t>
      </w:r>
    </w:p>
    <w:p w14:paraId="09A3110F" w14:textId="77777777" w:rsidR="00B807B0" w:rsidRDefault="00B807B0" w:rsidP="00403543">
      <w:pPr>
        <w:pStyle w:val="IntroPara"/>
        <w:sectPr w:rsidR="00B807B0" w:rsidSect="005C6F63">
          <w:head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035" w:right="720" w:bottom="1276" w:left="720" w:header="567" w:footer="624" w:gutter="0"/>
          <w:cols w:space="708"/>
          <w:titlePg/>
          <w:docGrid w:linePitch="360"/>
        </w:sectPr>
      </w:pPr>
    </w:p>
    <w:p w14:paraId="0B0D9881" w14:textId="77777777" w:rsidR="00D95268" w:rsidRPr="000725B0" w:rsidRDefault="00D95268" w:rsidP="00D95268">
      <w:pPr>
        <w:rPr>
          <w:rFonts w:ascii="Calibri" w:hAnsi="Calibri" w:cs="Calibri"/>
        </w:rPr>
      </w:pPr>
      <w:r w:rsidRPr="000725B0">
        <w:rPr>
          <w:rFonts w:ascii="Calibri" w:hAnsi="Calibri" w:cs="Calibri"/>
        </w:rPr>
        <w:t xml:space="preserve">This checklist covers some basic aspects for a data governance strategy or statement.  </w:t>
      </w:r>
    </w:p>
    <w:p w14:paraId="38F7B2B5" w14:textId="1EC64297" w:rsidR="000725B0" w:rsidRPr="00A01760" w:rsidRDefault="000725B0" w:rsidP="00A01760">
      <w:pPr>
        <w:pStyle w:val="Heading3"/>
      </w:pPr>
      <w:r w:rsidRPr="00A01760">
        <w:t xml:space="preserve">In preparing our data governance strategy, we have </w:t>
      </w:r>
      <w:r w:rsidR="00E16C80">
        <w:t xml:space="preserve">– </w:t>
      </w:r>
      <w:r w:rsidR="00E16C80" w:rsidRPr="000725B0">
        <w:t xml:space="preserve"> </w:t>
      </w:r>
    </w:p>
    <w:p w14:paraId="118FA1DF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 xml:space="preserve">Ensured it aligns and feeds back into to the agency’s Data Strategy, ICT (including AI/Cyber) Strategy </w:t>
      </w:r>
      <w:r w:rsidRPr="000725B0">
        <w:rPr>
          <w:rFonts w:cs="Calibri"/>
          <w:sz w:val="22"/>
          <w:szCs w:val="22"/>
          <w:u w:val="single"/>
        </w:rPr>
        <w:t>and</w:t>
      </w:r>
      <w:r w:rsidRPr="000725B0">
        <w:rPr>
          <w:rFonts w:cs="Calibri"/>
          <w:sz w:val="22"/>
          <w:szCs w:val="22"/>
        </w:rPr>
        <w:t xml:space="preserve"> Corporate Plan, and sought advice from those areas</w:t>
      </w:r>
    </w:p>
    <w:p w14:paraId="4E41B2DD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Covered a range of data activities and sources, including –</w:t>
      </w:r>
    </w:p>
    <w:p w14:paraId="4977B3BB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corporate data (eg HR, financials)</w:t>
      </w:r>
    </w:p>
    <w:p w14:paraId="1036F8E9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produced by our entity’s activities (eg program or service delivery, surveys, linked data assets and analysis)</w:t>
      </w:r>
    </w:p>
    <w:p w14:paraId="27F7AC4E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activities that third parties undertake for our entity</w:t>
      </w:r>
    </w:p>
    <w:p w14:paraId="639A05E0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acquisition and provision, including by sharing</w:t>
      </w:r>
    </w:p>
    <w:p w14:paraId="26E03E8A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dissemination and communication of insights</w:t>
      </w:r>
    </w:p>
    <w:p w14:paraId="03CBF7A6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Explored and documented our data end-to-end (data lifecycle), both at an entity level and for key data assets</w:t>
      </w:r>
    </w:p>
    <w:p w14:paraId="42E841AB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 xml:space="preserve">Looked at our entity’s Data Maturity Assessment results to identify strengths and weaknesses (in particular, Questions 1-14, 30-47) </w:t>
      </w:r>
    </w:p>
    <w:p w14:paraId="632C16F5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Documented the development of our data governance approach, including the decision-making process and rationale for what is contained in our data governance approach</w:t>
      </w:r>
    </w:p>
    <w:p w14:paraId="2D79AD0A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Sought feedback from staff across the spectrum of data activities and expertise</w:t>
      </w:r>
    </w:p>
    <w:p w14:paraId="2FF03206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Reviewed key resources on data governance, to identify what is appropriate for the agency (see below)</w:t>
      </w:r>
    </w:p>
    <w:p w14:paraId="2CBBDE68" w14:textId="32BEE32F" w:rsidR="000725B0" w:rsidRPr="000725B0" w:rsidRDefault="000725B0" w:rsidP="00A01760">
      <w:pPr>
        <w:pStyle w:val="Heading3"/>
      </w:pPr>
      <w:r w:rsidRPr="000725B0">
        <w:t xml:space="preserve">Our data governance strategy or statement </w:t>
      </w:r>
      <w:r w:rsidR="002F63CA">
        <w:t xml:space="preserve">– </w:t>
      </w:r>
      <w:r w:rsidR="002F63CA" w:rsidRPr="000725B0">
        <w:t xml:space="preserve"> </w:t>
      </w:r>
    </w:p>
    <w:p w14:paraId="3E500789" w14:textId="42A4EF6D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 xml:space="preserve">Has identified individuals in the following roles, at a minimum </w:t>
      </w:r>
      <w:r w:rsidR="002F63CA" w:rsidRPr="000725B0">
        <w:rPr>
          <w:rFonts w:cs="Calibri"/>
          <w:sz w:val="22"/>
          <w:szCs w:val="22"/>
        </w:rPr>
        <w:t>–</w:t>
      </w:r>
    </w:p>
    <w:p w14:paraId="1F3DDEC0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Chief Data Officer, including the following roles that can be delegated</w:t>
      </w:r>
    </w:p>
    <w:p w14:paraId="23972645" w14:textId="77777777" w:rsidR="000725B0" w:rsidRPr="000725B0" w:rsidRDefault="000725B0" w:rsidP="000725B0">
      <w:pPr>
        <w:pStyle w:val="ANAOBase"/>
        <w:numPr>
          <w:ilvl w:val="0"/>
          <w:numId w:val="38"/>
        </w:numPr>
        <w:spacing w:before="60" w:after="60"/>
        <w:ind w:left="108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Champion</w:t>
      </w:r>
    </w:p>
    <w:p w14:paraId="78A3F995" w14:textId="77777777" w:rsidR="000725B0" w:rsidRPr="000725B0" w:rsidRDefault="000725B0" w:rsidP="000725B0">
      <w:pPr>
        <w:pStyle w:val="ANAOBase"/>
        <w:numPr>
          <w:ilvl w:val="0"/>
          <w:numId w:val="38"/>
        </w:numPr>
        <w:spacing w:before="60" w:after="60"/>
        <w:ind w:left="108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Indigenous Data Champion</w:t>
      </w:r>
    </w:p>
    <w:p w14:paraId="45AAC523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 xml:space="preserve">Person responsible for </w:t>
      </w:r>
      <w:proofErr w:type="gramStart"/>
      <w:r w:rsidRPr="000725B0">
        <w:rPr>
          <w:rFonts w:cs="Calibri"/>
          <w:sz w:val="22"/>
          <w:szCs w:val="22"/>
        </w:rPr>
        <w:t>particular data</w:t>
      </w:r>
      <w:proofErr w:type="gramEnd"/>
      <w:r w:rsidRPr="000725B0">
        <w:rPr>
          <w:rFonts w:cs="Calibri"/>
          <w:sz w:val="22"/>
          <w:szCs w:val="22"/>
        </w:rPr>
        <w:t xml:space="preserve"> assets (an individual may be responsible for multiple data assets)</w:t>
      </w:r>
    </w:p>
    <w:p w14:paraId="43599ADE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Documents the agency’s key data management meetings and reporting lines</w:t>
      </w:r>
    </w:p>
    <w:p w14:paraId="5F97179B" w14:textId="6D9DE79A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At a</w:t>
      </w:r>
      <w:r w:rsidR="00FB203E">
        <w:rPr>
          <w:rFonts w:cs="Calibri"/>
          <w:sz w:val="22"/>
          <w:szCs w:val="22"/>
        </w:rPr>
        <w:t xml:space="preserve"> </w:t>
      </w:r>
      <w:r w:rsidRPr="000725B0">
        <w:rPr>
          <w:rFonts w:cs="Calibri"/>
          <w:sz w:val="22"/>
          <w:szCs w:val="22"/>
        </w:rPr>
        <w:t>minimum, data governance should be a standing item at a</w:t>
      </w:r>
      <w:r w:rsidR="00FB203E">
        <w:rPr>
          <w:rFonts w:cs="Calibri"/>
          <w:sz w:val="22"/>
          <w:szCs w:val="22"/>
        </w:rPr>
        <w:t xml:space="preserve"> </w:t>
      </w:r>
      <w:r w:rsidRPr="000725B0">
        <w:rPr>
          <w:rFonts w:cs="Calibri"/>
          <w:sz w:val="22"/>
          <w:szCs w:val="22"/>
        </w:rPr>
        <w:t>regular SES-level corporate meeting</w:t>
      </w:r>
    </w:p>
    <w:p w14:paraId="427170CC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Has identified all other data roles appropriate to the agency’s data activities, as well the individuals fulfilling those roles (an individual may have multiple roles, if appropriate)</w:t>
      </w:r>
    </w:p>
    <w:p w14:paraId="150113A2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Holds all SES staff accountable for proper use of government data within their areas of business responsibility and is clear that all staff have data responsibilities</w:t>
      </w:r>
    </w:p>
    <w:p w14:paraId="655AF94D" w14:textId="77777777" w:rsidR="000725B0" w:rsidRPr="000725B0" w:rsidRDefault="000725B0" w:rsidP="000725B0">
      <w:pPr>
        <w:pStyle w:val="ListParagraph"/>
        <w:numPr>
          <w:ilvl w:val="0"/>
          <w:numId w:val="36"/>
        </w:numPr>
        <w:spacing w:before="60" w:after="60"/>
        <w:ind w:left="360"/>
        <w:rPr>
          <w:rFonts w:ascii="Calibri" w:hAnsi="Calibri" w:cs="Calibri"/>
          <w:sz w:val="22"/>
          <w:szCs w:val="22"/>
        </w:rPr>
      </w:pPr>
      <w:r w:rsidRPr="000725B0">
        <w:rPr>
          <w:rFonts w:ascii="Calibri" w:hAnsi="Calibri" w:cs="Calibri"/>
          <w:sz w:val="22"/>
          <w:szCs w:val="22"/>
        </w:rPr>
        <w:lastRenderedPageBreak/>
        <w:t>Has a process to review and evaluate the strategy or statement to ensure it remains relevant, appropriate and effective.</w:t>
      </w:r>
    </w:p>
    <w:p w14:paraId="6E1AFBCD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 xml:space="preserve">Has identified how the agency participates in Australian Government Data Governance Groups </w:t>
      </w:r>
    </w:p>
    <w:p w14:paraId="1C3AD8D7" w14:textId="7DEE55B6" w:rsidR="000725B0" w:rsidRPr="000725B0" w:rsidRDefault="000725B0" w:rsidP="00A01760">
      <w:pPr>
        <w:pStyle w:val="Heading3"/>
      </w:pPr>
      <w:r w:rsidRPr="000725B0">
        <w:t xml:space="preserve">Our agency’s data governance documents include </w:t>
      </w:r>
      <w:r w:rsidR="00060D64">
        <w:t xml:space="preserve">– </w:t>
      </w:r>
      <w:r w:rsidR="00060D64" w:rsidRPr="000725B0">
        <w:t xml:space="preserve"> </w:t>
      </w:r>
    </w:p>
    <w:p w14:paraId="189D8334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A structure or flow diagram showing the agency’s data governance structures and reporting lines</w:t>
      </w:r>
    </w:p>
    <w:p w14:paraId="6DBF2639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A list of the agency’s key data assets, the authority for the data collection and the team to contact for any queries, issues or concerns</w:t>
      </w:r>
    </w:p>
    <w:p w14:paraId="592A4BB9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A consistent and documented process for –</w:t>
      </w:r>
    </w:p>
    <w:p w14:paraId="46A7CB27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acquisition</w:t>
      </w:r>
    </w:p>
    <w:p w14:paraId="2E2973EE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sharing</w:t>
      </w:r>
    </w:p>
    <w:p w14:paraId="0751465C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public release of non-sensitive or anonymised data (open by default)</w:t>
      </w:r>
    </w:p>
    <w:p w14:paraId="5404E32E" w14:textId="77777777" w:rsidR="000725B0" w:rsidRPr="000725B0" w:rsidRDefault="000725B0" w:rsidP="000725B0">
      <w:pPr>
        <w:pStyle w:val="ANAOBase"/>
        <w:numPr>
          <w:ilvl w:val="1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addressing data quality and governance issues (aside from breaches dealt with elsewhere)</w:t>
      </w:r>
    </w:p>
    <w:p w14:paraId="5A8C388C" w14:textId="77777777" w:rsidR="000725B0" w:rsidRPr="000725B0" w:rsidRDefault="000725B0" w:rsidP="000725B0">
      <w:pPr>
        <w:pStyle w:val="ANAOBase"/>
        <w:numPr>
          <w:ilvl w:val="1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obligations as part of formal arrangements with third parties, such as contracts or grants management agreements</w:t>
      </w:r>
    </w:p>
    <w:p w14:paraId="50622EB9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Policy and guidance documents –</w:t>
      </w:r>
    </w:p>
    <w:p w14:paraId="61A73D35" w14:textId="77777777" w:rsidR="000725B0" w:rsidRPr="000725B0" w:rsidRDefault="000725B0" w:rsidP="000725B0">
      <w:pPr>
        <w:pStyle w:val="ANAOBase"/>
        <w:numPr>
          <w:ilvl w:val="1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standard operating procedures</w:t>
      </w:r>
    </w:p>
    <w:p w14:paraId="67E3F776" w14:textId="77777777" w:rsidR="000725B0" w:rsidRPr="000725B0" w:rsidRDefault="000725B0" w:rsidP="000725B0">
      <w:pPr>
        <w:pStyle w:val="ANAOBase"/>
        <w:numPr>
          <w:ilvl w:val="1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metadata standard / data dictionary</w:t>
      </w:r>
    </w:p>
    <w:p w14:paraId="2F996892" w14:textId="77777777" w:rsidR="000725B0" w:rsidRPr="000725B0" w:rsidRDefault="000725B0" w:rsidP="000725B0">
      <w:pPr>
        <w:pStyle w:val="ANAOBase"/>
        <w:numPr>
          <w:ilvl w:val="1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data quality standards and assurance processes</w:t>
      </w:r>
    </w:p>
    <w:p w14:paraId="2B4D88CD" w14:textId="77777777" w:rsidR="000725B0" w:rsidRPr="000725B0" w:rsidRDefault="000725B0" w:rsidP="000725B0">
      <w:pPr>
        <w:pStyle w:val="ANAOBase"/>
        <w:numPr>
          <w:ilvl w:val="1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auditing and monitoring practices</w:t>
      </w:r>
    </w:p>
    <w:p w14:paraId="5885D931" w14:textId="3002390A" w:rsidR="000725B0" w:rsidRPr="000725B0" w:rsidRDefault="000725B0" w:rsidP="00A01760">
      <w:pPr>
        <w:pStyle w:val="Heading3"/>
      </w:pPr>
      <w:r w:rsidRPr="000725B0">
        <w:t xml:space="preserve">Our agency supports data governance by </w:t>
      </w:r>
      <w:r w:rsidR="00060D64">
        <w:t xml:space="preserve">– </w:t>
      </w:r>
      <w:r w:rsidR="00060D64" w:rsidRPr="000725B0">
        <w:t xml:space="preserve"> </w:t>
      </w:r>
    </w:p>
    <w:p w14:paraId="21EA19E6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Communicating internally to –</w:t>
      </w:r>
    </w:p>
    <w:p w14:paraId="2CF05204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promote Government and APS commitments to data</w:t>
      </w:r>
    </w:p>
    <w:p w14:paraId="1A87258B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 xml:space="preserve">make clear the agency’s expectations of all staff regarding data </w:t>
      </w:r>
    </w:p>
    <w:p w14:paraId="4DB800EA" w14:textId="77777777" w:rsidR="000725B0" w:rsidRPr="000725B0" w:rsidRDefault="000725B0" w:rsidP="000725B0">
      <w:pPr>
        <w:pStyle w:val="ANAOBase"/>
        <w:numPr>
          <w:ilvl w:val="0"/>
          <w:numId w:val="37"/>
        </w:numPr>
        <w:spacing w:before="60" w:after="60"/>
        <w:ind w:left="72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make it easy for staff to access the entity’s Data Strategy and data governance documents, as well as other data guidance and resources</w:t>
      </w:r>
    </w:p>
    <w:p w14:paraId="2707EC6C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Including data considerations in its corporate plan, and working to align corporate, data and digital goals</w:t>
      </w:r>
    </w:p>
    <w:p w14:paraId="7605B5C9" w14:textId="77777777" w:rsidR="000725B0" w:rsidRPr="000725B0" w:rsidRDefault="000725B0" w:rsidP="000725B0">
      <w:pPr>
        <w:pStyle w:val="ANAOBase"/>
        <w:numPr>
          <w:ilvl w:val="0"/>
          <w:numId w:val="36"/>
        </w:numPr>
        <w:spacing w:before="60" w:after="60"/>
        <w:ind w:left="360"/>
        <w:rPr>
          <w:rFonts w:cs="Calibri"/>
          <w:sz w:val="22"/>
          <w:szCs w:val="22"/>
        </w:rPr>
      </w:pPr>
      <w:r w:rsidRPr="000725B0">
        <w:rPr>
          <w:rFonts w:cs="Calibri"/>
          <w:sz w:val="22"/>
          <w:szCs w:val="22"/>
        </w:rPr>
        <w:t>Ensuring that the people responsible for data are included in decision around ICT, AI and emerging technologies</w:t>
      </w:r>
    </w:p>
    <w:p w14:paraId="4B1FEDDC" w14:textId="34E228B7" w:rsidR="005C6F63" w:rsidRPr="000725B0" w:rsidRDefault="00C11C9B" w:rsidP="005C6F63">
      <w:pPr>
        <w:pStyle w:val="Heading3"/>
      </w:pPr>
      <w:r>
        <w:t>Tailoring your data governance document</w:t>
      </w:r>
    </w:p>
    <w:p w14:paraId="46057C98" w14:textId="5F7D2C31" w:rsidR="005C6F63" w:rsidRPr="005C6F63" w:rsidRDefault="005C6F63" w:rsidP="005C6F63">
      <w:pPr>
        <w:rPr>
          <w:rFonts w:ascii="Calibri" w:hAnsi="Calibri" w:cs="Calibri"/>
        </w:rPr>
      </w:pPr>
      <w:r w:rsidRPr="005C6F63">
        <w:rPr>
          <w:rFonts w:ascii="Calibri" w:hAnsi="Calibri" w:cs="Calibri"/>
        </w:rPr>
        <w:t>Your agency’s data governance needs may be met by a detailed data governance strategy, or something simpler like a data governance statement. At a minimum, your agency should have a documented approach, whether it is in the form or a standalone document or within another corporate document.</w:t>
      </w:r>
    </w:p>
    <w:p w14:paraId="5B89AF61" w14:textId="77777777" w:rsidR="005C6F63" w:rsidRPr="005C6F63" w:rsidRDefault="005C6F63" w:rsidP="005C6F63">
      <w:pPr>
        <w:rPr>
          <w:rFonts w:ascii="Calibri" w:hAnsi="Calibri" w:cs="Calibri"/>
        </w:rPr>
      </w:pPr>
      <w:r w:rsidRPr="005C6F63">
        <w:rPr>
          <w:rFonts w:ascii="Calibri" w:hAnsi="Calibri" w:cs="Calibri"/>
        </w:rPr>
        <w:t>Your agency’s Data Strategy will go into detail about your agency’s data goals and needs, as well as your agency’s approach to data literacy and maturity.</w:t>
      </w:r>
    </w:p>
    <w:p w14:paraId="211FEFA6" w14:textId="77777777" w:rsidR="00D95268" w:rsidRDefault="00D95268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Cs/>
          <w:sz w:val="30"/>
          <w:szCs w:val="26"/>
        </w:rPr>
      </w:pPr>
      <w:r>
        <w:br w:type="page"/>
      </w:r>
    </w:p>
    <w:p w14:paraId="541BD5F5" w14:textId="1D6AB149" w:rsidR="000725B0" w:rsidRPr="000725B0" w:rsidRDefault="000725B0" w:rsidP="00A01760">
      <w:pPr>
        <w:pStyle w:val="Heading3"/>
      </w:pPr>
      <w:r w:rsidRPr="000725B0">
        <w:lastRenderedPageBreak/>
        <w:t xml:space="preserve">Resources: </w:t>
      </w:r>
    </w:p>
    <w:p w14:paraId="4AEBEE3F" w14:textId="4826A273" w:rsidR="000725B0" w:rsidRPr="000725B0" w:rsidRDefault="000725B0" w:rsidP="000725B0">
      <w:pPr>
        <w:pStyle w:val="ANAOBase"/>
        <w:spacing w:before="60" w:after="60"/>
        <w:ind w:firstLine="720"/>
        <w:rPr>
          <w:rStyle w:val="Hyperlink"/>
          <w:rFonts w:ascii="Calibri" w:eastAsiaTheme="majorEastAsia" w:hAnsi="Calibri" w:cs="Calibri"/>
          <w:sz w:val="22"/>
          <w:szCs w:val="22"/>
        </w:rPr>
      </w:pPr>
      <w:hyperlink r:id="rId16" w:history="1">
        <w:r w:rsidRPr="000442C7">
          <w:rPr>
            <w:rStyle w:val="Hyperlink"/>
            <w:rFonts w:ascii="Calibri" w:eastAsiaTheme="majorEastAsia" w:hAnsi="Calibri" w:cs="Calibri"/>
            <w:sz w:val="22"/>
            <w:szCs w:val="22"/>
          </w:rPr>
          <w:t>Australian National Audit Office (ANAO) paper Insight Lessons – Governance of Data (2025).</w:t>
        </w:r>
      </w:hyperlink>
    </w:p>
    <w:p w14:paraId="581FC359" w14:textId="77777777" w:rsidR="000725B0" w:rsidRPr="000725B0" w:rsidRDefault="000725B0" w:rsidP="000725B0">
      <w:pPr>
        <w:pStyle w:val="ANAOBase"/>
        <w:spacing w:before="60" w:after="60"/>
        <w:ind w:firstLine="720"/>
        <w:rPr>
          <w:rStyle w:val="Hyperlink"/>
          <w:rFonts w:ascii="Calibri" w:eastAsiaTheme="majorEastAsia" w:hAnsi="Calibri" w:cs="Calibri"/>
          <w:sz w:val="22"/>
          <w:szCs w:val="22"/>
        </w:rPr>
      </w:pPr>
      <w:hyperlink r:id="rId17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Chief Data Officer Information Pack</w:t>
        </w:r>
      </w:hyperlink>
    </w:p>
    <w:p w14:paraId="55960CB7" w14:textId="77777777" w:rsidR="000725B0" w:rsidRPr="000725B0" w:rsidRDefault="000725B0" w:rsidP="000725B0">
      <w:pPr>
        <w:pStyle w:val="ANAOBase"/>
        <w:spacing w:before="60" w:after="60"/>
        <w:ind w:firstLine="720"/>
        <w:rPr>
          <w:rFonts w:cs="Calibri"/>
          <w:sz w:val="22"/>
          <w:szCs w:val="22"/>
        </w:rPr>
      </w:pPr>
      <w:hyperlink r:id="rId18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Commonwealth Data and Digital Ecosystem</w:t>
        </w:r>
      </w:hyperlink>
    </w:p>
    <w:p w14:paraId="7872AB15" w14:textId="77777777" w:rsidR="000725B0" w:rsidRPr="000725B0" w:rsidRDefault="000725B0" w:rsidP="000725B0">
      <w:pPr>
        <w:pStyle w:val="ANAOBase"/>
        <w:spacing w:before="60" w:after="60"/>
        <w:ind w:firstLine="720"/>
        <w:rPr>
          <w:rStyle w:val="Hyperlink"/>
          <w:rFonts w:ascii="Calibri" w:eastAsiaTheme="majorEastAsia" w:hAnsi="Calibri" w:cs="Calibri"/>
          <w:sz w:val="22"/>
          <w:szCs w:val="22"/>
        </w:rPr>
      </w:pPr>
      <w:hyperlink r:id="rId19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Data and Digital Government Strategy</w:t>
        </w:r>
      </w:hyperlink>
    </w:p>
    <w:p w14:paraId="621A4654" w14:textId="77777777" w:rsidR="000725B0" w:rsidRPr="000725B0" w:rsidRDefault="000725B0" w:rsidP="000725B0">
      <w:pPr>
        <w:pStyle w:val="ANAOBase"/>
        <w:spacing w:before="60" w:after="60"/>
        <w:ind w:firstLine="720"/>
        <w:rPr>
          <w:rStyle w:val="Hyperlink"/>
          <w:rFonts w:ascii="Calibri" w:eastAsiaTheme="majorEastAsia" w:hAnsi="Calibri" w:cs="Calibri"/>
          <w:sz w:val="22"/>
          <w:szCs w:val="22"/>
        </w:rPr>
      </w:pPr>
      <w:hyperlink r:id="rId20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Data Maturity Assessment Tool</w:t>
        </w:r>
      </w:hyperlink>
    </w:p>
    <w:p w14:paraId="2508EE8B" w14:textId="77777777" w:rsidR="000725B0" w:rsidRPr="000725B0" w:rsidRDefault="000725B0" w:rsidP="000725B0">
      <w:pPr>
        <w:pStyle w:val="ANAOBase"/>
        <w:spacing w:before="60" w:after="60"/>
        <w:ind w:firstLine="720"/>
        <w:rPr>
          <w:rStyle w:val="Hyperlink"/>
          <w:rFonts w:ascii="Calibri" w:eastAsiaTheme="majorEastAsia" w:hAnsi="Calibri" w:cs="Calibri"/>
          <w:sz w:val="22"/>
          <w:szCs w:val="22"/>
        </w:rPr>
      </w:pPr>
      <w:hyperlink r:id="rId21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Data Profession | Australian Public Service Commission</w:t>
        </w:r>
      </w:hyperlink>
    </w:p>
    <w:p w14:paraId="62B3FECB" w14:textId="77777777" w:rsidR="000725B0" w:rsidRPr="000725B0" w:rsidRDefault="000725B0" w:rsidP="000725B0">
      <w:pPr>
        <w:pStyle w:val="ANAOBase"/>
        <w:spacing w:before="60" w:after="60"/>
        <w:ind w:firstLine="720"/>
        <w:rPr>
          <w:rFonts w:cs="Calibri"/>
          <w:color w:val="457FC1"/>
          <w:sz w:val="22"/>
          <w:szCs w:val="22"/>
          <w:u w:val="single"/>
        </w:rPr>
      </w:pPr>
      <w:hyperlink r:id="rId22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Information Management Strategy webpage</w:t>
        </w:r>
      </w:hyperlink>
    </w:p>
    <w:p w14:paraId="4E75572D" w14:textId="77777777" w:rsidR="000725B0" w:rsidRPr="000725B0" w:rsidRDefault="000725B0" w:rsidP="000725B0">
      <w:pPr>
        <w:pStyle w:val="ANAOBase"/>
        <w:spacing w:before="60" w:after="60"/>
        <w:ind w:firstLine="720"/>
        <w:rPr>
          <w:rStyle w:val="Hyperlink"/>
          <w:rFonts w:ascii="Calibri" w:eastAsiaTheme="majorEastAsia" w:hAnsi="Calibri" w:cs="Calibri"/>
          <w:sz w:val="22"/>
          <w:szCs w:val="22"/>
        </w:rPr>
      </w:pPr>
      <w:hyperlink r:id="rId23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Office of the National Data Commissioner’s Foundational Four guidance</w:t>
        </w:r>
      </w:hyperlink>
    </w:p>
    <w:p w14:paraId="069E2BB3" w14:textId="77777777" w:rsidR="000725B0" w:rsidRPr="000725B0" w:rsidRDefault="000725B0" w:rsidP="000725B0">
      <w:pPr>
        <w:pStyle w:val="ANAOBase"/>
        <w:spacing w:before="60" w:after="60"/>
        <w:ind w:firstLine="720"/>
        <w:rPr>
          <w:rStyle w:val="Hyperlink"/>
          <w:rFonts w:ascii="Calibri" w:eastAsiaTheme="majorEastAsia" w:hAnsi="Calibri" w:cs="Calibri"/>
          <w:sz w:val="22"/>
          <w:szCs w:val="22"/>
        </w:rPr>
      </w:pPr>
      <w:hyperlink r:id="rId24" w:history="1">
        <w:r w:rsidRPr="000725B0">
          <w:rPr>
            <w:rStyle w:val="Hyperlink"/>
            <w:rFonts w:ascii="Calibri" w:eastAsiaTheme="majorEastAsia" w:hAnsi="Calibri" w:cs="Calibri"/>
            <w:sz w:val="22"/>
            <w:szCs w:val="22"/>
          </w:rPr>
          <w:t>SES Accountabilities for Data</w:t>
        </w:r>
      </w:hyperlink>
    </w:p>
    <w:p w14:paraId="7CFF170A" w14:textId="77777777" w:rsidR="000725B0" w:rsidRPr="000725B0" w:rsidRDefault="000725B0" w:rsidP="000725B0">
      <w:pPr>
        <w:pStyle w:val="Subtitle"/>
        <w:rPr>
          <w:rFonts w:ascii="Calibri" w:hAnsi="Calibri" w:cs="Calibri"/>
          <w:sz w:val="22"/>
          <w:szCs w:val="22"/>
        </w:rPr>
      </w:pPr>
    </w:p>
    <w:p w14:paraId="6D9D5246" w14:textId="77777777" w:rsidR="00E02B73" w:rsidRPr="000725B0" w:rsidRDefault="00E02B73" w:rsidP="002D18D5">
      <w:pPr>
        <w:rPr>
          <w:rFonts w:ascii="Calibri" w:hAnsi="Calibri" w:cs="Calibri"/>
          <w:color w:val="E8927C" w:themeColor="hyperlink"/>
          <w:u w:val="single"/>
        </w:rPr>
      </w:pPr>
    </w:p>
    <w:sectPr w:rsidR="00E02B73" w:rsidRPr="000725B0" w:rsidSect="00770D73">
      <w:headerReference w:type="default" r:id="rId25"/>
      <w:footerReference w:type="default" r:id="rId26"/>
      <w:type w:val="continuous"/>
      <w:pgSz w:w="11906" w:h="16838" w:code="9"/>
      <w:pgMar w:top="1418" w:right="1418" w:bottom="1276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AC31" w14:textId="77777777" w:rsidR="00802117" w:rsidRDefault="00802117" w:rsidP="00403543">
      <w:r>
        <w:separator/>
      </w:r>
    </w:p>
  </w:endnote>
  <w:endnote w:type="continuationSeparator" w:id="0">
    <w:p w14:paraId="340017EA" w14:textId="77777777" w:rsidR="00802117" w:rsidRDefault="00802117" w:rsidP="004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8E8F" w14:textId="2A7512F4" w:rsidR="00AC244F" w:rsidRDefault="005C75A8">
    <w:pPr>
      <w:pStyle w:val="Footer"/>
    </w:pPr>
    <w:r>
      <w:t>September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DFB0" w14:textId="602D5A7F" w:rsidR="00A01DCF" w:rsidRDefault="005C75A8" w:rsidP="005C75A8">
    <w:pPr>
      <w:pStyle w:val="Footer"/>
      <w:tabs>
        <w:tab w:val="left" w:pos="1020"/>
        <w:tab w:val="right" w:pos="9070"/>
      </w:tabs>
      <w:rPr>
        <w:noProof/>
      </w:rPr>
    </w:pPr>
    <w:r>
      <w:rPr>
        <w:noProof/>
      </w:rPr>
      <w:t>September 2025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A01DCF">
      <w:rPr>
        <w:noProof/>
      </w:rPr>
      <w:fldChar w:fldCharType="begin"/>
    </w:r>
    <w:r w:rsidR="00A01DCF">
      <w:rPr>
        <w:noProof/>
      </w:rPr>
      <w:instrText xml:space="preserve"> PAGE   \* MERGEFORMAT </w:instrText>
    </w:r>
    <w:r w:rsidR="00A01DCF">
      <w:rPr>
        <w:noProof/>
      </w:rPr>
      <w:fldChar w:fldCharType="separate"/>
    </w:r>
    <w:r w:rsidR="00A01DCF">
      <w:rPr>
        <w:noProof/>
      </w:rPr>
      <w:t>2</w:t>
    </w:r>
    <w:r w:rsidR="00A01D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5649" w14:textId="77777777" w:rsidR="00802117" w:rsidRDefault="00802117" w:rsidP="00403543">
      <w:pPr>
        <w:pStyle w:val="FootnoteSeparator"/>
      </w:pPr>
    </w:p>
  </w:footnote>
  <w:footnote w:type="continuationSeparator" w:id="0">
    <w:p w14:paraId="57473381" w14:textId="77777777" w:rsidR="00802117" w:rsidRDefault="00802117" w:rsidP="0040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19BE" w14:textId="65A6416C" w:rsidR="001E3916" w:rsidRPr="00C337B1" w:rsidRDefault="001E3916" w:rsidP="00B062EA">
    <w:pPr>
      <w:pStyle w:val="Header"/>
      <w:jc w:val="left"/>
      <w:rPr>
        <w:sz w:val="20"/>
        <w:szCs w:val="20"/>
      </w:rPr>
    </w:pPr>
    <w:r>
      <w:rPr>
        <w:b/>
        <w:caps/>
        <w:noProof/>
        <w:sz w:val="24"/>
        <w:lang w:eastAsia="en-AU"/>
      </w:rPr>
      <w:drawing>
        <wp:anchor distT="0" distB="0" distL="114300" distR="114300" simplePos="0" relativeHeight="251657216" behindDoc="1" locked="0" layoutInCell="1" allowOverlap="1" wp14:anchorId="6D8DE754" wp14:editId="373ECDD8">
          <wp:simplePos x="0" y="0"/>
          <wp:positionH relativeFrom="page">
            <wp:posOffset>1856</wp:posOffset>
          </wp:positionH>
          <wp:positionV relativeFrom="paragraph">
            <wp:posOffset>-375920</wp:posOffset>
          </wp:positionV>
          <wp:extent cx="7541537" cy="1081119"/>
          <wp:effectExtent l="0" t="0" r="2540" b="5080"/>
          <wp:wrapNone/>
          <wp:docPr id="1395705080" name="Picture 13957050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705080" name="Picture 13957050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537" cy="108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65B">
      <w:rPr>
        <w:sz w:val="20"/>
        <w:szCs w:val="20"/>
      </w:rPr>
      <w:t xml:space="preserve"> </w:t>
    </w:r>
    <w:r w:rsidR="00B062EA" w:rsidRPr="00B062EA">
      <w:rPr>
        <w:sz w:val="20"/>
        <w:szCs w:val="20"/>
      </w:rPr>
      <w:t>APS Data Governance Framework</w:t>
    </w:r>
    <w:r w:rsidR="0054265B">
      <w:rPr>
        <w:sz w:val="20"/>
        <w:szCs w:val="20"/>
      </w:rPr>
      <w:t xml:space="preserve"> Fact Sheet</w:t>
    </w:r>
    <w:r w:rsidR="00A84EB5">
      <w:rPr>
        <w:sz w:val="20"/>
        <w:szCs w:val="20"/>
      </w:rPr>
      <w:t xml:space="preserve">: </w:t>
    </w:r>
    <w:r w:rsidR="00B062EA" w:rsidRPr="00B062EA">
      <w:rPr>
        <w:sz w:val="20"/>
        <w:szCs w:val="20"/>
      </w:rPr>
      <w:t>Data Lifecycles - Examples</w:t>
    </w:r>
  </w:p>
  <w:p w14:paraId="51ED46AC" w14:textId="77777777" w:rsidR="00DB6D69" w:rsidRDefault="00DB6D69" w:rsidP="00403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7D20" w14:textId="61A84AE4" w:rsidR="000C2A48" w:rsidRDefault="00512E5A" w:rsidP="00403543">
    <w:pPr>
      <w:pStyle w:val="Header"/>
    </w:pPr>
    <w:r>
      <w:rPr>
        <w:noProof/>
      </w:rPr>
      <w:pict w14:anchorId="5EB9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90" type="#_x0000_t75" style="position:absolute;left:0;text-align:left;margin-left:-36pt;margin-top:-30.5pt;width:598.2pt;height:161.6pt;z-index:-251658240;mso-position-horizontal-relative:text;mso-position-vertical-relative:text;mso-width-relative:page;mso-height-relative:page">
          <v:imagedata r:id="rId1" o:title="CI templates_newsletter blue P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D07E" w14:textId="77777777" w:rsidR="00A01DCF" w:rsidRDefault="00A01DCF">
    <w:pPr>
      <w:pStyle w:val="Header"/>
      <w:rPr>
        <w:b/>
      </w:rPr>
    </w:pPr>
    <w:r w:rsidRPr="00DB6D69">
      <w:rPr>
        <w:b/>
      </w:rPr>
      <w:t>Department of Finance</w:t>
    </w:r>
  </w:p>
  <w:p w14:paraId="36026756" w14:textId="61F05730" w:rsidR="00A01DCF" w:rsidRPr="00DB6D69" w:rsidRDefault="00AC244F" w:rsidP="00AC244F">
    <w:pPr>
      <w:pStyle w:val="Header"/>
      <w:rPr>
        <w:b/>
      </w:rPr>
    </w:pPr>
    <w:r w:rsidRPr="00AC244F">
      <w:rPr>
        <w:b/>
      </w:rPr>
      <w:t>APS Data Governance Framework Fact Sheet</w:t>
    </w:r>
    <w:r w:rsidR="009358F4">
      <w:rPr>
        <w:b/>
      </w:rPr>
      <w:t xml:space="preserve"> - </w:t>
    </w:r>
    <w:r w:rsidRPr="00AC244F">
      <w:rPr>
        <w:b/>
      </w:rPr>
      <w:t>Data Governance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8CC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A5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F88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EA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4C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0B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6B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3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2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85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60C86"/>
    <w:multiLevelType w:val="hybridMultilevel"/>
    <w:tmpl w:val="65C4AA4E"/>
    <w:lvl w:ilvl="0" w:tplc="0C0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13" w15:restartNumberingAfterBreak="0">
    <w:nsid w:val="24D9465B"/>
    <w:multiLevelType w:val="hybridMultilevel"/>
    <w:tmpl w:val="9FE2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57F766C1"/>
    <w:multiLevelType w:val="hybridMultilevel"/>
    <w:tmpl w:val="96BAF0F6"/>
    <w:lvl w:ilvl="0" w:tplc="B240B70C">
      <w:start w:val="1"/>
      <w:numFmt w:val="bullet"/>
      <w:lvlText w:val=""/>
      <w:lvlJc w:val="left"/>
      <w:pPr>
        <w:ind w:left="1098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8" w:hanging="360"/>
      </w:pPr>
    </w:lvl>
    <w:lvl w:ilvl="2" w:tplc="FFFFFFFF" w:tentative="1">
      <w:start w:val="1"/>
      <w:numFmt w:val="lowerRoman"/>
      <w:lvlText w:val="%3."/>
      <w:lvlJc w:val="right"/>
      <w:pPr>
        <w:ind w:left="2538" w:hanging="180"/>
      </w:pPr>
    </w:lvl>
    <w:lvl w:ilvl="3" w:tplc="FFFFFFFF" w:tentative="1">
      <w:start w:val="1"/>
      <w:numFmt w:val="decimal"/>
      <w:lvlText w:val="%4."/>
      <w:lvlJc w:val="left"/>
      <w:pPr>
        <w:ind w:left="3258" w:hanging="360"/>
      </w:pPr>
    </w:lvl>
    <w:lvl w:ilvl="4" w:tplc="FFFFFFFF" w:tentative="1">
      <w:start w:val="1"/>
      <w:numFmt w:val="lowerLetter"/>
      <w:lvlText w:val="%5."/>
      <w:lvlJc w:val="left"/>
      <w:pPr>
        <w:ind w:left="3978" w:hanging="360"/>
      </w:pPr>
    </w:lvl>
    <w:lvl w:ilvl="5" w:tplc="FFFFFFFF" w:tentative="1">
      <w:start w:val="1"/>
      <w:numFmt w:val="lowerRoman"/>
      <w:lvlText w:val="%6."/>
      <w:lvlJc w:val="right"/>
      <w:pPr>
        <w:ind w:left="4698" w:hanging="180"/>
      </w:pPr>
    </w:lvl>
    <w:lvl w:ilvl="6" w:tplc="FFFFFFFF" w:tentative="1">
      <w:start w:val="1"/>
      <w:numFmt w:val="decimal"/>
      <w:lvlText w:val="%7."/>
      <w:lvlJc w:val="left"/>
      <w:pPr>
        <w:ind w:left="5418" w:hanging="360"/>
      </w:pPr>
    </w:lvl>
    <w:lvl w:ilvl="7" w:tplc="FFFFFFFF" w:tentative="1">
      <w:start w:val="1"/>
      <w:numFmt w:val="lowerLetter"/>
      <w:lvlText w:val="%8."/>
      <w:lvlJc w:val="left"/>
      <w:pPr>
        <w:ind w:left="6138" w:hanging="360"/>
      </w:pPr>
    </w:lvl>
    <w:lvl w:ilvl="8" w:tplc="FFFFFFFF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4750072"/>
    <w:multiLevelType w:val="hybridMultilevel"/>
    <w:tmpl w:val="2DCC41E8"/>
    <w:lvl w:ilvl="0" w:tplc="15BE92BE">
      <w:start w:val="6"/>
      <w:numFmt w:val="bullet"/>
      <w:lvlText w:val="-"/>
      <w:lvlJc w:val="left"/>
      <w:pPr>
        <w:ind w:left="1458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 w16cid:durableId="1115632887">
    <w:abstractNumId w:val="18"/>
  </w:num>
  <w:num w:numId="2" w16cid:durableId="1413550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252889">
    <w:abstractNumId w:val="10"/>
  </w:num>
  <w:num w:numId="4" w16cid:durableId="1837333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4336932">
    <w:abstractNumId w:val="14"/>
  </w:num>
  <w:num w:numId="6" w16cid:durableId="970329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7222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213003">
    <w:abstractNumId w:val="11"/>
  </w:num>
  <w:num w:numId="9" w16cid:durableId="294334376">
    <w:abstractNumId w:val="16"/>
  </w:num>
  <w:num w:numId="10" w16cid:durableId="323898006">
    <w:abstractNumId w:val="17"/>
  </w:num>
  <w:num w:numId="11" w16cid:durableId="1981572756">
    <w:abstractNumId w:val="9"/>
  </w:num>
  <w:num w:numId="12" w16cid:durableId="1070229760">
    <w:abstractNumId w:val="7"/>
  </w:num>
  <w:num w:numId="13" w16cid:durableId="1465390317">
    <w:abstractNumId w:val="6"/>
  </w:num>
  <w:num w:numId="14" w16cid:durableId="1515262709">
    <w:abstractNumId w:val="5"/>
  </w:num>
  <w:num w:numId="15" w16cid:durableId="710035958">
    <w:abstractNumId w:val="4"/>
  </w:num>
  <w:num w:numId="16" w16cid:durableId="311495052">
    <w:abstractNumId w:val="8"/>
  </w:num>
  <w:num w:numId="17" w16cid:durableId="549658325">
    <w:abstractNumId w:val="3"/>
  </w:num>
  <w:num w:numId="18" w16cid:durableId="784540112">
    <w:abstractNumId w:val="2"/>
  </w:num>
  <w:num w:numId="19" w16cid:durableId="2041541935">
    <w:abstractNumId w:val="1"/>
  </w:num>
  <w:num w:numId="20" w16cid:durableId="1086851097">
    <w:abstractNumId w:val="0"/>
  </w:num>
  <w:num w:numId="21" w16cid:durableId="149560798">
    <w:abstractNumId w:val="18"/>
  </w:num>
  <w:num w:numId="22" w16cid:durableId="1650745941">
    <w:abstractNumId w:val="18"/>
  </w:num>
  <w:num w:numId="23" w16cid:durableId="1038549436">
    <w:abstractNumId w:val="18"/>
  </w:num>
  <w:num w:numId="24" w16cid:durableId="1016276595">
    <w:abstractNumId w:val="18"/>
  </w:num>
  <w:num w:numId="25" w16cid:durableId="1055007633">
    <w:abstractNumId w:val="17"/>
  </w:num>
  <w:num w:numId="26" w16cid:durableId="1153333661">
    <w:abstractNumId w:val="14"/>
  </w:num>
  <w:num w:numId="27" w16cid:durableId="1559511909">
    <w:abstractNumId w:val="14"/>
  </w:num>
  <w:num w:numId="28" w16cid:durableId="674959793">
    <w:abstractNumId w:val="14"/>
  </w:num>
  <w:num w:numId="29" w16cid:durableId="1684624722">
    <w:abstractNumId w:val="14"/>
  </w:num>
  <w:num w:numId="30" w16cid:durableId="430008628">
    <w:abstractNumId w:val="10"/>
  </w:num>
  <w:num w:numId="31" w16cid:durableId="964040088">
    <w:abstractNumId w:val="10"/>
  </w:num>
  <w:num w:numId="32" w16cid:durableId="1303580586">
    <w:abstractNumId w:val="10"/>
  </w:num>
  <w:num w:numId="33" w16cid:durableId="1043363067">
    <w:abstractNumId w:val="10"/>
  </w:num>
  <w:num w:numId="34" w16cid:durableId="1340891349">
    <w:abstractNumId w:val="16"/>
  </w:num>
  <w:num w:numId="35" w16cid:durableId="1113475534">
    <w:abstractNumId w:val="13"/>
  </w:num>
  <w:num w:numId="36" w16cid:durableId="1426531485">
    <w:abstractNumId w:val="15"/>
  </w:num>
  <w:num w:numId="37" w16cid:durableId="444153043">
    <w:abstractNumId w:val="12"/>
  </w:num>
  <w:num w:numId="38" w16cid:durableId="11849042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142F"/>
    <w:rsid w:val="00021B85"/>
    <w:rsid w:val="0002301D"/>
    <w:rsid w:val="0002782F"/>
    <w:rsid w:val="00037EC7"/>
    <w:rsid w:val="000442C7"/>
    <w:rsid w:val="00054E4D"/>
    <w:rsid w:val="00060073"/>
    <w:rsid w:val="00060D64"/>
    <w:rsid w:val="0007178F"/>
    <w:rsid w:val="000725B0"/>
    <w:rsid w:val="00074FFB"/>
    <w:rsid w:val="000767C4"/>
    <w:rsid w:val="000A4B30"/>
    <w:rsid w:val="000A6A8B"/>
    <w:rsid w:val="000B1867"/>
    <w:rsid w:val="000C2A48"/>
    <w:rsid w:val="000D60B1"/>
    <w:rsid w:val="001541EA"/>
    <w:rsid w:val="001612A4"/>
    <w:rsid w:val="001639FB"/>
    <w:rsid w:val="0018522D"/>
    <w:rsid w:val="001879C0"/>
    <w:rsid w:val="001E1DC0"/>
    <w:rsid w:val="001E3916"/>
    <w:rsid w:val="0020122A"/>
    <w:rsid w:val="0028602A"/>
    <w:rsid w:val="002D18D5"/>
    <w:rsid w:val="002F63CA"/>
    <w:rsid w:val="00301144"/>
    <w:rsid w:val="003148B7"/>
    <w:rsid w:val="003158C3"/>
    <w:rsid w:val="003274CD"/>
    <w:rsid w:val="0035119D"/>
    <w:rsid w:val="00370C2F"/>
    <w:rsid w:val="003B4F12"/>
    <w:rsid w:val="00403543"/>
    <w:rsid w:val="004051A6"/>
    <w:rsid w:val="00423F31"/>
    <w:rsid w:val="00427D34"/>
    <w:rsid w:val="00431899"/>
    <w:rsid w:val="00437DB5"/>
    <w:rsid w:val="00466DF2"/>
    <w:rsid w:val="004846FD"/>
    <w:rsid w:val="00486804"/>
    <w:rsid w:val="004B3775"/>
    <w:rsid w:val="004C3600"/>
    <w:rsid w:val="004E058F"/>
    <w:rsid w:val="004E3B87"/>
    <w:rsid w:val="00507A96"/>
    <w:rsid w:val="00510921"/>
    <w:rsid w:val="00510AD3"/>
    <w:rsid w:val="00512E5A"/>
    <w:rsid w:val="00513348"/>
    <w:rsid w:val="00533B5D"/>
    <w:rsid w:val="00540BEF"/>
    <w:rsid w:val="0054265B"/>
    <w:rsid w:val="005506BA"/>
    <w:rsid w:val="00554C1F"/>
    <w:rsid w:val="00557813"/>
    <w:rsid w:val="005970EA"/>
    <w:rsid w:val="005A6C78"/>
    <w:rsid w:val="005C37F0"/>
    <w:rsid w:val="005C6F63"/>
    <w:rsid w:val="005C75A8"/>
    <w:rsid w:val="005E45E3"/>
    <w:rsid w:val="0062028D"/>
    <w:rsid w:val="00623BA1"/>
    <w:rsid w:val="006346BC"/>
    <w:rsid w:val="00634A3B"/>
    <w:rsid w:val="006508E2"/>
    <w:rsid w:val="0066652A"/>
    <w:rsid w:val="00682167"/>
    <w:rsid w:val="006A3AAB"/>
    <w:rsid w:val="006C42AF"/>
    <w:rsid w:val="006C4DD1"/>
    <w:rsid w:val="006E0265"/>
    <w:rsid w:val="00703255"/>
    <w:rsid w:val="00711D8E"/>
    <w:rsid w:val="00712672"/>
    <w:rsid w:val="00734E3F"/>
    <w:rsid w:val="00736985"/>
    <w:rsid w:val="00770D73"/>
    <w:rsid w:val="00774982"/>
    <w:rsid w:val="007749C5"/>
    <w:rsid w:val="007B6200"/>
    <w:rsid w:val="00801B9F"/>
    <w:rsid w:val="00802117"/>
    <w:rsid w:val="00860214"/>
    <w:rsid w:val="008764DB"/>
    <w:rsid w:val="0088033A"/>
    <w:rsid w:val="00880B3F"/>
    <w:rsid w:val="008B59F0"/>
    <w:rsid w:val="009043BD"/>
    <w:rsid w:val="009358F4"/>
    <w:rsid w:val="009B4D3B"/>
    <w:rsid w:val="009B53C8"/>
    <w:rsid w:val="009C7AFF"/>
    <w:rsid w:val="009D063F"/>
    <w:rsid w:val="009D7407"/>
    <w:rsid w:val="009E0866"/>
    <w:rsid w:val="00A01760"/>
    <w:rsid w:val="00A01DCF"/>
    <w:rsid w:val="00A05DE4"/>
    <w:rsid w:val="00A10954"/>
    <w:rsid w:val="00A20895"/>
    <w:rsid w:val="00A24A62"/>
    <w:rsid w:val="00A31C9F"/>
    <w:rsid w:val="00A76378"/>
    <w:rsid w:val="00A84EB5"/>
    <w:rsid w:val="00AC164A"/>
    <w:rsid w:val="00AC244F"/>
    <w:rsid w:val="00AE42BA"/>
    <w:rsid w:val="00AF2050"/>
    <w:rsid w:val="00B062EA"/>
    <w:rsid w:val="00B15108"/>
    <w:rsid w:val="00B665C6"/>
    <w:rsid w:val="00B807B0"/>
    <w:rsid w:val="00BA6D83"/>
    <w:rsid w:val="00BB26C5"/>
    <w:rsid w:val="00BF4DE6"/>
    <w:rsid w:val="00C11C9B"/>
    <w:rsid w:val="00C42CDE"/>
    <w:rsid w:val="00CA37B1"/>
    <w:rsid w:val="00CB1959"/>
    <w:rsid w:val="00CB7292"/>
    <w:rsid w:val="00CB7E2F"/>
    <w:rsid w:val="00CC04B4"/>
    <w:rsid w:val="00CC1438"/>
    <w:rsid w:val="00D0296C"/>
    <w:rsid w:val="00D06891"/>
    <w:rsid w:val="00D51508"/>
    <w:rsid w:val="00D95268"/>
    <w:rsid w:val="00DA51FA"/>
    <w:rsid w:val="00DB35A3"/>
    <w:rsid w:val="00DB6D69"/>
    <w:rsid w:val="00DC2628"/>
    <w:rsid w:val="00DC430B"/>
    <w:rsid w:val="00DF64C4"/>
    <w:rsid w:val="00E02B73"/>
    <w:rsid w:val="00E16C80"/>
    <w:rsid w:val="00E24DAC"/>
    <w:rsid w:val="00E357B7"/>
    <w:rsid w:val="00E53800"/>
    <w:rsid w:val="00E6081F"/>
    <w:rsid w:val="00EA04B2"/>
    <w:rsid w:val="00EA20F3"/>
    <w:rsid w:val="00ED43D1"/>
    <w:rsid w:val="00EE4EE1"/>
    <w:rsid w:val="00EF4574"/>
    <w:rsid w:val="00F2684E"/>
    <w:rsid w:val="00F268CD"/>
    <w:rsid w:val="00F33736"/>
    <w:rsid w:val="00F525C6"/>
    <w:rsid w:val="00F729EF"/>
    <w:rsid w:val="00F77CAE"/>
    <w:rsid w:val="00F94BE8"/>
    <w:rsid w:val="00F96BB9"/>
    <w:rsid w:val="00FB203E"/>
    <w:rsid w:val="00FC4C4E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3DC2DA33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543"/>
    <w:pPr>
      <w:suppressAutoHyphens/>
      <w:spacing w:before="180" w:after="60" w:line="280" w:lineRule="atLeast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DE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021B85"/>
    <w:pPr>
      <w:outlineLvl w:val="4"/>
    </w:pPr>
    <w:rPr>
      <w:i/>
      <w:color w:val="9CDBD9" w:themeColor="accent1"/>
      <w:sz w:val="2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E4"/>
    <w:rPr>
      <w:rFonts w:asciiTheme="majorHAnsi" w:eastAsiaTheme="majorEastAsia" w:hAnsiTheme="majorHAnsi" w:cstheme="majorBidi"/>
      <w:bCs/>
      <w:color w:val="404040" w:themeColor="text1" w:themeTint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403543"/>
    <w:pPr>
      <w:keepNext w:val="0"/>
      <w:spacing w:line="480" w:lineRule="atLeast"/>
    </w:pPr>
    <w:rPr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543"/>
    <w:rPr>
      <w:rFonts w:asciiTheme="majorHAnsi" w:eastAsiaTheme="majorEastAsia" w:hAnsiTheme="majorHAnsi" w:cstheme="majorBidi"/>
      <w:bCs/>
      <w:color w:val="404040" w:themeColor="text1" w:themeTint="BF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21B85"/>
    <w:pPr>
      <w:numPr>
        <w:numId w:val="33"/>
      </w:numPr>
    </w:pPr>
  </w:style>
  <w:style w:type="paragraph" w:customStyle="1" w:styleId="NumberedList2">
    <w:name w:val="Numbered List 2"/>
    <w:basedOn w:val="NumberedList1"/>
    <w:qFormat/>
    <w:rsid w:val="00021B85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021B85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403543"/>
    <w:pPr>
      <w:spacing w:line="360" w:lineRule="auto"/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2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rsid w:val="00021B85"/>
    <w:rPr>
      <w:b/>
      <w:bCs/>
    </w:rPr>
  </w:style>
  <w:style w:type="character" w:styleId="Emphasis">
    <w:name w:val="Emphasis"/>
    <w:basedOn w:val="DefaultParagraphFont"/>
    <w:uiPriority w:val="20"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rsid w:val="00021B85"/>
    <w:pPr>
      <w:spacing w:before="200" w:after="120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rsid w:val="005A6C78"/>
    <w:pPr>
      <w:spacing w:after="1200"/>
    </w:pPr>
  </w:style>
  <w:style w:type="paragraph" w:styleId="Date">
    <w:name w:val="Date"/>
    <w:basedOn w:val="Normal"/>
    <w:next w:val="Normal"/>
    <w:link w:val="DateChar"/>
    <w:uiPriority w:val="99"/>
    <w:unhideWhenUsed/>
    <w:rsid w:val="00B807B0"/>
    <w:pPr>
      <w:spacing w:before="280" w:after="600"/>
      <w:jc w:val="right"/>
    </w:pPr>
    <w:rPr>
      <w:color w:val="B4E4E2" w:themeColor="accent1" w:themeTint="BF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B807B0"/>
    <w:rPr>
      <w:color w:val="9CDBD9" w:themeColor="accent1"/>
      <w:sz w:val="28"/>
    </w:rPr>
  </w:style>
  <w:style w:type="paragraph" w:styleId="ListParagraph">
    <w:name w:val="List Paragraph"/>
    <w:basedOn w:val="Normal"/>
    <w:uiPriority w:val="34"/>
    <w:qFormat/>
    <w:rsid w:val="00BA6D83"/>
    <w:pPr>
      <w:suppressAutoHyphens w:val="0"/>
      <w:spacing w:before="0" w:after="160" w:line="278" w:lineRule="auto"/>
      <w:ind w:left="720"/>
      <w:contextualSpacing/>
    </w:pPr>
    <w:rPr>
      <w:color w:val="auto"/>
      <w:kern w:val="2"/>
      <w:sz w:val="24"/>
      <w:szCs w:val="24"/>
      <w14:ligatures w14:val="standardContextual"/>
    </w:rPr>
  </w:style>
  <w:style w:type="paragraph" w:customStyle="1" w:styleId="ANAOBase">
    <w:name w:val="ANAO Base"/>
    <w:link w:val="ANAOBaseChar"/>
    <w:qFormat/>
    <w:rsid w:val="000725B0"/>
    <w:pPr>
      <w:spacing w:before="8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NAOBaseChar">
    <w:name w:val="ANAO Base Char"/>
    <w:basedOn w:val="DefaultParagraphFont"/>
    <w:link w:val="ANAOBase"/>
    <w:rsid w:val="000725B0"/>
    <w:rPr>
      <w:rFonts w:ascii="Calibri" w:eastAsia="Times New Roman" w:hAnsi="Calibri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4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2C7"/>
    <w:rPr>
      <w:color w:val="FFD1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finance.gov.au/sites/default/files/2024-05/Commonwealth-Data-Ecosystem-Design-PUBLIC-2024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sc.gov.au/initiatives-and-programs/aps-professions/data-profession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finance.gov.au/government/public-data/public-data-policy/chief-data-officer-information-pac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nao.gov.au/work/insights/governance-of-data" TargetMode="External"/><Relationship Id="rId20" Type="http://schemas.openxmlformats.org/officeDocument/2006/relationships/hyperlink" Target="https://www.finance.gov.au/government/public-data/public-data-policy/data-maturity-assessment-too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finance.gov.au/government/public-data/public-data-policy/ses-accountabilities-data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aus01.safelinks.protection.outlook.com/?url=https%3A%2F%2Fwww.datacommissioner.gov.au%2Fnode%2F105&amp;data=05%7C02%7CKelly.Khuu%40finance.gov.au%7C0c7f0e696f104bf2e7fc08ddc4e0ab9c%7C08954cee47824ff69ad51997dccef4b0%7C0%7C0%7C638883191419722857%7CUnknown%7CTWFpbGZsb3d8eyJFbXB0eU1hcGkiOnRydWUsIlYiOiIwLjAuMDAwMCIsIlAiOiJXaW4zMiIsIkFOIjoiTWFpbCIsIldUIjoyfQ%3D%3D%7C0%7C%7C%7C&amp;sdata=G9InIZq5L3JP1uIArIl5emxQ6Ts6A%2Byd78A%2Fqv0deM4%3D&amp;reserved=0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dataanddigital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aus01.safelinks.protection.outlook.com/?url=https%3A%2F%2Fwww.naa.gov.au%2Finformation-management%2Finformation-governance%2Festablishing-information-governance-framework%2Fdeveloping-enterprise-wide-information-management-strategy&amp;data=05%7C02%7CKelly.Khuu%40finance.gov.au%7C0c7f0e696f104bf2e7fc08ddc4e0ab9c%7C08954cee47824ff69ad51997dccef4b0%7C0%7C0%7C638883191419693629%7CUnknown%7CTWFpbGZsb3d8eyJFbXB0eU1hcGkiOnRydWUsIlYiOiIwLjAuMDAwMCIsIlAiOiJXaW4zMiIsIkFOIjoiTWFpbCIsIldUIjoyfQ%3D%3D%7C0%7C%7C%7C&amp;sdata=dBn4o0KeVuTo0pcWqt6rGnlyR0YSYelM57nF3etv%2BGM%3D&amp;reserved=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9ADBB134D994B545816E9BDE35EA07A7" ma:contentTypeVersion="33" ma:contentTypeDescription="Create a new document." ma:contentTypeScope="" ma:versionID="ecc0c599a9271be364b0029feccd88fa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1c8b8353-0e75-4236-9206-759a2fafd0b4" xmlns:ns4="6a7e9632-768a-49bf-85ac-c69233ab2a52" targetNamespace="http://schemas.microsoft.com/office/2006/metadata/properties" ma:root="true" ma:fieldsID="23248844b3c959769fbd3adc5c37405a" ns1:_="" ns2:_="" ns3:_="" ns4:_="">
    <xsd:import namespace="http://schemas.microsoft.com/sharepoint/v3"/>
    <xsd:import namespace="a334ba3b-e131-42d3-95f3-2728f5a41884"/>
    <xsd:import namespace="1c8b8353-0e75-4236-9206-759a2fafd0b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e69480c6-0034-4953-b4b2-d7434335c52f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ublic Data Policy|68cf18f8-dd8e-46da-b5fe-5d3bb3aa3975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e69480c6-0034-4953-b4b2-d7434335c52f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b8353-0e75-4236-9206-759a2fafd0b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FIN11640-650589781-16400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_ip_UnifiedCompliancePolicyUIAction xmlns="http://schemas.microsoft.com/sharepoint/v3" xsi:nil="true"/>
    <lf395e0388bc45bfb8642f07b9d090f4 xmlns="a334ba3b-e131-42d3-95f3-2728f5a41884">
      <Terms xmlns="http://schemas.microsoft.com/office/infopath/2007/PartnerControls"/>
    </lf395e0388bc45bfb8642f07b9d090f4>
    <_ip_UnifiedCompliancePolicyProperties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1c8b8353-0e75-4236-9206-759a2fafd0b4">
      <Terms xmlns="http://schemas.microsoft.com/office/infopath/2007/PartnerControls"/>
    </lcf76f155ced4ddcb4097134ff3c332f>
    <TaxCatchAll xmlns="a334ba3b-e131-42d3-95f3-2728f5a41884">
      <Value>23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Data Policy</TermName>
          <TermId xmlns="http://schemas.microsoft.com/office/infopath/2007/PartnerControls">68cf18f8-dd8e-46da-b5fe-5d3bb3aa3975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https://financegovau.sharepoint.com/sites/M365_DoF_51011640/_layouts/15/DocIdRedir.aspx?ID=FIN11640-650589781-16400</Url>
      <Description>FIN11640-650589781-16400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5100-2075-4F43-84E9-B01231CCFB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502141-84CB-43BA-953E-529F49723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AEA39-0318-490A-82D7-CB47432FE3B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704B4A-76DC-492F-B1AA-F4724985A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1c8b8353-0e75-4236-9206-759a2fafd0b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2A59FF-6F37-454E-AE29-F8B4724B8C65}">
  <ds:schemaRefs>
    <ds:schemaRef ds:uri="http://purl.org/dc/terms/"/>
    <ds:schemaRef ds:uri="http://www.w3.org/XML/1998/namespace"/>
    <ds:schemaRef ds:uri="6a7e9632-768a-49bf-85ac-c69233ab2a52"/>
    <ds:schemaRef ds:uri="http://schemas.microsoft.com/sharepoint/v3"/>
    <ds:schemaRef ds:uri="http://schemas.microsoft.com/office/2006/documentManagement/types"/>
    <ds:schemaRef ds:uri="a334ba3b-e131-42d3-95f3-2728f5a41884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c8b8353-0e75-4236-9206-759a2fafd0b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5386BD1-A4D6-4D4A-BF41-608A19472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4044</Characters>
  <Application>Microsoft Office Word</Application>
  <DocSecurity>0</DocSecurity>
  <Lines>86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>[SEC=OFFICIAL]</cp:keywords>
  <dc:description/>
  <cp:lastModifiedBy>Goss, Samantha</cp:lastModifiedBy>
  <cp:revision>15</cp:revision>
  <cp:lastPrinted>2013-10-29T09:49:00Z</cp:lastPrinted>
  <dcterms:created xsi:type="dcterms:W3CDTF">2025-09-03T05:37:00Z</dcterms:created>
  <dcterms:modified xsi:type="dcterms:W3CDTF">2025-09-04T23:07:00Z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v=2022.1;a=SHA256;h=A728FFF9392326C32B92AC786F2CAB13ED3C54906A5326016F5A499E0949F985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2025-08-05T03:43:22Z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3A12AD81B195C402F375872BDA307AD998F0C095929D3D4E2EA1A780425C9A53</vt:lpwstr>
  </property>
  <property fmtid="{D5CDD505-2E9C-101B-9397-08002B2CF9AE}" pid="16" name="MSIP_Label_87d6481e-ccdd-4ab6-8b26-05a0df5699e7_SetDate">
    <vt:lpwstr>2025-08-05T03:43:22Z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5e8af2c6381f43b59d26601dfe5583f8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4B742333C9F70F98FFACC6B48FB9C791F193683A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97254368C794462D88C9294293BCBF54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BFF6254F8652903BF4E6AE9D96051BCB</vt:lpwstr>
  </property>
  <property fmtid="{D5CDD505-2E9C-101B-9397-08002B2CF9AE}" pid="32" name="PM_Hash_Salt">
    <vt:lpwstr>7962E57AE37316CFFE9981C848EB2E12</vt:lpwstr>
  </property>
  <property fmtid="{D5CDD505-2E9C-101B-9397-08002B2CF9AE}" pid="33" name="PM_Hash_SHA1">
    <vt:lpwstr>941D60FB6FD9BE3DDDC4B0F0EFBA0DF0902E05E2</vt:lpwstr>
  </property>
  <property fmtid="{D5CDD505-2E9C-101B-9397-08002B2CF9AE}" pid="34" name="TaxKeyword">
    <vt:lpwstr>23;#[SEC=OFFICIAL]|07351cc0-de73-4913-be2f-56f124cbf8bb</vt:lpwstr>
  </property>
  <property fmtid="{D5CDD505-2E9C-101B-9397-08002B2CF9AE}" pid="35" name="ContentTypeId">
    <vt:lpwstr>0x010100B7B479F47583304BA8B631462CC772D7009ADBB134D994B545816E9BDE35EA07A7</vt:lpwstr>
  </property>
  <property fmtid="{D5CDD505-2E9C-101B-9397-08002B2CF9AE}" pid="36" name="Organisation Unit">
    <vt:lpwstr>2;#Public Data Policy|68cf18f8-dd8e-46da-b5fe-5d3bb3aa3975</vt:lpwstr>
  </property>
  <property fmtid="{D5CDD505-2E9C-101B-9397-08002B2CF9AE}" pid="37" name="_dlc_DocIdItemGuid">
    <vt:lpwstr>0079e02a-48f1-4fbf-96a0-ccd1ef9b2e7f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PM_SecurityClassification_Prev">
    <vt:lpwstr>OFFICIAL</vt:lpwstr>
  </property>
  <property fmtid="{D5CDD505-2E9C-101B-9397-08002B2CF9AE}" pid="41" name="PM_Qualifier_Prev">
    <vt:lpwstr/>
  </property>
  <property fmtid="{D5CDD505-2E9C-101B-9397-08002B2CF9AE}" pid="42" name="Organisation_x0020_Unit">
    <vt:lpwstr>2;#Public Data Policy|68cf18f8-dd8e-46da-b5fe-5d3bb3aa3975</vt:lpwstr>
  </property>
  <property fmtid="{D5CDD505-2E9C-101B-9397-08002B2CF9AE}" pid="43" name="MediaServiceImageTags">
    <vt:lpwstr/>
  </property>
  <property fmtid="{D5CDD505-2E9C-101B-9397-08002B2CF9AE}" pid="44" name="About_x0020_Entity">
    <vt:lpwstr>1;#Department of Finance|fd660e8f-8f31-49bd-92a3-d31d4da31afe</vt:lpwstr>
  </property>
  <property fmtid="{D5CDD505-2E9C-101B-9397-08002B2CF9AE}" pid="45" name="Function_x0020_and_x0020_Activity">
    <vt:lpwstr/>
  </property>
  <property fmtid="{D5CDD505-2E9C-101B-9397-08002B2CF9AE}" pid="46" name="Initiating_x0020_Entity">
    <vt:lpwstr>1;#Department of Finance|fd660e8f-8f31-49bd-92a3-d31d4da31afe</vt:lpwstr>
  </property>
  <property fmtid="{D5CDD505-2E9C-101B-9397-08002B2CF9AE}" pid="47" name="Function and Activity">
    <vt:lpwstr/>
  </property>
  <property fmtid="{D5CDD505-2E9C-101B-9397-08002B2CF9AE}" pid="48" name="docLang">
    <vt:lpwstr>en</vt:lpwstr>
  </property>
</Properties>
</file>