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EB3E" w14:textId="2893F08D" w:rsidR="00411FE2" w:rsidRPr="00411FE2" w:rsidRDefault="00431499" w:rsidP="004C1CC9">
      <w:pPr>
        <w:pStyle w:val="Title"/>
        <w:rPr>
          <w:noProof/>
        </w:rPr>
      </w:pPr>
      <w:bookmarkStart w:id="0" w:name="_Toc53573191"/>
      <w:bookmarkStart w:id="1" w:name="_Toc53573619"/>
      <w:r>
        <w:rPr>
          <w:noProof/>
        </w:rPr>
        <w:pict w14:anchorId="5B517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background and Australian Government Department of Finance logo." style="position:absolute;margin-left:-63.75pt;margin-top:-71.55pt;width:598.5pt;height:184.4pt;z-index:-251658752;mso-position-horizontal-relative:text;mso-position-vertical-relative:text;mso-width-relative:page;mso-height-relative:page">
            <v:imagedata r:id="rId13" o:title="Short word banner"/>
          </v:shape>
        </w:pict>
      </w:r>
      <w:r w:rsidR="00591A33">
        <w:rPr>
          <w:noProof/>
        </w:rPr>
        <w:t>N</w:t>
      </w:r>
      <w:r w:rsidR="00411FE2" w:rsidRPr="00411FE2">
        <w:rPr>
          <w:noProof/>
        </w:rPr>
        <w:t>omination criteria</w:t>
      </w:r>
    </w:p>
    <w:p w14:paraId="623FF9D6" w14:textId="2C1A7314" w:rsidR="00645300" w:rsidRPr="00591A33" w:rsidRDefault="006466D1" w:rsidP="004C1CC9">
      <w:pPr>
        <w:pStyle w:val="Subtitle"/>
      </w:pPr>
      <w:r>
        <w:t>Risk initiative</w:t>
      </w:r>
      <w:r w:rsidR="00BA1503">
        <w:t>: I</w:t>
      </w:r>
      <w:r w:rsidR="000909EA">
        <w:t>ndividual program, project, or service delivery initiative</w:t>
      </w:r>
    </w:p>
    <w:p w14:paraId="5D1149AD" w14:textId="77777777" w:rsidR="00411FE2" w:rsidRDefault="00411FE2" w:rsidP="004C1CC9"/>
    <w:p w14:paraId="563A4008" w14:textId="352912E0" w:rsidR="004F529D" w:rsidRPr="004C1CC9" w:rsidRDefault="00591A33" w:rsidP="004C1CC9">
      <w:r w:rsidRPr="004C1CC9">
        <w:t xml:space="preserve">The </w:t>
      </w:r>
      <w:r w:rsidR="006466D1" w:rsidRPr="004C1CC9">
        <w:t>Risk initiative</w:t>
      </w:r>
      <w:r w:rsidRPr="004C1CC9">
        <w:t xml:space="preserve"> category </w:t>
      </w:r>
      <w:r w:rsidR="00373058" w:rsidRPr="004C1CC9">
        <w:t xml:space="preserve">assesses </w:t>
      </w:r>
      <w:r w:rsidRPr="004C1CC9">
        <w:t xml:space="preserve">excellence </w:t>
      </w:r>
      <w:r w:rsidR="0096465F" w:rsidRPr="004C1CC9">
        <w:t>in risk management relating to an individual program, project or service delivery initiative implemented by an entity.</w:t>
      </w:r>
    </w:p>
    <w:p w14:paraId="39E4B5D0" w14:textId="77777777" w:rsidR="004D1207" w:rsidRPr="00742A03" w:rsidRDefault="004D1207" w:rsidP="004D1207">
      <w:pPr>
        <w:pStyle w:val="Boxed1Text"/>
      </w:pPr>
      <w:bookmarkStart w:id="2" w:name="_Toc455062745"/>
      <w:bookmarkStart w:id="3" w:name="_Toc455062746"/>
      <w:r w:rsidRPr="00A6641E">
        <w:rPr>
          <w:b/>
          <w:bCs/>
        </w:rPr>
        <w:t>To</w:t>
      </w:r>
      <w:r w:rsidRPr="00742A03">
        <w:t xml:space="preserve"> </w:t>
      </w:r>
      <w:r w:rsidRPr="00A6641E">
        <w:rPr>
          <w:b/>
          <w:bCs/>
        </w:rPr>
        <w:t>nominate</w:t>
      </w:r>
      <w:r w:rsidRPr="00742A03">
        <w:t>:</w:t>
      </w:r>
    </w:p>
    <w:p w14:paraId="161FC74E" w14:textId="77777777" w:rsidR="004D1207" w:rsidRDefault="004D1207" w:rsidP="004D1207">
      <w:pPr>
        <w:pStyle w:val="Boxed1Text"/>
      </w:pPr>
      <w:bookmarkStart w:id="4" w:name="_Hlk141351891"/>
      <w:bookmarkStart w:id="5" w:name="_Hlk141352895"/>
      <w:r>
        <w:t xml:space="preserve">Use the relevant </w:t>
      </w:r>
      <w:r w:rsidRPr="009E416F">
        <w:rPr>
          <w:b/>
          <w:bCs/>
        </w:rPr>
        <w:t>template</w:t>
      </w:r>
      <w:r>
        <w:t xml:space="preserve"> as provided on our website at </w:t>
      </w:r>
      <w:hyperlink r:id="rId14" w:history="1">
        <w:r w:rsidRPr="00C25A17">
          <w:rPr>
            <w:rStyle w:val="Hyperlink"/>
            <w:rFonts w:cstheme="minorBidi"/>
          </w:rPr>
          <w:t>Commonwealth Awards for Excellence in Risk Management 2025</w:t>
        </w:r>
      </w:hyperlink>
      <w:r w:rsidRPr="00F55388">
        <w:t xml:space="preserve"> </w:t>
      </w:r>
      <w:bookmarkStart w:id="6" w:name="_Hlk141351912"/>
      <w:bookmarkStart w:id="7" w:name="_Hlk141351714"/>
      <w:bookmarkEnd w:id="4"/>
      <w:bookmarkEnd w:id="5"/>
    </w:p>
    <w:p w14:paraId="5C2DAD89" w14:textId="77777777" w:rsidR="004D1207" w:rsidRDefault="004D1207" w:rsidP="004D1207">
      <w:pPr>
        <w:pStyle w:val="Boxed1Text"/>
      </w:pPr>
      <w:r w:rsidRPr="00A6641E">
        <w:rPr>
          <w:b/>
          <w:bCs/>
        </w:rPr>
        <w:t>Submit</w:t>
      </w:r>
      <w:r>
        <w:t xml:space="preserve"> nomination/s electronically:</w:t>
      </w:r>
    </w:p>
    <w:p w14:paraId="5F67556E" w14:textId="77777777" w:rsidR="004D1207" w:rsidRPr="00810434" w:rsidRDefault="004D1207" w:rsidP="00F3797B">
      <w:pPr>
        <w:pStyle w:val="Boxed1Text"/>
        <w:numPr>
          <w:ilvl w:val="0"/>
          <w:numId w:val="6"/>
        </w:numPr>
      </w:pPr>
      <w:r>
        <w:t xml:space="preserve">to </w:t>
      </w:r>
      <w:hyperlink r:id="rId15" w:history="1">
        <w:r w:rsidRPr="00810434">
          <w:rPr>
            <w:rStyle w:val="Hyperlink"/>
            <w:rFonts w:cs="Arial"/>
            <w:bCs/>
          </w:rPr>
          <w:t>RiskAwards@finance.gov.au</w:t>
        </w:r>
      </w:hyperlink>
      <w:bookmarkEnd w:id="6"/>
      <w:r>
        <w:t xml:space="preserve"> </w:t>
      </w:r>
    </w:p>
    <w:p w14:paraId="1A45560C" w14:textId="77777777" w:rsidR="004D1207" w:rsidRPr="00A6641E" w:rsidRDefault="004D1207" w:rsidP="00F3797B">
      <w:pPr>
        <w:pStyle w:val="Boxed1Text"/>
        <w:numPr>
          <w:ilvl w:val="0"/>
          <w:numId w:val="6"/>
        </w:numPr>
        <w:rPr>
          <w:b/>
          <w:bCs/>
        </w:rPr>
      </w:pPr>
      <w:r w:rsidRPr="00A6641E">
        <w:rPr>
          <w:b/>
          <w:bCs/>
        </w:rPr>
        <w:t>by 15 September 2025</w:t>
      </w:r>
    </w:p>
    <w:bookmarkEnd w:id="2"/>
    <w:bookmarkEnd w:id="7"/>
    <w:p w14:paraId="79A65012" w14:textId="67340E79" w:rsidR="00591A33" w:rsidRPr="004A795A" w:rsidRDefault="00BF7AF2" w:rsidP="008B12DE">
      <w:pPr>
        <w:pStyle w:val="Heading2"/>
      </w:pPr>
      <w:r w:rsidRPr="004A795A">
        <w:t xml:space="preserve">All nominations should not only address the criteria but also include </w:t>
      </w:r>
      <w:r w:rsidR="00E051EF" w:rsidRPr="004A795A">
        <w:t>a b</w:t>
      </w:r>
      <w:r w:rsidR="00591A33" w:rsidRPr="004A795A">
        <w:t>rief overview</w:t>
      </w:r>
      <w:r w:rsidR="004A795A">
        <w:t>.</w:t>
      </w:r>
    </w:p>
    <w:p w14:paraId="3DB54F2E" w14:textId="6E7E2842" w:rsidR="00B06D86" w:rsidRDefault="00B06D86" w:rsidP="004C1CC9">
      <w:r w:rsidRPr="00B06D86">
        <w:t xml:space="preserve">To support your nomination, </w:t>
      </w:r>
      <w:r>
        <w:t>p</w:t>
      </w:r>
      <w:r w:rsidR="00591A33" w:rsidRPr="00664CC2">
        <w:t xml:space="preserve">lease provide a brief </w:t>
      </w:r>
      <w:r w:rsidR="00591A33" w:rsidRPr="00BF7AF2">
        <w:rPr>
          <w:b/>
          <w:bCs/>
        </w:rPr>
        <w:t>overview</w:t>
      </w:r>
      <w:r w:rsidR="00591A33">
        <w:t xml:space="preserve"> </w:t>
      </w:r>
      <w:r w:rsidR="004F529D">
        <w:t xml:space="preserve">(250 words) </w:t>
      </w:r>
      <w:r w:rsidR="00591A33" w:rsidRPr="00664CC2">
        <w:t xml:space="preserve">outlining the key points of </w:t>
      </w:r>
      <w:r w:rsidR="00591A33">
        <w:t xml:space="preserve">your entity’s </w:t>
      </w:r>
      <w:r w:rsidR="00591A33" w:rsidRPr="00664CC2">
        <w:t>nomination.</w:t>
      </w:r>
    </w:p>
    <w:p w14:paraId="6E7E7007" w14:textId="77777777" w:rsidR="00C4776C" w:rsidRDefault="00B06D86" w:rsidP="00C4776C">
      <w:r w:rsidRPr="00B06D86">
        <w:t>When writing your nomination, make it compelling, easy-to-read, and concise as it will guide judges and help us to develop educational materials from submissions</w:t>
      </w:r>
      <w:r>
        <w:t>.</w:t>
      </w:r>
    </w:p>
    <w:p w14:paraId="125C648E" w14:textId="77777777" w:rsidR="00C4776C" w:rsidRDefault="00C4776C" w:rsidP="004C1CC9">
      <w:pPr>
        <w:pStyle w:val="Heading2"/>
      </w:pPr>
    </w:p>
    <w:p w14:paraId="4BC11AED" w14:textId="01F0EA62" w:rsidR="00591A33" w:rsidRPr="00F40EDC" w:rsidRDefault="00591A33" w:rsidP="004C1CC9">
      <w:pPr>
        <w:pStyle w:val="Heading2"/>
      </w:pPr>
      <w:r w:rsidRPr="00F40EDC">
        <w:t>Criteri</w:t>
      </w:r>
      <w:r w:rsidR="00E051EF">
        <w:t>a</w:t>
      </w:r>
      <w:r w:rsidRPr="00F40EDC">
        <w:t xml:space="preserve"> 1 - Plan </w:t>
      </w:r>
    </w:p>
    <w:bookmarkEnd w:id="3"/>
    <w:p w14:paraId="63C86C46" w14:textId="4635627E" w:rsidR="0094010A" w:rsidRDefault="00F2667B" w:rsidP="004C1CC9">
      <w:pPr>
        <w:rPr>
          <w:rFonts w:eastAsiaTheme="majorEastAsia" w:cstheme="majorBidi"/>
        </w:rPr>
      </w:pPr>
      <w:r w:rsidRPr="00874CD4">
        <w:t>Th</w:t>
      </w:r>
      <w:r w:rsidR="00527551">
        <w:t xml:space="preserve">is </w:t>
      </w:r>
      <w:r w:rsidRPr="00874CD4">
        <w:t xml:space="preserve">criterion </w:t>
      </w:r>
      <w:r w:rsidR="00504E89">
        <w:t>aims to</w:t>
      </w:r>
      <w:r w:rsidRPr="00874CD4">
        <w:t xml:space="preserve"> demonstrate the approach your entity took to identify the </w:t>
      </w:r>
      <w:r w:rsidRPr="00874CD4">
        <w:rPr>
          <w:rFonts w:eastAsiaTheme="majorEastAsia" w:cstheme="majorBidi"/>
        </w:rPr>
        <w:t xml:space="preserve">risks associated with the initiative. </w:t>
      </w:r>
    </w:p>
    <w:p w14:paraId="4AAAC4BA" w14:textId="41CCAAFC" w:rsidR="00F2667B" w:rsidRPr="00874CD4" w:rsidRDefault="00F2667B" w:rsidP="004C1CC9">
      <w:r w:rsidRPr="00874CD4">
        <w:rPr>
          <w:rFonts w:eastAsiaTheme="majorEastAsia" w:cstheme="majorBidi"/>
        </w:rPr>
        <w:t xml:space="preserve">Outline </w:t>
      </w:r>
      <w:r w:rsidRPr="00874CD4">
        <w:t>the strategies</w:t>
      </w:r>
      <w:r w:rsidRPr="00874CD4">
        <w:rPr>
          <w:rFonts w:eastAsiaTheme="majorEastAsia" w:cstheme="majorBidi"/>
        </w:rPr>
        <w:t xml:space="preserve"> and</w:t>
      </w:r>
      <w:r w:rsidRPr="00874CD4">
        <w:t xml:space="preserve"> processes</w:t>
      </w:r>
      <w:r w:rsidRPr="00874CD4">
        <w:rPr>
          <w:rFonts w:eastAsiaTheme="majorEastAsia" w:cstheme="majorBidi"/>
        </w:rPr>
        <w:t xml:space="preserve"> undertaken in identifying</w:t>
      </w:r>
      <w:r w:rsidRPr="00874CD4">
        <w:t xml:space="preserve"> the risks and opportunities of implementing the initiative including </w:t>
      </w:r>
      <w:r w:rsidRPr="00874CD4">
        <w:rPr>
          <w:rFonts w:eastAsiaTheme="majorEastAsia" w:cstheme="majorBidi"/>
        </w:rPr>
        <w:t xml:space="preserve">how these were addressed as part of the approach to planning.  </w:t>
      </w:r>
    </w:p>
    <w:p w14:paraId="26F3AAD3" w14:textId="7E761DD4" w:rsidR="00150C66" w:rsidRPr="00150C66" w:rsidRDefault="005E7ACB" w:rsidP="004C1CC9">
      <w:r w:rsidRPr="00C454C1">
        <w:t xml:space="preserve">To respond to this criterion entities may demonstrate excellence by </w:t>
      </w:r>
      <w:r w:rsidR="00150C66" w:rsidRPr="00150C66">
        <w:t>provid</w:t>
      </w:r>
      <w:r w:rsidR="006F7EB9">
        <w:t>ing</w:t>
      </w:r>
      <w:r w:rsidR="00150C66" w:rsidRPr="00150C66">
        <w:t xml:space="preserve"> evidence of </w:t>
      </w:r>
      <w:r w:rsidR="00431499">
        <w:t xml:space="preserve">planning </w:t>
      </w:r>
      <w:r w:rsidR="00150C66" w:rsidRPr="00150C66">
        <w:t xml:space="preserve">activities </w:t>
      </w:r>
      <w:r w:rsidR="00431499">
        <w:t>under</w:t>
      </w:r>
      <w:r w:rsidR="00150C66" w:rsidRPr="00150C66">
        <w:t>taken that identified and considered: </w:t>
      </w:r>
    </w:p>
    <w:p w14:paraId="6CED3AB7" w14:textId="1F2AF7FE" w:rsidR="00150C66" w:rsidRPr="00150C66" w:rsidRDefault="004B4EC2" w:rsidP="00ED3712">
      <w:pPr>
        <w:pStyle w:val="Bullet1"/>
      </w:pPr>
      <w:r>
        <w:lastRenderedPageBreak/>
        <w:t xml:space="preserve">a </w:t>
      </w:r>
      <w:r w:rsidR="00F85DFA">
        <w:t>c</w:t>
      </w:r>
      <w:r w:rsidR="00150C66" w:rsidRPr="00150C66">
        <w:t>lear articulation of the problem to be solved  </w:t>
      </w:r>
    </w:p>
    <w:p w14:paraId="63F2650E" w14:textId="190DD02D" w:rsidR="00150C66" w:rsidRPr="00150C66" w:rsidRDefault="00E570DF" w:rsidP="00ED3712">
      <w:pPr>
        <w:pStyle w:val="Bullet1"/>
      </w:pPr>
      <w:r>
        <w:t xml:space="preserve">the aspects that </w:t>
      </w:r>
      <w:r w:rsidR="00150C66" w:rsidRPr="00150C66">
        <w:t>must go right to ensure successful implementation of the initiative</w:t>
      </w:r>
    </w:p>
    <w:p w14:paraId="651BBD8C" w14:textId="528E38DB" w:rsidR="00150C66" w:rsidRPr="00150C66" w:rsidRDefault="00150C66" w:rsidP="00ED3712">
      <w:pPr>
        <w:pStyle w:val="Bullet1"/>
      </w:pPr>
      <w:r w:rsidRPr="00ED3712">
        <w:t>how</w:t>
      </w:r>
      <w:r w:rsidR="00431499">
        <w:t xml:space="preserve"> identified</w:t>
      </w:r>
      <w:r w:rsidRPr="00ED3712">
        <w:t xml:space="preserve"> </w:t>
      </w:r>
      <w:r w:rsidR="0086042C" w:rsidRPr="00ED3712">
        <w:t xml:space="preserve">opportunities </w:t>
      </w:r>
      <w:r w:rsidR="00431499">
        <w:t xml:space="preserve">could be </w:t>
      </w:r>
      <w:r w:rsidRPr="00ED3712">
        <w:t>harnessed to enhance the sustainability of</w:t>
      </w:r>
      <w:r w:rsidRPr="00150C66">
        <w:t xml:space="preserve"> the initiative</w:t>
      </w:r>
    </w:p>
    <w:p w14:paraId="7443A08A" w14:textId="418CDE42" w:rsidR="00150C66" w:rsidRPr="00150C66" w:rsidRDefault="00150C66" w:rsidP="00ED3712">
      <w:pPr>
        <w:pStyle w:val="Bullet1"/>
      </w:pPr>
      <w:r w:rsidRPr="00150C66">
        <w:t>controls, risk mitigation strategies, implementation</w:t>
      </w:r>
      <w:r w:rsidR="00AF5091">
        <w:t xml:space="preserve"> strategies</w:t>
      </w:r>
      <w:r w:rsidRPr="00150C66">
        <w:t>, and contingencies </w:t>
      </w:r>
    </w:p>
    <w:p w14:paraId="125B5FF6" w14:textId="457F9769" w:rsidR="00150C66" w:rsidRDefault="00150C66" w:rsidP="00ED3712">
      <w:pPr>
        <w:pStyle w:val="Bullet1"/>
      </w:pPr>
      <w:r w:rsidRPr="00150C66">
        <w:t>how your approach</w:t>
      </w:r>
      <w:r w:rsidR="00431499">
        <w:t xml:space="preserve"> to managing risk</w:t>
      </w:r>
      <w:r w:rsidRPr="00150C66">
        <w:t xml:space="preserve"> </w:t>
      </w:r>
      <w:r w:rsidR="00216EF3">
        <w:t>would</w:t>
      </w:r>
      <w:r w:rsidRPr="00150C66">
        <w:t xml:space="preserve"> </w:t>
      </w:r>
      <w:r w:rsidR="00F85562">
        <w:t xml:space="preserve">successfully </w:t>
      </w:r>
      <w:r w:rsidRPr="00150C66">
        <w:t>deliver on the entity’s initiative.  </w:t>
      </w:r>
    </w:p>
    <w:p w14:paraId="6238A1C9" w14:textId="22C2D6A9" w:rsidR="00591A33" w:rsidRPr="00856EF5" w:rsidRDefault="00591A33" w:rsidP="004C1CC9">
      <w:pPr>
        <w:pStyle w:val="Heading2"/>
      </w:pPr>
      <w:r w:rsidRPr="00F40EDC">
        <w:t>Criteri</w:t>
      </w:r>
      <w:r w:rsidR="00E051EF">
        <w:t>a</w:t>
      </w:r>
      <w:r w:rsidRPr="00F40EDC">
        <w:t xml:space="preserve"> </w:t>
      </w:r>
      <w:r>
        <w:t>2</w:t>
      </w:r>
      <w:r w:rsidRPr="00F40EDC">
        <w:t xml:space="preserve"> - Implement</w:t>
      </w:r>
      <w:r w:rsidRPr="00856EF5">
        <w:t xml:space="preserve"> </w:t>
      </w:r>
    </w:p>
    <w:p w14:paraId="30DE78AD" w14:textId="54059E16" w:rsidR="00BA6C75" w:rsidRPr="00874CD4" w:rsidRDefault="00F80415" w:rsidP="004C1CC9">
      <w:r w:rsidRPr="00874CD4">
        <w:t>P</w:t>
      </w:r>
      <w:r w:rsidR="00822E89" w:rsidRPr="00874CD4">
        <w:t xml:space="preserve">rovide detail on how risk was successfully managed </w:t>
      </w:r>
      <w:r w:rsidR="001C32B2" w:rsidRPr="00874CD4">
        <w:t>when</w:t>
      </w:r>
      <w:r w:rsidR="00822E89" w:rsidRPr="00874CD4">
        <w:t xml:space="preserve"> implement</w:t>
      </w:r>
      <w:r w:rsidR="001C32B2" w:rsidRPr="00874CD4">
        <w:t>ing</w:t>
      </w:r>
      <w:r w:rsidR="00822E89" w:rsidRPr="00874CD4">
        <w:t xml:space="preserve"> the initiative. </w:t>
      </w:r>
    </w:p>
    <w:p w14:paraId="290701FB" w14:textId="77A8A43F" w:rsidR="00822E89" w:rsidRPr="00822E89" w:rsidRDefault="00BA6C75" w:rsidP="004C1CC9">
      <w:r>
        <w:t>To res</w:t>
      </w:r>
      <w:r w:rsidR="00822E89" w:rsidRPr="00822E89">
        <w:t>pond to this criterion</w:t>
      </w:r>
      <w:r w:rsidR="00BD1DC4">
        <w:t xml:space="preserve"> entities may</w:t>
      </w:r>
      <w:r w:rsidR="00822E89" w:rsidRPr="00822E89">
        <w:t xml:space="preserve"> demonstrate excellence by providing evidence of how: </w:t>
      </w:r>
    </w:p>
    <w:p w14:paraId="0CE3D5E6" w14:textId="07E3210A" w:rsidR="00822E89" w:rsidRPr="00822E89" w:rsidRDefault="00822E89" w:rsidP="00ED3712">
      <w:pPr>
        <w:pStyle w:val="Bullet1"/>
      </w:pPr>
      <w:r w:rsidRPr="00822E89">
        <w:t>the</w:t>
      </w:r>
      <w:r w:rsidR="00431499">
        <w:t xml:space="preserve"> risk management</w:t>
      </w:r>
      <w:r w:rsidRPr="00822E89">
        <w:t xml:space="preserve"> strategies and processes were successfully implemented or deliberately adapted to provide opportunity </w:t>
      </w:r>
    </w:p>
    <w:p w14:paraId="1B91989F" w14:textId="56295DF6" w:rsidR="00822E89" w:rsidRPr="00822E89" w:rsidRDefault="00822E89" w:rsidP="00ED3712">
      <w:pPr>
        <w:pStyle w:val="Bullet1"/>
      </w:pPr>
      <w:r w:rsidRPr="00822E89">
        <w:t>resources were monitored and deployed to successfully manage the risks to implementation</w:t>
      </w:r>
    </w:p>
    <w:p w14:paraId="3B98CADA" w14:textId="70AAC056" w:rsidR="00822E89" w:rsidRPr="00822E89" w:rsidRDefault="00822E89" w:rsidP="00ED3712">
      <w:pPr>
        <w:pStyle w:val="Bullet1"/>
      </w:pPr>
      <w:r w:rsidRPr="00822E89">
        <w:t>officials were engaged and took ownership of new strategies or processes  </w:t>
      </w:r>
    </w:p>
    <w:p w14:paraId="6FAAE4C9" w14:textId="101C68C5" w:rsidR="00822E89" w:rsidRPr="00822E89" w:rsidRDefault="00822E89" w:rsidP="00ED3712">
      <w:pPr>
        <w:pStyle w:val="Bullet1"/>
      </w:pPr>
      <w:r w:rsidRPr="00822E89">
        <w:t>controls, risk mitigation strategies and contingencies</w:t>
      </w:r>
      <w:r w:rsidR="003158F1">
        <w:t xml:space="preserve"> were </w:t>
      </w:r>
      <w:r w:rsidR="003158F1" w:rsidRPr="00822E89">
        <w:t>identifi</w:t>
      </w:r>
      <w:r w:rsidR="003158F1">
        <w:t>ed,</w:t>
      </w:r>
      <w:r w:rsidR="003158F1" w:rsidRPr="00822E89">
        <w:t xml:space="preserve"> consider</w:t>
      </w:r>
      <w:r w:rsidR="003158F1">
        <w:t>ed</w:t>
      </w:r>
      <w:r w:rsidR="003158F1" w:rsidRPr="00822E89">
        <w:t xml:space="preserve"> and implement</w:t>
      </w:r>
      <w:r w:rsidR="003158F1">
        <w:t>ed</w:t>
      </w:r>
    </w:p>
    <w:p w14:paraId="720BDC9B" w14:textId="2CEC0038" w:rsidR="00822E89" w:rsidRDefault="00822E89" w:rsidP="00ED3712">
      <w:pPr>
        <w:pStyle w:val="Bullet1"/>
      </w:pPr>
      <w:r w:rsidRPr="00822E89">
        <w:t>risk management was used to overcome implementation challenges to ensure the initiative and/or broader organisational goals</w:t>
      </w:r>
      <w:r w:rsidR="003605DB">
        <w:t xml:space="preserve"> were achieved.</w:t>
      </w:r>
    </w:p>
    <w:p w14:paraId="04E1A847" w14:textId="5A2E7B6D" w:rsidR="00591A33" w:rsidRPr="00F40EDC" w:rsidRDefault="00591A33" w:rsidP="004C1CC9">
      <w:pPr>
        <w:pStyle w:val="Heading2"/>
      </w:pPr>
      <w:r w:rsidRPr="00F40EDC">
        <w:t>Criteri</w:t>
      </w:r>
      <w:r w:rsidR="00822E89">
        <w:t>a</w:t>
      </w:r>
      <w:r w:rsidRPr="00F40EDC">
        <w:t xml:space="preserve"> </w:t>
      </w:r>
      <w:r>
        <w:t>3</w:t>
      </w:r>
      <w:r w:rsidRPr="00F40EDC">
        <w:t xml:space="preserve"> </w:t>
      </w:r>
      <w:r w:rsidR="00822E89">
        <w:t>–</w:t>
      </w:r>
      <w:r w:rsidRPr="00F40EDC">
        <w:t xml:space="preserve"> </w:t>
      </w:r>
      <w:r w:rsidR="00822E89">
        <w:t>Monitor and measure</w:t>
      </w:r>
    </w:p>
    <w:bookmarkEnd w:id="0"/>
    <w:bookmarkEnd w:id="1"/>
    <w:p w14:paraId="45E79D91" w14:textId="77777777" w:rsidR="00666DA5" w:rsidRDefault="003605DB" w:rsidP="00ED3712">
      <w:r w:rsidRPr="00874CD4">
        <w:t>A</w:t>
      </w:r>
      <w:r w:rsidR="001C0BAF" w:rsidRPr="00874CD4">
        <w:t xml:space="preserve">rticulate how </w:t>
      </w:r>
      <w:r w:rsidRPr="00874CD4">
        <w:t>your</w:t>
      </w:r>
      <w:r w:rsidR="001C0BAF" w:rsidRPr="00874CD4">
        <w:t xml:space="preserve"> entity monitored and measured the outcomes and short</w:t>
      </w:r>
      <w:r w:rsidR="009E2DF0" w:rsidRPr="00874CD4">
        <w:t xml:space="preserve"> to </w:t>
      </w:r>
      <w:r w:rsidR="001C0BAF" w:rsidRPr="00874CD4">
        <w:t xml:space="preserve">medium term benefits of the risk management approach undertaken in the initiative. </w:t>
      </w:r>
    </w:p>
    <w:p w14:paraId="102C5DD7" w14:textId="739F6B63" w:rsidR="001C0BAF" w:rsidRPr="00874CD4" w:rsidRDefault="001C0BAF" w:rsidP="00ED3712">
      <w:r w:rsidRPr="00874CD4">
        <w:t>Include evidence of the measures used to assess or track the achievements of your goals in the short term. </w:t>
      </w:r>
    </w:p>
    <w:p w14:paraId="1118AA52" w14:textId="3E3B40A2" w:rsidR="001C0BAF" w:rsidRPr="001C0BAF" w:rsidRDefault="00056EB0" w:rsidP="004C1CC9">
      <w:r w:rsidRPr="00C454C1">
        <w:t xml:space="preserve">To respond to this criterion entities must demonstrate excellence </w:t>
      </w:r>
      <w:r w:rsidR="001C0BAF" w:rsidRPr="001C0BAF">
        <w:t>by providing evidence of: </w:t>
      </w:r>
    </w:p>
    <w:p w14:paraId="7A4ABB84" w14:textId="6CFE07F9" w:rsidR="001C0BAF" w:rsidRPr="001C0BAF" w:rsidRDefault="001C0BAF" w:rsidP="00ED3712">
      <w:pPr>
        <w:pStyle w:val="Bullet1"/>
      </w:pPr>
      <w:r w:rsidRPr="001C0BAF">
        <w:t>clear performance measures used to assess or track the achievements of the initiative including: </w:t>
      </w:r>
    </w:p>
    <w:p w14:paraId="2008ABD8" w14:textId="1C89AC5C" w:rsidR="001C0BAF" w:rsidRPr="001C0BAF" w:rsidRDefault="001C0BAF" w:rsidP="00ED3712">
      <w:pPr>
        <w:pStyle w:val="Bullet2"/>
      </w:pPr>
      <w:r w:rsidRPr="001C0BAF">
        <w:t>performance data that reflects a number of phases </w:t>
      </w:r>
      <w:r w:rsidR="00431499">
        <w:t>of the initiative</w:t>
      </w:r>
      <w:r w:rsidRPr="001C0BAF">
        <w:t> </w:t>
      </w:r>
    </w:p>
    <w:p w14:paraId="07B53EBC" w14:textId="6884D9DC" w:rsidR="001C0BAF" w:rsidRPr="001C0BAF" w:rsidRDefault="001C0BAF" w:rsidP="00ED3712">
      <w:pPr>
        <w:pStyle w:val="Bullet2"/>
      </w:pPr>
      <w:r w:rsidRPr="001C0BAF">
        <w:t xml:space="preserve">any corrective actions taken </w:t>
      </w:r>
      <w:r w:rsidR="000F495B">
        <w:t>to implement</w:t>
      </w:r>
      <w:r w:rsidRPr="001C0BAF">
        <w:t xml:space="preserve"> the initiative to ensure success </w:t>
      </w:r>
    </w:p>
    <w:p w14:paraId="4F346DCA" w14:textId="4BA6B73F" w:rsidR="001C0BAF" w:rsidRPr="001C0BAF" w:rsidRDefault="001C0BAF" w:rsidP="00ED3712">
      <w:pPr>
        <w:pStyle w:val="Bullet2"/>
      </w:pPr>
      <w:r w:rsidRPr="001C0BAF">
        <w:lastRenderedPageBreak/>
        <w:t>any changes to your risk management approach because of the initiative </w:t>
      </w:r>
    </w:p>
    <w:p w14:paraId="2964C0C4" w14:textId="55D0BC0F" w:rsidR="001C0BAF" w:rsidRPr="001C0BAF" w:rsidRDefault="001C0BAF" w:rsidP="00ED3712">
      <w:pPr>
        <w:pStyle w:val="Bullet2"/>
      </w:pPr>
      <w:r w:rsidRPr="001C0BAF">
        <w:t>any benefits achieved to date or future benefits likely to emerge</w:t>
      </w:r>
      <w:r w:rsidR="000F495B">
        <w:t>.</w:t>
      </w:r>
      <w:r w:rsidRPr="001C0BAF">
        <w:t> </w:t>
      </w:r>
    </w:p>
    <w:p w14:paraId="63F0ACB2" w14:textId="30A33FD5" w:rsidR="00411FE2" w:rsidRDefault="001C0BAF" w:rsidP="00ED3712">
      <w:pPr>
        <w:pStyle w:val="Bullet1"/>
      </w:pPr>
      <w:r w:rsidRPr="001C0BAF">
        <w:t xml:space="preserve">relevant data and comparative evidence of the costs compared </w:t>
      </w:r>
      <w:r w:rsidR="00BA6913">
        <w:t>to</w:t>
      </w:r>
      <w:r w:rsidR="00BA6913" w:rsidRPr="001C0BAF">
        <w:t xml:space="preserve"> </w:t>
      </w:r>
      <w:r w:rsidRPr="001C0BAF">
        <w:t>the value of the results or benefits achieved.</w:t>
      </w:r>
    </w:p>
    <w:p w14:paraId="7B50B084" w14:textId="1CF8EE81" w:rsidR="001C0BAF" w:rsidRPr="001C0BAF" w:rsidRDefault="001C0BAF" w:rsidP="004C1CC9">
      <w:pPr>
        <w:pStyle w:val="Heading2"/>
      </w:pPr>
      <w:r w:rsidRPr="001C0BAF">
        <w:t>Criteri</w:t>
      </w:r>
      <w:r>
        <w:t>a</w:t>
      </w:r>
      <w:r w:rsidRPr="001C0BAF">
        <w:t xml:space="preserve"> 4 - Sustain </w:t>
      </w:r>
    </w:p>
    <w:p w14:paraId="6190B9BA" w14:textId="2E1EBA41" w:rsidR="001C0BAF" w:rsidRPr="00874CD4" w:rsidRDefault="00176815" w:rsidP="00472540">
      <w:r w:rsidRPr="00C454C1">
        <w:t xml:space="preserve">This criterion details </w:t>
      </w:r>
      <w:r w:rsidR="001C0BAF" w:rsidRPr="00874CD4">
        <w:t>the longer-term benefits for your entity, or the Government more broadly, result</w:t>
      </w:r>
      <w:r w:rsidR="00A84860" w:rsidRPr="00874CD4">
        <w:t>ing from</w:t>
      </w:r>
      <w:r w:rsidR="001C0BAF" w:rsidRPr="00874CD4">
        <w:t xml:space="preserve"> successfully managing risk and delivering the initiative. </w:t>
      </w:r>
    </w:p>
    <w:p w14:paraId="0832057E" w14:textId="710197BA" w:rsidR="001C0BAF" w:rsidRPr="001C0BAF" w:rsidRDefault="006D1D36" w:rsidP="004C1CC9">
      <w:r w:rsidRPr="00C454C1">
        <w:t>To respond to this criterion</w:t>
      </w:r>
      <w:r>
        <w:t>,</w:t>
      </w:r>
      <w:r w:rsidRPr="00C454C1">
        <w:t xml:space="preserve"> </w:t>
      </w:r>
      <w:r>
        <w:t>d</w:t>
      </w:r>
      <w:r w:rsidR="001C0BAF" w:rsidRPr="001C0BAF">
        <w:t>emonstrate excellence by providing evidence of: </w:t>
      </w:r>
    </w:p>
    <w:p w14:paraId="02095BFD" w14:textId="5128D078" w:rsidR="001C0BAF" w:rsidRPr="001C0BAF" w:rsidRDefault="00D22AF4" w:rsidP="006D1D36">
      <w:pPr>
        <w:pStyle w:val="Bullet1"/>
      </w:pPr>
      <w:r>
        <w:t xml:space="preserve">the </w:t>
      </w:r>
      <w:r w:rsidR="001C0BAF" w:rsidRPr="001C0BAF">
        <w:t xml:space="preserve">key outcomes </w:t>
      </w:r>
      <w:r w:rsidR="00B72DA0">
        <w:t xml:space="preserve">of the initiative </w:t>
      </w:r>
      <w:r w:rsidR="001C0BAF" w:rsidRPr="001C0BAF">
        <w:t>for your entity</w:t>
      </w:r>
    </w:p>
    <w:p w14:paraId="3C1AA8A4" w14:textId="2644C94E" w:rsidR="001C0BAF" w:rsidRPr="001C0BAF" w:rsidRDefault="001C0BAF" w:rsidP="006D1D36">
      <w:pPr>
        <w:pStyle w:val="Bullet1"/>
      </w:pPr>
      <w:r w:rsidRPr="001C0BAF">
        <w:t xml:space="preserve">how the initiative contributed to achieving </w:t>
      </w:r>
      <w:r w:rsidR="000950A6" w:rsidRPr="001C0BAF">
        <w:t xml:space="preserve">objectives </w:t>
      </w:r>
      <w:r w:rsidR="000950A6">
        <w:t xml:space="preserve">of </w:t>
      </w:r>
      <w:r w:rsidRPr="001C0BAF">
        <w:t>your entity or a whole</w:t>
      </w:r>
      <w:r w:rsidR="00A233FA">
        <w:t xml:space="preserve"> </w:t>
      </w:r>
      <w:r w:rsidRPr="001C0BAF">
        <w:t>of</w:t>
      </w:r>
      <w:r w:rsidR="00A233FA">
        <w:t xml:space="preserve"> </w:t>
      </w:r>
      <w:r w:rsidRPr="001C0BAF">
        <w:t xml:space="preserve">Government outcome – this could include the joint delivery of services or policy implementation across </w:t>
      </w:r>
      <w:proofErr w:type="gramStart"/>
      <w:r w:rsidRPr="001C0BAF">
        <w:t>a number of</w:t>
      </w:r>
      <w:proofErr w:type="gramEnd"/>
      <w:r w:rsidRPr="001C0BAF">
        <w:t xml:space="preserve"> portfolios</w:t>
      </w:r>
    </w:p>
    <w:p w14:paraId="65C46A1A" w14:textId="7FA587AD" w:rsidR="001C0BAF" w:rsidRPr="001C0BAF" w:rsidRDefault="001C0BAF" w:rsidP="006D1D36">
      <w:pPr>
        <w:pStyle w:val="Bullet1"/>
      </w:pPr>
      <w:r w:rsidRPr="001C0BAF">
        <w:t xml:space="preserve">how improvements inspired or informed risk management across other business areas, or </w:t>
      </w:r>
      <w:r w:rsidR="004A6578">
        <w:t>were</w:t>
      </w:r>
      <w:r w:rsidRPr="001C0BAF">
        <w:t xml:space="preserve"> integrated into the entity’s </w:t>
      </w:r>
      <w:r w:rsidR="004A6578" w:rsidRPr="001C0BAF">
        <w:t>business-as-usual </w:t>
      </w:r>
      <w:r w:rsidRPr="001C0BAF">
        <w:t xml:space="preserve">operations </w:t>
      </w:r>
    </w:p>
    <w:p w14:paraId="3B276613" w14:textId="68336353" w:rsidR="001C0BAF" w:rsidRPr="001C0BAF" w:rsidRDefault="001C0BAF" w:rsidP="006D1D36">
      <w:pPr>
        <w:pStyle w:val="Bullet1"/>
      </w:pPr>
      <w:r w:rsidRPr="001C0BAF">
        <w:t xml:space="preserve">lessons learned </w:t>
      </w:r>
      <w:r w:rsidR="00303A1C">
        <w:t>and</w:t>
      </w:r>
      <w:r w:rsidRPr="001C0BAF">
        <w:t xml:space="preserve"> shared across your entity or the broader APS</w:t>
      </w:r>
    </w:p>
    <w:p w14:paraId="7183BFB1" w14:textId="16765081" w:rsidR="001C0BAF" w:rsidRPr="001C0BAF" w:rsidRDefault="001C0BAF" w:rsidP="006D1D36">
      <w:pPr>
        <w:pStyle w:val="Bullet1"/>
      </w:pPr>
      <w:r w:rsidRPr="001C0BAF">
        <w:t xml:space="preserve">how the entity’s culture </w:t>
      </w:r>
      <w:r w:rsidR="00303A1C">
        <w:t>was</w:t>
      </w:r>
      <w:r w:rsidRPr="001C0BAF">
        <w:t xml:space="preserve"> </w:t>
      </w:r>
      <w:r w:rsidRPr="006D1D36">
        <w:t>enhanced</w:t>
      </w:r>
      <w:r w:rsidR="00952F98" w:rsidRPr="006D1D36">
        <w:t xml:space="preserve"> over the longer term</w:t>
      </w:r>
      <w:r w:rsidRPr="006D1D36">
        <w:t>. </w:t>
      </w:r>
    </w:p>
    <w:p w14:paraId="4D293BAE" w14:textId="77777777" w:rsidR="001C0BAF" w:rsidRPr="00BF7AF2" w:rsidRDefault="001C0BAF" w:rsidP="004C1CC9"/>
    <w:sectPr w:rsidR="001C0BAF" w:rsidRPr="00BF7AF2" w:rsidSect="00411FE2">
      <w:headerReference w:type="default" r:id="rId16"/>
      <w:footerReference w:type="default" r:id="rId17"/>
      <w:footerReference w:type="first" r:id="rId18"/>
      <w:pgSz w:w="11906" w:h="16838" w:code="9"/>
      <w:pgMar w:top="1418" w:right="1274" w:bottom="1418" w:left="1276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02301" w14:textId="77777777" w:rsidR="00376058" w:rsidRDefault="00376058" w:rsidP="004C1CC9">
      <w:r>
        <w:separator/>
      </w:r>
    </w:p>
    <w:p w14:paraId="536B8513" w14:textId="77777777" w:rsidR="00376058" w:rsidRDefault="00376058" w:rsidP="004C1CC9"/>
  </w:endnote>
  <w:endnote w:type="continuationSeparator" w:id="0">
    <w:p w14:paraId="61720FD9" w14:textId="77777777" w:rsidR="00376058" w:rsidRDefault="00376058" w:rsidP="004C1CC9">
      <w:r>
        <w:continuationSeparator/>
      </w:r>
    </w:p>
    <w:p w14:paraId="6FD6D7F6" w14:textId="77777777" w:rsidR="00376058" w:rsidRDefault="00376058" w:rsidP="004C1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D03B" w14:textId="77777777" w:rsidR="00E051EF" w:rsidRPr="00411FE2" w:rsidRDefault="00E051EF" w:rsidP="006D1D36">
    <w:pPr>
      <w:pStyle w:val="Boxed1Heading"/>
      <w:jc w:val="center"/>
    </w:pPr>
    <w:r w:rsidRPr="00411FE2">
      <w:t>Commonwealth Awards for Excellence in Risk Management 2025</w:t>
    </w:r>
  </w:p>
  <w:p w14:paraId="26107E20" w14:textId="77777777" w:rsidR="005D3E0C" w:rsidRDefault="005D3E0C" w:rsidP="006D1D36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38DE" w14:textId="0FE11745" w:rsidR="00411FE2" w:rsidRPr="00411FE2" w:rsidRDefault="00411FE2" w:rsidP="004C1CC9">
    <w:pPr>
      <w:pStyle w:val="Boxed1Heading"/>
    </w:pPr>
    <w:r w:rsidRPr="00411FE2">
      <w:t>Commonwealth Awards for Excellence in Risk Management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792A" w14:textId="77777777" w:rsidR="00376058" w:rsidRDefault="00376058" w:rsidP="004C1CC9">
      <w:pPr>
        <w:pStyle w:val="FootnoteSeparator"/>
      </w:pPr>
    </w:p>
  </w:footnote>
  <w:footnote w:type="continuationSeparator" w:id="0">
    <w:p w14:paraId="08E96019" w14:textId="77777777" w:rsidR="00376058" w:rsidRDefault="00376058" w:rsidP="004C1CC9">
      <w:r>
        <w:continuationSeparator/>
      </w:r>
    </w:p>
    <w:p w14:paraId="7C185A32" w14:textId="77777777" w:rsidR="00376058" w:rsidRDefault="00376058" w:rsidP="004C1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301D" w14:textId="77777777" w:rsidR="005D3E0C" w:rsidRDefault="005D3E0C" w:rsidP="004C1CC9">
    <w:pPr>
      <w:pStyle w:val="Header"/>
    </w:pPr>
    <w:r w:rsidRPr="00DB6D69">
      <w:t>Department of Finance</w:t>
    </w:r>
  </w:p>
  <w:p w14:paraId="1AF485AE" w14:textId="61D0BE63" w:rsidR="0082589D" w:rsidRPr="00DB6D69" w:rsidRDefault="00E051EF" w:rsidP="004C1CC9">
    <w:pPr>
      <w:pStyle w:val="Header"/>
    </w:pPr>
    <w:r>
      <w:t xml:space="preserve">Nomination criteria – </w:t>
    </w:r>
    <w:r w:rsidR="006D1D36">
      <w:t>Risk initiative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2A025793"/>
    <w:multiLevelType w:val="hybridMultilevel"/>
    <w:tmpl w:val="1688B434"/>
    <w:lvl w:ilvl="0" w:tplc="D64CB450">
      <w:start w:val="20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5" w15:restartNumberingAfterBreak="0">
    <w:nsid w:val="5FDA053C"/>
    <w:multiLevelType w:val="multilevel"/>
    <w:tmpl w:val="016A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A03355"/>
    <w:multiLevelType w:val="multilevel"/>
    <w:tmpl w:val="EC2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107305"/>
    <w:multiLevelType w:val="multilevel"/>
    <w:tmpl w:val="36D4CAE8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13634333">
    <w:abstractNumId w:val="7"/>
  </w:num>
  <w:num w:numId="2" w16cid:durableId="1827627178">
    <w:abstractNumId w:val="0"/>
  </w:num>
  <w:num w:numId="3" w16cid:durableId="670253827">
    <w:abstractNumId w:val="2"/>
  </w:num>
  <w:num w:numId="4" w16cid:durableId="715157213">
    <w:abstractNumId w:val="3"/>
  </w:num>
  <w:num w:numId="5" w16cid:durableId="1578857862">
    <w:abstractNumId w:val="4"/>
  </w:num>
  <w:num w:numId="6" w16cid:durableId="944266905">
    <w:abstractNumId w:val="1"/>
  </w:num>
  <w:num w:numId="7" w16cid:durableId="1854298787">
    <w:abstractNumId w:val="6"/>
  </w:num>
  <w:num w:numId="8" w16cid:durableId="15829139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10CFF"/>
    <w:rsid w:val="0002782F"/>
    <w:rsid w:val="0004304C"/>
    <w:rsid w:val="00045666"/>
    <w:rsid w:val="00045AA9"/>
    <w:rsid w:val="00054E4D"/>
    <w:rsid w:val="00056EB0"/>
    <w:rsid w:val="00060073"/>
    <w:rsid w:val="000603C7"/>
    <w:rsid w:val="000829F4"/>
    <w:rsid w:val="000909EA"/>
    <w:rsid w:val="000950A6"/>
    <w:rsid w:val="000A09DF"/>
    <w:rsid w:val="000A4B30"/>
    <w:rsid w:val="000A6A8B"/>
    <w:rsid w:val="000B4727"/>
    <w:rsid w:val="000C2A48"/>
    <w:rsid w:val="000C5F75"/>
    <w:rsid w:val="000D60B1"/>
    <w:rsid w:val="000F495B"/>
    <w:rsid w:val="001037F3"/>
    <w:rsid w:val="00136530"/>
    <w:rsid w:val="00137DD8"/>
    <w:rsid w:val="00150C66"/>
    <w:rsid w:val="001541EA"/>
    <w:rsid w:val="001612A4"/>
    <w:rsid w:val="00164157"/>
    <w:rsid w:val="00172B61"/>
    <w:rsid w:val="00176815"/>
    <w:rsid w:val="001928F4"/>
    <w:rsid w:val="001C0BAF"/>
    <w:rsid w:val="001C32B2"/>
    <w:rsid w:val="001D7EB4"/>
    <w:rsid w:val="001E013D"/>
    <w:rsid w:val="001E1DC0"/>
    <w:rsid w:val="001F57AB"/>
    <w:rsid w:val="0020122A"/>
    <w:rsid w:val="00216EF3"/>
    <w:rsid w:val="0028602A"/>
    <w:rsid w:val="002A27BA"/>
    <w:rsid w:val="002B7879"/>
    <w:rsid w:val="002F5017"/>
    <w:rsid w:val="00301144"/>
    <w:rsid w:val="00303A1C"/>
    <w:rsid w:val="003144EB"/>
    <w:rsid w:val="003148B7"/>
    <w:rsid w:val="003158C3"/>
    <w:rsid w:val="003158F1"/>
    <w:rsid w:val="003274CD"/>
    <w:rsid w:val="00330D72"/>
    <w:rsid w:val="0035119D"/>
    <w:rsid w:val="003605DB"/>
    <w:rsid w:val="00373058"/>
    <w:rsid w:val="00374F84"/>
    <w:rsid w:val="00376058"/>
    <w:rsid w:val="00395121"/>
    <w:rsid w:val="003A4634"/>
    <w:rsid w:val="003A71C5"/>
    <w:rsid w:val="003B0DC4"/>
    <w:rsid w:val="003B4F12"/>
    <w:rsid w:val="003C0E5E"/>
    <w:rsid w:val="003F1AFB"/>
    <w:rsid w:val="00411FE2"/>
    <w:rsid w:val="00421D28"/>
    <w:rsid w:val="00423F31"/>
    <w:rsid w:val="00431499"/>
    <w:rsid w:val="00431899"/>
    <w:rsid w:val="00437E87"/>
    <w:rsid w:val="004612C8"/>
    <w:rsid w:val="00472540"/>
    <w:rsid w:val="00473302"/>
    <w:rsid w:val="00475BFB"/>
    <w:rsid w:val="00486804"/>
    <w:rsid w:val="004A1A77"/>
    <w:rsid w:val="004A6578"/>
    <w:rsid w:val="004A795A"/>
    <w:rsid w:val="004B3775"/>
    <w:rsid w:val="004B4EC2"/>
    <w:rsid w:val="004C1CC9"/>
    <w:rsid w:val="004C2A06"/>
    <w:rsid w:val="004D1207"/>
    <w:rsid w:val="004E058F"/>
    <w:rsid w:val="004E3B87"/>
    <w:rsid w:val="004E6C60"/>
    <w:rsid w:val="004F529D"/>
    <w:rsid w:val="00504E89"/>
    <w:rsid w:val="00510921"/>
    <w:rsid w:val="00510AD3"/>
    <w:rsid w:val="00513348"/>
    <w:rsid w:val="00527551"/>
    <w:rsid w:val="00533B5D"/>
    <w:rsid w:val="005570E8"/>
    <w:rsid w:val="00576566"/>
    <w:rsid w:val="00586772"/>
    <w:rsid w:val="00591A33"/>
    <w:rsid w:val="005970EA"/>
    <w:rsid w:val="005C37F0"/>
    <w:rsid w:val="005D1C7A"/>
    <w:rsid w:val="005D2D36"/>
    <w:rsid w:val="005D3E0C"/>
    <w:rsid w:val="005E7ACB"/>
    <w:rsid w:val="005F2123"/>
    <w:rsid w:val="00623BA1"/>
    <w:rsid w:val="0063036D"/>
    <w:rsid w:val="006346BC"/>
    <w:rsid w:val="00645300"/>
    <w:rsid w:val="006466D1"/>
    <w:rsid w:val="00662D62"/>
    <w:rsid w:val="006646FF"/>
    <w:rsid w:val="00666291"/>
    <w:rsid w:val="0066652A"/>
    <w:rsid w:val="00666DA5"/>
    <w:rsid w:val="00682167"/>
    <w:rsid w:val="00693635"/>
    <w:rsid w:val="006A7D51"/>
    <w:rsid w:val="006C42AF"/>
    <w:rsid w:val="006C4DD1"/>
    <w:rsid w:val="006D1D36"/>
    <w:rsid w:val="006F5ECF"/>
    <w:rsid w:val="006F7EB9"/>
    <w:rsid w:val="00706732"/>
    <w:rsid w:val="00711D8E"/>
    <w:rsid w:val="00712672"/>
    <w:rsid w:val="007348B6"/>
    <w:rsid w:val="00734E3F"/>
    <w:rsid w:val="00736985"/>
    <w:rsid w:val="00737A13"/>
    <w:rsid w:val="00755521"/>
    <w:rsid w:val="00796F81"/>
    <w:rsid w:val="007B6200"/>
    <w:rsid w:val="007D29D9"/>
    <w:rsid w:val="007D788E"/>
    <w:rsid w:val="00801B9F"/>
    <w:rsid w:val="008030C4"/>
    <w:rsid w:val="00817482"/>
    <w:rsid w:val="00822E89"/>
    <w:rsid w:val="0082589D"/>
    <w:rsid w:val="0086042C"/>
    <w:rsid w:val="008648D6"/>
    <w:rsid w:val="00874CD4"/>
    <w:rsid w:val="00880B3F"/>
    <w:rsid w:val="008B12DE"/>
    <w:rsid w:val="008B62C7"/>
    <w:rsid w:val="008D4A99"/>
    <w:rsid w:val="0090309A"/>
    <w:rsid w:val="00905605"/>
    <w:rsid w:val="00910823"/>
    <w:rsid w:val="00913233"/>
    <w:rsid w:val="009173EF"/>
    <w:rsid w:val="0094010A"/>
    <w:rsid w:val="0094292E"/>
    <w:rsid w:val="00952F98"/>
    <w:rsid w:val="009642B4"/>
    <w:rsid w:val="0096465F"/>
    <w:rsid w:val="009A2DA7"/>
    <w:rsid w:val="009B4D3B"/>
    <w:rsid w:val="009C1AE2"/>
    <w:rsid w:val="009D7407"/>
    <w:rsid w:val="009E0866"/>
    <w:rsid w:val="009E2DF0"/>
    <w:rsid w:val="009E671E"/>
    <w:rsid w:val="00A0632B"/>
    <w:rsid w:val="00A20E8E"/>
    <w:rsid w:val="00A233FA"/>
    <w:rsid w:val="00A24A62"/>
    <w:rsid w:val="00A31C9F"/>
    <w:rsid w:val="00A57A97"/>
    <w:rsid w:val="00A84860"/>
    <w:rsid w:val="00AB19CF"/>
    <w:rsid w:val="00AC164A"/>
    <w:rsid w:val="00AD6078"/>
    <w:rsid w:val="00AF2050"/>
    <w:rsid w:val="00AF5091"/>
    <w:rsid w:val="00AF715E"/>
    <w:rsid w:val="00B06D86"/>
    <w:rsid w:val="00B5063D"/>
    <w:rsid w:val="00B51618"/>
    <w:rsid w:val="00B57E02"/>
    <w:rsid w:val="00B60352"/>
    <w:rsid w:val="00B65C07"/>
    <w:rsid w:val="00B72DA0"/>
    <w:rsid w:val="00B770C4"/>
    <w:rsid w:val="00B8091E"/>
    <w:rsid w:val="00BA1503"/>
    <w:rsid w:val="00BA4D8D"/>
    <w:rsid w:val="00BA6913"/>
    <w:rsid w:val="00BA6C75"/>
    <w:rsid w:val="00BB26C5"/>
    <w:rsid w:val="00BB5BB3"/>
    <w:rsid w:val="00BD1DC4"/>
    <w:rsid w:val="00BF1B68"/>
    <w:rsid w:val="00BF4DE6"/>
    <w:rsid w:val="00BF7AF2"/>
    <w:rsid w:val="00C24A7F"/>
    <w:rsid w:val="00C2523B"/>
    <w:rsid w:val="00C270CE"/>
    <w:rsid w:val="00C27965"/>
    <w:rsid w:val="00C3472B"/>
    <w:rsid w:val="00C41C5A"/>
    <w:rsid w:val="00C42CDE"/>
    <w:rsid w:val="00C4776C"/>
    <w:rsid w:val="00C6580D"/>
    <w:rsid w:val="00C75707"/>
    <w:rsid w:val="00C76F8B"/>
    <w:rsid w:val="00CA37B1"/>
    <w:rsid w:val="00CB1959"/>
    <w:rsid w:val="00CE7112"/>
    <w:rsid w:val="00CF265A"/>
    <w:rsid w:val="00D0296C"/>
    <w:rsid w:val="00D029E9"/>
    <w:rsid w:val="00D2253C"/>
    <w:rsid w:val="00D22869"/>
    <w:rsid w:val="00D229E3"/>
    <w:rsid w:val="00D22AF4"/>
    <w:rsid w:val="00D40117"/>
    <w:rsid w:val="00D46D82"/>
    <w:rsid w:val="00D53535"/>
    <w:rsid w:val="00D6730F"/>
    <w:rsid w:val="00DB6D69"/>
    <w:rsid w:val="00DC430B"/>
    <w:rsid w:val="00DF25F7"/>
    <w:rsid w:val="00DF29CC"/>
    <w:rsid w:val="00E051EF"/>
    <w:rsid w:val="00E357B7"/>
    <w:rsid w:val="00E44D53"/>
    <w:rsid w:val="00E53800"/>
    <w:rsid w:val="00E570DF"/>
    <w:rsid w:val="00E57D5C"/>
    <w:rsid w:val="00E6081F"/>
    <w:rsid w:val="00E60F1B"/>
    <w:rsid w:val="00E70331"/>
    <w:rsid w:val="00E71E5E"/>
    <w:rsid w:val="00EA04B2"/>
    <w:rsid w:val="00EA20F3"/>
    <w:rsid w:val="00EB584B"/>
    <w:rsid w:val="00EC4417"/>
    <w:rsid w:val="00ED3712"/>
    <w:rsid w:val="00ED43D1"/>
    <w:rsid w:val="00EE4EE1"/>
    <w:rsid w:val="00EF4574"/>
    <w:rsid w:val="00F0122E"/>
    <w:rsid w:val="00F109D6"/>
    <w:rsid w:val="00F2667B"/>
    <w:rsid w:val="00F2684E"/>
    <w:rsid w:val="00F3797B"/>
    <w:rsid w:val="00F62F45"/>
    <w:rsid w:val="00F729EF"/>
    <w:rsid w:val="00F73508"/>
    <w:rsid w:val="00F77CAE"/>
    <w:rsid w:val="00F80415"/>
    <w:rsid w:val="00F80824"/>
    <w:rsid w:val="00F85562"/>
    <w:rsid w:val="00F85DFA"/>
    <w:rsid w:val="00F96BB9"/>
    <w:rsid w:val="00FB44AA"/>
    <w:rsid w:val="00FB4C28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443B379"/>
  <w15:docId w15:val="{EC976879-B235-443A-9B8D-5677D1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C9"/>
    <w:pPr>
      <w:suppressAutoHyphens/>
      <w:spacing w:before="160" w:after="160"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051EF"/>
    <w:pPr>
      <w:outlineLvl w:val="4"/>
    </w:pPr>
    <w:rPr>
      <w:rFonts w:eastAsiaTheme="minorHAnsi"/>
      <w:i/>
      <w:color w:val="328986" w:themeColor="accent1" w:themeShade="8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591A33"/>
    <w:pPr>
      <w:numPr>
        <w:ilvl w:val="1"/>
      </w:numPr>
      <w:spacing w:before="0" w:after="480" w:line="260" w:lineRule="atLeast"/>
    </w:pPr>
    <w:rPr>
      <w:bCs w:val="0"/>
      <w:iCs/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sid w:val="00591A33"/>
    <w:rPr>
      <w:rFonts w:asciiTheme="majorHAnsi" w:eastAsiaTheme="majorEastAsia" w:hAnsiTheme="majorHAnsi" w:cstheme="majorBidi"/>
      <w:iCs/>
      <w:color w:val="1C1C1C" w:themeColor="text2"/>
      <w:sz w:val="38"/>
      <w:szCs w:val="38"/>
    </w:rPr>
  </w:style>
  <w:style w:type="paragraph" w:customStyle="1" w:styleId="Bullet1">
    <w:name w:val="Bullet 1"/>
    <w:basedOn w:val="Normal"/>
    <w:qFormat/>
    <w:rsid w:val="00ED3712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2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3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3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3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051EF"/>
    <w:rPr>
      <w:rFonts w:asciiTheme="majorHAnsi" w:hAnsiTheme="majorHAnsi" w:cstheme="majorBidi"/>
      <w:bCs/>
      <w:i/>
      <w:iCs/>
      <w:color w:val="328986" w:themeColor="accent1" w:themeShade="80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9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A3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22E"/>
    <w:rPr>
      <w:color w:val="FFD1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42B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1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skAwards@finance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government/comcover/risk-services/management/commonwealth-awards-excellence-risk-management-2025" TargetMode="External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FIN33646-1829567127-20283</_dlc_DocId>
    <_dlc_DocIdUrl xmlns="6a7e9632-768a-49bf-85ac-c69233ab2a52">
      <Url>https://financegovau.sharepoint.com/sites/M365_DoF_50033646/_layouts/15/DocIdRedir.aspx?ID=FIN33646-1829567127-20283</Url>
      <Description>FIN33646-1829567127-20283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53118-8002-480D-85B1-74BB76F2D8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2A7902-1CD8-4B03-99C0-4C4748489A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F30E291-D4E9-44E5-8440-89F1CB8596A0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31727ad0-3860-4669-af48-dcfbc76f8272"/>
    <ds:schemaRef ds:uri="http://schemas.microsoft.com/office/2006/documentManagement/types"/>
    <ds:schemaRef ds:uri="a334ba3b-e131-42d3-95f3-2728f5a41884"/>
    <ds:schemaRef ds:uri="http://schemas.microsoft.com/office/2006/metadata/properties"/>
    <ds:schemaRef ds:uri="http://schemas.openxmlformats.org/package/2006/metadata/core-properties"/>
    <ds:schemaRef ds:uri="6a7e9632-768a-49bf-85ac-c69233ab2a52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8F1D0A-8C26-4BC6-851C-12D54246D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1FAB92-44BD-45C4-B9B0-59D023C88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3576</Characters>
  <Application>Microsoft Office Word</Application>
  <DocSecurity>4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Kaylock, Kate</dc:creator>
  <cp:keywords>[SEC=OFFICIAL]</cp:keywords>
  <dc:description/>
  <cp:lastModifiedBy>Kalirajan, Sankar</cp:lastModifiedBy>
  <cp:revision>2</cp:revision>
  <cp:lastPrinted>2013-10-29T09:49:00Z</cp:lastPrinted>
  <dcterms:created xsi:type="dcterms:W3CDTF">2025-07-18T04:07:00Z</dcterms:created>
  <dcterms:modified xsi:type="dcterms:W3CDTF">2025-07-18T04:07:00Z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v=2022.1;a=SHA256;h=1219CA81295C5D430404A6188C42EF56A6722BD2D6AA3DC4B312CA6FAE4CC742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2025-03-07T00:09:30Z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36E689C400E8A4FF63652C225D259686C03CD4F51B6E22D9A4ADA1D454BCC36F</vt:lpwstr>
  </property>
  <property fmtid="{D5CDD505-2E9C-101B-9397-08002B2CF9AE}" pid="16" name="MSIP_Label_87d6481e-ccdd-4ab6-8b26-05a0df5699e7_SetDate">
    <vt:lpwstr>2025-03-07T00:09:30Z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ca6d6b8aeb174538b9e255b5fd6b3cba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EA77A0EB98DA346ADDB19D87B56B05EEA2F1CA2D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D09B76D0870148AB8ABFDA463266B0B6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31F61AB977242206706720678A394D00</vt:lpwstr>
  </property>
  <property fmtid="{D5CDD505-2E9C-101B-9397-08002B2CF9AE}" pid="32" name="PM_Hash_Salt">
    <vt:lpwstr>60297164DB756CCBCFA03336136E063F</vt:lpwstr>
  </property>
  <property fmtid="{D5CDD505-2E9C-101B-9397-08002B2CF9AE}" pid="33" name="PM_Hash_SHA1">
    <vt:lpwstr>6288EE72F7156E76FB3E143C6C14ADE70EB8B018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0x010100B7B479F47583304BA8B631462CC772D700DCD2E2F4E7B8AC42ADF0B1C1F78F75CA</vt:lpwstr>
  </property>
  <property fmtid="{D5CDD505-2E9C-101B-9397-08002B2CF9AE}" pid="37" name="TaxKeyword">
    <vt:lpwstr>14;#[SEC=OFFICIAL]|07351cc0-de73-4913-be2f-56f124cbf8bb</vt:lpwstr>
  </property>
  <property fmtid="{D5CDD505-2E9C-101B-9397-08002B2CF9AE}" pid="38" name="Organisation_x0020_Unit">
    <vt:lpwstr>1;#Risk and Insurance|d57e6791-7d45-455f-98f9-bfdff5818acb</vt:lpwstr>
  </property>
  <property fmtid="{D5CDD505-2E9C-101B-9397-08002B2CF9AE}" pid="39" name="MediaServiceImageTags">
    <vt:lpwstr/>
  </property>
  <property fmtid="{D5CDD505-2E9C-101B-9397-08002B2CF9AE}" pid="40" name="About_x0020_Entity">
    <vt:lpwstr>3;#Department of Finance|fd660e8f-8f31-49bd-92a3-d31d4da31afe</vt:lpwstr>
  </property>
  <property fmtid="{D5CDD505-2E9C-101B-9397-08002B2CF9AE}" pid="41" name="Function_x0020_and_x0020_Activity">
    <vt:lpwstr/>
  </property>
  <property fmtid="{D5CDD505-2E9C-101B-9397-08002B2CF9AE}" pid="42" name="Initiating_x0020_Entity">
    <vt:lpwstr>3;#Department of Finance|fd660e8f-8f31-49bd-92a3-d31d4da31afe</vt:lpwstr>
  </property>
  <property fmtid="{D5CDD505-2E9C-101B-9397-08002B2CF9AE}" pid="43" name="Organisation Unit">
    <vt:lpwstr>1;#Risk and Insurance|d57e6791-7d45-455f-98f9-bfdff5818acb</vt:lpwstr>
  </property>
  <property fmtid="{D5CDD505-2E9C-101B-9397-08002B2CF9AE}" pid="44" name="About Entity">
    <vt:lpwstr>3;#Department of Finance|fd660e8f-8f31-49bd-92a3-d31d4da31afe</vt:lpwstr>
  </property>
  <property fmtid="{D5CDD505-2E9C-101B-9397-08002B2CF9AE}" pid="45" name="Initiating Entity">
    <vt:lpwstr>3;#Department of Finance|fd660e8f-8f31-49bd-92a3-d31d4da31afe</vt:lpwstr>
  </property>
  <property fmtid="{D5CDD505-2E9C-101B-9397-08002B2CF9AE}" pid="46" name="Function and Activity">
    <vt:lpwstr/>
  </property>
  <property fmtid="{D5CDD505-2E9C-101B-9397-08002B2CF9AE}" pid="47" name="_dlc_DocIdItemGuid">
    <vt:lpwstr>5068f43d-847c-475b-8451-fe3d9a38a020</vt:lpwstr>
  </property>
</Properties>
</file>