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EB3E" w14:textId="2893F08D" w:rsidR="00411FE2" w:rsidRPr="00411FE2" w:rsidRDefault="00042FAE" w:rsidP="00A6641E">
      <w:pPr>
        <w:pStyle w:val="Title"/>
        <w:rPr>
          <w:noProof/>
        </w:rPr>
      </w:pPr>
      <w:bookmarkStart w:id="0" w:name="_Toc53573191"/>
      <w:bookmarkStart w:id="1" w:name="_Toc53573619"/>
      <w:r>
        <w:rPr>
          <w:noProof/>
        </w:rPr>
        <w:pict w14:anchorId="5B517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alt="Decorative background and Australian Government Department of Finance logo." style="position:absolute;margin-left:-63.75pt;margin-top:-71.55pt;width:598.5pt;height:184.4pt;z-index:-251658752;mso-position-horizontal-relative:text;mso-position-vertical-relative:text;mso-width-relative:page;mso-height-relative:page">
            <v:imagedata r:id="rId13" o:title="Short word banner"/>
          </v:shape>
        </w:pict>
      </w:r>
      <w:r w:rsidR="00591A33">
        <w:rPr>
          <w:noProof/>
        </w:rPr>
        <w:t>N</w:t>
      </w:r>
      <w:r w:rsidR="00411FE2" w:rsidRPr="00411FE2">
        <w:rPr>
          <w:noProof/>
        </w:rPr>
        <w:t>omination criteria</w:t>
      </w:r>
    </w:p>
    <w:p w14:paraId="623FF9D6" w14:textId="198AB0F3" w:rsidR="00645300" w:rsidRPr="00591A33" w:rsidRDefault="006466D1" w:rsidP="00A6641E">
      <w:pPr>
        <w:pStyle w:val="Subtitle"/>
      </w:pPr>
      <w:r>
        <w:t xml:space="preserve">Risk </w:t>
      </w:r>
      <w:r w:rsidR="0018777A">
        <w:t>in focus: Res</w:t>
      </w:r>
      <w:r w:rsidR="00EC3B23">
        <w:t xml:space="preserve">ponding to </w:t>
      </w:r>
      <w:r w:rsidR="00BF1E4D">
        <w:t xml:space="preserve">new </w:t>
      </w:r>
      <w:r w:rsidR="00EC3B23">
        <w:t xml:space="preserve">and emerging risk </w:t>
      </w:r>
    </w:p>
    <w:p w14:paraId="5D1149AD" w14:textId="77777777" w:rsidR="00411FE2" w:rsidRDefault="00411FE2" w:rsidP="00A6641E"/>
    <w:p w14:paraId="59E806B2" w14:textId="0078B6B2" w:rsidR="00A10761" w:rsidRDefault="00A10761" w:rsidP="00A10761">
      <w:pPr>
        <w:pStyle w:val="BodyText1"/>
        <w:spacing w:before="240" w:line="240" w:lineRule="auto"/>
        <w:rPr>
          <w:sz w:val="24"/>
          <w:szCs w:val="24"/>
        </w:rPr>
      </w:pPr>
      <w:r w:rsidRPr="00A10761">
        <w:rPr>
          <w:sz w:val="24"/>
          <w:szCs w:val="24"/>
        </w:rPr>
        <w:t xml:space="preserve">As part of the 2025 </w:t>
      </w:r>
      <w:r>
        <w:rPr>
          <w:sz w:val="24"/>
          <w:szCs w:val="24"/>
        </w:rPr>
        <w:t xml:space="preserve">Benchmarking program </w:t>
      </w:r>
      <w:r w:rsidRPr="00A10761">
        <w:rPr>
          <w:sz w:val="24"/>
          <w:szCs w:val="24"/>
        </w:rPr>
        <w:t xml:space="preserve">entities were asked to prioritise which sources of risk are most relevant and important to them, both from a current and emerging perspective. </w:t>
      </w:r>
    </w:p>
    <w:p w14:paraId="25EA3F17" w14:textId="177E17A8" w:rsidR="00997066" w:rsidRPr="006A0E21" w:rsidRDefault="0075472A" w:rsidP="00D87D9F">
      <w:pPr>
        <w:spacing w:before="120" w:after="120" w:line="276" w:lineRule="auto"/>
      </w:pPr>
      <w:r>
        <w:t>I</w:t>
      </w:r>
      <w:r w:rsidR="00BF1E4D">
        <w:t xml:space="preserve">n </w:t>
      </w:r>
      <w:r>
        <w:t>2025 e</w:t>
      </w:r>
      <w:r w:rsidR="00997066" w:rsidRPr="006A0E21">
        <w:t xml:space="preserve">ntities identified the following as the most significant emerging sources of risk: </w:t>
      </w:r>
    </w:p>
    <w:p w14:paraId="268318A5" w14:textId="77777777" w:rsidR="00997066" w:rsidRPr="0075472A" w:rsidRDefault="00997066" w:rsidP="00D87D9F">
      <w:pPr>
        <w:pStyle w:val="ListParagraph"/>
        <w:numPr>
          <w:ilvl w:val="0"/>
          <w:numId w:val="26"/>
        </w:numPr>
        <w:suppressAutoHyphens w:val="0"/>
        <w:spacing w:before="0" w:after="120" w:line="240" w:lineRule="atLeast"/>
        <w:ind w:left="357" w:hanging="357"/>
        <w:contextualSpacing w:val="0"/>
      </w:pPr>
      <w:r w:rsidRPr="0075472A">
        <w:t>Funding uncertainty</w:t>
      </w:r>
    </w:p>
    <w:p w14:paraId="0E5529C4" w14:textId="77777777" w:rsidR="00997066" w:rsidRPr="0075472A" w:rsidRDefault="00997066" w:rsidP="00D87D9F">
      <w:pPr>
        <w:pStyle w:val="ListParagraph"/>
        <w:numPr>
          <w:ilvl w:val="0"/>
          <w:numId w:val="26"/>
        </w:numPr>
        <w:suppressAutoHyphens w:val="0"/>
        <w:spacing w:before="0" w:after="120" w:line="240" w:lineRule="atLeast"/>
        <w:ind w:left="357" w:hanging="357"/>
        <w:contextualSpacing w:val="0"/>
      </w:pPr>
      <w:r w:rsidRPr="0075472A">
        <w:t>Cyber insecurity</w:t>
      </w:r>
    </w:p>
    <w:p w14:paraId="7430040A" w14:textId="77777777" w:rsidR="00997066" w:rsidRPr="0075472A" w:rsidRDefault="00997066" w:rsidP="00D87D9F">
      <w:pPr>
        <w:pStyle w:val="ListParagraph"/>
        <w:numPr>
          <w:ilvl w:val="0"/>
          <w:numId w:val="26"/>
        </w:numPr>
        <w:suppressAutoHyphens w:val="0"/>
        <w:spacing w:before="0" w:after="120" w:line="240" w:lineRule="atLeast"/>
        <w:ind w:left="357" w:hanging="357"/>
        <w:contextualSpacing w:val="0"/>
      </w:pPr>
      <w:r w:rsidRPr="0075472A">
        <w:t>Regulatory complexity or legislative change</w:t>
      </w:r>
    </w:p>
    <w:p w14:paraId="7117EA8B" w14:textId="77777777" w:rsidR="00997066" w:rsidRPr="006A0E21" w:rsidRDefault="00997066" w:rsidP="00D87D9F">
      <w:pPr>
        <w:pStyle w:val="ListParagraph"/>
        <w:numPr>
          <w:ilvl w:val="0"/>
          <w:numId w:val="26"/>
        </w:numPr>
        <w:suppressAutoHyphens w:val="0"/>
        <w:spacing w:before="0" w:after="120" w:line="240" w:lineRule="atLeast"/>
        <w:ind w:left="357" w:hanging="357"/>
        <w:contextualSpacing w:val="0"/>
      </w:pPr>
      <w:r w:rsidRPr="006A0E21">
        <w:t>Rapid pace of technology change</w:t>
      </w:r>
    </w:p>
    <w:p w14:paraId="3D8DBA87" w14:textId="77777777" w:rsidR="00997066" w:rsidRPr="00997066" w:rsidRDefault="00997066" w:rsidP="00D87D9F">
      <w:pPr>
        <w:pStyle w:val="ListParagraph"/>
        <w:numPr>
          <w:ilvl w:val="0"/>
          <w:numId w:val="26"/>
        </w:numPr>
        <w:suppressAutoHyphens w:val="0"/>
        <w:spacing w:before="0" w:after="120" w:line="240" w:lineRule="atLeast"/>
        <w:ind w:left="357" w:hanging="357"/>
        <w:contextualSpacing w:val="0"/>
      </w:pPr>
      <w:r w:rsidRPr="00997066">
        <w:t>Digital transformation.</w:t>
      </w:r>
    </w:p>
    <w:p w14:paraId="3A1EA97C" w14:textId="5187D309" w:rsidR="00732349" w:rsidRDefault="000E4388" w:rsidP="00A6641E">
      <w:r w:rsidRPr="00A6641E">
        <w:t xml:space="preserve">This award recognises initiatives that demonstrate </w:t>
      </w:r>
      <w:r w:rsidR="00810EAB">
        <w:t xml:space="preserve">how entities </w:t>
      </w:r>
      <w:r w:rsidR="00085C43">
        <w:t xml:space="preserve">have built </w:t>
      </w:r>
      <w:r w:rsidR="007312F4">
        <w:t xml:space="preserve">a </w:t>
      </w:r>
      <w:r w:rsidR="00085C43">
        <w:t xml:space="preserve">culture that supports open conversations regarding new or emerging risks. Entities can also demonstrate how they have embedded the capability </w:t>
      </w:r>
      <w:r w:rsidR="009E02DC">
        <w:t xml:space="preserve">(in </w:t>
      </w:r>
      <w:r w:rsidR="00085C43">
        <w:t xml:space="preserve">people and tools) to </w:t>
      </w:r>
      <w:r w:rsidR="00042FAE">
        <w:t>plan and manage</w:t>
      </w:r>
      <w:r w:rsidR="00085C43">
        <w:t xml:space="preserve"> for one or more of these new or emerging risks. </w:t>
      </w:r>
    </w:p>
    <w:p w14:paraId="70BB5DD6" w14:textId="77777777" w:rsidR="00992E7D" w:rsidRPr="00742A03" w:rsidRDefault="00992E7D" w:rsidP="00A6641E">
      <w:pPr>
        <w:pStyle w:val="Boxed1Text"/>
      </w:pPr>
      <w:bookmarkStart w:id="2" w:name="_Toc455062745"/>
      <w:r w:rsidRPr="00A6641E">
        <w:rPr>
          <w:b/>
          <w:bCs/>
        </w:rPr>
        <w:t>To</w:t>
      </w:r>
      <w:r w:rsidRPr="00742A03">
        <w:t xml:space="preserve"> </w:t>
      </w:r>
      <w:r w:rsidRPr="00A6641E">
        <w:rPr>
          <w:b/>
          <w:bCs/>
        </w:rPr>
        <w:t>nominate</w:t>
      </w:r>
      <w:r w:rsidRPr="00742A03">
        <w:t>:</w:t>
      </w:r>
    </w:p>
    <w:p w14:paraId="16FC18FC" w14:textId="03172F2F" w:rsidR="00C25A17" w:rsidRDefault="00C25A17" w:rsidP="00A6641E">
      <w:pPr>
        <w:pStyle w:val="Boxed1Text"/>
      </w:pPr>
      <w:bookmarkStart w:id="3" w:name="_Hlk141351891"/>
      <w:bookmarkStart w:id="4" w:name="_Hlk141352895"/>
      <w:r>
        <w:t xml:space="preserve">Use the </w:t>
      </w:r>
      <w:r w:rsidR="009E416F">
        <w:t xml:space="preserve">relevant </w:t>
      </w:r>
      <w:r w:rsidRPr="009E416F">
        <w:rPr>
          <w:b/>
          <w:bCs/>
        </w:rPr>
        <w:t>template</w:t>
      </w:r>
      <w:r w:rsidR="00810434">
        <w:t xml:space="preserve"> </w:t>
      </w:r>
      <w:r w:rsidR="009E416F">
        <w:t xml:space="preserve">as </w:t>
      </w:r>
      <w:r>
        <w:t xml:space="preserve">provided </w:t>
      </w:r>
      <w:r w:rsidR="009E416F">
        <w:t xml:space="preserve">on our website at </w:t>
      </w:r>
      <w:hyperlink r:id="rId14" w:history="1">
        <w:r w:rsidR="007A30C1" w:rsidRPr="00C25A17">
          <w:rPr>
            <w:rStyle w:val="Hyperlink"/>
            <w:rFonts w:cstheme="minorBidi"/>
          </w:rPr>
          <w:t>Commonwealth Awards for Excellence in Risk Management 2025</w:t>
        </w:r>
      </w:hyperlink>
      <w:r w:rsidR="00992E7D" w:rsidRPr="00F55388">
        <w:t xml:space="preserve"> </w:t>
      </w:r>
      <w:bookmarkStart w:id="5" w:name="_Hlk141351912"/>
      <w:bookmarkStart w:id="6" w:name="_Hlk141351714"/>
      <w:bookmarkEnd w:id="3"/>
      <w:bookmarkEnd w:id="4"/>
    </w:p>
    <w:p w14:paraId="06E77EBB" w14:textId="56C1A1D6" w:rsidR="00810434" w:rsidRDefault="009E416F" w:rsidP="00A6641E">
      <w:pPr>
        <w:pStyle w:val="Boxed1Text"/>
      </w:pPr>
      <w:r w:rsidRPr="00A6641E">
        <w:rPr>
          <w:b/>
          <w:bCs/>
        </w:rPr>
        <w:t>Submit</w:t>
      </w:r>
      <w:r w:rsidR="00992E7D">
        <w:t xml:space="preserve"> nomination</w:t>
      </w:r>
      <w:r w:rsidR="00F54976">
        <w:t>/</w:t>
      </w:r>
      <w:r w:rsidR="00992E7D">
        <w:t>s</w:t>
      </w:r>
      <w:r w:rsidR="00810434">
        <w:t xml:space="preserve"> </w:t>
      </w:r>
      <w:r>
        <w:t>electronically:</w:t>
      </w:r>
    </w:p>
    <w:p w14:paraId="5A9B8B83" w14:textId="1C4410E9" w:rsidR="00810434" w:rsidRPr="00810434" w:rsidRDefault="00992E7D" w:rsidP="00A6641E">
      <w:pPr>
        <w:pStyle w:val="Boxed1Text"/>
        <w:numPr>
          <w:ilvl w:val="0"/>
          <w:numId w:val="6"/>
        </w:numPr>
      </w:pPr>
      <w:r>
        <w:t xml:space="preserve">to </w:t>
      </w:r>
      <w:hyperlink r:id="rId15" w:history="1">
        <w:r w:rsidRPr="00810434">
          <w:rPr>
            <w:rStyle w:val="Hyperlink"/>
            <w:rFonts w:cs="Arial"/>
            <w:bCs/>
          </w:rPr>
          <w:t>RiskAwards@finance.gov.au</w:t>
        </w:r>
      </w:hyperlink>
      <w:bookmarkEnd w:id="5"/>
      <w:r>
        <w:t xml:space="preserve"> </w:t>
      </w:r>
    </w:p>
    <w:p w14:paraId="49EE8F1E" w14:textId="79F5827A" w:rsidR="00992E7D" w:rsidRPr="00A6641E" w:rsidRDefault="00992E7D" w:rsidP="00A6641E">
      <w:pPr>
        <w:pStyle w:val="Boxed1Text"/>
        <w:numPr>
          <w:ilvl w:val="0"/>
          <w:numId w:val="6"/>
        </w:numPr>
        <w:rPr>
          <w:b/>
          <w:bCs/>
        </w:rPr>
      </w:pPr>
      <w:r w:rsidRPr="00A6641E">
        <w:rPr>
          <w:b/>
          <w:bCs/>
        </w:rPr>
        <w:t>by 15 September 2025</w:t>
      </w:r>
    </w:p>
    <w:p w14:paraId="79A65012" w14:textId="6C64BC4D" w:rsidR="00591A33" w:rsidRDefault="00BF7AF2" w:rsidP="005E3BF3">
      <w:pPr>
        <w:pStyle w:val="Heading2"/>
      </w:pPr>
      <w:bookmarkStart w:id="7" w:name="_Toc455062746"/>
      <w:bookmarkEnd w:id="2"/>
      <w:bookmarkEnd w:id="6"/>
      <w:r w:rsidRPr="007273E7">
        <w:t xml:space="preserve">All nominations should not only address the criteria but also include </w:t>
      </w:r>
      <w:r w:rsidR="00E051EF" w:rsidRPr="007273E7">
        <w:t>a b</w:t>
      </w:r>
      <w:r w:rsidR="00591A33" w:rsidRPr="007273E7">
        <w:t>rief overview</w:t>
      </w:r>
      <w:r w:rsidR="007273E7">
        <w:t>.</w:t>
      </w:r>
    </w:p>
    <w:p w14:paraId="6763440C" w14:textId="77777777" w:rsidR="007273E7" w:rsidRPr="007273E7" w:rsidRDefault="007273E7" w:rsidP="007273E7"/>
    <w:p w14:paraId="23F4D30E" w14:textId="73D7A6E0" w:rsidR="007273E7" w:rsidRPr="007273E7" w:rsidRDefault="00111647" w:rsidP="007273E7">
      <w:pPr>
        <w:pStyle w:val="Heading2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111647">
        <w:rPr>
          <w:rFonts w:asciiTheme="minorHAnsi" w:eastAsiaTheme="minorHAnsi" w:hAnsiTheme="minorHAnsi" w:cstheme="minorBidi"/>
          <w:color w:val="auto"/>
          <w:sz w:val="24"/>
          <w:szCs w:val="24"/>
        </w:rPr>
        <w:lastRenderedPageBreak/>
        <w:t xml:space="preserve">To support your nomination, please provide a brief </w:t>
      </w:r>
      <w:r w:rsidRPr="007273E7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overview</w:t>
      </w:r>
      <w:r w:rsidRPr="00111647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(250 words) outlining the key points of your entity’s nomination. </w:t>
      </w:r>
    </w:p>
    <w:p w14:paraId="6F907EB4" w14:textId="77777777" w:rsidR="009E02DC" w:rsidRDefault="00522960" w:rsidP="00A6641E">
      <w:pPr>
        <w:pStyle w:val="Heading2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BF63E6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When writing your nomination, make it compelling, easy-to-read, and concise as it will guide judges and help us to develop educational materials from submissions. </w:t>
      </w:r>
    </w:p>
    <w:p w14:paraId="2B3568B7" w14:textId="77777777" w:rsidR="009E02DC" w:rsidRDefault="009E02DC" w:rsidP="00A6641E">
      <w:pPr>
        <w:pStyle w:val="Heading2"/>
        <w:rPr>
          <w:rFonts w:asciiTheme="minorHAnsi" w:eastAsiaTheme="minorHAnsi" w:hAnsiTheme="minorHAnsi" w:cstheme="minorBidi"/>
          <w:color w:val="auto"/>
          <w:sz w:val="24"/>
          <w:szCs w:val="24"/>
        </w:rPr>
      </w:pPr>
    </w:p>
    <w:p w14:paraId="4BC11AED" w14:textId="1559A5AC" w:rsidR="00591A33" w:rsidRPr="009E02DC" w:rsidRDefault="00591A33" w:rsidP="00A6641E">
      <w:pPr>
        <w:pStyle w:val="Heading2"/>
      </w:pPr>
      <w:r w:rsidRPr="009E02DC">
        <w:t>Criteri</w:t>
      </w:r>
      <w:r w:rsidR="00E051EF" w:rsidRPr="009E02DC">
        <w:t>a</w:t>
      </w:r>
      <w:r w:rsidRPr="009E02DC">
        <w:t xml:space="preserve"> 1 </w:t>
      </w:r>
      <w:r w:rsidR="005B4FB3" w:rsidRPr="009E02DC">
        <w:t>–</w:t>
      </w:r>
      <w:r w:rsidRPr="009E02DC">
        <w:t xml:space="preserve"> Plan </w:t>
      </w:r>
    </w:p>
    <w:p w14:paraId="1886EF01" w14:textId="78538469" w:rsidR="00A6641E" w:rsidRDefault="00EB02EE" w:rsidP="00A6641E">
      <w:r w:rsidRPr="00C454C1">
        <w:t>T</w:t>
      </w:r>
      <w:r w:rsidR="002B0149" w:rsidRPr="00C454C1">
        <w:t xml:space="preserve">his criterion </w:t>
      </w:r>
      <w:r w:rsidRPr="00C454C1">
        <w:t>aims to</w:t>
      </w:r>
      <w:r w:rsidR="002B0149" w:rsidRPr="00C454C1">
        <w:t xml:space="preserve"> demonstrate the approach your entity </w:t>
      </w:r>
      <w:r w:rsidR="00A57383">
        <w:t>took</w:t>
      </w:r>
      <w:r w:rsidR="002B0149" w:rsidRPr="00C454C1">
        <w:t xml:space="preserve"> to managing</w:t>
      </w:r>
      <w:r w:rsidR="00931D1E">
        <w:t xml:space="preserve"> one of the</w:t>
      </w:r>
      <w:r w:rsidR="002B0149" w:rsidRPr="00C454C1">
        <w:t xml:space="preserve"> </w:t>
      </w:r>
      <w:r w:rsidR="003413C1">
        <w:t xml:space="preserve">new </w:t>
      </w:r>
      <w:r w:rsidR="009F3210">
        <w:t xml:space="preserve">or emerging risks </w:t>
      </w:r>
      <w:r w:rsidR="003413C1">
        <w:t xml:space="preserve">listed above </w:t>
      </w:r>
      <w:r w:rsidR="002B0149" w:rsidRPr="00C454C1">
        <w:t>at the enterprise level</w:t>
      </w:r>
      <w:r w:rsidR="00D55D81">
        <w:t xml:space="preserve">. </w:t>
      </w:r>
      <w:r w:rsidR="002B0149" w:rsidRPr="00C454C1">
        <w:t xml:space="preserve"> </w:t>
      </w:r>
    </w:p>
    <w:p w14:paraId="7DD6917D" w14:textId="6ED2F76E" w:rsidR="00CA182A" w:rsidRPr="00C454C1" w:rsidRDefault="00CA182A" w:rsidP="00A6641E">
      <w:r w:rsidRPr="00C454C1">
        <w:t>To respond to this criterion entities m</w:t>
      </w:r>
      <w:r w:rsidR="00150FDB" w:rsidRPr="00C454C1">
        <w:t xml:space="preserve">ay </w:t>
      </w:r>
      <w:r w:rsidRPr="00C454C1">
        <w:t xml:space="preserve">demonstrate excellence by providing evidence of </w:t>
      </w:r>
      <w:r w:rsidR="009E02DC">
        <w:t>planning activities undertaken to identify and consider</w:t>
      </w:r>
      <w:r w:rsidRPr="00C454C1">
        <w:t>: </w:t>
      </w:r>
    </w:p>
    <w:p w14:paraId="35289B16" w14:textId="0225501E" w:rsidR="00B277DA" w:rsidRDefault="009E02DC" w:rsidP="00666379">
      <w:pPr>
        <w:pStyle w:val="Bullet1"/>
      </w:pPr>
      <w:r>
        <w:t>m</w:t>
      </w:r>
      <w:r w:rsidR="005B4AF2" w:rsidRPr="008B079C">
        <w:t>ethods for identifying emerging risks or opportunities and integrating them into your enti</w:t>
      </w:r>
      <w:r w:rsidR="007C59B1" w:rsidRPr="008B079C">
        <w:t>ty’s</w:t>
      </w:r>
      <w:r w:rsidR="005B4AF2" w:rsidRPr="008B079C">
        <w:t xml:space="preserve"> enterprise risk framework</w:t>
      </w:r>
      <w:r w:rsidR="00CE6795" w:rsidRPr="00CE6795">
        <w:t xml:space="preserve"> </w:t>
      </w:r>
    </w:p>
    <w:p w14:paraId="35E478C4" w14:textId="1EB38304" w:rsidR="001E177B" w:rsidRPr="00666379" w:rsidRDefault="009E02DC" w:rsidP="001E177B">
      <w:pPr>
        <w:pStyle w:val="Bullet1"/>
        <w:rPr>
          <w:color w:val="000000" w:themeColor="text1"/>
        </w:rPr>
      </w:pPr>
      <w:r>
        <w:t>e</w:t>
      </w:r>
      <w:r w:rsidR="001E177B" w:rsidRPr="00C454C1">
        <w:t xml:space="preserve">stablishing data collection and monitoring mechanisms to support </w:t>
      </w:r>
      <w:r w:rsidR="001E177B">
        <w:t xml:space="preserve">the oversight of </w:t>
      </w:r>
      <w:r w:rsidR="001E177B" w:rsidRPr="00666379">
        <w:rPr>
          <w:color w:val="000000" w:themeColor="text1"/>
        </w:rPr>
        <w:t>current and or emerging risks </w:t>
      </w:r>
    </w:p>
    <w:p w14:paraId="53D28E34" w14:textId="4C31A260" w:rsidR="001E177B" w:rsidRPr="00666379" w:rsidRDefault="009E02DC" w:rsidP="001E177B">
      <w:pPr>
        <w:pStyle w:val="Bullet1"/>
        <w:rPr>
          <w:color w:val="000000" w:themeColor="text1"/>
        </w:rPr>
      </w:pPr>
      <w:r>
        <w:rPr>
          <w:color w:val="000000" w:themeColor="text1"/>
        </w:rPr>
        <w:t>f</w:t>
      </w:r>
      <w:r w:rsidR="001E177B" w:rsidRPr="00666379">
        <w:rPr>
          <w:color w:val="000000" w:themeColor="text1"/>
        </w:rPr>
        <w:t>orecasting financial volatility and planning contingencies</w:t>
      </w:r>
    </w:p>
    <w:p w14:paraId="394D800C" w14:textId="4AB49384" w:rsidR="005110CE" w:rsidRPr="007312F4" w:rsidRDefault="009E02DC" w:rsidP="007312F4">
      <w:pPr>
        <w:pStyle w:val="Bullet1"/>
        <w:rPr>
          <w:color w:val="000000" w:themeColor="text1"/>
        </w:rPr>
      </w:pPr>
      <w:r>
        <w:rPr>
          <w:color w:val="000000" w:themeColor="text1"/>
        </w:rPr>
        <w:t>h</w:t>
      </w:r>
      <w:r w:rsidR="00531AEE" w:rsidRPr="00666379">
        <w:rPr>
          <w:color w:val="000000" w:themeColor="text1"/>
        </w:rPr>
        <w:t>ow i</w:t>
      </w:r>
      <w:r w:rsidR="005110CE" w:rsidRPr="00666379">
        <w:rPr>
          <w:color w:val="000000" w:themeColor="text1"/>
        </w:rPr>
        <w:t xml:space="preserve">nclusion of diverse perspectives </w:t>
      </w:r>
      <w:r w:rsidR="008A0646" w:rsidRPr="00666379">
        <w:rPr>
          <w:color w:val="000000" w:themeColor="text1"/>
        </w:rPr>
        <w:t>from key stakeholders</w:t>
      </w:r>
      <w:r w:rsidR="00531AEE" w:rsidRPr="00666379">
        <w:rPr>
          <w:color w:val="000000" w:themeColor="text1"/>
        </w:rPr>
        <w:t xml:space="preserve"> across the entity were </w:t>
      </w:r>
      <w:r w:rsidR="00042FAE">
        <w:rPr>
          <w:color w:val="000000" w:themeColor="text1"/>
        </w:rPr>
        <w:t>taken into account</w:t>
      </w:r>
      <w:r w:rsidR="005110CE" w:rsidRPr="00666379">
        <w:rPr>
          <w:color w:val="000000" w:themeColor="text1"/>
        </w:rPr>
        <w:t>.</w:t>
      </w:r>
    </w:p>
    <w:bookmarkEnd w:id="7"/>
    <w:p w14:paraId="6238A1C9" w14:textId="0E015046" w:rsidR="00591A33" w:rsidRDefault="00591A33" w:rsidP="00A6641E">
      <w:pPr>
        <w:pStyle w:val="Heading2"/>
      </w:pPr>
      <w:r w:rsidRPr="00F40EDC">
        <w:t>Criteri</w:t>
      </w:r>
      <w:r w:rsidR="00E051EF">
        <w:t>a</w:t>
      </w:r>
      <w:r w:rsidRPr="00F40EDC">
        <w:t xml:space="preserve"> </w:t>
      </w:r>
      <w:r>
        <w:t>2</w:t>
      </w:r>
      <w:r w:rsidRPr="00F40EDC">
        <w:t xml:space="preserve"> </w:t>
      </w:r>
      <w:r w:rsidR="005B4FB3">
        <w:t>–</w:t>
      </w:r>
      <w:r w:rsidRPr="00F40EDC">
        <w:t xml:space="preserve"> Implement</w:t>
      </w:r>
      <w:r w:rsidRPr="00856EF5">
        <w:t xml:space="preserve"> </w:t>
      </w:r>
    </w:p>
    <w:p w14:paraId="7C7E4DE2" w14:textId="4B0B9F0C" w:rsidR="00E17094" w:rsidRPr="00C454C1" w:rsidRDefault="00E17094" w:rsidP="00A6641E">
      <w:r w:rsidRPr="00C454C1">
        <w:t xml:space="preserve">This criterion will demonstrate how the strategies for managing </w:t>
      </w:r>
      <w:r w:rsidR="00ED437B">
        <w:t xml:space="preserve">new or emerging risks </w:t>
      </w:r>
      <w:r w:rsidRPr="00C454C1">
        <w:t>are successfully implemented by your entity. </w:t>
      </w:r>
    </w:p>
    <w:p w14:paraId="1AC49022" w14:textId="6A49AF3A" w:rsidR="00E17094" w:rsidRPr="00C454C1" w:rsidRDefault="00E17094" w:rsidP="00A6641E">
      <w:r w:rsidRPr="00C454C1">
        <w:t>To respond to this criterion, entities m</w:t>
      </w:r>
      <w:r w:rsidR="00D55D81">
        <w:t xml:space="preserve">ay </w:t>
      </w:r>
      <w:r w:rsidRPr="00C454C1">
        <w:t>demonstrate excellence by providing evidence of how your entity:</w:t>
      </w:r>
      <w:r w:rsidRPr="00C454C1">
        <w:rPr>
          <w:rStyle w:val="eop"/>
          <w:rFonts w:ascii="Arial" w:eastAsiaTheme="majorEastAsia" w:hAnsi="Arial" w:cs="Arial"/>
        </w:rPr>
        <w:t> </w:t>
      </w:r>
    </w:p>
    <w:p w14:paraId="01DA20A0" w14:textId="3F8654FE" w:rsidR="00E17094" w:rsidRPr="00666379" w:rsidRDefault="009E02DC" w:rsidP="00A6641E">
      <w:pPr>
        <w:pStyle w:val="Bullet1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h</w:t>
      </w:r>
      <w:r w:rsidR="00E17094" w:rsidRPr="00666379">
        <w:rPr>
          <w:rFonts w:ascii="Arial" w:hAnsi="Arial" w:cs="Arial"/>
          <w:color w:val="000000" w:themeColor="text1"/>
        </w:rPr>
        <w:t xml:space="preserve">as embedded the approach to the management of </w:t>
      </w:r>
      <w:r w:rsidR="007B1EE1" w:rsidRPr="00666379">
        <w:rPr>
          <w:rFonts w:ascii="Arial" w:hAnsi="Arial" w:cs="Arial"/>
          <w:color w:val="000000" w:themeColor="text1"/>
        </w:rPr>
        <w:t xml:space="preserve">new or emerging risks </w:t>
      </w:r>
      <w:r w:rsidR="00E17094" w:rsidRPr="00666379">
        <w:rPr>
          <w:rFonts w:ascii="Arial" w:hAnsi="Arial" w:cs="Arial"/>
          <w:color w:val="000000" w:themeColor="text1"/>
        </w:rPr>
        <w:t>into corporate or strategic planning</w:t>
      </w:r>
      <w:r w:rsidR="00E26C5E">
        <w:rPr>
          <w:rFonts w:ascii="Arial" w:hAnsi="Arial" w:cs="Arial"/>
          <w:color w:val="000000" w:themeColor="text1"/>
        </w:rPr>
        <w:t>,</w:t>
      </w:r>
      <w:r w:rsidR="00E17094" w:rsidRPr="00666379">
        <w:rPr>
          <w:rStyle w:val="eop"/>
          <w:rFonts w:ascii="Arial" w:eastAsiaTheme="majorEastAsia" w:hAnsi="Arial" w:cs="Arial"/>
          <w:color w:val="000000" w:themeColor="text1"/>
        </w:rPr>
        <w:t> </w:t>
      </w:r>
      <w:r w:rsidR="00C17BB9" w:rsidRPr="00666379">
        <w:rPr>
          <w:rStyle w:val="eop"/>
          <w:rFonts w:ascii="Arial" w:eastAsiaTheme="majorEastAsia" w:hAnsi="Arial" w:cs="Arial"/>
          <w:color w:val="000000" w:themeColor="text1"/>
        </w:rPr>
        <w:t>digital platforms or service delivery models.</w:t>
      </w:r>
    </w:p>
    <w:p w14:paraId="54BFA2B0" w14:textId="3464F59A" w:rsidR="00E17094" w:rsidRPr="00666379" w:rsidRDefault="009E02DC" w:rsidP="00A6641E">
      <w:pPr>
        <w:pStyle w:val="Bullet1"/>
        <w:rPr>
          <w:rStyle w:val="eop"/>
          <w:color w:val="000000" w:themeColor="text1"/>
        </w:rPr>
      </w:pPr>
      <w:r>
        <w:rPr>
          <w:rFonts w:ascii="Arial" w:hAnsi="Arial" w:cs="Arial"/>
          <w:color w:val="000000" w:themeColor="text1"/>
        </w:rPr>
        <w:t>e</w:t>
      </w:r>
      <w:r w:rsidR="00E17094" w:rsidRPr="00666379">
        <w:rPr>
          <w:rFonts w:ascii="Arial" w:hAnsi="Arial" w:cs="Arial"/>
          <w:color w:val="000000" w:themeColor="text1"/>
        </w:rPr>
        <w:t>ngaged leadership to promot</w:t>
      </w:r>
      <w:r>
        <w:rPr>
          <w:rFonts w:ascii="Arial" w:hAnsi="Arial" w:cs="Arial"/>
          <w:color w:val="000000" w:themeColor="text1"/>
        </w:rPr>
        <w:t>e</w:t>
      </w:r>
      <w:r w:rsidR="00E17094" w:rsidRPr="00666379">
        <w:rPr>
          <w:rFonts w:ascii="Arial" w:hAnsi="Arial" w:cs="Arial"/>
          <w:color w:val="000000" w:themeColor="text1"/>
        </w:rPr>
        <w:t xml:space="preserve"> a culture of</w:t>
      </w:r>
      <w:r w:rsidR="003270DA" w:rsidRPr="00666379">
        <w:rPr>
          <w:rFonts w:ascii="Arial" w:hAnsi="Arial" w:cs="Arial"/>
          <w:color w:val="000000" w:themeColor="text1"/>
        </w:rPr>
        <w:t xml:space="preserve"> </w:t>
      </w:r>
      <w:r w:rsidR="00447F10" w:rsidRPr="00666379">
        <w:rPr>
          <w:rFonts w:ascii="Arial" w:hAnsi="Arial" w:cs="Arial"/>
          <w:color w:val="000000" w:themeColor="text1"/>
        </w:rPr>
        <w:t xml:space="preserve">leaning into </w:t>
      </w:r>
      <w:r w:rsidR="003270DA" w:rsidRPr="00666379">
        <w:rPr>
          <w:rFonts w:ascii="Arial" w:hAnsi="Arial" w:cs="Arial"/>
          <w:color w:val="000000" w:themeColor="text1"/>
        </w:rPr>
        <w:t>new or emerging risks</w:t>
      </w:r>
      <w:r w:rsidR="00E17094" w:rsidRPr="00666379">
        <w:rPr>
          <w:rFonts w:ascii="Arial" w:hAnsi="Arial" w:cs="Arial"/>
          <w:color w:val="000000" w:themeColor="text1"/>
        </w:rPr>
        <w:t>.</w:t>
      </w:r>
      <w:r w:rsidR="00E17094" w:rsidRPr="00666379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14466946" w14:textId="78DF996A" w:rsidR="0004484E" w:rsidRPr="00666379" w:rsidRDefault="009E02DC" w:rsidP="00A6641E">
      <w:pPr>
        <w:pStyle w:val="Bullet1"/>
        <w:rPr>
          <w:color w:val="000000" w:themeColor="text1"/>
        </w:rPr>
      </w:pPr>
      <w:r>
        <w:rPr>
          <w:color w:val="000000" w:themeColor="text1"/>
          <w:lang w:eastAsia="en-AU"/>
        </w:rPr>
        <w:t>u</w:t>
      </w:r>
      <w:r w:rsidR="0004484E" w:rsidRPr="00666379">
        <w:rPr>
          <w:color w:val="000000" w:themeColor="text1"/>
          <w:lang w:eastAsia="en-AU"/>
        </w:rPr>
        <w:t>se</w:t>
      </w:r>
      <w:r>
        <w:rPr>
          <w:color w:val="000000" w:themeColor="text1"/>
          <w:lang w:eastAsia="en-AU"/>
        </w:rPr>
        <w:t>d</w:t>
      </w:r>
      <w:r w:rsidR="0004484E" w:rsidRPr="00666379">
        <w:rPr>
          <w:color w:val="000000" w:themeColor="text1"/>
          <w:lang w:eastAsia="en-AU"/>
        </w:rPr>
        <w:t xml:space="preserve"> risk indicators or predictive analytics to inform decision-making</w:t>
      </w:r>
    </w:p>
    <w:p w14:paraId="12EE4445" w14:textId="37574339" w:rsidR="0004484E" w:rsidRPr="00666379" w:rsidRDefault="0004484E" w:rsidP="00603111">
      <w:pPr>
        <w:pStyle w:val="Bullet1"/>
        <w:rPr>
          <w:rFonts w:ascii="Arial" w:hAnsi="Arial" w:cs="Arial"/>
          <w:color w:val="000000" w:themeColor="text1"/>
        </w:rPr>
      </w:pPr>
      <w:r w:rsidRPr="00666379">
        <w:rPr>
          <w:rFonts w:ascii="Arial" w:hAnsi="Arial" w:cs="Arial"/>
          <w:color w:val="000000" w:themeColor="text1"/>
        </w:rPr>
        <w:t xml:space="preserve">built organisational capacity to respond </w:t>
      </w:r>
      <w:r w:rsidR="00111B11" w:rsidRPr="00666379">
        <w:rPr>
          <w:rFonts w:ascii="Arial" w:hAnsi="Arial" w:cs="Arial"/>
          <w:color w:val="000000" w:themeColor="text1"/>
        </w:rPr>
        <w:t xml:space="preserve">to </w:t>
      </w:r>
      <w:r w:rsidR="00E83104" w:rsidRPr="00666379">
        <w:rPr>
          <w:rFonts w:ascii="Arial" w:hAnsi="Arial" w:cs="Arial"/>
          <w:color w:val="000000" w:themeColor="text1"/>
        </w:rPr>
        <w:t>a new or emerging risk</w:t>
      </w:r>
      <w:r w:rsidRPr="00666379">
        <w:rPr>
          <w:rFonts w:ascii="Arial" w:hAnsi="Arial" w:cs="Arial"/>
          <w:color w:val="000000" w:themeColor="text1"/>
        </w:rPr>
        <w:t xml:space="preserve"> (e.g., training, leadership engagement, cross-functional collaboration).</w:t>
      </w:r>
    </w:p>
    <w:p w14:paraId="3467F351" w14:textId="73906189" w:rsidR="0004484E" w:rsidRPr="007312F4" w:rsidRDefault="009E02DC" w:rsidP="007312F4">
      <w:pPr>
        <w:pStyle w:val="Bullet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="002045C9" w:rsidRPr="00666379">
        <w:rPr>
          <w:rFonts w:ascii="Arial" w:hAnsi="Arial" w:cs="Arial"/>
          <w:color w:val="000000" w:themeColor="text1"/>
        </w:rPr>
        <w:t>evelop</w:t>
      </w:r>
      <w:r>
        <w:rPr>
          <w:rFonts w:ascii="Arial" w:hAnsi="Arial" w:cs="Arial"/>
          <w:color w:val="000000" w:themeColor="text1"/>
        </w:rPr>
        <w:t>ed</w:t>
      </w:r>
      <w:r w:rsidR="002045C9" w:rsidRPr="00666379">
        <w:rPr>
          <w:rFonts w:ascii="Arial" w:hAnsi="Arial" w:cs="Arial"/>
          <w:color w:val="000000" w:themeColor="text1"/>
        </w:rPr>
        <w:t xml:space="preserve"> and implement</w:t>
      </w:r>
      <w:r w:rsidR="00042FAE">
        <w:rPr>
          <w:rFonts w:ascii="Arial" w:hAnsi="Arial" w:cs="Arial"/>
          <w:color w:val="000000" w:themeColor="text1"/>
        </w:rPr>
        <w:t>ed</w:t>
      </w:r>
      <w:r w:rsidR="002045C9" w:rsidRPr="00666379">
        <w:rPr>
          <w:rFonts w:ascii="Arial" w:hAnsi="Arial" w:cs="Arial"/>
          <w:color w:val="000000" w:themeColor="text1"/>
        </w:rPr>
        <w:t xml:space="preserve"> </w:t>
      </w:r>
      <w:r w:rsidR="00837241" w:rsidRPr="00666379">
        <w:rPr>
          <w:rFonts w:ascii="Arial" w:hAnsi="Arial" w:cs="Arial"/>
          <w:color w:val="000000" w:themeColor="text1"/>
        </w:rPr>
        <w:t>treatm</w:t>
      </w:r>
      <w:r w:rsidR="005E03EA" w:rsidRPr="00666379">
        <w:rPr>
          <w:rFonts w:ascii="Arial" w:hAnsi="Arial" w:cs="Arial"/>
          <w:color w:val="000000" w:themeColor="text1"/>
        </w:rPr>
        <w:t xml:space="preserve">ent </w:t>
      </w:r>
      <w:r w:rsidR="00603111" w:rsidRPr="00666379">
        <w:rPr>
          <w:rFonts w:ascii="Arial" w:hAnsi="Arial" w:cs="Arial"/>
          <w:color w:val="000000" w:themeColor="text1"/>
        </w:rPr>
        <w:t xml:space="preserve">strategies in response to </w:t>
      </w:r>
      <w:r w:rsidR="005E03EA" w:rsidRPr="00666379">
        <w:rPr>
          <w:rFonts w:ascii="Arial" w:hAnsi="Arial" w:cs="Arial"/>
          <w:color w:val="000000" w:themeColor="text1"/>
        </w:rPr>
        <w:t>the new or emerging risk thi</w:t>
      </w:r>
      <w:r w:rsidR="00007FF0" w:rsidRPr="00666379">
        <w:rPr>
          <w:rFonts w:ascii="Arial" w:hAnsi="Arial" w:cs="Arial"/>
          <w:color w:val="000000" w:themeColor="text1"/>
        </w:rPr>
        <w:t>s</w:t>
      </w:r>
      <w:r w:rsidR="005E03EA" w:rsidRPr="00666379">
        <w:rPr>
          <w:rFonts w:ascii="Arial" w:hAnsi="Arial" w:cs="Arial"/>
          <w:color w:val="000000" w:themeColor="text1"/>
        </w:rPr>
        <w:t xml:space="preserve"> could include </w:t>
      </w:r>
      <w:r w:rsidR="00603111" w:rsidRPr="00666379">
        <w:rPr>
          <w:rFonts w:ascii="Arial" w:hAnsi="Arial" w:cs="Arial"/>
          <w:color w:val="000000" w:themeColor="text1"/>
        </w:rPr>
        <w:t xml:space="preserve">technology disruption or legislative </w:t>
      </w:r>
      <w:r w:rsidR="002045C9" w:rsidRPr="00666379">
        <w:rPr>
          <w:rFonts w:ascii="Arial" w:hAnsi="Arial" w:cs="Arial"/>
          <w:color w:val="000000" w:themeColor="text1"/>
        </w:rPr>
        <w:t xml:space="preserve">changes </w:t>
      </w:r>
    </w:p>
    <w:p w14:paraId="04E1A847" w14:textId="713B2203" w:rsidR="00591A33" w:rsidRDefault="00591A33" w:rsidP="00A6641E">
      <w:pPr>
        <w:pStyle w:val="Heading2"/>
      </w:pPr>
      <w:r w:rsidRPr="00F40EDC">
        <w:lastRenderedPageBreak/>
        <w:t>Criteri</w:t>
      </w:r>
      <w:r w:rsidR="00822E89">
        <w:t>a</w:t>
      </w:r>
      <w:r w:rsidRPr="00F40EDC">
        <w:t xml:space="preserve"> </w:t>
      </w:r>
      <w:r>
        <w:t>3</w:t>
      </w:r>
      <w:r w:rsidRPr="00F40EDC">
        <w:t xml:space="preserve"> </w:t>
      </w:r>
      <w:r w:rsidR="00822E89">
        <w:t>–</w:t>
      </w:r>
      <w:r w:rsidRPr="00F40EDC">
        <w:t xml:space="preserve"> </w:t>
      </w:r>
      <w:r w:rsidR="00822E89">
        <w:t>Monitor and measure</w:t>
      </w:r>
    </w:p>
    <w:p w14:paraId="7EDA30FB" w14:textId="49F4F9B8" w:rsidR="004A0776" w:rsidRDefault="007E56A6" w:rsidP="00A6641E">
      <w:r>
        <w:t>Articulate</w:t>
      </w:r>
      <w:r w:rsidR="00E3011D" w:rsidRPr="00C454C1">
        <w:t xml:space="preserve"> how your entity monitors and measures your entit</w:t>
      </w:r>
      <w:r w:rsidR="0033250F">
        <w:t>y’</w:t>
      </w:r>
      <w:r w:rsidR="00E3011D" w:rsidRPr="00C454C1">
        <w:t xml:space="preserve">s </w:t>
      </w:r>
      <w:r w:rsidR="00074121">
        <w:t xml:space="preserve">approach to managing new or emerging risks </w:t>
      </w:r>
      <w:r w:rsidR="00E3011D" w:rsidRPr="00C454C1">
        <w:t xml:space="preserve">as it relates to your nomination. </w:t>
      </w:r>
    </w:p>
    <w:p w14:paraId="76F6DBCD" w14:textId="7FD989DC" w:rsidR="00E3011D" w:rsidRPr="00C454C1" w:rsidRDefault="00E3011D" w:rsidP="00A6641E">
      <w:r w:rsidRPr="00C454C1">
        <w:t xml:space="preserve">This may include activities such as </w:t>
      </w:r>
      <w:r w:rsidR="003B2F38">
        <w:t xml:space="preserve">identifying </w:t>
      </w:r>
      <w:r w:rsidRPr="00C454C1">
        <w:t>specific performance measures and governance oversight mechanisms. </w:t>
      </w:r>
    </w:p>
    <w:p w14:paraId="2791613E" w14:textId="373D1F57" w:rsidR="00E3011D" w:rsidRPr="00666379" w:rsidRDefault="00E3011D" w:rsidP="00A6641E">
      <w:pPr>
        <w:rPr>
          <w:color w:val="000000" w:themeColor="text1"/>
        </w:rPr>
      </w:pPr>
      <w:r w:rsidRPr="00666379">
        <w:rPr>
          <w:color w:val="000000" w:themeColor="text1"/>
        </w:rPr>
        <w:t>To respond to this criterion entities m</w:t>
      </w:r>
      <w:r w:rsidR="00D55D81" w:rsidRPr="00666379">
        <w:rPr>
          <w:color w:val="000000" w:themeColor="text1"/>
        </w:rPr>
        <w:t xml:space="preserve">ay </w:t>
      </w:r>
      <w:r w:rsidRPr="00666379">
        <w:rPr>
          <w:color w:val="000000" w:themeColor="text1"/>
        </w:rPr>
        <w:t>demonstrate excellence by providing evidence of:</w:t>
      </w:r>
      <w:r w:rsidRPr="00666379">
        <w:rPr>
          <w:rStyle w:val="eop"/>
          <w:rFonts w:ascii="Arial" w:hAnsi="Arial" w:cs="Arial"/>
          <w:color w:val="000000" w:themeColor="text1"/>
        </w:rPr>
        <w:t> </w:t>
      </w:r>
    </w:p>
    <w:p w14:paraId="0F4C41BF" w14:textId="4097C4F0" w:rsidR="00E3011D" w:rsidRPr="00666379" w:rsidRDefault="009E02DC" w:rsidP="00A6641E">
      <w:pPr>
        <w:pStyle w:val="Bullet1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w</w:t>
      </w:r>
      <w:r w:rsidR="00C900CB" w:rsidRPr="00666379">
        <w:rPr>
          <w:rFonts w:ascii="Arial" w:hAnsi="Arial" w:cs="Arial"/>
          <w:color w:val="000000" w:themeColor="text1"/>
        </w:rPr>
        <w:t xml:space="preserve">hether </w:t>
      </w:r>
      <w:r w:rsidR="00E3011D" w:rsidRPr="00666379">
        <w:rPr>
          <w:rFonts w:ascii="Arial" w:hAnsi="Arial" w:cs="Arial"/>
          <w:color w:val="000000" w:themeColor="text1"/>
        </w:rPr>
        <w:t xml:space="preserve">the strategies and processes described in the </w:t>
      </w:r>
      <w:r w:rsidR="003D4731" w:rsidRPr="00666379">
        <w:rPr>
          <w:rFonts w:ascii="Arial" w:hAnsi="Arial" w:cs="Arial"/>
          <w:color w:val="000000" w:themeColor="text1"/>
        </w:rPr>
        <w:t xml:space="preserve">planning and implementation </w:t>
      </w:r>
      <w:r w:rsidR="00D52227" w:rsidRPr="00666379">
        <w:rPr>
          <w:rFonts w:ascii="Arial" w:hAnsi="Arial" w:cs="Arial"/>
          <w:color w:val="000000" w:themeColor="text1"/>
        </w:rPr>
        <w:t xml:space="preserve">for the management of the new or emerging risk </w:t>
      </w:r>
      <w:r w:rsidR="00E3011D" w:rsidRPr="00666379">
        <w:rPr>
          <w:rFonts w:ascii="Arial" w:hAnsi="Arial" w:cs="Arial"/>
          <w:color w:val="000000" w:themeColor="text1"/>
        </w:rPr>
        <w:t xml:space="preserve">were </w:t>
      </w:r>
      <w:r w:rsidR="00E26C5E" w:rsidRPr="00666379">
        <w:rPr>
          <w:rFonts w:ascii="Arial" w:hAnsi="Arial" w:cs="Arial"/>
          <w:color w:val="000000" w:themeColor="text1"/>
        </w:rPr>
        <w:t>successful or</w:t>
      </w:r>
      <w:r w:rsidR="00E3011D" w:rsidRPr="00666379">
        <w:rPr>
          <w:rFonts w:ascii="Arial" w:hAnsi="Arial" w:cs="Arial"/>
          <w:color w:val="000000" w:themeColor="text1"/>
        </w:rPr>
        <w:t xml:space="preserve"> </w:t>
      </w:r>
      <w:r w:rsidR="005E2F76" w:rsidRPr="00666379">
        <w:rPr>
          <w:rFonts w:ascii="Arial" w:hAnsi="Arial" w:cs="Arial"/>
          <w:color w:val="000000" w:themeColor="text1"/>
        </w:rPr>
        <w:t xml:space="preserve">had to be adapted. </w:t>
      </w:r>
    </w:p>
    <w:p w14:paraId="7A9694EC" w14:textId="36C71095" w:rsidR="00E3011D" w:rsidRPr="00666379" w:rsidRDefault="009E02DC" w:rsidP="00A6641E">
      <w:pPr>
        <w:pStyle w:val="Bullet1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w</w:t>
      </w:r>
      <w:r w:rsidR="00887E84" w:rsidRPr="00666379">
        <w:rPr>
          <w:rFonts w:ascii="Arial" w:hAnsi="Arial" w:cs="Arial"/>
          <w:color w:val="000000" w:themeColor="text1"/>
        </w:rPr>
        <w:t xml:space="preserve">hat KPI’s including qualitative and quantitative </w:t>
      </w:r>
      <w:r w:rsidR="00E26C5E" w:rsidRPr="00666379">
        <w:rPr>
          <w:rFonts w:ascii="Arial" w:hAnsi="Arial" w:cs="Arial"/>
          <w:color w:val="000000" w:themeColor="text1"/>
        </w:rPr>
        <w:t>assessments</w:t>
      </w:r>
      <w:r w:rsidR="00E26C5E" w:rsidRPr="00666379">
        <w:rPr>
          <w:rStyle w:val="eop"/>
          <w:rFonts w:ascii="Arial" w:hAnsi="Arial" w:cs="Arial"/>
          <w:color w:val="000000" w:themeColor="text1"/>
        </w:rPr>
        <w:t xml:space="preserve"> have</w:t>
      </w:r>
      <w:r w:rsidR="00887E84" w:rsidRPr="00666379">
        <w:rPr>
          <w:rFonts w:ascii="Arial" w:hAnsi="Arial" w:cs="Arial"/>
          <w:color w:val="000000" w:themeColor="text1"/>
        </w:rPr>
        <w:t xml:space="preserve"> been developed to measure the </w:t>
      </w:r>
      <w:r w:rsidR="00E3011D" w:rsidRPr="00666379">
        <w:rPr>
          <w:rFonts w:ascii="Arial" w:hAnsi="Arial" w:cs="Arial"/>
          <w:color w:val="000000" w:themeColor="text1"/>
        </w:rPr>
        <w:t>success</w:t>
      </w:r>
      <w:r w:rsidR="00DB523B" w:rsidRPr="00666379">
        <w:rPr>
          <w:rFonts w:ascii="Arial" w:hAnsi="Arial" w:cs="Arial"/>
          <w:color w:val="000000" w:themeColor="text1"/>
        </w:rPr>
        <w:t xml:space="preserve"> of your entity’s approach to managing new or emerging risk.</w:t>
      </w:r>
      <w:r w:rsidR="00E3011D" w:rsidRPr="00666379">
        <w:rPr>
          <w:rFonts w:ascii="Arial" w:hAnsi="Arial" w:cs="Arial"/>
          <w:color w:val="000000" w:themeColor="text1"/>
        </w:rPr>
        <w:t xml:space="preserve"> </w:t>
      </w:r>
    </w:p>
    <w:p w14:paraId="5ED8A7D7" w14:textId="170DF86D" w:rsidR="0008371A" w:rsidRPr="007312F4" w:rsidRDefault="009E02DC" w:rsidP="007312F4">
      <w:pPr>
        <w:pStyle w:val="Bullet1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h</w:t>
      </w:r>
      <w:r w:rsidR="00E3011D" w:rsidRPr="00666379">
        <w:rPr>
          <w:rFonts w:ascii="Arial" w:hAnsi="Arial" w:cs="Arial"/>
          <w:color w:val="000000" w:themeColor="text1"/>
        </w:rPr>
        <w:t xml:space="preserve">ow </w:t>
      </w:r>
      <w:r w:rsidR="002B5DB8" w:rsidRPr="00666379">
        <w:rPr>
          <w:rFonts w:ascii="Arial" w:hAnsi="Arial" w:cs="Arial"/>
          <w:color w:val="000000" w:themeColor="text1"/>
        </w:rPr>
        <w:t xml:space="preserve">the oversight of new and emerging risk </w:t>
      </w:r>
      <w:r w:rsidR="00E3011D" w:rsidRPr="00666379">
        <w:rPr>
          <w:rFonts w:ascii="Arial" w:hAnsi="Arial" w:cs="Arial"/>
          <w:color w:val="000000" w:themeColor="text1"/>
        </w:rPr>
        <w:t xml:space="preserve">was communicated to all </w:t>
      </w:r>
      <w:r w:rsidR="002B5DB8" w:rsidRPr="00666379">
        <w:rPr>
          <w:rFonts w:ascii="Arial" w:hAnsi="Arial" w:cs="Arial"/>
          <w:color w:val="000000" w:themeColor="text1"/>
        </w:rPr>
        <w:t xml:space="preserve">officials for consideration in their </w:t>
      </w:r>
      <w:r w:rsidR="00E26C5E" w:rsidRPr="00666379">
        <w:rPr>
          <w:rFonts w:ascii="Arial" w:hAnsi="Arial" w:cs="Arial"/>
          <w:color w:val="000000" w:themeColor="text1"/>
        </w:rPr>
        <w:t>day-to-day</w:t>
      </w:r>
      <w:r w:rsidR="002B5DB8" w:rsidRPr="00666379">
        <w:rPr>
          <w:rFonts w:ascii="Arial" w:hAnsi="Arial" w:cs="Arial"/>
          <w:color w:val="000000" w:themeColor="text1"/>
        </w:rPr>
        <w:t xml:space="preserve"> responsibilities. </w:t>
      </w:r>
    </w:p>
    <w:bookmarkEnd w:id="0"/>
    <w:bookmarkEnd w:id="1"/>
    <w:p w14:paraId="7B50B084" w14:textId="7B175F8F" w:rsidR="001C0BAF" w:rsidRDefault="001C0BAF" w:rsidP="00A6641E">
      <w:pPr>
        <w:pStyle w:val="Heading2"/>
      </w:pPr>
      <w:r w:rsidRPr="001C0BAF">
        <w:t>Criteri</w:t>
      </w:r>
      <w:r>
        <w:t>a</w:t>
      </w:r>
      <w:r w:rsidRPr="001C0BAF">
        <w:t xml:space="preserve"> 4 </w:t>
      </w:r>
      <w:r w:rsidR="005B4FB3">
        <w:t>–</w:t>
      </w:r>
      <w:r w:rsidRPr="001C0BAF">
        <w:t xml:space="preserve"> Sustain </w:t>
      </w:r>
    </w:p>
    <w:p w14:paraId="34D681F9" w14:textId="77777777" w:rsidR="00D55D81" w:rsidRPr="00666379" w:rsidRDefault="009C70DE" w:rsidP="00D55D81">
      <w:pPr>
        <w:rPr>
          <w:color w:val="000000" w:themeColor="text1"/>
        </w:rPr>
      </w:pPr>
      <w:r w:rsidRPr="00666379">
        <w:rPr>
          <w:color w:val="000000" w:themeColor="text1"/>
        </w:rPr>
        <w:t>This criterion details the longer-term benefits for your entity, or the Government more broadly. </w:t>
      </w:r>
    </w:p>
    <w:p w14:paraId="76E0447D" w14:textId="57CB7F11" w:rsidR="00D55D81" w:rsidRPr="00666379" w:rsidRDefault="00D55D81" w:rsidP="00D55D81">
      <w:pPr>
        <w:rPr>
          <w:color w:val="000000" w:themeColor="text1"/>
        </w:rPr>
      </w:pPr>
      <w:r w:rsidRPr="00666379">
        <w:rPr>
          <w:color w:val="000000" w:themeColor="text1"/>
        </w:rPr>
        <w:t>To respond to this criterion entities may demonstrate excellence by providing evidence of:</w:t>
      </w:r>
      <w:r w:rsidRPr="00666379">
        <w:rPr>
          <w:rStyle w:val="eop"/>
          <w:rFonts w:ascii="Arial" w:hAnsi="Arial" w:cs="Arial"/>
          <w:color w:val="000000" w:themeColor="text1"/>
        </w:rPr>
        <w:t> </w:t>
      </w:r>
    </w:p>
    <w:p w14:paraId="765AD98E" w14:textId="37D352A0" w:rsidR="009C70DE" w:rsidRPr="00666379" w:rsidRDefault="009E02DC" w:rsidP="00804922">
      <w:pPr>
        <w:pStyle w:val="Bullet1"/>
        <w:rPr>
          <w:color w:val="000000" w:themeColor="text1"/>
        </w:rPr>
      </w:pPr>
      <w:r>
        <w:rPr>
          <w:rStyle w:val="normaltextrun"/>
          <w:color w:val="000000" w:themeColor="text1"/>
        </w:rPr>
        <w:t>w</w:t>
      </w:r>
      <w:r w:rsidR="009C70DE" w:rsidRPr="00666379">
        <w:rPr>
          <w:rStyle w:val="normaltextrun"/>
          <w:color w:val="000000" w:themeColor="text1"/>
        </w:rPr>
        <w:t>here lessons learned have been shared across your entity or the broader APS</w:t>
      </w:r>
      <w:r w:rsidR="009C70DE" w:rsidRPr="00666379">
        <w:rPr>
          <w:rStyle w:val="eop"/>
          <w:color w:val="000000" w:themeColor="text1"/>
        </w:rPr>
        <w:t> </w:t>
      </w:r>
    </w:p>
    <w:p w14:paraId="16590663" w14:textId="72F879D1" w:rsidR="009C70DE" w:rsidRPr="00666379" w:rsidRDefault="009E02DC" w:rsidP="00804922">
      <w:pPr>
        <w:pStyle w:val="Bullet1"/>
        <w:rPr>
          <w:color w:val="000000" w:themeColor="text1"/>
        </w:rPr>
      </w:pPr>
      <w:r>
        <w:rPr>
          <w:rStyle w:val="normaltextrun"/>
          <w:color w:val="000000" w:themeColor="text1"/>
        </w:rPr>
        <w:t>h</w:t>
      </w:r>
      <w:r w:rsidR="009C70DE" w:rsidRPr="00666379">
        <w:rPr>
          <w:rStyle w:val="normaltextrun"/>
          <w:color w:val="000000" w:themeColor="text1"/>
        </w:rPr>
        <w:t xml:space="preserve">ow improvements </w:t>
      </w:r>
      <w:r w:rsidR="008B40D9" w:rsidRPr="00666379">
        <w:rPr>
          <w:rStyle w:val="normaltextrun"/>
          <w:color w:val="000000" w:themeColor="text1"/>
        </w:rPr>
        <w:t xml:space="preserve">for ongoing consideration of new or emerging risks </w:t>
      </w:r>
      <w:r w:rsidR="009C70DE" w:rsidRPr="00666379">
        <w:rPr>
          <w:rStyle w:val="normaltextrun"/>
          <w:color w:val="000000" w:themeColor="text1"/>
        </w:rPr>
        <w:t>have been integrated into the entity’s operations as business-as-usual</w:t>
      </w:r>
      <w:r w:rsidR="008B4E15" w:rsidRPr="00666379">
        <w:rPr>
          <w:rStyle w:val="eop"/>
          <w:color w:val="000000" w:themeColor="text1"/>
        </w:rPr>
        <w:t>.</w:t>
      </w:r>
    </w:p>
    <w:sectPr w:rsidR="009C70DE" w:rsidRPr="00666379" w:rsidSect="00411FE2">
      <w:headerReference w:type="default" r:id="rId16"/>
      <w:footerReference w:type="default" r:id="rId17"/>
      <w:footerReference w:type="first" r:id="rId18"/>
      <w:pgSz w:w="11906" w:h="16838" w:code="9"/>
      <w:pgMar w:top="1418" w:right="1274" w:bottom="1418" w:left="1276" w:header="567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0FA29" w14:textId="77777777" w:rsidR="009C22DB" w:rsidRDefault="009C22DB" w:rsidP="00A6641E">
      <w:r>
        <w:separator/>
      </w:r>
    </w:p>
    <w:p w14:paraId="0B29ABDF" w14:textId="77777777" w:rsidR="009C22DB" w:rsidRDefault="009C22DB" w:rsidP="00A6641E"/>
  </w:endnote>
  <w:endnote w:type="continuationSeparator" w:id="0">
    <w:p w14:paraId="71B4BA46" w14:textId="77777777" w:rsidR="009C22DB" w:rsidRDefault="009C22DB" w:rsidP="00A6641E">
      <w:r>
        <w:continuationSeparator/>
      </w:r>
    </w:p>
    <w:p w14:paraId="3D5B0B83" w14:textId="77777777" w:rsidR="009C22DB" w:rsidRDefault="009C22DB" w:rsidP="00A664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D03B" w14:textId="77777777" w:rsidR="00E051EF" w:rsidRPr="00411FE2" w:rsidRDefault="00E051EF" w:rsidP="00E2471D">
    <w:pPr>
      <w:pStyle w:val="Boxed1Heading"/>
      <w:jc w:val="center"/>
    </w:pPr>
    <w:r w:rsidRPr="00411FE2">
      <w:t>Commonwealth Awards for Excellence in Risk Management 2025</w:t>
    </w:r>
  </w:p>
  <w:p w14:paraId="26107E20" w14:textId="77777777" w:rsidR="005D3E0C" w:rsidRDefault="005D3E0C" w:rsidP="004A0776">
    <w:pPr>
      <w:pStyle w:val="Footer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57A9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138DE" w14:textId="0FE11745" w:rsidR="00411FE2" w:rsidRPr="00411FE2" w:rsidRDefault="00411FE2" w:rsidP="00A6641E">
    <w:pPr>
      <w:pStyle w:val="Boxed1Heading"/>
    </w:pPr>
    <w:r w:rsidRPr="00411FE2">
      <w:t>Commonwealth Awards for Excellence in Risk Management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661D2" w14:textId="77777777" w:rsidR="009C22DB" w:rsidRDefault="009C22DB" w:rsidP="00A6641E">
      <w:pPr>
        <w:pStyle w:val="FootnoteSeparator"/>
      </w:pPr>
    </w:p>
  </w:footnote>
  <w:footnote w:type="continuationSeparator" w:id="0">
    <w:p w14:paraId="409D07A9" w14:textId="77777777" w:rsidR="009C22DB" w:rsidRDefault="009C22DB" w:rsidP="00A6641E">
      <w:r>
        <w:continuationSeparator/>
      </w:r>
    </w:p>
    <w:p w14:paraId="633BBADB" w14:textId="77777777" w:rsidR="009C22DB" w:rsidRDefault="009C22DB" w:rsidP="00A664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301D" w14:textId="4EBA6CD2" w:rsidR="005D3E0C" w:rsidRDefault="005D3E0C" w:rsidP="00A6641E">
    <w:pPr>
      <w:pStyle w:val="Header"/>
    </w:pPr>
    <w:r w:rsidRPr="00DB6D69">
      <w:t>Department of Finance</w:t>
    </w:r>
  </w:p>
  <w:p w14:paraId="1AF485AE" w14:textId="2B2E030D" w:rsidR="0082589D" w:rsidRPr="00DB6D69" w:rsidRDefault="00E051EF" w:rsidP="00A6641E">
    <w:pPr>
      <w:pStyle w:val="Header"/>
    </w:pPr>
    <w:r>
      <w:t xml:space="preserve">Nomination criteria – </w:t>
    </w:r>
    <w:r w:rsidR="0052016A">
      <w:t>R</w:t>
    </w:r>
    <w:r w:rsidR="004A0776">
      <w:t>isk in focus</w:t>
    </w:r>
    <w:r w:rsidR="0052016A">
      <w:t xml:space="preserve">: </w:t>
    </w:r>
    <w:r w:rsidR="00E845E0">
      <w:t>Responding to new and emerging risk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24E2"/>
    <w:multiLevelType w:val="multilevel"/>
    <w:tmpl w:val="7C2A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634DD"/>
    <w:multiLevelType w:val="multilevel"/>
    <w:tmpl w:val="A18A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2F6B80"/>
    <w:multiLevelType w:val="multilevel"/>
    <w:tmpl w:val="437081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5BE48AD"/>
    <w:multiLevelType w:val="multilevel"/>
    <w:tmpl w:val="949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44C29"/>
    <w:multiLevelType w:val="multilevel"/>
    <w:tmpl w:val="1E3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C164B0"/>
    <w:multiLevelType w:val="multilevel"/>
    <w:tmpl w:val="1256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9C7034"/>
    <w:multiLevelType w:val="multilevel"/>
    <w:tmpl w:val="8150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025793"/>
    <w:multiLevelType w:val="hybridMultilevel"/>
    <w:tmpl w:val="1688B434"/>
    <w:lvl w:ilvl="0" w:tplc="D64CB450">
      <w:start w:val="202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AB92A36"/>
    <w:multiLevelType w:val="hybridMultilevel"/>
    <w:tmpl w:val="2A4CF6E2"/>
    <w:lvl w:ilvl="0" w:tplc="B9C89ECA">
      <w:start w:val="20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B9B159F"/>
    <w:multiLevelType w:val="multilevel"/>
    <w:tmpl w:val="1F963B46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" w15:restartNumberingAfterBreak="0">
    <w:nsid w:val="2E832528"/>
    <w:multiLevelType w:val="multilevel"/>
    <w:tmpl w:val="6052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1525C3"/>
    <w:multiLevelType w:val="multilevel"/>
    <w:tmpl w:val="B826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3E7883"/>
    <w:multiLevelType w:val="multilevel"/>
    <w:tmpl w:val="3D1A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492001"/>
    <w:multiLevelType w:val="multilevel"/>
    <w:tmpl w:val="0928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846519"/>
    <w:multiLevelType w:val="multilevel"/>
    <w:tmpl w:val="8EDC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874162"/>
    <w:multiLevelType w:val="multilevel"/>
    <w:tmpl w:val="FD4A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7806EB"/>
    <w:multiLevelType w:val="multilevel"/>
    <w:tmpl w:val="2F22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8021C2"/>
    <w:multiLevelType w:val="multilevel"/>
    <w:tmpl w:val="80BC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047D91"/>
    <w:multiLevelType w:val="multilevel"/>
    <w:tmpl w:val="04F2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9E4375"/>
    <w:multiLevelType w:val="multilevel"/>
    <w:tmpl w:val="3D46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F33915"/>
    <w:multiLevelType w:val="multilevel"/>
    <w:tmpl w:val="2EEE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DA3A34"/>
    <w:multiLevelType w:val="multilevel"/>
    <w:tmpl w:val="1720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2D4D1E"/>
    <w:multiLevelType w:val="multilevel"/>
    <w:tmpl w:val="84D4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450FC3"/>
    <w:multiLevelType w:val="multilevel"/>
    <w:tmpl w:val="BD22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5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6" w15:restartNumberingAfterBreak="0">
    <w:nsid w:val="60683055"/>
    <w:multiLevelType w:val="hybridMultilevel"/>
    <w:tmpl w:val="CDD853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0C38ED"/>
    <w:multiLevelType w:val="hybridMultilevel"/>
    <w:tmpl w:val="5B0A03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DC7D0D"/>
    <w:multiLevelType w:val="multilevel"/>
    <w:tmpl w:val="845E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441B90"/>
    <w:multiLevelType w:val="multilevel"/>
    <w:tmpl w:val="1EA8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9809CA"/>
    <w:multiLevelType w:val="multilevel"/>
    <w:tmpl w:val="949A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75E76150"/>
    <w:multiLevelType w:val="multilevel"/>
    <w:tmpl w:val="3084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835598D"/>
    <w:multiLevelType w:val="multilevel"/>
    <w:tmpl w:val="761C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6E6C88"/>
    <w:multiLevelType w:val="multilevel"/>
    <w:tmpl w:val="C2E4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3634333">
    <w:abstractNumId w:val="31"/>
  </w:num>
  <w:num w:numId="2" w16cid:durableId="1827627178">
    <w:abstractNumId w:val="2"/>
  </w:num>
  <w:num w:numId="3" w16cid:durableId="670253827">
    <w:abstractNumId w:val="9"/>
  </w:num>
  <w:num w:numId="4" w16cid:durableId="715157213">
    <w:abstractNumId w:val="24"/>
  </w:num>
  <w:num w:numId="5" w16cid:durableId="1578857862">
    <w:abstractNumId w:val="25"/>
  </w:num>
  <w:num w:numId="6" w16cid:durableId="944266905">
    <w:abstractNumId w:val="7"/>
  </w:num>
  <w:num w:numId="7" w16cid:durableId="1568227522">
    <w:abstractNumId w:val="20"/>
  </w:num>
  <w:num w:numId="8" w16cid:durableId="492338838">
    <w:abstractNumId w:val="11"/>
  </w:num>
  <w:num w:numId="9" w16cid:durableId="1132283523">
    <w:abstractNumId w:val="1"/>
  </w:num>
  <w:num w:numId="10" w16cid:durableId="1883980927">
    <w:abstractNumId w:val="29"/>
  </w:num>
  <w:num w:numId="11" w16cid:durableId="1808163080">
    <w:abstractNumId w:val="14"/>
  </w:num>
  <w:num w:numId="12" w16cid:durableId="122844183">
    <w:abstractNumId w:val="12"/>
  </w:num>
  <w:num w:numId="13" w16cid:durableId="1784882898">
    <w:abstractNumId w:val="23"/>
  </w:num>
  <w:num w:numId="14" w16cid:durableId="1273124493">
    <w:abstractNumId w:val="0"/>
  </w:num>
  <w:num w:numId="15" w16cid:durableId="1615331616">
    <w:abstractNumId w:val="10"/>
  </w:num>
  <w:num w:numId="16" w16cid:durableId="341050750">
    <w:abstractNumId w:val="19"/>
  </w:num>
  <w:num w:numId="17" w16cid:durableId="1220480220">
    <w:abstractNumId w:val="28"/>
  </w:num>
  <w:num w:numId="18" w16cid:durableId="488401145">
    <w:abstractNumId w:val="33"/>
  </w:num>
  <w:num w:numId="19" w16cid:durableId="987594593">
    <w:abstractNumId w:val="22"/>
  </w:num>
  <w:num w:numId="20" w16cid:durableId="781454610">
    <w:abstractNumId w:val="30"/>
  </w:num>
  <w:num w:numId="21" w16cid:durableId="1711879505">
    <w:abstractNumId w:val="5"/>
  </w:num>
  <w:num w:numId="22" w16cid:durableId="788939748">
    <w:abstractNumId w:val="6"/>
  </w:num>
  <w:num w:numId="23" w16cid:durableId="828325076">
    <w:abstractNumId w:val="21"/>
  </w:num>
  <w:num w:numId="24" w16cid:durableId="867833449">
    <w:abstractNumId w:val="8"/>
  </w:num>
  <w:num w:numId="25" w16cid:durableId="708258654">
    <w:abstractNumId w:val="27"/>
  </w:num>
  <w:num w:numId="26" w16cid:durableId="1039009547">
    <w:abstractNumId w:val="26"/>
  </w:num>
  <w:num w:numId="27" w16cid:durableId="1480069782">
    <w:abstractNumId w:val="18"/>
  </w:num>
  <w:num w:numId="28" w16cid:durableId="1783762004">
    <w:abstractNumId w:val="15"/>
  </w:num>
  <w:num w:numId="29" w16cid:durableId="1896626987">
    <w:abstractNumId w:val="16"/>
  </w:num>
  <w:num w:numId="30" w16cid:durableId="346057272">
    <w:abstractNumId w:val="3"/>
  </w:num>
  <w:num w:numId="31" w16cid:durableId="221600230">
    <w:abstractNumId w:val="17"/>
  </w:num>
  <w:num w:numId="32" w16cid:durableId="1586374001">
    <w:abstractNumId w:val="32"/>
  </w:num>
  <w:num w:numId="33" w16cid:durableId="864906379">
    <w:abstractNumId w:val="31"/>
  </w:num>
  <w:num w:numId="34" w16cid:durableId="534536612">
    <w:abstractNumId w:val="31"/>
  </w:num>
  <w:num w:numId="35" w16cid:durableId="887643143">
    <w:abstractNumId w:val="13"/>
  </w:num>
  <w:num w:numId="36" w16cid:durableId="479153720">
    <w:abstractNumId w:val="4"/>
  </w:num>
  <w:num w:numId="37" w16cid:durableId="464667547">
    <w:abstractNumId w:val="34"/>
  </w:num>
  <w:num w:numId="38" w16cid:durableId="927036878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EB"/>
    <w:rsid w:val="00000310"/>
    <w:rsid w:val="00004C2A"/>
    <w:rsid w:val="00007FF0"/>
    <w:rsid w:val="00010CFF"/>
    <w:rsid w:val="00024C03"/>
    <w:rsid w:val="0002782F"/>
    <w:rsid w:val="00031A53"/>
    <w:rsid w:val="00042FAE"/>
    <w:rsid w:val="0004304C"/>
    <w:rsid w:val="0004484E"/>
    <w:rsid w:val="00045AA9"/>
    <w:rsid w:val="00054E4D"/>
    <w:rsid w:val="00060073"/>
    <w:rsid w:val="000603C7"/>
    <w:rsid w:val="00061CEB"/>
    <w:rsid w:val="00061E6B"/>
    <w:rsid w:val="00074121"/>
    <w:rsid w:val="00076F45"/>
    <w:rsid w:val="000829F4"/>
    <w:rsid w:val="0008371A"/>
    <w:rsid w:val="00085C43"/>
    <w:rsid w:val="0009126B"/>
    <w:rsid w:val="00092875"/>
    <w:rsid w:val="000950A6"/>
    <w:rsid w:val="00095694"/>
    <w:rsid w:val="00095D74"/>
    <w:rsid w:val="00097B19"/>
    <w:rsid w:val="000A4B30"/>
    <w:rsid w:val="000A6A8B"/>
    <w:rsid w:val="000B3E79"/>
    <w:rsid w:val="000B4727"/>
    <w:rsid w:val="000C2A48"/>
    <w:rsid w:val="000C5F75"/>
    <w:rsid w:val="000D60B1"/>
    <w:rsid w:val="000E4388"/>
    <w:rsid w:val="000F1C9C"/>
    <w:rsid w:val="000F495B"/>
    <w:rsid w:val="000F5863"/>
    <w:rsid w:val="0011024E"/>
    <w:rsid w:val="00111647"/>
    <w:rsid w:val="00111B11"/>
    <w:rsid w:val="00136530"/>
    <w:rsid w:val="00145957"/>
    <w:rsid w:val="00150C66"/>
    <w:rsid w:val="00150FDB"/>
    <w:rsid w:val="001541EA"/>
    <w:rsid w:val="001612A4"/>
    <w:rsid w:val="00162375"/>
    <w:rsid w:val="0016292D"/>
    <w:rsid w:val="00164157"/>
    <w:rsid w:val="00171ABC"/>
    <w:rsid w:val="0018777A"/>
    <w:rsid w:val="001C0BAF"/>
    <w:rsid w:val="001C32B2"/>
    <w:rsid w:val="001D706D"/>
    <w:rsid w:val="001D7EB4"/>
    <w:rsid w:val="001E013D"/>
    <w:rsid w:val="001E076C"/>
    <w:rsid w:val="001E177B"/>
    <w:rsid w:val="001E1DC0"/>
    <w:rsid w:val="001E3B13"/>
    <w:rsid w:val="0020122A"/>
    <w:rsid w:val="002020D3"/>
    <w:rsid w:val="00202901"/>
    <w:rsid w:val="002045C9"/>
    <w:rsid w:val="00211E8F"/>
    <w:rsid w:val="00216EF3"/>
    <w:rsid w:val="00273221"/>
    <w:rsid w:val="0028602A"/>
    <w:rsid w:val="002A27BA"/>
    <w:rsid w:val="002B0149"/>
    <w:rsid w:val="002B5DB8"/>
    <w:rsid w:val="002B7879"/>
    <w:rsid w:val="002D06D1"/>
    <w:rsid w:val="002F5017"/>
    <w:rsid w:val="00301144"/>
    <w:rsid w:val="00303A1C"/>
    <w:rsid w:val="0030443C"/>
    <w:rsid w:val="00313FBC"/>
    <w:rsid w:val="003144EB"/>
    <w:rsid w:val="003148B7"/>
    <w:rsid w:val="003158C3"/>
    <w:rsid w:val="003158F1"/>
    <w:rsid w:val="0032405C"/>
    <w:rsid w:val="003270DA"/>
    <w:rsid w:val="003274CD"/>
    <w:rsid w:val="003307C4"/>
    <w:rsid w:val="00330D72"/>
    <w:rsid w:val="0033250F"/>
    <w:rsid w:val="003413C1"/>
    <w:rsid w:val="0034412A"/>
    <w:rsid w:val="00345AF1"/>
    <w:rsid w:val="0035119D"/>
    <w:rsid w:val="003605DB"/>
    <w:rsid w:val="00372928"/>
    <w:rsid w:val="00374F84"/>
    <w:rsid w:val="00391E19"/>
    <w:rsid w:val="003A30CD"/>
    <w:rsid w:val="003A71C5"/>
    <w:rsid w:val="003B2F38"/>
    <w:rsid w:val="003B4F12"/>
    <w:rsid w:val="003C0E5E"/>
    <w:rsid w:val="003D1163"/>
    <w:rsid w:val="003D4731"/>
    <w:rsid w:val="003E74B3"/>
    <w:rsid w:val="003F1AFB"/>
    <w:rsid w:val="003F7054"/>
    <w:rsid w:val="00400700"/>
    <w:rsid w:val="004075A3"/>
    <w:rsid w:val="00411FE2"/>
    <w:rsid w:val="00423F31"/>
    <w:rsid w:val="0043164D"/>
    <w:rsid w:val="00431899"/>
    <w:rsid w:val="00437E87"/>
    <w:rsid w:val="00445148"/>
    <w:rsid w:val="00447F10"/>
    <w:rsid w:val="00456DB6"/>
    <w:rsid w:val="00473302"/>
    <w:rsid w:val="00475327"/>
    <w:rsid w:val="00486804"/>
    <w:rsid w:val="004A0776"/>
    <w:rsid w:val="004A1A77"/>
    <w:rsid w:val="004A6578"/>
    <w:rsid w:val="004B3775"/>
    <w:rsid w:val="004B4EC2"/>
    <w:rsid w:val="004C2A06"/>
    <w:rsid w:val="004C64D8"/>
    <w:rsid w:val="004E058F"/>
    <w:rsid w:val="004E2399"/>
    <w:rsid w:val="004E3B87"/>
    <w:rsid w:val="00507B5C"/>
    <w:rsid w:val="00510921"/>
    <w:rsid w:val="00510AD3"/>
    <w:rsid w:val="005110CE"/>
    <w:rsid w:val="00513348"/>
    <w:rsid w:val="0052016A"/>
    <w:rsid w:val="00522960"/>
    <w:rsid w:val="00531AEE"/>
    <w:rsid w:val="00533B5D"/>
    <w:rsid w:val="005570E8"/>
    <w:rsid w:val="00561999"/>
    <w:rsid w:val="005649CA"/>
    <w:rsid w:val="0057199C"/>
    <w:rsid w:val="00576566"/>
    <w:rsid w:val="0058213D"/>
    <w:rsid w:val="00585EFC"/>
    <w:rsid w:val="00586772"/>
    <w:rsid w:val="00591A33"/>
    <w:rsid w:val="005970EA"/>
    <w:rsid w:val="005B4AF2"/>
    <w:rsid w:val="005B4FB3"/>
    <w:rsid w:val="005C1AB8"/>
    <w:rsid w:val="005C37F0"/>
    <w:rsid w:val="005C4285"/>
    <w:rsid w:val="005C5490"/>
    <w:rsid w:val="005D1C7A"/>
    <w:rsid w:val="005D2D36"/>
    <w:rsid w:val="005D3E0C"/>
    <w:rsid w:val="005D7A85"/>
    <w:rsid w:val="005E03EA"/>
    <w:rsid w:val="005E2F76"/>
    <w:rsid w:val="005E3BF3"/>
    <w:rsid w:val="005E6A0B"/>
    <w:rsid w:val="005F319F"/>
    <w:rsid w:val="00603111"/>
    <w:rsid w:val="00607E46"/>
    <w:rsid w:val="00623BA1"/>
    <w:rsid w:val="006244B7"/>
    <w:rsid w:val="00626949"/>
    <w:rsid w:val="0063036D"/>
    <w:rsid w:val="006346BC"/>
    <w:rsid w:val="00645300"/>
    <w:rsid w:val="006466D1"/>
    <w:rsid w:val="00647BA3"/>
    <w:rsid w:val="00662D62"/>
    <w:rsid w:val="006646FF"/>
    <w:rsid w:val="00666291"/>
    <w:rsid w:val="00666379"/>
    <w:rsid w:val="0066652A"/>
    <w:rsid w:val="00682167"/>
    <w:rsid w:val="006A0E21"/>
    <w:rsid w:val="006A7D51"/>
    <w:rsid w:val="006C42AF"/>
    <w:rsid w:val="006C4DD1"/>
    <w:rsid w:val="006F5ECF"/>
    <w:rsid w:val="0070644C"/>
    <w:rsid w:val="00706732"/>
    <w:rsid w:val="00711D8E"/>
    <w:rsid w:val="00712672"/>
    <w:rsid w:val="007261C5"/>
    <w:rsid w:val="007273E7"/>
    <w:rsid w:val="007312F4"/>
    <w:rsid w:val="00731CDC"/>
    <w:rsid w:val="00732349"/>
    <w:rsid w:val="00734E3F"/>
    <w:rsid w:val="00736985"/>
    <w:rsid w:val="00737A13"/>
    <w:rsid w:val="00742A03"/>
    <w:rsid w:val="007451A8"/>
    <w:rsid w:val="00747FF9"/>
    <w:rsid w:val="0075472A"/>
    <w:rsid w:val="00755521"/>
    <w:rsid w:val="00764699"/>
    <w:rsid w:val="00785129"/>
    <w:rsid w:val="007951DA"/>
    <w:rsid w:val="00796F81"/>
    <w:rsid w:val="007A28F3"/>
    <w:rsid w:val="007A30C1"/>
    <w:rsid w:val="007B1EE1"/>
    <w:rsid w:val="007B6200"/>
    <w:rsid w:val="007C59B1"/>
    <w:rsid w:val="007D29D9"/>
    <w:rsid w:val="007E532A"/>
    <w:rsid w:val="007E56A6"/>
    <w:rsid w:val="007F4172"/>
    <w:rsid w:val="00801B9F"/>
    <w:rsid w:val="008030C4"/>
    <w:rsid w:val="00804922"/>
    <w:rsid w:val="00810434"/>
    <w:rsid w:val="00810CDC"/>
    <w:rsid w:val="00810EAB"/>
    <w:rsid w:val="00817482"/>
    <w:rsid w:val="00822E89"/>
    <w:rsid w:val="008237F8"/>
    <w:rsid w:val="0082589D"/>
    <w:rsid w:val="00837241"/>
    <w:rsid w:val="008514A7"/>
    <w:rsid w:val="008540DC"/>
    <w:rsid w:val="0086042C"/>
    <w:rsid w:val="00880B3F"/>
    <w:rsid w:val="00887E84"/>
    <w:rsid w:val="00891B79"/>
    <w:rsid w:val="008A0646"/>
    <w:rsid w:val="008A0DE6"/>
    <w:rsid w:val="008B079C"/>
    <w:rsid w:val="008B40D9"/>
    <w:rsid w:val="008B454A"/>
    <w:rsid w:val="008B4E15"/>
    <w:rsid w:val="008B62C7"/>
    <w:rsid w:val="008D1416"/>
    <w:rsid w:val="008D4A99"/>
    <w:rsid w:val="008D72BE"/>
    <w:rsid w:val="008E0A0E"/>
    <w:rsid w:val="008F53CE"/>
    <w:rsid w:val="0090309A"/>
    <w:rsid w:val="00905605"/>
    <w:rsid w:val="00910823"/>
    <w:rsid w:val="00912E7A"/>
    <w:rsid w:val="00913233"/>
    <w:rsid w:val="009173EF"/>
    <w:rsid w:val="009210F1"/>
    <w:rsid w:val="00931D1E"/>
    <w:rsid w:val="0094292E"/>
    <w:rsid w:val="00946587"/>
    <w:rsid w:val="009642B4"/>
    <w:rsid w:val="0096465F"/>
    <w:rsid w:val="00990C12"/>
    <w:rsid w:val="00992E7D"/>
    <w:rsid w:val="00997066"/>
    <w:rsid w:val="00997E54"/>
    <w:rsid w:val="009A2DA7"/>
    <w:rsid w:val="009A587D"/>
    <w:rsid w:val="009B4D3B"/>
    <w:rsid w:val="009B71B0"/>
    <w:rsid w:val="009C1AE2"/>
    <w:rsid w:val="009C22DB"/>
    <w:rsid w:val="009C70DE"/>
    <w:rsid w:val="009D6587"/>
    <w:rsid w:val="009D7407"/>
    <w:rsid w:val="009E02DC"/>
    <w:rsid w:val="009E0866"/>
    <w:rsid w:val="009E2DF0"/>
    <w:rsid w:val="009E416F"/>
    <w:rsid w:val="009F1098"/>
    <w:rsid w:val="009F3210"/>
    <w:rsid w:val="00A045A3"/>
    <w:rsid w:val="00A059BE"/>
    <w:rsid w:val="00A0632B"/>
    <w:rsid w:val="00A10761"/>
    <w:rsid w:val="00A20E8E"/>
    <w:rsid w:val="00A233FA"/>
    <w:rsid w:val="00A24A62"/>
    <w:rsid w:val="00A31C9F"/>
    <w:rsid w:val="00A343F8"/>
    <w:rsid w:val="00A57383"/>
    <w:rsid w:val="00A57A97"/>
    <w:rsid w:val="00A6641E"/>
    <w:rsid w:val="00A7745C"/>
    <w:rsid w:val="00A84860"/>
    <w:rsid w:val="00AA42FE"/>
    <w:rsid w:val="00AB1073"/>
    <w:rsid w:val="00AB19CF"/>
    <w:rsid w:val="00AB1C6F"/>
    <w:rsid w:val="00AC164A"/>
    <w:rsid w:val="00AD2C55"/>
    <w:rsid w:val="00AF2050"/>
    <w:rsid w:val="00AF5091"/>
    <w:rsid w:val="00B24C10"/>
    <w:rsid w:val="00B277DA"/>
    <w:rsid w:val="00B45CC4"/>
    <w:rsid w:val="00B5785B"/>
    <w:rsid w:val="00B57E02"/>
    <w:rsid w:val="00B60352"/>
    <w:rsid w:val="00B65C07"/>
    <w:rsid w:val="00B72DA0"/>
    <w:rsid w:val="00B770C4"/>
    <w:rsid w:val="00B818D2"/>
    <w:rsid w:val="00B92A7B"/>
    <w:rsid w:val="00BA3633"/>
    <w:rsid w:val="00BA4D8D"/>
    <w:rsid w:val="00BA6913"/>
    <w:rsid w:val="00BB26C5"/>
    <w:rsid w:val="00BB5BB3"/>
    <w:rsid w:val="00BD1B14"/>
    <w:rsid w:val="00BF1E4D"/>
    <w:rsid w:val="00BF2DD4"/>
    <w:rsid w:val="00BF4DE6"/>
    <w:rsid w:val="00BF63E6"/>
    <w:rsid w:val="00BF7AF2"/>
    <w:rsid w:val="00C17BB9"/>
    <w:rsid w:val="00C25A17"/>
    <w:rsid w:val="00C27965"/>
    <w:rsid w:val="00C42CDE"/>
    <w:rsid w:val="00C454C1"/>
    <w:rsid w:val="00C554BA"/>
    <w:rsid w:val="00C7262F"/>
    <w:rsid w:val="00C900CB"/>
    <w:rsid w:val="00C93026"/>
    <w:rsid w:val="00CA182A"/>
    <w:rsid w:val="00CA37B1"/>
    <w:rsid w:val="00CB0333"/>
    <w:rsid w:val="00CB1959"/>
    <w:rsid w:val="00CD6ADE"/>
    <w:rsid w:val="00CE6795"/>
    <w:rsid w:val="00CE7112"/>
    <w:rsid w:val="00CE7895"/>
    <w:rsid w:val="00D0296C"/>
    <w:rsid w:val="00D029E9"/>
    <w:rsid w:val="00D07711"/>
    <w:rsid w:val="00D11C53"/>
    <w:rsid w:val="00D2253C"/>
    <w:rsid w:val="00D22869"/>
    <w:rsid w:val="00D22AF4"/>
    <w:rsid w:val="00D40117"/>
    <w:rsid w:val="00D4219B"/>
    <w:rsid w:val="00D46D82"/>
    <w:rsid w:val="00D52227"/>
    <w:rsid w:val="00D55D81"/>
    <w:rsid w:val="00D811FC"/>
    <w:rsid w:val="00D87D9F"/>
    <w:rsid w:val="00DB523B"/>
    <w:rsid w:val="00DB6D69"/>
    <w:rsid w:val="00DC430B"/>
    <w:rsid w:val="00DE036C"/>
    <w:rsid w:val="00DF25F7"/>
    <w:rsid w:val="00E051EF"/>
    <w:rsid w:val="00E056E4"/>
    <w:rsid w:val="00E12FD9"/>
    <w:rsid w:val="00E17094"/>
    <w:rsid w:val="00E2471D"/>
    <w:rsid w:val="00E26C5E"/>
    <w:rsid w:val="00E3011D"/>
    <w:rsid w:val="00E357B7"/>
    <w:rsid w:val="00E4239D"/>
    <w:rsid w:val="00E44D53"/>
    <w:rsid w:val="00E53800"/>
    <w:rsid w:val="00E570DF"/>
    <w:rsid w:val="00E57D5C"/>
    <w:rsid w:val="00E6081F"/>
    <w:rsid w:val="00E60F1B"/>
    <w:rsid w:val="00E62B07"/>
    <w:rsid w:val="00E71E5E"/>
    <w:rsid w:val="00E83104"/>
    <w:rsid w:val="00E845E0"/>
    <w:rsid w:val="00EA04B2"/>
    <w:rsid w:val="00EA10DA"/>
    <w:rsid w:val="00EA20F3"/>
    <w:rsid w:val="00EB02EE"/>
    <w:rsid w:val="00EB0CB1"/>
    <w:rsid w:val="00EB50DB"/>
    <w:rsid w:val="00EC3B23"/>
    <w:rsid w:val="00EC6748"/>
    <w:rsid w:val="00ED437B"/>
    <w:rsid w:val="00ED43D1"/>
    <w:rsid w:val="00EE4EE1"/>
    <w:rsid w:val="00EF4574"/>
    <w:rsid w:val="00F0122E"/>
    <w:rsid w:val="00F109D6"/>
    <w:rsid w:val="00F2684E"/>
    <w:rsid w:val="00F54976"/>
    <w:rsid w:val="00F57B2A"/>
    <w:rsid w:val="00F57E48"/>
    <w:rsid w:val="00F70AF0"/>
    <w:rsid w:val="00F729EF"/>
    <w:rsid w:val="00F77CAE"/>
    <w:rsid w:val="00F80415"/>
    <w:rsid w:val="00F80824"/>
    <w:rsid w:val="00F84282"/>
    <w:rsid w:val="00F85DFA"/>
    <w:rsid w:val="00F92BE7"/>
    <w:rsid w:val="00F96BB9"/>
    <w:rsid w:val="00FA1F39"/>
    <w:rsid w:val="00FA44F4"/>
    <w:rsid w:val="00FB44AA"/>
    <w:rsid w:val="00FB4C28"/>
    <w:rsid w:val="00FE6D51"/>
    <w:rsid w:val="00FF7448"/>
    <w:rsid w:val="2819CDB3"/>
    <w:rsid w:val="294F8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443B379"/>
  <w15:docId w15:val="{EC976879-B235-443A-9B8D-5677D18C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41E"/>
    <w:pPr>
      <w:suppressAutoHyphens/>
      <w:spacing w:before="160" w:after="160" w:line="32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2A4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612A4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46D82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46D82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75A3"/>
    <w:pPr>
      <w:outlineLvl w:val="4"/>
    </w:pPr>
    <w:rPr>
      <w:rFonts w:eastAsiaTheme="minorHAnsi"/>
      <w:iCs w:val="0"/>
      <w:color w:val="257270" w:themeColor="accent5" w:themeShade="80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/>
      <w:iCs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000000" w:themeColor="text1"/>
      <w:sz w:val="21"/>
      <w:szCs w:val="21"/>
      <w14:textFill>
        <w14:solidFill>
          <w14:schemeClr w14:val="tx1">
            <w14:lumMod w14:val="85000"/>
            <w14:lumOff w14:val="15000"/>
            <w14:lumMod w14:val="50000"/>
          </w14:schemeClr>
        </w14:solidFill>
      </w14:textFill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2A4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12A4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D82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645300"/>
    <w:pPr>
      <w:spacing w:before="720"/>
    </w:pPr>
  </w:style>
  <w:style w:type="character" w:customStyle="1" w:styleId="TitleChar">
    <w:name w:val="Title Char"/>
    <w:basedOn w:val="DefaultParagraphFont"/>
    <w:link w:val="Title"/>
    <w:uiPriority w:val="10"/>
    <w:rsid w:val="00645300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591A33"/>
    <w:pPr>
      <w:numPr>
        <w:ilvl w:val="1"/>
      </w:numPr>
      <w:spacing w:before="0" w:after="480" w:line="260" w:lineRule="atLeast"/>
    </w:pPr>
    <w:rPr>
      <w:bCs w:val="0"/>
      <w:iCs/>
      <w:sz w:val="38"/>
      <w:szCs w:val="38"/>
    </w:rPr>
  </w:style>
  <w:style w:type="character" w:customStyle="1" w:styleId="SubtitleChar">
    <w:name w:val="Subtitle Char"/>
    <w:basedOn w:val="DefaultParagraphFont"/>
    <w:link w:val="Subtitle"/>
    <w:uiPriority w:val="11"/>
    <w:rsid w:val="00591A33"/>
    <w:rPr>
      <w:rFonts w:asciiTheme="majorHAnsi" w:eastAsiaTheme="majorEastAsia" w:hAnsiTheme="majorHAnsi" w:cstheme="majorBidi"/>
      <w:iCs/>
      <w:color w:val="1C1C1C" w:themeColor="text2"/>
      <w:sz w:val="38"/>
      <w:szCs w:val="38"/>
    </w:rPr>
  </w:style>
  <w:style w:type="paragraph" w:customStyle="1" w:styleId="Bullet1">
    <w:name w:val="Bullet 1"/>
    <w:basedOn w:val="Normal"/>
    <w:qFormat/>
    <w:rsid w:val="00FB44AA"/>
    <w:pPr>
      <w:numPr>
        <w:numId w:val="1"/>
      </w:numPr>
      <w:spacing w:before="12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576566"/>
    <w:pPr>
      <w:numPr>
        <w:numId w:val="2"/>
      </w:numPr>
      <w:ind w:left="397" w:hanging="397"/>
    </w:pPr>
  </w:style>
  <w:style w:type="paragraph" w:customStyle="1" w:styleId="NumberedList2">
    <w:name w:val="Numbered List 2"/>
    <w:basedOn w:val="NumberedList1"/>
    <w:qFormat/>
    <w:rsid w:val="00576566"/>
    <w:pPr>
      <w:numPr>
        <w:ilvl w:val="1"/>
      </w:numPr>
      <w:spacing w:before="120"/>
      <w:ind w:left="681" w:hanging="397"/>
    </w:pPr>
  </w:style>
  <w:style w:type="paragraph" w:customStyle="1" w:styleId="NumberedList3">
    <w:name w:val="Numbered List 3"/>
    <w:basedOn w:val="NumberedList2"/>
    <w:qFormat/>
    <w:rsid w:val="00576566"/>
    <w:pPr>
      <w:numPr>
        <w:ilvl w:val="2"/>
      </w:numPr>
      <w:ind w:left="964" w:hanging="397"/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3"/>
      </w:numPr>
    </w:pPr>
  </w:style>
  <w:style w:type="paragraph" w:customStyle="1" w:styleId="Heading2Numbered">
    <w:name w:val="Heading 2 Numbered"/>
    <w:basedOn w:val="Heading2"/>
    <w:next w:val="Normal"/>
    <w:qFormat/>
    <w:rsid w:val="0082589D"/>
    <w:pPr>
      <w:numPr>
        <w:ilvl w:val="1"/>
        <w:numId w:val="3"/>
      </w:numPr>
      <w:ind w:left="851" w:hanging="851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1D7EB4"/>
    <w:pPr>
      <w:numPr>
        <w:ilvl w:val="2"/>
        <w:numId w:val="3"/>
      </w:numPr>
    </w:pPr>
    <w:rPr>
      <w:szCs w:val="22"/>
    </w:r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styleId="PlainTable2">
    <w:name w:val="Plain Table 2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0122A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46D82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2796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C27965"/>
    <w:pPr>
      <w:tabs>
        <w:tab w:val="left" w:pos="454"/>
        <w:tab w:val="right" w:pos="9072"/>
      </w:tabs>
      <w:spacing w:after="180" w:line="230" w:lineRule="atLeast"/>
      <w:ind w:left="738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880B3F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DB6D69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1612A4"/>
    <w:pPr>
      <w:pBdr>
        <w:bottom w:val="single" w:sz="4" w:space="6" w:color="9CDBD9" w:themeColor="accent1"/>
      </w:pBdr>
    </w:p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6D69"/>
    <w:rPr>
      <w:sz w:val="14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075A3"/>
    <w:rPr>
      <w:rFonts w:asciiTheme="majorHAnsi" w:hAnsiTheme="majorHAnsi" w:cstheme="majorBidi"/>
      <w:bCs/>
      <w:color w:val="257270" w:themeColor="accent5" w:themeShade="80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FB44AA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FB44AA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B44AA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318885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318885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486804"/>
    <w:pPr>
      <w:pBdr>
        <w:top w:val="single" w:sz="4" w:space="14" w:color="EBF7F7" w:themeColor="accent1" w:themeTint="33"/>
        <w:left w:val="single" w:sz="4" w:space="14" w:color="EBF7F7" w:themeColor="accent1" w:themeTint="33"/>
        <w:bottom w:val="single" w:sz="4" w:space="14" w:color="EBF7F7" w:themeColor="accent1" w:themeTint="33"/>
        <w:right w:val="single" w:sz="4" w:space="14" w:color="EBF7F7" w:themeColor="accent1" w:themeTint="33"/>
      </w:pBdr>
      <w:shd w:val="clear" w:color="auto" w:fill="EBF7F7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486804"/>
    <w:rPr>
      <w:b/>
    </w:rPr>
  </w:style>
  <w:style w:type="paragraph" w:customStyle="1" w:styleId="Boxed2Text">
    <w:name w:val="Boxed 2 Text"/>
    <w:basedOn w:val="Boxed1Text"/>
    <w:qFormat/>
    <w:rsid w:val="000C2A48"/>
    <w:pPr>
      <w:pBdr>
        <w:top w:val="single" w:sz="4" w:space="14" w:color="9CDBD9" w:themeColor="accent1"/>
        <w:left w:val="single" w:sz="4" w:space="14" w:color="9CDBD9" w:themeColor="accent1"/>
        <w:bottom w:val="single" w:sz="4" w:space="14" w:color="9CDBD9" w:themeColor="accent1"/>
        <w:right w:val="single" w:sz="4" w:space="14" w:color="9CDBD9" w:themeColor="accent1"/>
      </w:pBdr>
      <w:shd w:val="clear" w:color="auto" w:fill="9CDBD9" w:themeFill="accent1"/>
    </w:pPr>
  </w:style>
  <w:style w:type="paragraph" w:customStyle="1" w:styleId="Boxed2Heading">
    <w:name w:val="Boxed 2 Heading"/>
    <w:basedOn w:val="Boxed2Text"/>
    <w:qFormat/>
    <w:rsid w:val="000C2A48"/>
    <w:rPr>
      <w:b/>
    </w:rPr>
  </w:style>
  <w:style w:type="character" w:styleId="PageNumber">
    <w:name w:val="page number"/>
    <w:basedOn w:val="DefaultParagraphFont"/>
    <w:uiPriority w:val="99"/>
    <w:unhideWhenUsed/>
    <w:rsid w:val="00DB6D69"/>
  </w:style>
  <w:style w:type="table" w:styleId="TableGridLight">
    <w:name w:val="Grid Table Light"/>
    <w:basedOn w:val="TableNormal"/>
    <w:uiPriority w:val="40"/>
    <w:rsid w:val="000D6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5C37F0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FB44AA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FB44AA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19CF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9C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0122A"/>
    <w:rPr>
      <w:vertAlign w:val="superscript"/>
    </w:rPr>
  </w:style>
  <w:style w:type="paragraph" w:customStyle="1" w:styleId="FootnoteSeparator">
    <w:name w:val="Footnote Separator"/>
    <w:basedOn w:val="Normal"/>
    <w:qFormat/>
    <w:rsid w:val="00D40117"/>
    <w:pPr>
      <w:pBdr>
        <w:top w:val="single" w:sz="2" w:space="1" w:color="auto"/>
      </w:pBdr>
      <w:spacing w:before="0" w:after="0" w:line="240" w:lineRule="auto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0A6A8B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6C4DD1"/>
    <w:rPr>
      <w:b/>
      <w:caps/>
      <w:smallCaps w:val="0"/>
      <w:sz w:val="24"/>
    </w:rPr>
  </w:style>
  <w:style w:type="paragraph" w:styleId="ListParagraph">
    <w:name w:val="List Paragraph"/>
    <w:aliases w:val="List Paragraph - bullets"/>
    <w:basedOn w:val="Normal"/>
    <w:link w:val="ListParagraphChar"/>
    <w:uiPriority w:val="34"/>
    <w:qFormat/>
    <w:rsid w:val="0082589D"/>
    <w:pPr>
      <w:ind w:left="720"/>
      <w:contextualSpacing/>
    </w:pPr>
  </w:style>
  <w:style w:type="paragraph" w:customStyle="1" w:styleId="DOFBullet1">
    <w:name w:val="DOF_Bullet 1"/>
    <w:basedOn w:val="Normal"/>
    <w:rsid w:val="00586772"/>
    <w:pPr>
      <w:spacing w:before="120"/>
    </w:pPr>
  </w:style>
  <w:style w:type="paragraph" w:customStyle="1" w:styleId="DOFBullet2">
    <w:name w:val="DOF_Bullet 2"/>
    <w:basedOn w:val="DOFBullet1"/>
    <w:rsid w:val="00586772"/>
    <w:pPr>
      <w:numPr>
        <w:ilvl w:val="1"/>
      </w:numPr>
    </w:pPr>
  </w:style>
  <w:style w:type="paragraph" w:customStyle="1" w:styleId="DOFBullet3">
    <w:name w:val="DOF_Bullet 3"/>
    <w:basedOn w:val="DOFBullet2"/>
    <w:rsid w:val="00586772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91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A33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122E"/>
    <w:rPr>
      <w:color w:val="FFD1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2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42B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11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2B0149"/>
  </w:style>
  <w:style w:type="paragraph" w:customStyle="1" w:styleId="paragraph">
    <w:name w:val="paragraph"/>
    <w:basedOn w:val="Normal"/>
    <w:rsid w:val="00CA182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eop">
    <w:name w:val="eop"/>
    <w:basedOn w:val="DefaultParagraphFont"/>
    <w:rsid w:val="00CA182A"/>
  </w:style>
  <w:style w:type="paragraph" w:customStyle="1" w:styleId="BodyText1">
    <w:name w:val="Body Text1"/>
    <w:basedOn w:val="Normal"/>
    <w:qFormat/>
    <w:rsid w:val="00A10761"/>
    <w:pPr>
      <w:suppressAutoHyphens w:val="0"/>
      <w:spacing w:before="0" w:after="120" w:line="220" w:lineRule="atLeast"/>
    </w:pPr>
    <w:rPr>
      <w:sz w:val="17"/>
      <w:szCs w:val="17"/>
    </w:rPr>
  </w:style>
  <w:style w:type="character" w:customStyle="1" w:styleId="ListParagraphChar">
    <w:name w:val="List Paragraph Char"/>
    <w:aliases w:val="List Paragraph - bullets Char"/>
    <w:link w:val="ListParagraph"/>
    <w:uiPriority w:val="34"/>
    <w:rsid w:val="009970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iskAwards@finance.gov.au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finance.gov.au/government/comcover/risk-services/management/commonwealth-awards-excellence-risk-management-2025" TargetMode="External"/></Relationships>
</file>

<file path=word/theme/theme1.xml><?xml version="1.0" encoding="utf-8"?>
<a:theme xmlns:a="http://schemas.openxmlformats.org/drawingml/2006/main" name="Finance 1 Blue">
  <a:themeElements>
    <a:clrScheme name="Custom 4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9CDBD9"/>
      </a:accent1>
      <a:accent2>
        <a:srgbClr val="B4B5DF"/>
      </a:accent2>
      <a:accent3>
        <a:srgbClr val="ECBAA8"/>
      </a:accent3>
      <a:accent4>
        <a:srgbClr val="F6EB61"/>
      </a:accent4>
      <a:accent5>
        <a:srgbClr val="64CCC9"/>
      </a:accent5>
      <a:accent6>
        <a:srgbClr val="9595D2"/>
      </a:accent6>
      <a:hlink>
        <a:srgbClr val="E8927C"/>
      </a:hlink>
      <a:folHlink>
        <a:srgbClr val="FFD1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F0E8012F-52C4-4285-8588-15EF98A0938A}" vid="{1F551BCA-87CD-4010-B1B7-2E689DDB7D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DCD2E2F4E7B8AC42ADF0B1C1F78F75CA" ma:contentTypeVersion="39" ma:contentTypeDescription="Create a new document." ma:contentTypeScope="" ma:versionID="a13c82d4cb3616e3a15ac4611bd52598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31727ad0-3860-4669-af48-dcfbc76f8272" xmlns:ns4="6a7e9632-768a-49bf-85ac-c69233ab2a52" targetNamespace="http://schemas.microsoft.com/office/2006/metadata/properties" ma:root="true" ma:fieldsID="78794a4e3f3ca860e6ad93ba3d764225" ns1:_="" ns2:_="" ns3:_="" ns4:_="">
    <xsd:import namespace="http://schemas.microsoft.com/sharepoint/v3"/>
    <xsd:import namespace="a334ba3b-e131-42d3-95f3-2728f5a41884"/>
    <xsd:import namespace="31727ad0-3860-4669-af48-dcfbc76f8272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a75a70f3-eeee-4ecd-988e-d5258640db21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Risk and Insurance|d57e6791-7d45-455f-98f9-bfdff5818acb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3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3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75a70f3-eeee-4ecd-988e-d5258640db21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27ad0-3860-4669-af48-dcfbc76f8272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3</Value>
      <Value>1</Value>
      <Value>14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Risk and Insurance</TermName>
          <TermId xmlns="http://schemas.microsoft.com/office/infopath/2007/PartnerControls">d57e6791-7d45-455f-98f9-bfdff5818acb</TermId>
        </TermInfo>
      </Terms>
    </e0fcb3f570964638902a63147cd98219>
    <lcf76f155ced4ddcb4097134ff3c332f xmlns="31727ad0-3860-4669-af48-dcfbc76f8272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FIN33646-1829567127-20300</_dlc_DocId>
    <_dlc_DocIdUrl xmlns="6a7e9632-768a-49bf-85ac-c69233ab2a52">
      <Url>https://financegovau.sharepoint.com/sites/M365_DoF_50033646/_layouts/15/DocIdRedir.aspx?ID=FIN33646-1829567127-20300</Url>
      <Description>FIN33646-1829567127-20300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6B7D7D-C910-4C95-819D-95B9F88B16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9BF2DF-D33A-43D5-8481-0738F67C0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31727ad0-3860-4669-af48-dcfbc76f8272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0E291-D4E9-44E5-8440-89F1CB8596A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6a7e9632-768a-49bf-85ac-c69233ab2a52"/>
    <ds:schemaRef ds:uri="31727ad0-3860-4669-af48-dcfbc76f8272"/>
    <ds:schemaRef ds:uri="a334ba3b-e131-42d3-95f3-2728f5a41884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52A7902-1CD8-4B03-99C0-4C4748489A5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4153118-8002-480D-85B1-74BB76F2D85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11FAB92-44BD-45C4-B9B0-59D023C88C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3628</Characters>
  <Application>Microsoft Office Word</Application>
  <DocSecurity>4</DocSecurity>
  <Lines>77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2013-10-29T09:49:00Z</cp:lastPrinted>
  <dcterms:created xsi:type="dcterms:W3CDTF">2025-07-25T05:42:00Z</dcterms:created>
  <dcterms:modified xsi:type="dcterms:W3CDTF">2025-07-25T05:42:00Z</dcterms:modified>
  <cp:category/>
  <cp:contentStatus>Classification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v=2022.1;a=SHA256;h=09104DEDFBE72D567F90FF09AF6293FFA811DE4F1DDD2502A9C706DE526131A4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2025-03-07T00:09:30Z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36E689C400E8A4FF63652C225D259686C03CD4F51B6E22D9A4ADA1D454BCC36F</vt:lpwstr>
  </property>
  <property fmtid="{D5CDD505-2E9C-101B-9397-08002B2CF9AE}" pid="16" name="MSIP_Label_87d6481e-ccdd-4ab6-8b26-05a0df5699e7_SetDate">
    <vt:lpwstr>2025-03-07T00:09:30Z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0466964b87e640828b52e93537abda8d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EA77A0EB98DA346ADDB19D87B56B05EEA2F1CA2D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D09B76D0870148AB8ABFDA463266B0B6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20DB771E207AE2CFA86741A18D38DDAE</vt:lpwstr>
  </property>
  <property fmtid="{D5CDD505-2E9C-101B-9397-08002B2CF9AE}" pid="32" name="PM_Hash_Salt">
    <vt:lpwstr>F057E6B871240CFA1C31052AF80FF2C0</vt:lpwstr>
  </property>
  <property fmtid="{D5CDD505-2E9C-101B-9397-08002B2CF9AE}" pid="33" name="PM_Hash_SHA1">
    <vt:lpwstr>0E6245999D14AD1C635CF8CA5215927EFF0EE49F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0x010100B7B479F47583304BA8B631462CC772D700DCD2E2F4E7B8AC42ADF0B1C1F78F75CA</vt:lpwstr>
  </property>
  <property fmtid="{D5CDD505-2E9C-101B-9397-08002B2CF9AE}" pid="37" name="TaxKeyword">
    <vt:lpwstr>14;#[SEC=OFFICIAL]|07351cc0-de73-4913-be2f-56f124cbf8bb</vt:lpwstr>
  </property>
  <property fmtid="{D5CDD505-2E9C-101B-9397-08002B2CF9AE}" pid="38" name="Organisation_x0020_Unit">
    <vt:lpwstr>1;#Risk and Insurance|d57e6791-7d45-455f-98f9-bfdff5818acb</vt:lpwstr>
  </property>
  <property fmtid="{D5CDD505-2E9C-101B-9397-08002B2CF9AE}" pid="39" name="MediaServiceImageTags">
    <vt:lpwstr/>
  </property>
  <property fmtid="{D5CDD505-2E9C-101B-9397-08002B2CF9AE}" pid="40" name="About_x0020_Entity">
    <vt:lpwstr>3;#Department of Finance|fd660e8f-8f31-49bd-92a3-d31d4da31afe</vt:lpwstr>
  </property>
  <property fmtid="{D5CDD505-2E9C-101B-9397-08002B2CF9AE}" pid="41" name="Function_x0020_and_x0020_Activity">
    <vt:lpwstr/>
  </property>
  <property fmtid="{D5CDD505-2E9C-101B-9397-08002B2CF9AE}" pid="42" name="Initiating_x0020_Entity">
    <vt:lpwstr>3;#Department of Finance|fd660e8f-8f31-49bd-92a3-d31d4da31afe</vt:lpwstr>
  </property>
  <property fmtid="{D5CDD505-2E9C-101B-9397-08002B2CF9AE}" pid="43" name="Organisation Unit">
    <vt:lpwstr>1;#Risk and Insurance|d57e6791-7d45-455f-98f9-bfdff5818acb</vt:lpwstr>
  </property>
  <property fmtid="{D5CDD505-2E9C-101B-9397-08002B2CF9AE}" pid="44" name="About Entity">
    <vt:lpwstr>3;#Department of Finance|fd660e8f-8f31-49bd-92a3-d31d4da31afe</vt:lpwstr>
  </property>
  <property fmtid="{D5CDD505-2E9C-101B-9397-08002B2CF9AE}" pid="45" name="Initiating Entity">
    <vt:lpwstr>3;#Department of Finance|fd660e8f-8f31-49bd-92a3-d31d4da31afe</vt:lpwstr>
  </property>
  <property fmtid="{D5CDD505-2E9C-101B-9397-08002B2CF9AE}" pid="46" name="Function and Activity">
    <vt:lpwstr/>
  </property>
  <property fmtid="{D5CDD505-2E9C-101B-9397-08002B2CF9AE}" pid="47" name="_dlc_DocIdItemGuid">
    <vt:lpwstr>4669b0c9-d43d-4b34-98ee-38ed0756858a</vt:lpwstr>
  </property>
</Properties>
</file>