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0B26A" w14:textId="77777777" w:rsidR="000C2A48" w:rsidRPr="00014623" w:rsidRDefault="00000000" w:rsidP="005A6C78">
      <w:pPr>
        <w:pStyle w:val="Firstpagespace"/>
        <w:rPr>
          <w:rFonts w:ascii="Calibri" w:hAnsi="Calibri"/>
        </w:rPr>
      </w:pPr>
      <w:r>
        <w:rPr>
          <w:rFonts w:ascii="Calibri" w:hAnsi="Calibri"/>
          <w:noProof/>
        </w:rPr>
        <w:pict w14:anchorId="3CCE8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71.05pt;margin-top:-94.1pt;width:595.8pt;height:193.1pt;z-index:-251658752">
            <v:imagedata r:id="rId11" o:title="Short word cover_Comcover"/>
          </v:shape>
        </w:pict>
      </w:r>
    </w:p>
    <w:p w14:paraId="1823D632" w14:textId="77777777" w:rsidR="00AC215A" w:rsidRDefault="00AC215A" w:rsidP="005A6C78">
      <w:pPr>
        <w:pStyle w:val="Title"/>
        <w:rPr>
          <w:rFonts w:ascii="Calibri" w:hAnsi="Calibri"/>
        </w:rPr>
      </w:pPr>
    </w:p>
    <w:p w14:paraId="3C9948E7" w14:textId="75BC9F01" w:rsidR="00BC6AB5" w:rsidRPr="00014623" w:rsidRDefault="000412D6" w:rsidP="005A6C78">
      <w:pPr>
        <w:pStyle w:val="Title"/>
        <w:rPr>
          <w:rFonts w:ascii="Calibri" w:hAnsi="Calibri"/>
        </w:rPr>
      </w:pPr>
      <w:r w:rsidRPr="00014623">
        <w:rPr>
          <w:rFonts w:ascii="Calibri" w:hAnsi="Calibri"/>
        </w:rPr>
        <w:t xml:space="preserve">Information Bulletin – Comcover </w:t>
      </w:r>
      <w:r w:rsidR="00BC6AB5" w:rsidRPr="00014623">
        <w:rPr>
          <w:rFonts w:ascii="Calibri" w:hAnsi="Calibri"/>
        </w:rPr>
        <w:t>Statement of Cover</w:t>
      </w:r>
      <w:r w:rsidRPr="00014623">
        <w:rPr>
          <w:rFonts w:ascii="Calibri" w:hAnsi="Calibri"/>
        </w:rPr>
        <w:t xml:space="preserve"> </w:t>
      </w:r>
      <w:r w:rsidR="00AC215A">
        <w:rPr>
          <w:rFonts w:ascii="Calibri" w:hAnsi="Calibri"/>
        </w:rPr>
        <w:t>202</w:t>
      </w:r>
      <w:r w:rsidR="00123E60">
        <w:rPr>
          <w:rFonts w:ascii="Calibri" w:hAnsi="Calibri"/>
        </w:rPr>
        <w:t>5-26</w:t>
      </w:r>
    </w:p>
    <w:p w14:paraId="3AA3C8AA" w14:textId="014260D4" w:rsidR="00F74C96" w:rsidRPr="00642BC5" w:rsidRDefault="00F74C96" w:rsidP="00F74C96">
      <w:pPr>
        <w:spacing w:after="240"/>
        <w:rPr>
          <w:rFonts w:ascii="Calibri" w:hAnsi="Calibri" w:cs="Calibri"/>
          <w:b/>
          <w:bCs/>
          <w:sz w:val="28"/>
          <w:szCs w:val="28"/>
        </w:rPr>
      </w:pPr>
      <w:r w:rsidRPr="00642BC5">
        <w:rPr>
          <w:rFonts w:ascii="Calibri" w:hAnsi="Calibri" w:cs="Calibri"/>
          <w:b/>
          <w:bCs/>
          <w:color w:val="43848B" w:themeColor="accent1" w:themeShade="80"/>
          <w:sz w:val="28"/>
          <w:szCs w:val="28"/>
        </w:rPr>
        <w:t>ISSUE 55 – EFFECTIVE 1 JULY 2025</w:t>
      </w:r>
    </w:p>
    <w:p w14:paraId="5EA98921" w14:textId="3DD02B07" w:rsidR="008C0110" w:rsidRPr="00642BC5" w:rsidRDefault="008C0110" w:rsidP="00F24196">
      <w:pPr>
        <w:spacing w:after="240"/>
        <w:rPr>
          <w:rFonts w:ascii="Calibri" w:hAnsi="Calibri" w:cs="Calibri"/>
          <w:color w:val="000000" w:themeColor="text1"/>
          <w:sz w:val="24"/>
          <w:szCs w:val="24"/>
        </w:rPr>
      </w:pPr>
      <w:r w:rsidRPr="00642BC5">
        <w:rPr>
          <w:rFonts w:ascii="Calibri" w:hAnsi="Calibri" w:cs="Calibri"/>
          <w:b/>
          <w:bCs/>
          <w:sz w:val="24"/>
          <w:szCs w:val="24"/>
        </w:rPr>
        <w:t>Introduction and Purpose</w:t>
      </w:r>
    </w:p>
    <w:p w14:paraId="710EAD5D" w14:textId="2C482BBC" w:rsidR="008C0110" w:rsidRPr="00642BC5" w:rsidRDefault="008C0110" w:rsidP="00931029">
      <w:pPr>
        <w:pStyle w:val="NoSpacing"/>
        <w:ind w:left="0"/>
        <w:rPr>
          <w:rFonts w:ascii="Calibri" w:hAnsi="Calibri" w:cs="Calibri"/>
          <w:color w:val="000000" w:themeColor="text1"/>
          <w:sz w:val="24"/>
          <w:szCs w:val="24"/>
          <w:lang w:val="en-US"/>
        </w:rPr>
      </w:pPr>
      <w:r w:rsidRPr="00642BC5">
        <w:rPr>
          <w:rFonts w:ascii="Calibri" w:hAnsi="Calibri" w:cs="Calibri"/>
          <w:color w:val="000000" w:themeColor="text1"/>
          <w:sz w:val="24"/>
          <w:szCs w:val="24"/>
        </w:rPr>
        <w:t xml:space="preserve">This bulletin </w:t>
      </w:r>
      <w:r w:rsidRPr="00642BC5">
        <w:rPr>
          <w:rFonts w:ascii="Calibri" w:hAnsi="Calibri" w:cs="Calibri"/>
          <w:color w:val="000000" w:themeColor="text1"/>
          <w:sz w:val="24"/>
          <w:szCs w:val="24"/>
          <w:lang w:val="en-US"/>
        </w:rPr>
        <w:t xml:space="preserve">outlines the key updates to the Comcover Statement of Cover for 2025–26, which takes effect from 1 July 2025 and replaces the previous 2024–25 version. </w:t>
      </w:r>
    </w:p>
    <w:p w14:paraId="2D4BE142" w14:textId="77777777" w:rsidR="008C0110" w:rsidRPr="00642BC5" w:rsidRDefault="008C0110" w:rsidP="00931029">
      <w:pPr>
        <w:pStyle w:val="NoSpacing"/>
        <w:ind w:left="0"/>
        <w:rPr>
          <w:rFonts w:ascii="Calibri" w:hAnsi="Calibri" w:cs="Calibri"/>
          <w:color w:val="000000" w:themeColor="text1"/>
          <w:sz w:val="24"/>
          <w:szCs w:val="24"/>
        </w:rPr>
      </w:pPr>
    </w:p>
    <w:p w14:paraId="7A05C055" w14:textId="369E3D19" w:rsidR="008C0110" w:rsidRPr="00642BC5" w:rsidRDefault="008C0110" w:rsidP="00931029">
      <w:pPr>
        <w:pStyle w:val="NoSpacing"/>
        <w:ind w:left="0"/>
        <w:rPr>
          <w:rFonts w:ascii="Calibri" w:hAnsi="Calibri" w:cs="Calibri"/>
          <w:color w:val="000000" w:themeColor="text1"/>
          <w:sz w:val="24"/>
          <w:szCs w:val="24"/>
        </w:rPr>
      </w:pPr>
      <w:r w:rsidRPr="00642BC5">
        <w:rPr>
          <w:rFonts w:ascii="Calibri" w:hAnsi="Calibri" w:cs="Calibri"/>
          <w:color w:val="000000" w:themeColor="text1"/>
          <w:sz w:val="24"/>
          <w:szCs w:val="24"/>
        </w:rPr>
        <w:t>A</w:t>
      </w:r>
      <w:r w:rsidR="00931029" w:rsidRPr="00642BC5">
        <w:rPr>
          <w:rFonts w:ascii="Calibri" w:hAnsi="Calibri" w:cs="Calibri"/>
          <w:color w:val="000000" w:themeColor="text1"/>
          <w:sz w:val="24"/>
          <w:szCs w:val="24"/>
        </w:rPr>
        <w:t xml:space="preserve">s </w:t>
      </w:r>
      <w:r w:rsidRPr="00642BC5">
        <w:rPr>
          <w:rFonts w:ascii="Calibri" w:hAnsi="Calibri" w:cs="Calibri"/>
          <w:color w:val="000000" w:themeColor="text1"/>
          <w:sz w:val="24"/>
          <w:szCs w:val="24"/>
        </w:rPr>
        <w:t xml:space="preserve">a </w:t>
      </w:r>
      <w:r w:rsidR="00931029" w:rsidRPr="00642BC5">
        <w:rPr>
          <w:rFonts w:ascii="Calibri" w:hAnsi="Calibri" w:cs="Calibri"/>
          <w:color w:val="000000" w:themeColor="text1"/>
          <w:sz w:val="24"/>
          <w:szCs w:val="24"/>
        </w:rPr>
        <w:t xml:space="preserve">Fund Member, </w:t>
      </w:r>
      <w:r w:rsidRPr="00642BC5">
        <w:rPr>
          <w:rFonts w:ascii="Calibri" w:hAnsi="Calibri" w:cs="Calibri"/>
          <w:color w:val="000000" w:themeColor="text1"/>
          <w:sz w:val="24"/>
          <w:szCs w:val="24"/>
        </w:rPr>
        <w:t>it is important that you review</w:t>
      </w:r>
      <w:r w:rsidR="00931029" w:rsidRPr="00642BC5">
        <w:rPr>
          <w:rFonts w:ascii="Calibri" w:hAnsi="Calibri" w:cs="Calibri"/>
          <w:color w:val="000000" w:themeColor="text1"/>
          <w:sz w:val="24"/>
          <w:szCs w:val="24"/>
        </w:rPr>
        <w:t xml:space="preserve"> the </w:t>
      </w:r>
      <w:r w:rsidRPr="00642BC5">
        <w:rPr>
          <w:rFonts w:ascii="Calibri" w:hAnsi="Calibri" w:cs="Calibri"/>
          <w:color w:val="000000" w:themeColor="text1"/>
          <w:sz w:val="24"/>
          <w:szCs w:val="24"/>
        </w:rPr>
        <w:t xml:space="preserve">updated </w:t>
      </w:r>
      <w:r w:rsidR="00931029" w:rsidRPr="00642BC5">
        <w:rPr>
          <w:rFonts w:ascii="Calibri" w:hAnsi="Calibri" w:cs="Calibri"/>
          <w:color w:val="000000" w:themeColor="text1"/>
          <w:sz w:val="24"/>
          <w:szCs w:val="24"/>
        </w:rPr>
        <w:t>Statem</w:t>
      </w:r>
      <w:r w:rsidR="00AD56C1" w:rsidRPr="00642BC5">
        <w:rPr>
          <w:rFonts w:ascii="Calibri" w:hAnsi="Calibri" w:cs="Calibri"/>
          <w:color w:val="000000" w:themeColor="text1"/>
          <w:sz w:val="24"/>
          <w:szCs w:val="24"/>
        </w:rPr>
        <w:t>ent of Cover</w:t>
      </w:r>
      <w:r w:rsidRPr="00642BC5">
        <w:rPr>
          <w:rFonts w:ascii="Calibri" w:hAnsi="Calibri" w:cs="Calibri"/>
          <w:color w:val="000000" w:themeColor="text1"/>
          <w:sz w:val="24"/>
          <w:szCs w:val="24"/>
        </w:rPr>
        <w:t xml:space="preserve"> </w:t>
      </w:r>
      <w:r w:rsidRPr="00642BC5">
        <w:rPr>
          <w:rFonts w:ascii="Calibri" w:hAnsi="Calibri" w:cs="Calibri"/>
          <w:color w:val="000000" w:themeColor="text1"/>
          <w:sz w:val="24"/>
          <w:szCs w:val="24"/>
          <w:lang w:val="en-US"/>
        </w:rPr>
        <w:t>to understand how these changes may affect your coverage, obligations, and claims processes</w:t>
      </w:r>
      <w:r w:rsidR="00931029" w:rsidRPr="00642BC5">
        <w:rPr>
          <w:rFonts w:ascii="Calibri" w:hAnsi="Calibri" w:cs="Calibri"/>
          <w:color w:val="000000" w:themeColor="text1"/>
          <w:sz w:val="24"/>
          <w:szCs w:val="24"/>
        </w:rPr>
        <w:t xml:space="preserve">. </w:t>
      </w:r>
    </w:p>
    <w:p w14:paraId="49E31249" w14:textId="77777777" w:rsidR="008C0110" w:rsidRPr="00642BC5" w:rsidRDefault="008C0110" w:rsidP="00931029">
      <w:pPr>
        <w:pStyle w:val="NoSpacing"/>
        <w:ind w:left="0"/>
        <w:rPr>
          <w:rFonts w:ascii="Calibri" w:hAnsi="Calibri" w:cs="Calibri"/>
          <w:color w:val="000000" w:themeColor="text1"/>
          <w:sz w:val="24"/>
          <w:szCs w:val="24"/>
        </w:rPr>
      </w:pPr>
    </w:p>
    <w:p w14:paraId="71029079" w14:textId="5277D506" w:rsidR="008C0110" w:rsidRPr="00642BC5" w:rsidRDefault="00BE0297" w:rsidP="00642BC5">
      <w:pPr>
        <w:pStyle w:val="NoSpacing"/>
        <w:spacing w:after="60"/>
        <w:ind w:left="0"/>
        <w:rPr>
          <w:rFonts w:ascii="Calibri" w:hAnsi="Calibri" w:cs="Calibri"/>
          <w:color w:val="000000" w:themeColor="text1"/>
          <w:sz w:val="24"/>
          <w:szCs w:val="24"/>
        </w:rPr>
      </w:pPr>
      <w:r w:rsidRPr="00642BC5">
        <w:rPr>
          <w:rFonts w:ascii="Calibri" w:hAnsi="Calibri" w:cs="Calibri"/>
          <w:color w:val="000000" w:themeColor="text1"/>
          <w:sz w:val="24"/>
          <w:szCs w:val="24"/>
        </w:rPr>
        <w:t xml:space="preserve">The </w:t>
      </w:r>
      <w:r w:rsidR="008C0110" w:rsidRPr="00642BC5">
        <w:rPr>
          <w:rFonts w:ascii="Calibri" w:hAnsi="Calibri" w:cs="Calibri"/>
          <w:color w:val="000000" w:themeColor="text1"/>
          <w:sz w:val="24"/>
          <w:szCs w:val="24"/>
          <w:lang w:val="en-US"/>
        </w:rPr>
        <w:t>bulletin presents changes in a structured format, referencing:</w:t>
      </w:r>
      <w:r w:rsidR="00FE26D7" w:rsidRPr="00642BC5">
        <w:rPr>
          <w:rFonts w:ascii="Calibri" w:hAnsi="Calibri" w:cs="Calibri"/>
          <w:color w:val="000000" w:themeColor="text1"/>
          <w:sz w:val="24"/>
          <w:szCs w:val="24"/>
        </w:rPr>
        <w:t xml:space="preserve"> </w:t>
      </w:r>
    </w:p>
    <w:p w14:paraId="67520FF9" w14:textId="1F9B2F32" w:rsidR="00482F6F" w:rsidRPr="00642BC5" w:rsidRDefault="008C0110" w:rsidP="00642BC5">
      <w:pPr>
        <w:pStyle w:val="NoSpacing"/>
        <w:numPr>
          <w:ilvl w:val="0"/>
          <w:numId w:val="38"/>
        </w:numPr>
        <w:spacing w:after="60"/>
        <w:ind w:left="714" w:hanging="357"/>
        <w:rPr>
          <w:rFonts w:ascii="Calibri" w:hAnsi="Calibri" w:cs="Calibri"/>
          <w:color w:val="000000" w:themeColor="text1"/>
          <w:sz w:val="24"/>
          <w:szCs w:val="24"/>
        </w:rPr>
      </w:pPr>
      <w:r w:rsidRPr="00642BC5">
        <w:rPr>
          <w:rFonts w:ascii="Calibri" w:hAnsi="Calibri" w:cs="Calibri"/>
          <w:color w:val="000000" w:themeColor="text1"/>
          <w:sz w:val="24"/>
          <w:szCs w:val="24"/>
        </w:rPr>
        <w:t>C</w:t>
      </w:r>
      <w:r w:rsidR="00EA613A" w:rsidRPr="00642BC5">
        <w:rPr>
          <w:rFonts w:ascii="Calibri" w:hAnsi="Calibri" w:cs="Calibri"/>
          <w:color w:val="000000" w:themeColor="text1"/>
          <w:sz w:val="24"/>
          <w:szCs w:val="24"/>
        </w:rPr>
        <w:t>hapter</w:t>
      </w:r>
      <w:r w:rsidR="005A6E71" w:rsidRPr="00642BC5">
        <w:rPr>
          <w:rFonts w:ascii="Calibri" w:hAnsi="Calibri" w:cs="Calibri"/>
          <w:color w:val="000000" w:themeColor="text1"/>
          <w:sz w:val="24"/>
          <w:szCs w:val="24"/>
        </w:rPr>
        <w:t xml:space="preserve"> number</w:t>
      </w:r>
      <w:r w:rsidR="00A53369" w:rsidRPr="00642BC5">
        <w:rPr>
          <w:rFonts w:ascii="Calibri" w:hAnsi="Calibri" w:cs="Calibri"/>
          <w:color w:val="000000" w:themeColor="text1"/>
          <w:sz w:val="24"/>
          <w:szCs w:val="24"/>
        </w:rPr>
        <w:t xml:space="preserve"> and </w:t>
      </w:r>
      <w:r w:rsidR="005C5D3E" w:rsidRPr="00642BC5">
        <w:rPr>
          <w:rFonts w:ascii="Calibri" w:hAnsi="Calibri" w:cs="Calibri"/>
          <w:color w:val="000000" w:themeColor="text1"/>
          <w:sz w:val="24"/>
          <w:szCs w:val="24"/>
        </w:rPr>
        <w:t>heading</w:t>
      </w:r>
      <w:r w:rsidR="00EA613A" w:rsidRPr="00642BC5">
        <w:rPr>
          <w:rFonts w:ascii="Calibri" w:hAnsi="Calibri" w:cs="Calibri"/>
          <w:color w:val="000000" w:themeColor="text1"/>
          <w:sz w:val="24"/>
          <w:szCs w:val="24"/>
        </w:rPr>
        <w:t xml:space="preserve"> </w:t>
      </w:r>
    </w:p>
    <w:p w14:paraId="7E9801C1" w14:textId="644099C4" w:rsidR="00482F6F" w:rsidRPr="00642BC5" w:rsidRDefault="00482F6F" w:rsidP="00642BC5">
      <w:pPr>
        <w:pStyle w:val="NoSpacing"/>
        <w:numPr>
          <w:ilvl w:val="0"/>
          <w:numId w:val="38"/>
        </w:numPr>
        <w:spacing w:after="60"/>
        <w:ind w:left="714" w:hanging="357"/>
        <w:rPr>
          <w:rFonts w:ascii="Calibri" w:hAnsi="Calibri" w:cs="Calibri"/>
          <w:color w:val="000000" w:themeColor="text1"/>
          <w:sz w:val="24"/>
          <w:szCs w:val="24"/>
        </w:rPr>
      </w:pPr>
      <w:r w:rsidRPr="00642BC5">
        <w:rPr>
          <w:rFonts w:ascii="Calibri" w:hAnsi="Calibri" w:cs="Calibri"/>
          <w:color w:val="000000" w:themeColor="text1"/>
          <w:sz w:val="24"/>
          <w:szCs w:val="24"/>
        </w:rPr>
        <w:t>S</w:t>
      </w:r>
      <w:r w:rsidR="009812CB" w:rsidRPr="00642BC5">
        <w:rPr>
          <w:rFonts w:ascii="Calibri" w:hAnsi="Calibri" w:cs="Calibri"/>
          <w:color w:val="000000" w:themeColor="text1"/>
          <w:sz w:val="24"/>
          <w:szCs w:val="24"/>
        </w:rPr>
        <w:t xml:space="preserve">ection </w:t>
      </w:r>
      <w:r w:rsidR="00655923" w:rsidRPr="00642BC5">
        <w:rPr>
          <w:rFonts w:ascii="Calibri" w:hAnsi="Calibri" w:cs="Calibri"/>
          <w:color w:val="000000" w:themeColor="text1"/>
          <w:sz w:val="24"/>
          <w:szCs w:val="24"/>
        </w:rPr>
        <w:t xml:space="preserve">number and heading </w:t>
      </w:r>
    </w:p>
    <w:p w14:paraId="30AA3CF6" w14:textId="5B88A7B3" w:rsidR="00173258" w:rsidRPr="00642BC5" w:rsidRDefault="00173258" w:rsidP="00642BC5">
      <w:pPr>
        <w:pStyle w:val="NoSpacing"/>
        <w:numPr>
          <w:ilvl w:val="0"/>
          <w:numId w:val="38"/>
        </w:numPr>
        <w:spacing w:after="60"/>
        <w:ind w:left="714" w:hanging="357"/>
        <w:rPr>
          <w:rFonts w:ascii="Calibri" w:hAnsi="Calibri" w:cs="Calibri"/>
          <w:color w:val="000000" w:themeColor="text1"/>
          <w:sz w:val="24"/>
          <w:szCs w:val="24"/>
        </w:rPr>
      </w:pPr>
      <w:r w:rsidRPr="00642BC5">
        <w:rPr>
          <w:rFonts w:ascii="Calibri" w:hAnsi="Calibri" w:cs="Calibri"/>
          <w:color w:val="000000" w:themeColor="text1"/>
          <w:sz w:val="24"/>
          <w:szCs w:val="24"/>
        </w:rPr>
        <w:t>S</w:t>
      </w:r>
      <w:r w:rsidR="00655923" w:rsidRPr="00642BC5">
        <w:rPr>
          <w:rFonts w:ascii="Calibri" w:hAnsi="Calibri" w:cs="Calibri"/>
          <w:color w:val="000000" w:themeColor="text1"/>
          <w:sz w:val="24"/>
          <w:szCs w:val="24"/>
        </w:rPr>
        <w:t>ub-section number</w:t>
      </w:r>
      <w:r w:rsidRPr="00642BC5">
        <w:rPr>
          <w:rFonts w:ascii="Calibri" w:hAnsi="Calibri" w:cs="Calibri"/>
          <w:color w:val="000000" w:themeColor="text1"/>
          <w:sz w:val="24"/>
          <w:szCs w:val="24"/>
        </w:rPr>
        <w:t xml:space="preserve"> (where applicable)</w:t>
      </w:r>
      <w:r w:rsidR="00BE0297" w:rsidRPr="00642BC5">
        <w:rPr>
          <w:rFonts w:ascii="Calibri" w:hAnsi="Calibri" w:cs="Calibri"/>
          <w:color w:val="000000" w:themeColor="text1"/>
          <w:sz w:val="24"/>
          <w:szCs w:val="24"/>
        </w:rPr>
        <w:t xml:space="preserve"> </w:t>
      </w:r>
    </w:p>
    <w:p w14:paraId="5455A3A6" w14:textId="13DEB860" w:rsidR="00931029" w:rsidRPr="00642BC5" w:rsidRDefault="00482F6F" w:rsidP="00F24196">
      <w:pPr>
        <w:pStyle w:val="NoSpacing"/>
        <w:numPr>
          <w:ilvl w:val="0"/>
          <w:numId w:val="38"/>
        </w:numPr>
        <w:rPr>
          <w:rFonts w:ascii="Calibri" w:hAnsi="Calibri" w:cs="Calibri"/>
          <w:color w:val="000000" w:themeColor="text1"/>
          <w:sz w:val="24"/>
          <w:szCs w:val="24"/>
        </w:rPr>
      </w:pPr>
      <w:r w:rsidRPr="00642BC5">
        <w:rPr>
          <w:rFonts w:ascii="Calibri" w:hAnsi="Calibri" w:cs="Calibri"/>
          <w:color w:val="000000" w:themeColor="text1"/>
          <w:sz w:val="24"/>
          <w:szCs w:val="24"/>
        </w:rPr>
        <w:t>E</w:t>
      </w:r>
      <w:r w:rsidR="00BE0297" w:rsidRPr="00642BC5">
        <w:rPr>
          <w:rFonts w:ascii="Calibri" w:hAnsi="Calibri" w:cs="Calibri"/>
          <w:color w:val="000000" w:themeColor="text1"/>
          <w:sz w:val="24"/>
          <w:szCs w:val="24"/>
        </w:rPr>
        <w:t>xplanation of the change</w:t>
      </w:r>
      <w:r w:rsidR="00E15A73" w:rsidRPr="00642BC5">
        <w:rPr>
          <w:rFonts w:ascii="Calibri" w:hAnsi="Calibri" w:cs="Calibri"/>
          <w:color w:val="000000" w:themeColor="text1"/>
          <w:sz w:val="24"/>
          <w:szCs w:val="24"/>
        </w:rPr>
        <w:t xml:space="preserve">. </w:t>
      </w:r>
      <w:r w:rsidR="009812CB" w:rsidRPr="00642BC5">
        <w:rPr>
          <w:rFonts w:ascii="Calibri" w:hAnsi="Calibri" w:cs="Calibri"/>
          <w:color w:val="000000" w:themeColor="text1"/>
          <w:sz w:val="24"/>
          <w:szCs w:val="24"/>
        </w:rPr>
        <w:t xml:space="preserve"> </w:t>
      </w:r>
    </w:p>
    <w:p w14:paraId="74740C6A" w14:textId="77777777" w:rsidR="00BC6AB5" w:rsidRPr="00642BC5" w:rsidRDefault="00BC6AB5" w:rsidP="00BC6AB5">
      <w:pPr>
        <w:pStyle w:val="Default"/>
        <w:rPr>
          <w:color w:val="auto"/>
        </w:rPr>
      </w:pPr>
    </w:p>
    <w:p w14:paraId="3A29CB3C" w14:textId="77DA19A2" w:rsidR="00482F6F" w:rsidRPr="00642BC5" w:rsidRDefault="00482F6F" w:rsidP="00BC6AB5">
      <w:pPr>
        <w:pStyle w:val="Default"/>
        <w:rPr>
          <w:color w:val="auto"/>
        </w:rPr>
      </w:pPr>
      <w:r w:rsidRPr="00642BC5">
        <w:rPr>
          <w:b/>
          <w:bCs/>
          <w:color w:val="auto"/>
        </w:rPr>
        <w:t>What is the Statement of Cover?</w:t>
      </w:r>
    </w:p>
    <w:p w14:paraId="22F4F1DC" w14:textId="77777777" w:rsidR="00482F6F" w:rsidRPr="00642BC5" w:rsidRDefault="00482F6F" w:rsidP="00BC6AB5">
      <w:pPr>
        <w:pStyle w:val="Default"/>
        <w:rPr>
          <w:color w:val="auto"/>
        </w:rPr>
      </w:pPr>
    </w:p>
    <w:p w14:paraId="230D3B0A" w14:textId="625406DA" w:rsidR="00BC6AB5" w:rsidRPr="00642BC5" w:rsidRDefault="00BC6AB5" w:rsidP="00BC6AB5">
      <w:pPr>
        <w:pStyle w:val="Default"/>
        <w:rPr>
          <w:color w:val="auto"/>
        </w:rPr>
      </w:pPr>
      <w:r w:rsidRPr="00642BC5">
        <w:rPr>
          <w:color w:val="auto"/>
        </w:rPr>
        <w:t xml:space="preserve">The Statement of Cover </w:t>
      </w:r>
      <w:r w:rsidR="00482F6F" w:rsidRPr="00642BC5">
        <w:rPr>
          <w:color w:val="auto"/>
          <w:lang w:val="en-US"/>
        </w:rPr>
        <w:t>defines the scope of coverage, eligibility for membership to Comcover, and the responsibilities of Fund Members</w:t>
      </w:r>
      <w:r w:rsidR="00482F6F" w:rsidRPr="00642BC5">
        <w:rPr>
          <w:color w:val="auto"/>
        </w:rPr>
        <w:t xml:space="preserve">. It is the official </w:t>
      </w:r>
      <w:r w:rsidRPr="00642BC5">
        <w:rPr>
          <w:color w:val="auto"/>
        </w:rPr>
        <w:t xml:space="preserve">policy under which Comcover manages and settles claims for funding losses on behalf of Fund Members. </w:t>
      </w:r>
    </w:p>
    <w:p w14:paraId="4D9EC446" w14:textId="77777777" w:rsidR="00D97D7D" w:rsidRPr="00642BC5" w:rsidRDefault="00D97D7D" w:rsidP="00BC6AB5">
      <w:pPr>
        <w:pStyle w:val="Default"/>
        <w:rPr>
          <w:color w:val="auto"/>
        </w:rPr>
      </w:pPr>
    </w:p>
    <w:p w14:paraId="384D5943" w14:textId="3F899E9D" w:rsidR="00482F6F" w:rsidRPr="00642BC5" w:rsidRDefault="00482F6F" w:rsidP="00BC6AB5">
      <w:pPr>
        <w:pStyle w:val="Default"/>
        <w:rPr>
          <w:b/>
          <w:bCs/>
          <w:color w:val="auto"/>
        </w:rPr>
      </w:pPr>
      <w:r w:rsidRPr="00642BC5">
        <w:rPr>
          <w:b/>
          <w:bCs/>
          <w:color w:val="auto"/>
        </w:rPr>
        <w:t>Need assistance?</w:t>
      </w:r>
    </w:p>
    <w:p w14:paraId="755F23E2" w14:textId="77777777" w:rsidR="00482F6F" w:rsidRPr="00642BC5" w:rsidRDefault="00482F6F" w:rsidP="00BC6AB5">
      <w:pPr>
        <w:pStyle w:val="Default"/>
        <w:rPr>
          <w:color w:val="auto"/>
        </w:rPr>
      </w:pPr>
    </w:p>
    <w:p w14:paraId="6385A24C" w14:textId="5DE80C9A" w:rsidR="00D406A2" w:rsidRPr="00642BC5" w:rsidRDefault="00482F6F" w:rsidP="00F24196">
      <w:pPr>
        <w:pStyle w:val="Default"/>
        <w:spacing w:after="240"/>
        <w:rPr>
          <w:color w:val="auto"/>
        </w:rPr>
      </w:pPr>
      <w:r w:rsidRPr="00642BC5">
        <w:rPr>
          <w:color w:val="auto"/>
        </w:rPr>
        <w:t>Y</w:t>
      </w:r>
      <w:r w:rsidR="00BC6AB5" w:rsidRPr="00642BC5">
        <w:rPr>
          <w:color w:val="auto"/>
        </w:rPr>
        <w:t xml:space="preserve">our </w:t>
      </w:r>
      <w:r w:rsidRPr="00642BC5">
        <w:rPr>
          <w:color w:val="auto"/>
        </w:rPr>
        <w:t xml:space="preserve">Comcover </w:t>
      </w:r>
      <w:r w:rsidR="00BC6AB5" w:rsidRPr="00642BC5">
        <w:rPr>
          <w:color w:val="auto"/>
        </w:rPr>
        <w:t xml:space="preserve">Relationship Manager is available to provide </w:t>
      </w:r>
      <w:r w:rsidRPr="00642BC5">
        <w:rPr>
          <w:color w:val="auto"/>
        </w:rPr>
        <w:t xml:space="preserve">support </w:t>
      </w:r>
      <w:r w:rsidR="00BC6AB5" w:rsidRPr="00642BC5">
        <w:rPr>
          <w:color w:val="auto"/>
        </w:rPr>
        <w:t xml:space="preserve">and </w:t>
      </w:r>
      <w:r w:rsidRPr="00642BC5">
        <w:rPr>
          <w:color w:val="auto"/>
        </w:rPr>
        <w:t>answer</w:t>
      </w:r>
      <w:r w:rsidR="00BC6AB5" w:rsidRPr="00642BC5">
        <w:rPr>
          <w:color w:val="auto"/>
        </w:rPr>
        <w:t xml:space="preserve"> any </w:t>
      </w:r>
      <w:r w:rsidRPr="00642BC5">
        <w:rPr>
          <w:color w:val="auto"/>
        </w:rPr>
        <w:t xml:space="preserve">questions </w:t>
      </w:r>
      <w:r w:rsidR="00BC6AB5" w:rsidRPr="00642BC5">
        <w:rPr>
          <w:color w:val="auto"/>
        </w:rPr>
        <w:t>you may have</w:t>
      </w:r>
      <w:r w:rsidRPr="00642BC5">
        <w:rPr>
          <w:color w:val="auto"/>
        </w:rPr>
        <w:t xml:space="preserve"> regarding these updates</w:t>
      </w:r>
      <w:r w:rsidR="00BC6AB5" w:rsidRPr="00642BC5">
        <w:rPr>
          <w:color w:val="auto"/>
        </w:rPr>
        <w:t xml:space="preserve">. </w:t>
      </w:r>
      <w:r w:rsidRPr="00642BC5">
        <w:rPr>
          <w:color w:val="auto"/>
        </w:rPr>
        <w:t>You can reach Comcover at 1800 651 540 (selecting option 3).</w:t>
      </w:r>
    </w:p>
    <w:p w14:paraId="6E665A38" w14:textId="7C155191" w:rsidR="00D406A2" w:rsidRPr="00642BC5" w:rsidRDefault="00D406A2" w:rsidP="00F24196">
      <w:pPr>
        <w:spacing w:after="240"/>
        <w:rPr>
          <w:rFonts w:ascii="Calibri" w:hAnsi="Calibri" w:cs="Calibri"/>
          <w:b/>
          <w:bCs/>
          <w:color w:val="43848B" w:themeColor="accent1" w:themeShade="80"/>
          <w:sz w:val="28"/>
          <w:szCs w:val="28"/>
        </w:rPr>
      </w:pPr>
      <w:bookmarkStart w:id="0" w:name="_Hlk201853627"/>
      <w:r w:rsidRPr="00642BC5">
        <w:rPr>
          <w:rFonts w:ascii="Calibri" w:hAnsi="Calibri" w:cs="Calibri"/>
          <w:b/>
          <w:bCs/>
          <w:color w:val="43848B" w:themeColor="accent1" w:themeShade="80"/>
          <w:sz w:val="28"/>
          <w:szCs w:val="28"/>
        </w:rPr>
        <w:t xml:space="preserve">Chapter 1 – Preamble </w:t>
      </w:r>
      <w:bookmarkEnd w:id="0"/>
    </w:p>
    <w:p w14:paraId="76913DC7" w14:textId="32CE2BC0" w:rsidR="00D406A2" w:rsidRDefault="00D406A2" w:rsidP="00BC6AB5">
      <w:pPr>
        <w:pStyle w:val="Default"/>
        <w:rPr>
          <w:b/>
          <w:bCs/>
          <w:color w:val="auto"/>
        </w:rPr>
      </w:pPr>
      <w:bookmarkStart w:id="1" w:name="_Hlk201854124"/>
      <w:r w:rsidRPr="00642BC5">
        <w:rPr>
          <w:b/>
          <w:bCs/>
          <w:color w:val="auto"/>
        </w:rPr>
        <w:t>Section 1(2) – Overview</w:t>
      </w:r>
      <w:bookmarkEnd w:id="1"/>
    </w:p>
    <w:p w14:paraId="55B54C5B" w14:textId="77777777" w:rsidR="00642BC5" w:rsidRPr="00642BC5" w:rsidRDefault="00642BC5" w:rsidP="00BC6AB5">
      <w:pPr>
        <w:pStyle w:val="Default"/>
        <w:rPr>
          <w:b/>
          <w:bCs/>
          <w:color w:val="auto"/>
        </w:rPr>
      </w:pPr>
    </w:p>
    <w:p w14:paraId="1CB04CD0" w14:textId="77777777" w:rsidR="00D406A2" w:rsidRPr="00642BC5" w:rsidRDefault="00D406A2" w:rsidP="00BC6AB5">
      <w:pPr>
        <w:pStyle w:val="Default"/>
        <w:rPr>
          <w:color w:val="auto"/>
          <w:lang w:val="en-US"/>
        </w:rPr>
      </w:pPr>
      <w:r w:rsidRPr="00642BC5">
        <w:rPr>
          <w:color w:val="auto"/>
          <w:lang w:val="en-US"/>
        </w:rPr>
        <w:t>The Statement of Cover has been updated to reflect the Government’s 2024-25 Budget decision to cap the amount funded by Comcover for a single ‘claim’ or ‘event’ at $100 million and provide reference to the process for claims and events exceeding this amount.</w:t>
      </w:r>
    </w:p>
    <w:p w14:paraId="103E293A" w14:textId="6BD9C6E6" w:rsidR="00D406A2" w:rsidRPr="00642BC5" w:rsidRDefault="00D406A2" w:rsidP="00BC6AB5">
      <w:pPr>
        <w:pStyle w:val="Default"/>
        <w:rPr>
          <w:color w:val="auto"/>
          <w:lang w:val="en-US"/>
        </w:rPr>
      </w:pPr>
      <w:r w:rsidRPr="00642BC5">
        <w:rPr>
          <w:color w:val="auto"/>
          <w:lang w:val="en-US"/>
        </w:rPr>
        <w:lastRenderedPageBreak/>
        <w:t xml:space="preserve">A new term, event, has also been added to the definitions in Section 5 to clarify what constitutes an event under </w:t>
      </w:r>
      <w:proofErr w:type="spellStart"/>
      <w:r w:rsidRPr="00642BC5">
        <w:rPr>
          <w:color w:val="auto"/>
          <w:lang w:val="en-US"/>
        </w:rPr>
        <w:t>Comcover’s</w:t>
      </w:r>
      <w:proofErr w:type="spellEnd"/>
      <w:r w:rsidRPr="00642BC5">
        <w:rPr>
          <w:color w:val="auto"/>
          <w:lang w:val="en-US"/>
        </w:rPr>
        <w:t xml:space="preserve"> policy.</w:t>
      </w:r>
    </w:p>
    <w:p w14:paraId="6D5C905E" w14:textId="77777777" w:rsidR="00D406A2" w:rsidRPr="00642BC5" w:rsidRDefault="00D406A2" w:rsidP="00BC6AB5">
      <w:pPr>
        <w:pStyle w:val="Default"/>
        <w:rPr>
          <w:color w:val="auto"/>
        </w:rPr>
      </w:pPr>
    </w:p>
    <w:p w14:paraId="2522FF0B" w14:textId="20ADCEA4" w:rsidR="00D406A2" w:rsidRPr="00642BC5" w:rsidRDefault="00D406A2" w:rsidP="00BC6AB5">
      <w:pPr>
        <w:pStyle w:val="Default"/>
        <w:rPr>
          <w:color w:val="auto"/>
        </w:rPr>
      </w:pPr>
      <w:r w:rsidRPr="00642BC5">
        <w:rPr>
          <w:b/>
          <w:bCs/>
          <w:color w:val="auto"/>
        </w:rPr>
        <w:t>Section 3 – Conditions of Cover</w:t>
      </w:r>
    </w:p>
    <w:p w14:paraId="72E54979" w14:textId="77777777" w:rsidR="00D406A2" w:rsidRPr="00642BC5" w:rsidRDefault="00D406A2" w:rsidP="00BC6AB5">
      <w:pPr>
        <w:pStyle w:val="Default"/>
        <w:rPr>
          <w:color w:val="auto"/>
        </w:rPr>
      </w:pPr>
    </w:p>
    <w:p w14:paraId="535A4546" w14:textId="4D1FBBA6" w:rsidR="00D406A2" w:rsidRPr="00642BC5" w:rsidRDefault="00D406A2" w:rsidP="00BC6AB5">
      <w:pPr>
        <w:pStyle w:val="Default"/>
        <w:rPr>
          <w:i/>
          <w:iCs/>
          <w:color w:val="auto"/>
        </w:rPr>
      </w:pPr>
      <w:r w:rsidRPr="00642BC5">
        <w:rPr>
          <w:i/>
          <w:iCs/>
          <w:color w:val="auto"/>
        </w:rPr>
        <w:t>Subsection (2)(c)(vii) – Obligations of Fund Members</w:t>
      </w:r>
    </w:p>
    <w:p w14:paraId="7DC584A9" w14:textId="77777777" w:rsidR="00D406A2" w:rsidRPr="00642BC5" w:rsidRDefault="00D406A2" w:rsidP="00BC6AB5">
      <w:pPr>
        <w:pStyle w:val="Default"/>
        <w:rPr>
          <w:color w:val="auto"/>
        </w:rPr>
      </w:pPr>
    </w:p>
    <w:p w14:paraId="10C688E2" w14:textId="38D27165" w:rsidR="00D406A2" w:rsidRPr="00642BC5" w:rsidRDefault="00D406A2" w:rsidP="00D406A2">
      <w:pPr>
        <w:pStyle w:val="Default"/>
        <w:rPr>
          <w:lang w:val="en-US"/>
        </w:rPr>
      </w:pPr>
      <w:r w:rsidRPr="00642BC5">
        <w:rPr>
          <w:lang w:val="en-US"/>
        </w:rPr>
        <w:t xml:space="preserve">Fund Members are now expected to ensure that both replacement values and location details of assets are recorded accurately. This aligns with the updated definition of Assets Schedule in </w:t>
      </w:r>
      <w:r w:rsidR="00173258" w:rsidRPr="00642BC5">
        <w:rPr>
          <w:lang w:val="en-US"/>
        </w:rPr>
        <w:t>s</w:t>
      </w:r>
      <w:r w:rsidRPr="00642BC5">
        <w:rPr>
          <w:lang w:val="en-US"/>
        </w:rPr>
        <w:t>ection 5.</w:t>
      </w:r>
    </w:p>
    <w:p w14:paraId="2B90E2CB" w14:textId="77777777" w:rsidR="00D406A2" w:rsidRPr="00642BC5" w:rsidRDefault="00D406A2" w:rsidP="00BC6AB5">
      <w:pPr>
        <w:pStyle w:val="Default"/>
        <w:rPr>
          <w:color w:val="auto"/>
        </w:rPr>
      </w:pPr>
    </w:p>
    <w:p w14:paraId="3F4A1674" w14:textId="375DD61F" w:rsidR="00D406A2" w:rsidRPr="00642BC5" w:rsidRDefault="00173258" w:rsidP="00BC6AB5">
      <w:pPr>
        <w:pStyle w:val="Default"/>
        <w:rPr>
          <w:color w:val="auto"/>
        </w:rPr>
      </w:pPr>
      <w:r w:rsidRPr="00642BC5">
        <w:rPr>
          <w:color w:val="auto"/>
        </w:rPr>
        <w:t xml:space="preserve">Subsection </w:t>
      </w:r>
      <w:r w:rsidRPr="00642BC5">
        <w:rPr>
          <w:i/>
          <w:iCs/>
          <w:color w:val="auto"/>
        </w:rPr>
        <w:t>(2)(c)(x) – Participation Expectations</w:t>
      </w:r>
    </w:p>
    <w:p w14:paraId="4BE391A6" w14:textId="77777777" w:rsidR="00D406A2" w:rsidRPr="00642BC5" w:rsidRDefault="00D406A2" w:rsidP="00BC6AB5">
      <w:pPr>
        <w:pStyle w:val="Default"/>
        <w:rPr>
          <w:color w:val="auto"/>
        </w:rPr>
      </w:pPr>
    </w:p>
    <w:p w14:paraId="14FF12E2" w14:textId="595BB874" w:rsidR="00173258" w:rsidRPr="00642BC5" w:rsidRDefault="00173258" w:rsidP="00642BC5">
      <w:pPr>
        <w:pStyle w:val="NoSpacing"/>
        <w:spacing w:after="60"/>
        <w:ind w:left="0"/>
        <w:rPr>
          <w:rFonts w:ascii="Calibri" w:hAnsi="Calibri" w:cs="Calibri"/>
          <w:lang w:val="en-US"/>
        </w:rPr>
      </w:pPr>
      <w:r w:rsidRPr="00642BC5">
        <w:rPr>
          <w:rFonts w:ascii="Calibri" w:hAnsi="Calibri" w:cs="Calibri"/>
          <w:lang w:val="en-US"/>
        </w:rPr>
        <w:t xml:space="preserve">Comcover encourages Fund Members to actively participate in its forums. Two events have been added to the list of expected </w:t>
      </w:r>
      <w:r w:rsidRPr="00642BC5">
        <w:rPr>
          <w:rFonts w:ascii="Calibri" w:hAnsi="Calibri" w:cs="Calibri"/>
          <w:color w:val="000000" w:themeColor="text1"/>
          <w:sz w:val="24"/>
          <w:szCs w:val="24"/>
          <w:lang w:val="en-US"/>
        </w:rPr>
        <w:t>engagements</w:t>
      </w:r>
      <w:r w:rsidRPr="00642BC5">
        <w:rPr>
          <w:rFonts w:ascii="Calibri" w:hAnsi="Calibri" w:cs="Calibri"/>
          <w:lang w:val="en-US"/>
        </w:rPr>
        <w:t>:</w:t>
      </w:r>
    </w:p>
    <w:p w14:paraId="03FA63E2" w14:textId="55EFF96D" w:rsidR="00173258" w:rsidRPr="00642BC5" w:rsidRDefault="00173258" w:rsidP="00642BC5">
      <w:pPr>
        <w:pStyle w:val="NoSpacing"/>
        <w:numPr>
          <w:ilvl w:val="0"/>
          <w:numId w:val="38"/>
        </w:numPr>
        <w:spacing w:after="60"/>
        <w:ind w:left="714" w:hanging="357"/>
        <w:rPr>
          <w:rFonts w:ascii="Calibri" w:hAnsi="Calibri" w:cs="Calibri"/>
          <w:color w:val="000000" w:themeColor="text1"/>
        </w:rPr>
      </w:pPr>
      <w:r w:rsidRPr="00642BC5">
        <w:rPr>
          <w:rFonts w:ascii="Calibri" w:hAnsi="Calibri" w:cs="Calibri"/>
          <w:color w:val="000000" w:themeColor="text1"/>
        </w:rPr>
        <w:t xml:space="preserve">Commonwealth Risk </w:t>
      </w:r>
      <w:r w:rsidRPr="00642BC5">
        <w:rPr>
          <w:rFonts w:ascii="Calibri" w:hAnsi="Calibri" w:cs="Calibri"/>
          <w:color w:val="000000" w:themeColor="text1"/>
          <w:sz w:val="24"/>
          <w:szCs w:val="24"/>
        </w:rPr>
        <w:t>Managers’</w:t>
      </w:r>
      <w:r w:rsidRPr="00642BC5">
        <w:rPr>
          <w:rFonts w:ascii="Calibri" w:hAnsi="Calibri" w:cs="Calibri"/>
          <w:color w:val="000000" w:themeColor="text1"/>
        </w:rPr>
        <w:t xml:space="preserve"> Forum</w:t>
      </w:r>
    </w:p>
    <w:p w14:paraId="67622ADB" w14:textId="687FDA83" w:rsidR="00173258" w:rsidRPr="00642BC5" w:rsidRDefault="00173258" w:rsidP="00173258">
      <w:pPr>
        <w:pStyle w:val="Default"/>
        <w:numPr>
          <w:ilvl w:val="0"/>
          <w:numId w:val="39"/>
        </w:numPr>
        <w:rPr>
          <w:lang w:val="en-US"/>
        </w:rPr>
      </w:pPr>
      <w:r w:rsidRPr="00642BC5">
        <w:rPr>
          <w:color w:val="000000" w:themeColor="text1"/>
        </w:rPr>
        <w:t>Comcover</w:t>
      </w:r>
      <w:r w:rsidRPr="00642BC5">
        <w:rPr>
          <w:lang w:val="en-US"/>
        </w:rPr>
        <w:t xml:space="preserve"> Legal Liability Community of Practice.</w:t>
      </w:r>
      <w:r w:rsidRPr="00642BC5">
        <w:rPr>
          <w:lang w:val="en-US"/>
        </w:rPr>
        <w:br/>
      </w:r>
    </w:p>
    <w:p w14:paraId="12C54CDF" w14:textId="7AAD07CD" w:rsidR="00173258" w:rsidRPr="00642BC5" w:rsidRDefault="00173258" w:rsidP="00173258">
      <w:pPr>
        <w:pStyle w:val="Default"/>
        <w:rPr>
          <w:lang w:val="en-US"/>
        </w:rPr>
      </w:pPr>
      <w:r w:rsidRPr="00642BC5">
        <w:rPr>
          <w:lang w:val="en-US"/>
        </w:rPr>
        <w:t>These forums provide valuable opportunities for collaboration, learning, and staying informed about best practices in risk management and legal liability.</w:t>
      </w:r>
    </w:p>
    <w:p w14:paraId="00D37CE2" w14:textId="77777777" w:rsidR="00173258" w:rsidRPr="00642BC5" w:rsidRDefault="00173258" w:rsidP="00BC6AB5">
      <w:pPr>
        <w:pStyle w:val="Default"/>
        <w:rPr>
          <w:color w:val="auto"/>
        </w:rPr>
      </w:pPr>
    </w:p>
    <w:p w14:paraId="1AB07DEF" w14:textId="1AD34C85" w:rsidR="00173258" w:rsidRPr="00642BC5" w:rsidRDefault="00173258" w:rsidP="00BC6AB5">
      <w:pPr>
        <w:pStyle w:val="Default"/>
        <w:rPr>
          <w:color w:val="auto"/>
        </w:rPr>
      </w:pPr>
      <w:r w:rsidRPr="00642BC5">
        <w:rPr>
          <w:b/>
          <w:bCs/>
          <w:color w:val="43848B" w:themeColor="accent1" w:themeShade="80"/>
          <w:sz w:val="28"/>
          <w:szCs w:val="28"/>
        </w:rPr>
        <w:t>Chapter 2 – Statement of Cover</w:t>
      </w:r>
    </w:p>
    <w:p w14:paraId="4B334B27" w14:textId="77777777" w:rsidR="00173258" w:rsidRPr="00642BC5" w:rsidRDefault="00173258" w:rsidP="00BC6AB5">
      <w:pPr>
        <w:pStyle w:val="Default"/>
        <w:rPr>
          <w:color w:val="auto"/>
        </w:rPr>
      </w:pPr>
    </w:p>
    <w:p w14:paraId="5DA40B03" w14:textId="46096995" w:rsidR="00173258" w:rsidRPr="00642BC5" w:rsidRDefault="00173258" w:rsidP="00BC6AB5">
      <w:pPr>
        <w:pStyle w:val="Default"/>
        <w:rPr>
          <w:color w:val="auto"/>
        </w:rPr>
      </w:pPr>
      <w:r w:rsidRPr="00642BC5">
        <w:rPr>
          <w:b/>
          <w:bCs/>
          <w:color w:val="auto"/>
        </w:rPr>
        <w:t>Section 4(2) – Eligibility Clarification</w:t>
      </w:r>
      <w:r w:rsidRPr="00642BC5">
        <w:rPr>
          <w:b/>
          <w:bCs/>
          <w:color w:val="auto"/>
        </w:rPr>
        <w:tab/>
      </w:r>
    </w:p>
    <w:p w14:paraId="4575DE8C" w14:textId="77777777" w:rsidR="00173258" w:rsidRPr="00642BC5" w:rsidRDefault="00173258" w:rsidP="00BC6AB5">
      <w:pPr>
        <w:pStyle w:val="Default"/>
        <w:rPr>
          <w:color w:val="auto"/>
        </w:rPr>
      </w:pPr>
    </w:p>
    <w:p w14:paraId="25A046EF" w14:textId="61F9E40A" w:rsidR="00173258" w:rsidRPr="00642BC5" w:rsidRDefault="00173258" w:rsidP="00BC6AB5">
      <w:pPr>
        <w:pStyle w:val="Default"/>
        <w:rPr>
          <w:color w:val="auto"/>
        </w:rPr>
      </w:pPr>
      <w:r w:rsidRPr="00642BC5">
        <w:rPr>
          <w:color w:val="auto"/>
          <w:lang w:val="en-US"/>
        </w:rPr>
        <w:t>This section has been revised to remove references to ‘internal policies and the Accountable Authority Instructions.’ These documents do not restrict Fund Members from maintaining insurance cover with Comcover.</w:t>
      </w:r>
    </w:p>
    <w:p w14:paraId="0ED21444" w14:textId="77777777" w:rsidR="00173258" w:rsidRPr="00642BC5" w:rsidRDefault="00173258" w:rsidP="00BC6AB5">
      <w:pPr>
        <w:pStyle w:val="Default"/>
        <w:rPr>
          <w:color w:val="auto"/>
        </w:rPr>
      </w:pPr>
    </w:p>
    <w:p w14:paraId="71722187" w14:textId="7FB76FB8" w:rsidR="00173258" w:rsidRPr="00642BC5" w:rsidRDefault="00173258" w:rsidP="00173258">
      <w:pPr>
        <w:pStyle w:val="Default"/>
        <w:rPr>
          <w:lang w:val="en-US"/>
        </w:rPr>
      </w:pPr>
      <w:r w:rsidRPr="00642BC5">
        <w:rPr>
          <w:color w:val="auto"/>
        </w:rPr>
        <w:t xml:space="preserve">Eligibility reminder: </w:t>
      </w:r>
      <w:r w:rsidRPr="00642BC5">
        <w:rPr>
          <w:lang w:val="en-US"/>
        </w:rPr>
        <w:t xml:space="preserve">All Commonwealth entities and Commonwealth companies subject to the </w:t>
      </w:r>
      <w:r w:rsidRPr="00642BC5">
        <w:rPr>
          <w:i/>
          <w:iCs/>
          <w:lang w:val="en-US"/>
        </w:rPr>
        <w:t>Public Governance, Performance and Accountability Act 2013</w:t>
      </w:r>
      <w:r w:rsidRPr="00642BC5">
        <w:rPr>
          <w:lang w:val="en-US"/>
        </w:rPr>
        <w:t xml:space="preserve"> (PGPA Act) and classified under the General Government Sector remain eligible for membership in the Comcover Scheme.</w:t>
      </w:r>
    </w:p>
    <w:p w14:paraId="554E4E17" w14:textId="427D3D31" w:rsidR="00173258" w:rsidRPr="00642BC5" w:rsidRDefault="00173258" w:rsidP="00BC6AB5">
      <w:pPr>
        <w:pStyle w:val="Default"/>
        <w:rPr>
          <w:color w:val="auto"/>
        </w:rPr>
      </w:pPr>
    </w:p>
    <w:p w14:paraId="778945D6" w14:textId="67FD00D9" w:rsidR="00173258" w:rsidRPr="00642BC5" w:rsidRDefault="00173258" w:rsidP="00BC6AB5">
      <w:pPr>
        <w:pStyle w:val="Default"/>
        <w:rPr>
          <w:b/>
          <w:bCs/>
          <w:color w:val="auto"/>
        </w:rPr>
      </w:pPr>
      <w:r w:rsidRPr="00642BC5">
        <w:rPr>
          <w:b/>
          <w:bCs/>
          <w:color w:val="auto"/>
        </w:rPr>
        <w:t>Section 5 – Defined Terms</w:t>
      </w:r>
    </w:p>
    <w:p w14:paraId="65837923" w14:textId="77777777" w:rsidR="00173258" w:rsidRPr="00642BC5" w:rsidRDefault="00173258" w:rsidP="00BC6AB5">
      <w:pPr>
        <w:pStyle w:val="Default"/>
        <w:rPr>
          <w:color w:val="auto"/>
        </w:rPr>
      </w:pPr>
    </w:p>
    <w:p w14:paraId="1B8EDFBE" w14:textId="7BD2F5DA" w:rsidR="00173258" w:rsidRPr="00642BC5" w:rsidRDefault="00173258" w:rsidP="00BC6AB5">
      <w:pPr>
        <w:pStyle w:val="Default"/>
        <w:rPr>
          <w:color w:val="auto"/>
          <w:lang w:val="en-US"/>
        </w:rPr>
      </w:pPr>
      <w:proofErr w:type="gramStart"/>
      <w:r w:rsidRPr="00642BC5">
        <w:rPr>
          <w:color w:val="auto"/>
        </w:rPr>
        <w:t>A number of</w:t>
      </w:r>
      <w:proofErr w:type="gramEnd"/>
      <w:r w:rsidRPr="00642BC5">
        <w:rPr>
          <w:color w:val="auto"/>
        </w:rPr>
        <w:t xml:space="preserve"> </w:t>
      </w:r>
      <w:r w:rsidRPr="00642BC5">
        <w:rPr>
          <w:color w:val="auto"/>
          <w:lang w:val="en-US"/>
        </w:rPr>
        <w:t>definitions have been updated or added to improve clarity and alignment with legislative references:</w:t>
      </w:r>
    </w:p>
    <w:p w14:paraId="42D3FEEE" w14:textId="77777777" w:rsidR="00173258" w:rsidRPr="00642BC5" w:rsidRDefault="00173258" w:rsidP="00BC6AB5">
      <w:pPr>
        <w:pStyle w:val="Default"/>
        <w:rPr>
          <w:color w:val="auto"/>
          <w:lang w:val="en-US"/>
        </w:rPr>
      </w:pPr>
    </w:p>
    <w:p w14:paraId="3C5BFD09" w14:textId="2E889E68" w:rsidR="00173258" w:rsidRPr="00642BC5" w:rsidRDefault="00173258" w:rsidP="00F24196">
      <w:pPr>
        <w:pStyle w:val="NoSpacing"/>
        <w:numPr>
          <w:ilvl w:val="0"/>
          <w:numId w:val="38"/>
        </w:numPr>
        <w:spacing w:after="120"/>
        <w:ind w:left="714" w:hanging="357"/>
        <w:rPr>
          <w:rFonts w:ascii="Calibri" w:hAnsi="Calibri" w:cs="Calibri"/>
          <w:lang w:val="en-US"/>
        </w:rPr>
      </w:pPr>
      <w:r w:rsidRPr="00642BC5">
        <w:rPr>
          <w:rFonts w:ascii="Calibri" w:hAnsi="Calibri" w:cs="Calibri"/>
          <w:sz w:val="24"/>
          <w:szCs w:val="24"/>
          <w:lang w:val="en-US"/>
        </w:rPr>
        <w:t xml:space="preserve">Comcover: Now aligned with the definition in Section 4 of the </w:t>
      </w:r>
      <w:r w:rsidR="0029036E" w:rsidRPr="00642BC5">
        <w:rPr>
          <w:rFonts w:ascii="Calibri" w:hAnsi="Calibri" w:cs="Calibri"/>
          <w:i/>
          <w:iCs/>
          <w:sz w:val="24"/>
          <w:szCs w:val="24"/>
        </w:rPr>
        <w:t>PGPA Act Determination (Comcover Special Account 2018</w:t>
      </w:r>
      <w:r w:rsidR="0029036E" w:rsidRPr="00642BC5">
        <w:rPr>
          <w:rFonts w:ascii="Calibri" w:hAnsi="Calibri" w:cs="Calibri"/>
          <w:sz w:val="24"/>
          <w:szCs w:val="24"/>
        </w:rPr>
        <w:t xml:space="preserve"> (the Determination)</w:t>
      </w:r>
      <w:r w:rsidRPr="00642BC5">
        <w:rPr>
          <w:rFonts w:ascii="Calibri" w:hAnsi="Calibri" w:cs="Calibri"/>
          <w:sz w:val="24"/>
          <w:szCs w:val="24"/>
          <w:lang w:val="en-US"/>
        </w:rPr>
        <w:t>. It clarifies that Comcover is administered by the Department of Finance to protect Fund Members from losses covered by the Commonwealth Insurance Policy.</w:t>
      </w:r>
      <w:r w:rsidR="0029036E" w:rsidRPr="00642BC5">
        <w:rPr>
          <w:rFonts w:ascii="Calibri" w:hAnsi="Calibri" w:cs="Calibri"/>
          <w:sz w:val="24"/>
          <w:szCs w:val="24"/>
          <w:lang w:val="en-US"/>
        </w:rPr>
        <w:t xml:space="preserve"> </w:t>
      </w:r>
    </w:p>
    <w:p w14:paraId="300720C1" w14:textId="0FA045C3" w:rsidR="00173258" w:rsidRPr="00642BC5" w:rsidRDefault="00173258" w:rsidP="00F24196">
      <w:pPr>
        <w:pStyle w:val="NoSpacing"/>
        <w:numPr>
          <w:ilvl w:val="0"/>
          <w:numId w:val="38"/>
        </w:numPr>
        <w:rPr>
          <w:rFonts w:ascii="Calibri" w:hAnsi="Calibri" w:cs="Calibri"/>
          <w:lang w:val="en-US"/>
        </w:rPr>
      </w:pPr>
      <w:r w:rsidRPr="00642BC5">
        <w:rPr>
          <w:rFonts w:ascii="Calibri" w:hAnsi="Calibri" w:cs="Calibri"/>
          <w:sz w:val="24"/>
          <w:szCs w:val="24"/>
          <w:lang w:val="en-US"/>
        </w:rPr>
        <w:t>Comcover Insurance Policy (new): Defined as comprising both the Statement of Cover and the Schedule of Cover, consistent with Section 4 of the Determination.</w:t>
      </w:r>
    </w:p>
    <w:p w14:paraId="1C8067D4" w14:textId="45011838" w:rsidR="00173258" w:rsidRPr="00642BC5" w:rsidRDefault="00173258" w:rsidP="00F24196">
      <w:pPr>
        <w:pStyle w:val="NoSpacing"/>
        <w:numPr>
          <w:ilvl w:val="0"/>
          <w:numId w:val="38"/>
        </w:numPr>
        <w:spacing w:after="120"/>
        <w:ind w:left="714" w:hanging="357"/>
        <w:rPr>
          <w:rFonts w:ascii="Calibri" w:hAnsi="Calibri" w:cs="Calibri"/>
          <w:lang w:val="en-US"/>
        </w:rPr>
      </w:pPr>
      <w:r w:rsidRPr="00642BC5">
        <w:rPr>
          <w:rFonts w:ascii="Calibri" w:hAnsi="Calibri" w:cs="Calibri"/>
          <w:sz w:val="24"/>
          <w:szCs w:val="24"/>
          <w:lang w:val="en-US"/>
        </w:rPr>
        <w:lastRenderedPageBreak/>
        <w:t>Comcover Fund: Updated to reflect that references to the Fund should be interpreted in line with the Determination.</w:t>
      </w:r>
    </w:p>
    <w:p w14:paraId="051BF015" w14:textId="2D1999F9" w:rsidR="00173258" w:rsidRPr="00642BC5" w:rsidRDefault="00173258" w:rsidP="00F24196">
      <w:pPr>
        <w:pStyle w:val="NoSpacing"/>
        <w:numPr>
          <w:ilvl w:val="0"/>
          <w:numId w:val="38"/>
        </w:numPr>
        <w:spacing w:after="120"/>
        <w:ind w:left="714" w:hanging="357"/>
        <w:rPr>
          <w:rFonts w:ascii="Calibri" w:hAnsi="Calibri" w:cs="Calibri"/>
          <w:lang w:val="en-US"/>
        </w:rPr>
      </w:pPr>
      <w:r w:rsidRPr="00642BC5">
        <w:rPr>
          <w:rFonts w:ascii="Calibri" w:hAnsi="Calibri" w:cs="Calibri"/>
          <w:sz w:val="24"/>
          <w:szCs w:val="24"/>
          <w:lang w:val="en-US"/>
        </w:rPr>
        <w:t xml:space="preserve">Event (new): Introduced to define what constitutes an </w:t>
      </w:r>
      <w:r w:rsidR="0029036E" w:rsidRPr="00642BC5">
        <w:rPr>
          <w:rFonts w:ascii="Calibri" w:hAnsi="Calibri" w:cs="Calibri"/>
          <w:sz w:val="24"/>
          <w:szCs w:val="24"/>
          <w:lang w:val="en-US"/>
        </w:rPr>
        <w:t>‘</w:t>
      </w:r>
      <w:r w:rsidRPr="00642BC5">
        <w:rPr>
          <w:rFonts w:ascii="Calibri" w:hAnsi="Calibri" w:cs="Calibri"/>
          <w:sz w:val="24"/>
          <w:szCs w:val="24"/>
          <w:lang w:val="en-US"/>
        </w:rPr>
        <w:t>event</w:t>
      </w:r>
      <w:r w:rsidR="0029036E" w:rsidRPr="00642BC5">
        <w:rPr>
          <w:rFonts w:ascii="Calibri" w:hAnsi="Calibri" w:cs="Calibri"/>
          <w:sz w:val="24"/>
          <w:szCs w:val="24"/>
          <w:lang w:val="en-US"/>
        </w:rPr>
        <w:t>’</w:t>
      </w:r>
      <w:r w:rsidRPr="00642BC5">
        <w:rPr>
          <w:rFonts w:ascii="Calibri" w:hAnsi="Calibri" w:cs="Calibri"/>
          <w:sz w:val="24"/>
          <w:szCs w:val="24"/>
          <w:lang w:val="en-US"/>
        </w:rPr>
        <w:t xml:space="preserve"> under Comcover, particularly in relation to financial limits.</w:t>
      </w:r>
    </w:p>
    <w:p w14:paraId="1BD614B9" w14:textId="48A16737" w:rsidR="00173258" w:rsidRPr="00642BC5" w:rsidRDefault="00173258" w:rsidP="00F24196">
      <w:pPr>
        <w:pStyle w:val="NoSpacing"/>
        <w:numPr>
          <w:ilvl w:val="0"/>
          <w:numId w:val="38"/>
        </w:numPr>
        <w:spacing w:after="120"/>
        <w:ind w:left="714" w:hanging="357"/>
        <w:rPr>
          <w:rFonts w:ascii="Calibri" w:hAnsi="Calibri" w:cs="Calibri"/>
          <w:lang w:val="en-US"/>
        </w:rPr>
      </w:pPr>
      <w:r w:rsidRPr="00642BC5">
        <w:rPr>
          <w:rFonts w:ascii="Calibri" w:hAnsi="Calibri" w:cs="Calibri"/>
          <w:sz w:val="24"/>
          <w:szCs w:val="24"/>
          <w:lang w:val="en-US"/>
        </w:rPr>
        <w:t xml:space="preserve">Fund Member: Revised to include Commonwealth entities and </w:t>
      </w:r>
      <w:r w:rsidR="0029036E" w:rsidRPr="00642BC5">
        <w:rPr>
          <w:rFonts w:ascii="Calibri" w:hAnsi="Calibri" w:cs="Calibri"/>
          <w:sz w:val="24"/>
          <w:szCs w:val="24"/>
          <w:lang w:val="en-US"/>
        </w:rPr>
        <w:t xml:space="preserve">Commonwealth </w:t>
      </w:r>
      <w:r w:rsidRPr="00642BC5">
        <w:rPr>
          <w:rFonts w:ascii="Calibri" w:hAnsi="Calibri" w:cs="Calibri"/>
          <w:sz w:val="24"/>
          <w:szCs w:val="24"/>
          <w:lang w:val="en-US"/>
        </w:rPr>
        <w:t>companies named on the Fund Member’s Schedule of Cover, aligning with the Determination.</w:t>
      </w:r>
    </w:p>
    <w:p w14:paraId="7EE5AE6E" w14:textId="2CF08C73" w:rsidR="00173258" w:rsidRPr="00642BC5" w:rsidRDefault="00173258" w:rsidP="00F24196">
      <w:pPr>
        <w:pStyle w:val="NoSpacing"/>
        <w:numPr>
          <w:ilvl w:val="0"/>
          <w:numId w:val="38"/>
        </w:numPr>
        <w:spacing w:after="120"/>
        <w:ind w:left="714" w:hanging="357"/>
        <w:rPr>
          <w:rFonts w:ascii="Calibri" w:hAnsi="Calibri" w:cs="Calibri"/>
          <w:lang w:val="en-US"/>
        </w:rPr>
      </w:pPr>
      <w:r w:rsidRPr="00642BC5">
        <w:rPr>
          <w:rFonts w:ascii="Calibri" w:hAnsi="Calibri" w:cs="Calibri"/>
          <w:sz w:val="24"/>
          <w:szCs w:val="24"/>
          <w:lang w:val="en-US"/>
        </w:rPr>
        <w:t xml:space="preserve">Loss: Updated to </w:t>
      </w:r>
      <w:r w:rsidR="0029036E" w:rsidRPr="00642BC5">
        <w:rPr>
          <w:rFonts w:ascii="Calibri" w:hAnsi="Calibri" w:cs="Calibri"/>
          <w:sz w:val="24"/>
          <w:szCs w:val="24"/>
          <w:lang w:val="en-US"/>
        </w:rPr>
        <w:t>align with</w:t>
      </w:r>
      <w:r w:rsidRPr="00642BC5">
        <w:rPr>
          <w:rFonts w:ascii="Calibri" w:hAnsi="Calibri" w:cs="Calibri"/>
          <w:sz w:val="24"/>
          <w:szCs w:val="24"/>
          <w:lang w:val="en-US"/>
        </w:rPr>
        <w:t xml:space="preserve"> the insuring clauses in Chapter 3 – Liability.</w:t>
      </w:r>
    </w:p>
    <w:p w14:paraId="4C61BF20" w14:textId="565306E3" w:rsidR="00173258" w:rsidRPr="00642BC5" w:rsidRDefault="00173258" w:rsidP="00F24196">
      <w:pPr>
        <w:pStyle w:val="NoSpacing"/>
        <w:numPr>
          <w:ilvl w:val="0"/>
          <w:numId w:val="38"/>
        </w:numPr>
        <w:spacing w:after="120"/>
        <w:ind w:left="714" w:hanging="357"/>
        <w:rPr>
          <w:rFonts w:ascii="Calibri" w:hAnsi="Calibri" w:cs="Calibri"/>
          <w:lang w:val="en-US"/>
        </w:rPr>
      </w:pPr>
      <w:r w:rsidRPr="00642BC5">
        <w:rPr>
          <w:rFonts w:ascii="Calibri" w:hAnsi="Calibri" w:cs="Calibri"/>
          <w:sz w:val="24"/>
          <w:szCs w:val="24"/>
          <w:lang w:val="en-US"/>
        </w:rPr>
        <w:t xml:space="preserve">Motor Vehicle: </w:t>
      </w:r>
      <w:r w:rsidR="0029036E" w:rsidRPr="00642BC5">
        <w:rPr>
          <w:rFonts w:ascii="Calibri" w:hAnsi="Calibri" w:cs="Calibri"/>
          <w:sz w:val="24"/>
          <w:szCs w:val="24"/>
        </w:rPr>
        <w:t>Added the words ‘fixed operational modifications’ to clarify that these modifications form part of the motor vehicle and are reflected in the market value of the motor vehicle</w:t>
      </w:r>
      <w:r w:rsidRPr="00642BC5">
        <w:rPr>
          <w:rFonts w:ascii="Calibri" w:hAnsi="Calibri" w:cs="Calibri"/>
          <w:sz w:val="24"/>
          <w:szCs w:val="24"/>
          <w:lang w:val="en-US"/>
        </w:rPr>
        <w:t>.</w:t>
      </w:r>
    </w:p>
    <w:p w14:paraId="33FE00F0" w14:textId="510B8837" w:rsidR="00173258" w:rsidRPr="00642BC5" w:rsidRDefault="00173258" w:rsidP="00F24196">
      <w:pPr>
        <w:pStyle w:val="NoSpacing"/>
        <w:numPr>
          <w:ilvl w:val="0"/>
          <w:numId w:val="38"/>
        </w:numPr>
        <w:rPr>
          <w:rFonts w:ascii="Calibri" w:hAnsi="Calibri" w:cs="Calibri"/>
          <w:lang w:val="en-US"/>
        </w:rPr>
      </w:pPr>
      <w:r w:rsidRPr="00642BC5">
        <w:rPr>
          <w:rFonts w:ascii="Calibri" w:hAnsi="Calibri" w:cs="Calibri"/>
          <w:sz w:val="24"/>
          <w:szCs w:val="24"/>
          <w:lang w:val="en-US"/>
        </w:rPr>
        <w:t xml:space="preserve">Total Loss (new): Added to clarify what </w:t>
      </w:r>
      <w:r w:rsidR="0029036E" w:rsidRPr="00642BC5">
        <w:rPr>
          <w:rFonts w:ascii="Calibri" w:hAnsi="Calibri" w:cs="Calibri"/>
          <w:sz w:val="24"/>
          <w:szCs w:val="24"/>
          <w:lang w:val="en-US"/>
        </w:rPr>
        <w:t>‘</w:t>
      </w:r>
      <w:r w:rsidRPr="00642BC5">
        <w:rPr>
          <w:rFonts w:ascii="Calibri" w:hAnsi="Calibri" w:cs="Calibri"/>
          <w:sz w:val="24"/>
          <w:szCs w:val="24"/>
          <w:lang w:val="en-US"/>
        </w:rPr>
        <w:t>total loss</w:t>
      </w:r>
      <w:r w:rsidR="0029036E" w:rsidRPr="00642BC5">
        <w:rPr>
          <w:rFonts w:ascii="Calibri" w:hAnsi="Calibri" w:cs="Calibri"/>
          <w:sz w:val="24"/>
          <w:szCs w:val="24"/>
          <w:lang w:val="en-US"/>
        </w:rPr>
        <w:t>’</w:t>
      </w:r>
      <w:r w:rsidRPr="00642BC5">
        <w:rPr>
          <w:rFonts w:ascii="Calibri" w:hAnsi="Calibri" w:cs="Calibri"/>
          <w:sz w:val="24"/>
          <w:szCs w:val="24"/>
          <w:lang w:val="en-US"/>
        </w:rPr>
        <w:t xml:space="preserve"> means in the context of motor vehicle claims under </w:t>
      </w:r>
      <w:r w:rsidR="0029036E" w:rsidRPr="00642BC5">
        <w:rPr>
          <w:rFonts w:ascii="Calibri" w:hAnsi="Calibri" w:cs="Calibri"/>
          <w:sz w:val="24"/>
          <w:szCs w:val="24"/>
          <w:lang w:val="en-US"/>
        </w:rPr>
        <w:t>s</w:t>
      </w:r>
      <w:r w:rsidRPr="00642BC5">
        <w:rPr>
          <w:rFonts w:ascii="Calibri" w:hAnsi="Calibri" w:cs="Calibri"/>
          <w:sz w:val="24"/>
          <w:szCs w:val="24"/>
          <w:lang w:val="en-US"/>
        </w:rPr>
        <w:t>ection 12.</w:t>
      </w:r>
    </w:p>
    <w:p w14:paraId="752E55C6" w14:textId="77777777" w:rsidR="00173258" w:rsidRPr="00642BC5" w:rsidRDefault="00173258" w:rsidP="00BC6AB5">
      <w:pPr>
        <w:pStyle w:val="Default"/>
        <w:rPr>
          <w:color w:val="auto"/>
        </w:rPr>
      </w:pPr>
    </w:p>
    <w:p w14:paraId="2C9FE7CF" w14:textId="7952EC27" w:rsidR="0029036E" w:rsidRPr="00642BC5" w:rsidRDefault="0029036E" w:rsidP="00BC6AB5">
      <w:pPr>
        <w:pStyle w:val="Default"/>
        <w:rPr>
          <w:color w:val="auto"/>
        </w:rPr>
      </w:pPr>
      <w:r w:rsidRPr="00642BC5">
        <w:rPr>
          <w:b/>
          <w:bCs/>
          <w:color w:val="43848B" w:themeColor="accent1" w:themeShade="80"/>
          <w:sz w:val="28"/>
          <w:szCs w:val="28"/>
        </w:rPr>
        <w:t>Chapter 4 – Property</w:t>
      </w:r>
    </w:p>
    <w:p w14:paraId="28664B54" w14:textId="77777777" w:rsidR="0029036E" w:rsidRPr="00642BC5" w:rsidRDefault="0029036E" w:rsidP="00BC6AB5">
      <w:pPr>
        <w:pStyle w:val="Default"/>
        <w:rPr>
          <w:color w:val="auto"/>
        </w:rPr>
      </w:pPr>
    </w:p>
    <w:p w14:paraId="3EB45026" w14:textId="6B3E4F4F" w:rsidR="004B2930" w:rsidRPr="00642BC5" w:rsidRDefault="004B2930" w:rsidP="004B2930">
      <w:pPr>
        <w:pStyle w:val="Default"/>
        <w:rPr>
          <w:b/>
          <w:bCs/>
          <w:color w:val="auto"/>
        </w:rPr>
      </w:pPr>
      <w:r w:rsidRPr="00642BC5">
        <w:rPr>
          <w:b/>
          <w:bCs/>
          <w:color w:val="auto"/>
        </w:rPr>
        <w:t xml:space="preserve">Section 8(1) – </w:t>
      </w:r>
      <w:r w:rsidR="00B20718" w:rsidRPr="00642BC5">
        <w:rPr>
          <w:b/>
          <w:bCs/>
          <w:color w:val="auto"/>
        </w:rPr>
        <w:t>Definition Update</w:t>
      </w:r>
      <w:r w:rsidRPr="00642BC5">
        <w:rPr>
          <w:b/>
          <w:bCs/>
          <w:color w:val="auto"/>
        </w:rPr>
        <w:tab/>
      </w:r>
    </w:p>
    <w:p w14:paraId="540BB8C5" w14:textId="77777777" w:rsidR="0029036E" w:rsidRPr="00642BC5" w:rsidRDefault="0029036E" w:rsidP="00BC6AB5">
      <w:pPr>
        <w:pStyle w:val="Default"/>
        <w:rPr>
          <w:color w:val="auto"/>
        </w:rPr>
      </w:pPr>
    </w:p>
    <w:p w14:paraId="168AA6FA" w14:textId="5F016C06" w:rsidR="004B2930" w:rsidRPr="00642BC5" w:rsidRDefault="004B2930" w:rsidP="004B2930">
      <w:pPr>
        <w:pStyle w:val="Default"/>
        <w:rPr>
          <w:lang w:val="en-US"/>
        </w:rPr>
      </w:pPr>
      <w:r w:rsidRPr="00642BC5">
        <w:rPr>
          <w:lang w:val="en-US"/>
        </w:rPr>
        <w:t xml:space="preserve">The term ‘event’ has now been bolded </w:t>
      </w:r>
      <w:r w:rsidR="00B20718" w:rsidRPr="00642BC5">
        <w:rPr>
          <w:lang w:val="en-US"/>
        </w:rPr>
        <w:t>in</w:t>
      </w:r>
      <w:r w:rsidRPr="00642BC5">
        <w:rPr>
          <w:lang w:val="en-US"/>
        </w:rPr>
        <w:t xml:space="preserve"> this section to reflect its status as a defined term under Section 5 of the Statement of Cover. This change ensures consistency with the updated definition and clarifies the scope of what constitutes an event under </w:t>
      </w:r>
      <w:proofErr w:type="spellStart"/>
      <w:r w:rsidRPr="00642BC5">
        <w:rPr>
          <w:lang w:val="en-US"/>
        </w:rPr>
        <w:t>Comcover’s</w:t>
      </w:r>
      <w:proofErr w:type="spellEnd"/>
      <w:r w:rsidRPr="00642BC5">
        <w:rPr>
          <w:lang w:val="en-US"/>
        </w:rPr>
        <w:t xml:space="preserve"> policy.</w:t>
      </w:r>
    </w:p>
    <w:p w14:paraId="6785BCB8" w14:textId="4243BC79" w:rsidR="004B2930" w:rsidRPr="00642BC5" w:rsidRDefault="004B2930" w:rsidP="004B2930">
      <w:pPr>
        <w:pStyle w:val="Default"/>
        <w:rPr>
          <w:lang w:val="en-US"/>
        </w:rPr>
      </w:pPr>
      <w:r w:rsidRPr="00642BC5">
        <w:rPr>
          <w:lang w:val="en-US"/>
        </w:rPr>
        <w:br/>
        <w:t xml:space="preserve">The definition of </w:t>
      </w:r>
      <w:r w:rsidR="00B20718" w:rsidRPr="00642BC5">
        <w:rPr>
          <w:lang w:val="en-US"/>
        </w:rPr>
        <w:t>‘</w:t>
      </w:r>
      <w:r w:rsidRPr="00642BC5">
        <w:rPr>
          <w:lang w:val="en-US"/>
        </w:rPr>
        <w:t>event</w:t>
      </w:r>
      <w:r w:rsidR="00B20718" w:rsidRPr="00642BC5">
        <w:rPr>
          <w:lang w:val="en-US"/>
        </w:rPr>
        <w:t>’</w:t>
      </w:r>
      <w:r w:rsidRPr="00642BC5">
        <w:rPr>
          <w:lang w:val="en-US"/>
        </w:rPr>
        <w:t xml:space="preserve"> helps determine how property losses are grouped and assessed, particularly in relation to the financial limits of the Comcover Fund.</w:t>
      </w:r>
    </w:p>
    <w:p w14:paraId="7D130662" w14:textId="77777777" w:rsidR="004B2930" w:rsidRPr="00642BC5" w:rsidRDefault="004B2930" w:rsidP="00BC6AB5">
      <w:pPr>
        <w:pStyle w:val="Default"/>
        <w:rPr>
          <w:color w:val="auto"/>
        </w:rPr>
      </w:pPr>
    </w:p>
    <w:p w14:paraId="6ED9DB17" w14:textId="3E763E90" w:rsidR="00B20718" w:rsidRPr="00642BC5" w:rsidRDefault="00B20718" w:rsidP="00B20718">
      <w:pPr>
        <w:pStyle w:val="Default"/>
        <w:rPr>
          <w:color w:val="auto"/>
        </w:rPr>
      </w:pPr>
      <w:r w:rsidRPr="00642BC5">
        <w:rPr>
          <w:b/>
          <w:bCs/>
          <w:color w:val="43848B" w:themeColor="accent1" w:themeShade="80"/>
          <w:sz w:val="28"/>
          <w:szCs w:val="28"/>
        </w:rPr>
        <w:t>Chapter 5 – Motor Vehicle</w:t>
      </w:r>
    </w:p>
    <w:p w14:paraId="36B6FD23" w14:textId="77777777" w:rsidR="00B20718" w:rsidRPr="00642BC5" w:rsidRDefault="00B20718" w:rsidP="00B20718">
      <w:pPr>
        <w:pStyle w:val="Default"/>
        <w:rPr>
          <w:color w:val="auto"/>
        </w:rPr>
      </w:pPr>
    </w:p>
    <w:p w14:paraId="251A0441" w14:textId="285CEAC8" w:rsidR="00B20718" w:rsidRPr="00642BC5" w:rsidRDefault="00B20718" w:rsidP="00B20718">
      <w:pPr>
        <w:pStyle w:val="Default"/>
        <w:rPr>
          <w:b/>
          <w:bCs/>
          <w:color w:val="auto"/>
        </w:rPr>
      </w:pPr>
      <w:r w:rsidRPr="00642BC5">
        <w:rPr>
          <w:b/>
          <w:bCs/>
          <w:color w:val="auto"/>
        </w:rPr>
        <w:t>Section 12(1) – Insurable Loss Definition</w:t>
      </w:r>
      <w:r w:rsidRPr="00642BC5">
        <w:rPr>
          <w:b/>
          <w:bCs/>
          <w:color w:val="auto"/>
        </w:rPr>
        <w:tab/>
      </w:r>
    </w:p>
    <w:p w14:paraId="7221F199" w14:textId="77777777" w:rsidR="00B20718" w:rsidRPr="00642BC5" w:rsidRDefault="00B20718" w:rsidP="00B20718">
      <w:pPr>
        <w:pStyle w:val="Default"/>
        <w:rPr>
          <w:color w:val="auto"/>
        </w:rPr>
      </w:pPr>
    </w:p>
    <w:p w14:paraId="4982F32A" w14:textId="77777777" w:rsidR="00B20718" w:rsidRPr="00642BC5" w:rsidRDefault="00B20718" w:rsidP="00642BC5">
      <w:pPr>
        <w:pStyle w:val="NoSpacing"/>
        <w:spacing w:after="60"/>
        <w:ind w:left="0"/>
        <w:rPr>
          <w:rFonts w:ascii="Calibri" w:hAnsi="Calibri" w:cs="Calibri"/>
          <w:lang w:val="en-US"/>
        </w:rPr>
      </w:pPr>
      <w:r w:rsidRPr="00642BC5">
        <w:rPr>
          <w:rFonts w:ascii="Calibri" w:hAnsi="Calibri" w:cs="Calibri"/>
          <w:lang w:val="en-US"/>
        </w:rPr>
        <w:t xml:space="preserve">This section now clearly states that Comcover </w:t>
      </w:r>
      <w:r w:rsidRPr="00642BC5">
        <w:rPr>
          <w:rFonts w:ascii="Calibri" w:hAnsi="Calibri" w:cs="Calibri"/>
          <w:color w:val="000000" w:themeColor="text1"/>
          <w:sz w:val="24"/>
          <w:szCs w:val="24"/>
          <w:lang w:val="en-US"/>
        </w:rPr>
        <w:t>will</w:t>
      </w:r>
      <w:r w:rsidRPr="00642BC5">
        <w:rPr>
          <w:rFonts w:ascii="Calibri" w:hAnsi="Calibri" w:cs="Calibri"/>
          <w:lang w:val="en-US"/>
        </w:rPr>
        <w:t xml:space="preserve"> either:</w:t>
      </w:r>
    </w:p>
    <w:p w14:paraId="23079FAF" w14:textId="4FD0FAD1" w:rsidR="00B20718" w:rsidRPr="00642BC5" w:rsidRDefault="00B20718" w:rsidP="00642BC5">
      <w:pPr>
        <w:pStyle w:val="NoSpacing"/>
        <w:numPr>
          <w:ilvl w:val="0"/>
          <w:numId w:val="38"/>
        </w:numPr>
        <w:spacing w:after="60"/>
        <w:ind w:left="714" w:hanging="357"/>
        <w:rPr>
          <w:rFonts w:ascii="Calibri" w:hAnsi="Calibri" w:cs="Calibri"/>
          <w:lang w:val="en-US"/>
        </w:rPr>
      </w:pPr>
      <w:r w:rsidRPr="00642BC5">
        <w:rPr>
          <w:rFonts w:ascii="Calibri" w:hAnsi="Calibri" w:cs="Calibri"/>
          <w:lang w:val="en-US"/>
        </w:rPr>
        <w:t xml:space="preserve">pay reasonable repair </w:t>
      </w:r>
      <w:r w:rsidRPr="00642BC5">
        <w:rPr>
          <w:rFonts w:ascii="Calibri" w:hAnsi="Calibri" w:cs="Calibri"/>
          <w:color w:val="000000" w:themeColor="text1"/>
          <w:sz w:val="24"/>
          <w:szCs w:val="24"/>
        </w:rPr>
        <w:t>costs</w:t>
      </w:r>
      <w:r w:rsidRPr="00642BC5">
        <w:rPr>
          <w:rFonts w:ascii="Calibri" w:hAnsi="Calibri" w:cs="Calibri"/>
          <w:lang w:val="en-US"/>
        </w:rPr>
        <w:t>, or</w:t>
      </w:r>
    </w:p>
    <w:p w14:paraId="3DF0D186" w14:textId="0ED26201" w:rsidR="00B20718" w:rsidRPr="00642BC5" w:rsidRDefault="00B20718" w:rsidP="00642BC5">
      <w:pPr>
        <w:pStyle w:val="Default"/>
        <w:numPr>
          <w:ilvl w:val="0"/>
          <w:numId w:val="40"/>
        </w:numPr>
        <w:spacing w:after="60"/>
        <w:ind w:left="714" w:hanging="357"/>
        <w:rPr>
          <w:lang w:val="en-US"/>
        </w:rPr>
      </w:pPr>
      <w:r w:rsidRPr="00642BC5">
        <w:rPr>
          <w:lang w:val="en-US"/>
        </w:rPr>
        <w:t>declare a total loss and pay the replacement cost,</w:t>
      </w:r>
    </w:p>
    <w:p w14:paraId="3863470F" w14:textId="7A30D1E2" w:rsidR="00B20718" w:rsidRPr="00642BC5" w:rsidRDefault="00B20718" w:rsidP="00B20718">
      <w:pPr>
        <w:pStyle w:val="Default"/>
        <w:rPr>
          <w:lang w:val="en-US"/>
        </w:rPr>
      </w:pPr>
      <w:r w:rsidRPr="00642BC5">
        <w:rPr>
          <w:lang w:val="en-US"/>
        </w:rPr>
        <w:t>when a motor vehicle owned or leased by a Fund Member is lost, destroyed, or damaged.</w:t>
      </w:r>
    </w:p>
    <w:p w14:paraId="1B3E7F6F" w14:textId="4DFE85E3" w:rsidR="00B20718" w:rsidRPr="00642BC5" w:rsidRDefault="00B20718" w:rsidP="00B20718">
      <w:pPr>
        <w:pStyle w:val="Default"/>
        <w:rPr>
          <w:lang w:val="en-US"/>
        </w:rPr>
      </w:pPr>
    </w:p>
    <w:p w14:paraId="2E0C6013" w14:textId="0AE1FAA4" w:rsidR="00B20718" w:rsidRPr="00642BC5" w:rsidRDefault="00B20718" w:rsidP="00BC6AB5">
      <w:pPr>
        <w:pStyle w:val="Default"/>
        <w:rPr>
          <w:b/>
          <w:bCs/>
          <w:color w:val="auto"/>
        </w:rPr>
      </w:pPr>
      <w:r w:rsidRPr="00642BC5">
        <w:rPr>
          <w:b/>
          <w:bCs/>
          <w:color w:val="auto"/>
        </w:rPr>
        <w:t>Section 12(2)(a) – Total Loss Clarification</w:t>
      </w:r>
    </w:p>
    <w:p w14:paraId="5EC135B6" w14:textId="77777777" w:rsidR="00B20718" w:rsidRPr="00642BC5" w:rsidRDefault="00B20718" w:rsidP="00BC6AB5">
      <w:pPr>
        <w:pStyle w:val="Default"/>
        <w:rPr>
          <w:color w:val="auto"/>
        </w:rPr>
      </w:pPr>
    </w:p>
    <w:p w14:paraId="25A090FC" w14:textId="3AD8CE77" w:rsidR="00B20718" w:rsidRPr="00642BC5" w:rsidRDefault="00B20718" w:rsidP="00BC6AB5">
      <w:pPr>
        <w:pStyle w:val="Default"/>
        <w:rPr>
          <w:color w:val="auto"/>
          <w:lang w:val="en-US"/>
        </w:rPr>
      </w:pPr>
      <w:r w:rsidRPr="00642BC5">
        <w:rPr>
          <w:color w:val="auto"/>
          <w:lang w:val="en-US"/>
        </w:rPr>
        <w:t>The wording has been refined to explain how Comcover responds to total loss scenarios. A new paragraph now separately addresses cases where the vehicle is not a total loss.</w:t>
      </w:r>
    </w:p>
    <w:p w14:paraId="237D68CB" w14:textId="77777777" w:rsidR="00B20718" w:rsidRPr="00642BC5" w:rsidRDefault="00B20718" w:rsidP="00BC6AB5">
      <w:pPr>
        <w:pStyle w:val="Default"/>
        <w:rPr>
          <w:color w:val="auto"/>
        </w:rPr>
      </w:pPr>
    </w:p>
    <w:p w14:paraId="6C5A941B" w14:textId="77777777" w:rsidR="00642BC5" w:rsidRDefault="00642BC5">
      <w:pPr>
        <w:suppressAutoHyphens w:val="0"/>
        <w:spacing w:before="0" w:after="120" w:line="440" w:lineRule="atLeast"/>
        <w:rPr>
          <w:rFonts w:ascii="Calibri" w:hAnsi="Calibri" w:cs="Calibri"/>
          <w:b/>
          <w:bCs/>
          <w:sz w:val="24"/>
          <w:szCs w:val="24"/>
        </w:rPr>
      </w:pPr>
      <w:r>
        <w:rPr>
          <w:b/>
          <w:bCs/>
        </w:rPr>
        <w:br w:type="page"/>
      </w:r>
    </w:p>
    <w:p w14:paraId="1C507BA2" w14:textId="3E3402C2" w:rsidR="00B20718" w:rsidRPr="00642BC5" w:rsidRDefault="00B20718" w:rsidP="00B20718">
      <w:pPr>
        <w:pStyle w:val="Default"/>
        <w:rPr>
          <w:b/>
          <w:bCs/>
          <w:color w:val="auto"/>
        </w:rPr>
      </w:pPr>
      <w:r w:rsidRPr="00642BC5">
        <w:rPr>
          <w:b/>
          <w:bCs/>
          <w:color w:val="auto"/>
        </w:rPr>
        <w:lastRenderedPageBreak/>
        <w:t xml:space="preserve">Section 12(2)(g) – </w:t>
      </w:r>
      <w:r w:rsidRPr="00642BC5">
        <w:rPr>
          <w:b/>
          <w:bCs/>
          <w:color w:val="auto"/>
          <w:lang w:val="en-US"/>
        </w:rPr>
        <w:t>Windscreen and Window Glass</w:t>
      </w:r>
    </w:p>
    <w:p w14:paraId="56A3B2C4" w14:textId="77777777" w:rsidR="00B20718" w:rsidRPr="00642BC5" w:rsidRDefault="00B20718" w:rsidP="00B20718">
      <w:pPr>
        <w:pStyle w:val="Default"/>
        <w:rPr>
          <w:color w:val="auto"/>
        </w:rPr>
      </w:pPr>
    </w:p>
    <w:p w14:paraId="5110D434" w14:textId="77777777" w:rsidR="00B20718" w:rsidRPr="00642BC5" w:rsidRDefault="00B20718" w:rsidP="00B20718">
      <w:pPr>
        <w:pStyle w:val="Default"/>
        <w:rPr>
          <w:lang w:val="en-US"/>
        </w:rPr>
      </w:pPr>
      <w:r w:rsidRPr="00642BC5">
        <w:rPr>
          <w:lang w:val="en-US"/>
        </w:rPr>
        <w:t>The previous provision stating that no excess would apply for windscreen or window glass damage has been removed. From 2025-26, an excess will apply to these claims due to the rising cost of repairs.</w:t>
      </w:r>
    </w:p>
    <w:p w14:paraId="610DFCE4" w14:textId="54AB7769" w:rsidR="00B20718" w:rsidRPr="00642BC5" w:rsidRDefault="00B20718" w:rsidP="00B20718">
      <w:pPr>
        <w:pStyle w:val="Default"/>
        <w:rPr>
          <w:color w:val="auto"/>
          <w:lang w:val="en-US"/>
        </w:rPr>
      </w:pPr>
    </w:p>
    <w:p w14:paraId="3DD7E331" w14:textId="1F68033D" w:rsidR="00B20718" w:rsidRPr="00642BC5" w:rsidRDefault="00B20718" w:rsidP="00B20718">
      <w:pPr>
        <w:pStyle w:val="Default"/>
        <w:rPr>
          <w:b/>
          <w:bCs/>
          <w:color w:val="auto"/>
        </w:rPr>
      </w:pPr>
      <w:r w:rsidRPr="00642BC5">
        <w:rPr>
          <w:b/>
          <w:bCs/>
          <w:color w:val="auto"/>
        </w:rPr>
        <w:t xml:space="preserve">Section 12(3) – </w:t>
      </w:r>
      <w:r w:rsidRPr="00642BC5">
        <w:rPr>
          <w:b/>
          <w:bCs/>
          <w:color w:val="auto"/>
          <w:lang w:val="en-US"/>
        </w:rPr>
        <w:t>Hire Car Coverage</w:t>
      </w:r>
    </w:p>
    <w:p w14:paraId="1E33B455" w14:textId="77777777" w:rsidR="00B20718" w:rsidRPr="00642BC5" w:rsidRDefault="00B20718" w:rsidP="00B20718">
      <w:pPr>
        <w:pStyle w:val="Default"/>
        <w:rPr>
          <w:color w:val="auto"/>
        </w:rPr>
      </w:pPr>
    </w:p>
    <w:p w14:paraId="13E45E37" w14:textId="77777777" w:rsidR="00B20718" w:rsidRPr="00642BC5" w:rsidRDefault="00B20718" w:rsidP="00B20718">
      <w:pPr>
        <w:pStyle w:val="Default"/>
        <w:rPr>
          <w:lang w:val="en-US"/>
        </w:rPr>
      </w:pPr>
      <w:r w:rsidRPr="00642BC5">
        <w:rPr>
          <w:lang w:val="en-US"/>
        </w:rPr>
        <w:t>A footnote has been added to clarify that this subsection applies only to hire cars not covered under the whole-of-Australian Government Vehicle Rental Service Arrangement. Under this arrangement, rental companies are required to provide comprehensive insurance.</w:t>
      </w:r>
    </w:p>
    <w:p w14:paraId="7CB008A7" w14:textId="77777777" w:rsidR="00B20718" w:rsidRPr="00642BC5" w:rsidRDefault="00B20718" w:rsidP="00BC6AB5">
      <w:pPr>
        <w:pStyle w:val="Default"/>
        <w:rPr>
          <w:color w:val="auto"/>
        </w:rPr>
      </w:pPr>
    </w:p>
    <w:p w14:paraId="1E0B8232" w14:textId="0F9A1F02" w:rsidR="00B20718" w:rsidRPr="00642BC5" w:rsidRDefault="00B20718" w:rsidP="00B20718">
      <w:pPr>
        <w:pStyle w:val="Default"/>
        <w:rPr>
          <w:color w:val="auto"/>
        </w:rPr>
      </w:pPr>
      <w:r w:rsidRPr="00642BC5">
        <w:rPr>
          <w:b/>
          <w:bCs/>
          <w:color w:val="43848B" w:themeColor="accent1" w:themeShade="80"/>
          <w:sz w:val="28"/>
          <w:szCs w:val="28"/>
        </w:rPr>
        <w:t>Chapter 6 – Personal Accident and Travel</w:t>
      </w:r>
    </w:p>
    <w:p w14:paraId="3A8E6D4A" w14:textId="77777777" w:rsidR="00B20718" w:rsidRPr="00642BC5" w:rsidRDefault="00B20718" w:rsidP="00B20718">
      <w:pPr>
        <w:pStyle w:val="Default"/>
        <w:rPr>
          <w:color w:val="auto"/>
        </w:rPr>
      </w:pPr>
    </w:p>
    <w:p w14:paraId="05038169" w14:textId="30110AC0" w:rsidR="00B20718" w:rsidRPr="00642BC5" w:rsidRDefault="00B20718" w:rsidP="00B20718">
      <w:pPr>
        <w:pStyle w:val="Default"/>
        <w:rPr>
          <w:b/>
          <w:bCs/>
          <w:color w:val="auto"/>
        </w:rPr>
      </w:pPr>
      <w:r w:rsidRPr="00642BC5">
        <w:rPr>
          <w:b/>
          <w:bCs/>
          <w:color w:val="auto"/>
        </w:rPr>
        <w:t xml:space="preserve">Section 16(1) – </w:t>
      </w:r>
      <w:r w:rsidRPr="00642BC5">
        <w:rPr>
          <w:b/>
          <w:bCs/>
          <w:color w:val="auto"/>
          <w:lang w:val="en-US"/>
        </w:rPr>
        <w:t>Expatriate Coverage Clarification</w:t>
      </w:r>
      <w:r w:rsidRPr="00642BC5">
        <w:rPr>
          <w:b/>
          <w:bCs/>
          <w:color w:val="auto"/>
        </w:rPr>
        <w:tab/>
      </w:r>
    </w:p>
    <w:p w14:paraId="72883E3B" w14:textId="77777777" w:rsidR="00B20718" w:rsidRPr="00642BC5" w:rsidRDefault="00B20718" w:rsidP="00B20718">
      <w:pPr>
        <w:pStyle w:val="Default"/>
        <w:rPr>
          <w:color w:val="auto"/>
        </w:rPr>
      </w:pPr>
    </w:p>
    <w:p w14:paraId="6259E1E0" w14:textId="77777777" w:rsidR="00B20718" w:rsidRPr="00642BC5" w:rsidRDefault="00B20718" w:rsidP="00B20718">
      <w:pPr>
        <w:pStyle w:val="Default"/>
        <w:rPr>
          <w:lang w:val="en-US"/>
        </w:rPr>
      </w:pPr>
      <w:r w:rsidRPr="00642BC5">
        <w:rPr>
          <w:lang w:val="en-US"/>
        </w:rPr>
        <w:t xml:space="preserve">A footnote has been added to clarify that Comcover will not reimburse expenses that have already been covered through an allowance or reimbursement provided by the Fund Member. This ensures there is no duplication of payments and aligns with </w:t>
      </w:r>
      <w:proofErr w:type="spellStart"/>
      <w:r w:rsidRPr="00642BC5">
        <w:rPr>
          <w:lang w:val="en-US"/>
        </w:rPr>
        <w:t>Comcover’s</w:t>
      </w:r>
      <w:proofErr w:type="spellEnd"/>
      <w:r w:rsidRPr="00642BC5">
        <w:rPr>
          <w:lang w:val="en-US"/>
        </w:rPr>
        <w:t xml:space="preserve"> funding principles.</w:t>
      </w:r>
    </w:p>
    <w:p w14:paraId="19ACD610" w14:textId="77777777" w:rsidR="004B2930" w:rsidRPr="00642BC5" w:rsidRDefault="004B2930" w:rsidP="00BC6AB5">
      <w:pPr>
        <w:pStyle w:val="Default"/>
        <w:rPr>
          <w:color w:val="auto"/>
        </w:rPr>
      </w:pPr>
    </w:p>
    <w:p w14:paraId="78B1F581" w14:textId="775700C1" w:rsidR="00B20718" w:rsidRPr="00642BC5" w:rsidRDefault="00B20718" w:rsidP="00B20718">
      <w:pPr>
        <w:pStyle w:val="Default"/>
        <w:rPr>
          <w:b/>
          <w:bCs/>
        </w:rPr>
      </w:pPr>
      <w:r w:rsidRPr="00642BC5">
        <w:rPr>
          <w:b/>
          <w:bCs/>
        </w:rPr>
        <w:t xml:space="preserve">Section </w:t>
      </w:r>
      <w:r w:rsidR="00EC4D5C" w:rsidRPr="00642BC5">
        <w:rPr>
          <w:b/>
          <w:bCs/>
        </w:rPr>
        <w:t>17</w:t>
      </w:r>
      <w:r w:rsidRPr="00642BC5">
        <w:rPr>
          <w:b/>
          <w:bCs/>
        </w:rPr>
        <w:t>(1)</w:t>
      </w:r>
      <w:r w:rsidR="00EC4D5C" w:rsidRPr="00642BC5">
        <w:rPr>
          <w:b/>
          <w:bCs/>
        </w:rPr>
        <w:t>(a)</w:t>
      </w:r>
      <w:r w:rsidRPr="00642BC5">
        <w:rPr>
          <w:b/>
          <w:bCs/>
        </w:rPr>
        <w:t xml:space="preserve"> – </w:t>
      </w:r>
      <w:r w:rsidR="00EC4D5C" w:rsidRPr="00642BC5">
        <w:rPr>
          <w:b/>
          <w:bCs/>
          <w:lang w:val="en-US"/>
        </w:rPr>
        <w:t>Domestic Travel Coverage</w:t>
      </w:r>
      <w:r w:rsidRPr="00642BC5">
        <w:rPr>
          <w:b/>
          <w:bCs/>
        </w:rPr>
        <w:tab/>
      </w:r>
    </w:p>
    <w:p w14:paraId="5E24608E" w14:textId="77777777" w:rsidR="00B20718" w:rsidRPr="00642BC5" w:rsidRDefault="00B20718" w:rsidP="00B20718">
      <w:pPr>
        <w:pStyle w:val="Default"/>
      </w:pPr>
    </w:p>
    <w:p w14:paraId="772F634C" w14:textId="3789DE91" w:rsidR="00B20718" w:rsidRPr="00642BC5" w:rsidRDefault="00EC4D5C" w:rsidP="00BC6AB5">
      <w:pPr>
        <w:pStyle w:val="Default"/>
        <w:rPr>
          <w:color w:val="auto"/>
        </w:rPr>
      </w:pPr>
      <w:r w:rsidRPr="00642BC5">
        <w:rPr>
          <w:lang w:val="en-US"/>
        </w:rPr>
        <w:t>The word ‘baggage’ has been added to this section to clarify that coverage includes baggage claims for domestic travel, not just personal effects. This update ensures that Fund Members understand the full scope of coverage available for travel within Australia.</w:t>
      </w:r>
    </w:p>
    <w:p w14:paraId="7E2D21F1" w14:textId="77777777" w:rsidR="00B20718" w:rsidRPr="00642BC5" w:rsidRDefault="00B20718" w:rsidP="00BC6AB5">
      <w:pPr>
        <w:pStyle w:val="Default"/>
        <w:rPr>
          <w:color w:val="auto"/>
        </w:rPr>
      </w:pPr>
    </w:p>
    <w:p w14:paraId="7CA125FE" w14:textId="77777777" w:rsidR="00B20718" w:rsidRDefault="00B20718" w:rsidP="00BC6AB5">
      <w:pPr>
        <w:pStyle w:val="Default"/>
        <w:rPr>
          <w:rFonts w:cstheme="minorBidi"/>
          <w:color w:val="auto"/>
        </w:rPr>
      </w:pPr>
    </w:p>
    <w:p w14:paraId="69E622B6" w14:textId="126055FC" w:rsidR="00931029" w:rsidRPr="002824D1" w:rsidRDefault="00931029" w:rsidP="00EC4D5C">
      <w:pPr>
        <w:pStyle w:val="BodyText1"/>
        <w:spacing w:after="0"/>
        <w:rPr>
          <w:rFonts w:ascii="Calibri" w:hAnsi="Calibri" w:cs="Calibri"/>
          <w:sz w:val="24"/>
        </w:rPr>
      </w:pPr>
    </w:p>
    <w:sectPr w:rsidR="00931029" w:rsidRPr="002824D1" w:rsidSect="0039715A">
      <w:headerReference w:type="default" r:id="rId12"/>
      <w:footerReference w:type="default" r:id="rId13"/>
      <w:headerReference w:type="first" r:id="rId14"/>
      <w:footerReference w:type="first" r:id="rId15"/>
      <w:type w:val="continuous"/>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02099" w14:textId="77777777" w:rsidR="00EE36D3" w:rsidRDefault="00EE36D3" w:rsidP="00EF4574">
      <w:pPr>
        <w:spacing w:before="0" w:after="0" w:line="240" w:lineRule="auto"/>
      </w:pPr>
      <w:r>
        <w:separator/>
      </w:r>
    </w:p>
  </w:endnote>
  <w:endnote w:type="continuationSeparator" w:id="0">
    <w:p w14:paraId="66D46EF4" w14:textId="77777777" w:rsidR="00EE36D3" w:rsidRDefault="00EE36D3"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5481393"/>
      <w:docPartObj>
        <w:docPartGallery w:val="Page Numbers (Bottom of Page)"/>
        <w:docPartUnique/>
      </w:docPartObj>
    </w:sdtPr>
    <w:sdtEndPr>
      <w:rPr>
        <w:noProof/>
      </w:rPr>
    </w:sdtEndPr>
    <w:sdtContent>
      <w:p w14:paraId="7FC9CC35" w14:textId="443CC90F" w:rsidR="006A61E5" w:rsidRDefault="006A61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5A2D60" w14:textId="77777777" w:rsidR="000A6A8B" w:rsidRPr="000A6A8B" w:rsidRDefault="000A6A8B" w:rsidP="000A6A8B">
    <w:pPr>
      <w:pStyle w:val="Footer"/>
      <w:jc w:val="center"/>
      <w:rPr>
        <w:rStyle w:val="Classificatio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70A0B" w14:textId="77777777" w:rsidR="000A6A8B" w:rsidRDefault="000A6A8B">
    <w:pPr>
      <w:pStyle w:val="Footer"/>
    </w:pPr>
  </w:p>
  <w:sdt>
    <w:sdtPr>
      <w:rPr>
        <w:rStyle w:val="Classification"/>
      </w:rPr>
      <w:alias w:val="Status"/>
      <w:tag w:val=""/>
      <w:id w:val="2082102769"/>
      <w:placeholder>
        <w:docPart w:val="85FCF50EFA584C32A9291D76744CD17A"/>
      </w:placeholder>
      <w:showingPlcHdr/>
      <w:dataBinding w:prefixMappings="xmlns:ns0='http://purl.org/dc/elements/1.1/' xmlns:ns1='http://schemas.openxmlformats.org/package/2006/metadata/core-properties' " w:xpath="/ns1:coreProperties[1]/ns1:contentStatus[1]" w:storeItemID="{6C3C8BC8-F283-45AE-878A-BAB7291924A1}"/>
      <w:text/>
    </w:sdtPr>
    <w:sdtContent>
      <w:p w14:paraId="20C94128" w14:textId="77777777" w:rsidR="000A6A8B" w:rsidRDefault="000412D6" w:rsidP="000A6A8B">
        <w:pPr>
          <w:pStyle w:val="Footer"/>
          <w:jc w:val="center"/>
          <w:rPr>
            <w:rStyle w:val="Classification"/>
          </w:rPr>
        </w:pPr>
        <w:r w:rsidRPr="006009C9">
          <w:rPr>
            <w:rStyle w:val="PlaceholderText"/>
          </w:rPr>
          <w:t>[Status]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36463" w14:textId="77777777" w:rsidR="00EE36D3" w:rsidRDefault="00EE36D3" w:rsidP="0020122A">
      <w:pPr>
        <w:pStyle w:val="FootnoteSeparator"/>
      </w:pPr>
    </w:p>
  </w:footnote>
  <w:footnote w:type="continuationSeparator" w:id="0">
    <w:p w14:paraId="30F544DE" w14:textId="77777777" w:rsidR="00EE36D3" w:rsidRDefault="00EE36D3" w:rsidP="00EF4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845C9" w14:textId="77777777" w:rsidR="00DB6D69" w:rsidRPr="00DB6D69" w:rsidRDefault="00DB6D69" w:rsidP="00014623">
    <w:pPr>
      <w:pStyle w:val="Header"/>
      <w:jc w:val="left"/>
      <w:rPr>
        <w:b/>
      </w:rPr>
    </w:pPr>
  </w:p>
  <w:p w14:paraId="1839F209" w14:textId="7ACA8FE5" w:rsidR="00DB6D69" w:rsidRPr="00282AA5" w:rsidRDefault="00DB6D69" w:rsidP="0039715A">
    <w:pPr>
      <w:pStyle w:val="Header"/>
      <w:spacing w:after="68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26EF8" w14:textId="77777777" w:rsidR="000C2A48" w:rsidRDefault="00000000" w:rsidP="000A6A8B">
    <w:pPr>
      <w:pStyle w:val="Header"/>
      <w:jc w:val="center"/>
    </w:pPr>
    <w:sdt>
      <w:sdtPr>
        <w:rPr>
          <w:rStyle w:val="Classification"/>
        </w:rPr>
        <w:alias w:val="Status"/>
        <w:tag w:val=""/>
        <w:id w:val="2018492011"/>
        <w:placeholder>
          <w:docPart w:val="9D808996CD2146019246D2031F05F10B"/>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0412D6" w:rsidRPr="006009C9">
          <w:rPr>
            <w:rStyle w:val="PlaceholderText"/>
          </w:rPr>
          <w:t>[Status]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5C9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02A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61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4A13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12B2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181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183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0C8C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1431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364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716F8"/>
    <w:multiLevelType w:val="hybridMultilevel"/>
    <w:tmpl w:val="8ECEE994"/>
    <w:lvl w:ilvl="0" w:tplc="0C090001">
      <w:start w:val="1"/>
      <w:numFmt w:val="bullet"/>
      <w:lvlText w:val=""/>
      <w:lvlJc w:val="left"/>
      <w:pPr>
        <w:ind w:left="720" w:hanging="360"/>
      </w:pPr>
      <w:rPr>
        <w:rFonts w:ascii="Symbol" w:hAnsi="Symbol" w:hint="default"/>
      </w:rPr>
    </w:lvl>
    <w:lvl w:ilvl="1" w:tplc="6A9EA944">
      <w:numFmt w:val="bullet"/>
      <w:lvlText w:val="-"/>
      <w:lvlJc w:val="left"/>
      <w:pPr>
        <w:ind w:left="1440" w:hanging="360"/>
      </w:pPr>
      <w:rPr>
        <w:rFonts w:ascii="Calibri" w:eastAsiaTheme="minorHAnsi" w:hAnsi="Calibri" w:cs="Calibri" w:hint="default"/>
        <w:color w:val="000000" w:themeColor="tex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023480"/>
    <w:multiLevelType w:val="hybridMultilevel"/>
    <w:tmpl w:val="9CACEBEC"/>
    <w:lvl w:ilvl="0" w:tplc="61A42E50">
      <w:start w:val="1"/>
      <w:numFmt w:val="decimal"/>
      <w:lvlText w:val="%1."/>
      <w:lvlJc w:val="left"/>
      <w:pPr>
        <w:ind w:hanging="567"/>
      </w:pPr>
      <w:rPr>
        <w:rFonts w:ascii="Calibri" w:eastAsia="Calibri" w:hAnsi="Calibri" w:hint="default"/>
        <w:b/>
        <w:bCs/>
        <w:spacing w:val="-7"/>
        <w:w w:val="99"/>
        <w:sz w:val="26"/>
        <w:szCs w:val="26"/>
      </w:rPr>
    </w:lvl>
    <w:lvl w:ilvl="1" w:tplc="008A133E">
      <w:start w:val="1"/>
      <w:numFmt w:val="lowerLetter"/>
      <w:lvlText w:val="(%2)"/>
      <w:lvlJc w:val="left"/>
      <w:pPr>
        <w:ind w:hanging="425"/>
      </w:pPr>
      <w:rPr>
        <w:rFonts w:ascii="Calibri" w:eastAsia="Calibri" w:hAnsi="Calibri" w:hint="default"/>
        <w:sz w:val="24"/>
        <w:szCs w:val="24"/>
      </w:rPr>
    </w:lvl>
    <w:lvl w:ilvl="2" w:tplc="8E2A4BAE">
      <w:start w:val="1"/>
      <w:numFmt w:val="bullet"/>
      <w:lvlText w:val="•"/>
      <w:lvlJc w:val="left"/>
      <w:rPr>
        <w:rFonts w:hint="default"/>
      </w:rPr>
    </w:lvl>
    <w:lvl w:ilvl="3" w:tplc="D77C57D0">
      <w:start w:val="1"/>
      <w:numFmt w:val="bullet"/>
      <w:lvlText w:val="•"/>
      <w:lvlJc w:val="left"/>
      <w:rPr>
        <w:rFonts w:hint="default"/>
      </w:rPr>
    </w:lvl>
    <w:lvl w:ilvl="4" w:tplc="451CB116">
      <w:start w:val="1"/>
      <w:numFmt w:val="bullet"/>
      <w:lvlText w:val="•"/>
      <w:lvlJc w:val="left"/>
      <w:rPr>
        <w:rFonts w:hint="default"/>
      </w:rPr>
    </w:lvl>
    <w:lvl w:ilvl="5" w:tplc="182E12BA">
      <w:start w:val="1"/>
      <w:numFmt w:val="bullet"/>
      <w:lvlText w:val="•"/>
      <w:lvlJc w:val="left"/>
      <w:rPr>
        <w:rFonts w:hint="default"/>
      </w:rPr>
    </w:lvl>
    <w:lvl w:ilvl="6" w:tplc="EB86296C">
      <w:start w:val="1"/>
      <w:numFmt w:val="bullet"/>
      <w:lvlText w:val="•"/>
      <w:lvlJc w:val="left"/>
      <w:rPr>
        <w:rFonts w:hint="default"/>
      </w:rPr>
    </w:lvl>
    <w:lvl w:ilvl="7" w:tplc="6194D2FE">
      <w:start w:val="1"/>
      <w:numFmt w:val="bullet"/>
      <w:lvlText w:val="•"/>
      <w:lvlJc w:val="left"/>
      <w:rPr>
        <w:rFonts w:hint="default"/>
      </w:rPr>
    </w:lvl>
    <w:lvl w:ilvl="8" w:tplc="0EE49610">
      <w:start w:val="1"/>
      <w:numFmt w:val="bullet"/>
      <w:lvlText w:val="•"/>
      <w:lvlJc w:val="left"/>
      <w:rPr>
        <w:rFonts w:hint="default"/>
      </w:rPr>
    </w:lvl>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3A465ABD"/>
    <w:multiLevelType w:val="hybridMultilevel"/>
    <w:tmpl w:val="1F56A0B6"/>
    <w:lvl w:ilvl="0" w:tplc="DCC880E0">
      <w:start w:val="1"/>
      <w:numFmt w:val="lowerLetter"/>
      <w:lvlText w:val="(%1)"/>
      <w:lvlJc w:val="left"/>
      <w:pPr>
        <w:ind w:left="1650" w:hanging="360"/>
      </w:pPr>
      <w:rPr>
        <w:rFonts w:ascii="Calibri" w:eastAsia="Calibri" w:hAnsi="Calibri" w:hint="default"/>
        <w:sz w:val="24"/>
        <w:szCs w:val="24"/>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6" w15:restartNumberingAfterBreak="0">
    <w:nsid w:val="3EF623F3"/>
    <w:multiLevelType w:val="hybridMultilevel"/>
    <w:tmpl w:val="C3E48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C375C9"/>
    <w:multiLevelType w:val="hybridMultilevel"/>
    <w:tmpl w:val="D53CF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C707CBA"/>
    <w:multiLevelType w:val="hybridMultilevel"/>
    <w:tmpl w:val="879C10C8"/>
    <w:lvl w:ilvl="0" w:tplc="401026D0">
      <w:start w:val="1"/>
      <w:numFmt w:val="decimal"/>
      <w:lvlText w:val="(%1)"/>
      <w:lvlJc w:val="left"/>
      <w:pPr>
        <w:ind w:hanging="567"/>
      </w:pPr>
      <w:rPr>
        <w:rFonts w:ascii="Calibri" w:eastAsia="Calibri" w:hAnsi="Calibri" w:hint="default"/>
        <w:sz w:val="24"/>
        <w:szCs w:val="24"/>
      </w:rPr>
    </w:lvl>
    <w:lvl w:ilvl="1" w:tplc="52CE2838">
      <w:start w:val="1"/>
      <w:numFmt w:val="lowerLetter"/>
      <w:lvlText w:val="(%2)"/>
      <w:lvlJc w:val="left"/>
      <w:pPr>
        <w:ind w:hanging="425"/>
      </w:pPr>
      <w:rPr>
        <w:rFonts w:ascii="Calibri" w:eastAsia="Calibri" w:hAnsi="Calibri" w:hint="default"/>
        <w:sz w:val="24"/>
        <w:szCs w:val="24"/>
      </w:rPr>
    </w:lvl>
    <w:lvl w:ilvl="2" w:tplc="3A6A3CD6">
      <w:start w:val="1"/>
      <w:numFmt w:val="lowerRoman"/>
      <w:lvlText w:val="(%3)"/>
      <w:lvlJc w:val="left"/>
      <w:pPr>
        <w:ind w:hanging="428"/>
      </w:pPr>
      <w:rPr>
        <w:rFonts w:ascii="Calibri" w:eastAsia="Calibri" w:hAnsi="Calibri" w:hint="default"/>
        <w:sz w:val="24"/>
        <w:szCs w:val="24"/>
      </w:rPr>
    </w:lvl>
    <w:lvl w:ilvl="3" w:tplc="38382FA0">
      <w:start w:val="1"/>
      <w:numFmt w:val="bullet"/>
      <w:lvlText w:val="•"/>
      <w:lvlJc w:val="left"/>
      <w:rPr>
        <w:rFonts w:hint="default"/>
      </w:rPr>
    </w:lvl>
    <w:lvl w:ilvl="4" w:tplc="602C098E">
      <w:start w:val="1"/>
      <w:numFmt w:val="bullet"/>
      <w:lvlText w:val="•"/>
      <w:lvlJc w:val="left"/>
      <w:rPr>
        <w:rFonts w:hint="default"/>
      </w:rPr>
    </w:lvl>
    <w:lvl w:ilvl="5" w:tplc="053E7144">
      <w:start w:val="1"/>
      <w:numFmt w:val="bullet"/>
      <w:lvlText w:val="•"/>
      <w:lvlJc w:val="left"/>
      <w:rPr>
        <w:rFonts w:hint="default"/>
      </w:rPr>
    </w:lvl>
    <w:lvl w:ilvl="6" w:tplc="C232A694">
      <w:start w:val="1"/>
      <w:numFmt w:val="bullet"/>
      <w:lvlText w:val="•"/>
      <w:lvlJc w:val="left"/>
      <w:rPr>
        <w:rFonts w:hint="default"/>
      </w:rPr>
    </w:lvl>
    <w:lvl w:ilvl="7" w:tplc="FD5C7F02">
      <w:start w:val="1"/>
      <w:numFmt w:val="bullet"/>
      <w:lvlText w:val="•"/>
      <w:lvlJc w:val="left"/>
      <w:rPr>
        <w:rFonts w:hint="default"/>
      </w:rPr>
    </w:lvl>
    <w:lvl w:ilvl="8" w:tplc="13E8EC1A">
      <w:start w:val="1"/>
      <w:numFmt w:val="bullet"/>
      <w:lvlText w:val="•"/>
      <w:lvlJc w:val="left"/>
      <w:rPr>
        <w:rFonts w:hint="default"/>
      </w:rPr>
    </w:lvl>
  </w:abstractNum>
  <w:abstractNum w:abstractNumId="20" w15:restartNumberingAfterBreak="0">
    <w:nsid w:val="5C991187"/>
    <w:multiLevelType w:val="hybridMultilevel"/>
    <w:tmpl w:val="144E6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745182006">
    <w:abstractNumId w:val="22"/>
  </w:num>
  <w:num w:numId="2" w16cid:durableId="14342064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6662354">
    <w:abstractNumId w:val="11"/>
  </w:num>
  <w:num w:numId="4" w16cid:durableId="2672009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330405">
    <w:abstractNumId w:val="14"/>
  </w:num>
  <w:num w:numId="6" w16cid:durableId="3261758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53421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0178968">
    <w:abstractNumId w:val="12"/>
  </w:num>
  <w:num w:numId="9" w16cid:durableId="520358107">
    <w:abstractNumId w:val="18"/>
  </w:num>
  <w:num w:numId="10" w16cid:durableId="1002467128">
    <w:abstractNumId w:val="21"/>
  </w:num>
  <w:num w:numId="11" w16cid:durableId="1067267792">
    <w:abstractNumId w:val="9"/>
  </w:num>
  <w:num w:numId="12" w16cid:durableId="2125230015">
    <w:abstractNumId w:val="7"/>
  </w:num>
  <w:num w:numId="13" w16cid:durableId="421802797">
    <w:abstractNumId w:val="6"/>
  </w:num>
  <w:num w:numId="14" w16cid:durableId="975989583">
    <w:abstractNumId w:val="5"/>
  </w:num>
  <w:num w:numId="15" w16cid:durableId="542405177">
    <w:abstractNumId w:val="4"/>
  </w:num>
  <w:num w:numId="16" w16cid:durableId="822627498">
    <w:abstractNumId w:val="8"/>
  </w:num>
  <w:num w:numId="17" w16cid:durableId="92478854">
    <w:abstractNumId w:val="3"/>
  </w:num>
  <w:num w:numId="18" w16cid:durableId="640311068">
    <w:abstractNumId w:val="2"/>
  </w:num>
  <w:num w:numId="19" w16cid:durableId="39936390">
    <w:abstractNumId w:val="1"/>
  </w:num>
  <w:num w:numId="20" w16cid:durableId="1784034912">
    <w:abstractNumId w:val="0"/>
  </w:num>
  <w:num w:numId="21" w16cid:durableId="750810964">
    <w:abstractNumId w:val="22"/>
  </w:num>
  <w:num w:numId="22" w16cid:durableId="1397774507">
    <w:abstractNumId w:val="22"/>
  </w:num>
  <w:num w:numId="23" w16cid:durableId="721367341">
    <w:abstractNumId w:val="22"/>
  </w:num>
  <w:num w:numId="24" w16cid:durableId="2134322068">
    <w:abstractNumId w:val="22"/>
  </w:num>
  <w:num w:numId="25" w16cid:durableId="1389113324">
    <w:abstractNumId w:val="21"/>
  </w:num>
  <w:num w:numId="26" w16cid:durableId="55055152">
    <w:abstractNumId w:val="14"/>
  </w:num>
  <w:num w:numId="27" w16cid:durableId="1738240206">
    <w:abstractNumId w:val="14"/>
  </w:num>
  <w:num w:numId="28" w16cid:durableId="866329103">
    <w:abstractNumId w:val="14"/>
  </w:num>
  <w:num w:numId="29" w16cid:durableId="557715460">
    <w:abstractNumId w:val="14"/>
  </w:num>
  <w:num w:numId="30" w16cid:durableId="1738505332">
    <w:abstractNumId w:val="11"/>
  </w:num>
  <w:num w:numId="31" w16cid:durableId="1274171520">
    <w:abstractNumId w:val="11"/>
  </w:num>
  <w:num w:numId="32" w16cid:durableId="1509297437">
    <w:abstractNumId w:val="11"/>
  </w:num>
  <w:num w:numId="33" w16cid:durableId="658075469">
    <w:abstractNumId w:val="11"/>
  </w:num>
  <w:num w:numId="34" w16cid:durableId="1912537557">
    <w:abstractNumId w:val="18"/>
  </w:num>
  <w:num w:numId="35" w16cid:durableId="2059934193">
    <w:abstractNumId w:val="13"/>
  </w:num>
  <w:num w:numId="36" w16cid:durableId="131873430">
    <w:abstractNumId w:val="19"/>
  </w:num>
  <w:num w:numId="37" w16cid:durableId="1727023700">
    <w:abstractNumId w:val="15"/>
  </w:num>
  <w:num w:numId="38" w16cid:durableId="1867021892">
    <w:abstractNumId w:val="16"/>
  </w:num>
  <w:num w:numId="39" w16cid:durableId="1937975431">
    <w:abstractNumId w:val="10"/>
  </w:num>
  <w:num w:numId="40" w16cid:durableId="1906063068">
    <w:abstractNumId w:val="17"/>
  </w:num>
  <w:num w:numId="41" w16cid:durableId="1081600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42F"/>
    <w:rsid w:val="000114F3"/>
    <w:rsid w:val="00014623"/>
    <w:rsid w:val="00014631"/>
    <w:rsid w:val="0002123A"/>
    <w:rsid w:val="00021B85"/>
    <w:rsid w:val="00022535"/>
    <w:rsid w:val="0002782F"/>
    <w:rsid w:val="00036285"/>
    <w:rsid w:val="000412D6"/>
    <w:rsid w:val="000443A3"/>
    <w:rsid w:val="00045566"/>
    <w:rsid w:val="00054E4D"/>
    <w:rsid w:val="00060073"/>
    <w:rsid w:val="00060DD5"/>
    <w:rsid w:val="00073510"/>
    <w:rsid w:val="00080457"/>
    <w:rsid w:val="000926A1"/>
    <w:rsid w:val="000A2739"/>
    <w:rsid w:val="000A4B30"/>
    <w:rsid w:val="000A6A8B"/>
    <w:rsid w:val="000B348C"/>
    <w:rsid w:val="000B52CF"/>
    <w:rsid w:val="000B63A0"/>
    <w:rsid w:val="000C2957"/>
    <w:rsid w:val="000C2A48"/>
    <w:rsid w:val="000C6BA1"/>
    <w:rsid w:val="000D60B1"/>
    <w:rsid w:val="00104C0B"/>
    <w:rsid w:val="001155D5"/>
    <w:rsid w:val="001169C8"/>
    <w:rsid w:val="00122B22"/>
    <w:rsid w:val="00122DDE"/>
    <w:rsid w:val="00123E60"/>
    <w:rsid w:val="00126474"/>
    <w:rsid w:val="00137CDD"/>
    <w:rsid w:val="00150260"/>
    <w:rsid w:val="00154132"/>
    <w:rsid w:val="001541EA"/>
    <w:rsid w:val="00157F69"/>
    <w:rsid w:val="001612A4"/>
    <w:rsid w:val="001612E4"/>
    <w:rsid w:val="00171D14"/>
    <w:rsid w:val="00173258"/>
    <w:rsid w:val="00182CAD"/>
    <w:rsid w:val="00185D3F"/>
    <w:rsid w:val="00192CF6"/>
    <w:rsid w:val="0019306A"/>
    <w:rsid w:val="0019540F"/>
    <w:rsid w:val="001A1E6D"/>
    <w:rsid w:val="001B0416"/>
    <w:rsid w:val="001B2283"/>
    <w:rsid w:val="001B54F9"/>
    <w:rsid w:val="001B632F"/>
    <w:rsid w:val="001C7A10"/>
    <w:rsid w:val="001D5316"/>
    <w:rsid w:val="001E1DC0"/>
    <w:rsid w:val="001E33B8"/>
    <w:rsid w:val="001F275F"/>
    <w:rsid w:val="0020122A"/>
    <w:rsid w:val="00216D03"/>
    <w:rsid w:val="00223F89"/>
    <w:rsid w:val="002258F9"/>
    <w:rsid w:val="00225B2F"/>
    <w:rsid w:val="00230E82"/>
    <w:rsid w:val="00235A6F"/>
    <w:rsid w:val="00267341"/>
    <w:rsid w:val="00274658"/>
    <w:rsid w:val="002824D1"/>
    <w:rsid w:val="00282AA5"/>
    <w:rsid w:val="00284623"/>
    <w:rsid w:val="0028602A"/>
    <w:rsid w:val="00287DFC"/>
    <w:rsid w:val="0029036E"/>
    <w:rsid w:val="00290AE6"/>
    <w:rsid w:val="002A232B"/>
    <w:rsid w:val="002A5057"/>
    <w:rsid w:val="002D107F"/>
    <w:rsid w:val="002D4ED2"/>
    <w:rsid w:val="002E1701"/>
    <w:rsid w:val="002E7B79"/>
    <w:rsid w:val="00301144"/>
    <w:rsid w:val="00305651"/>
    <w:rsid w:val="00314305"/>
    <w:rsid w:val="003148B7"/>
    <w:rsid w:val="003158C3"/>
    <w:rsid w:val="0032314A"/>
    <w:rsid w:val="003274CD"/>
    <w:rsid w:val="003506C0"/>
    <w:rsid w:val="0035119D"/>
    <w:rsid w:val="0035202A"/>
    <w:rsid w:val="0035277D"/>
    <w:rsid w:val="00356A79"/>
    <w:rsid w:val="003576A7"/>
    <w:rsid w:val="00367A2C"/>
    <w:rsid w:val="0038291D"/>
    <w:rsid w:val="00382E7B"/>
    <w:rsid w:val="00390154"/>
    <w:rsid w:val="00394834"/>
    <w:rsid w:val="00394A78"/>
    <w:rsid w:val="0039715A"/>
    <w:rsid w:val="00397F62"/>
    <w:rsid w:val="003A2F40"/>
    <w:rsid w:val="003B4F12"/>
    <w:rsid w:val="003C664D"/>
    <w:rsid w:val="003D5DA9"/>
    <w:rsid w:val="003E062A"/>
    <w:rsid w:val="003F5996"/>
    <w:rsid w:val="00413857"/>
    <w:rsid w:val="0041397A"/>
    <w:rsid w:val="0041534F"/>
    <w:rsid w:val="00420E33"/>
    <w:rsid w:val="00421926"/>
    <w:rsid w:val="00423F31"/>
    <w:rsid w:val="00427EDF"/>
    <w:rsid w:val="00431899"/>
    <w:rsid w:val="00444299"/>
    <w:rsid w:val="004504C6"/>
    <w:rsid w:val="0045359C"/>
    <w:rsid w:val="00454D5D"/>
    <w:rsid w:val="004665D6"/>
    <w:rsid w:val="00474FAF"/>
    <w:rsid w:val="00482F6F"/>
    <w:rsid w:val="00486804"/>
    <w:rsid w:val="00494B23"/>
    <w:rsid w:val="004A4FC4"/>
    <w:rsid w:val="004A5B78"/>
    <w:rsid w:val="004B0DB8"/>
    <w:rsid w:val="004B2930"/>
    <w:rsid w:val="004B3775"/>
    <w:rsid w:val="004B572E"/>
    <w:rsid w:val="004C259F"/>
    <w:rsid w:val="004D5A15"/>
    <w:rsid w:val="004E058F"/>
    <w:rsid w:val="004E06AE"/>
    <w:rsid w:val="004E0C77"/>
    <w:rsid w:val="004E3B87"/>
    <w:rsid w:val="004E6612"/>
    <w:rsid w:val="004F283C"/>
    <w:rsid w:val="00506A2D"/>
    <w:rsid w:val="00507408"/>
    <w:rsid w:val="00510921"/>
    <w:rsid w:val="00510AD3"/>
    <w:rsid w:val="00513348"/>
    <w:rsid w:val="005160FE"/>
    <w:rsid w:val="005241D8"/>
    <w:rsid w:val="00524C49"/>
    <w:rsid w:val="005270CF"/>
    <w:rsid w:val="00533B5D"/>
    <w:rsid w:val="00543C53"/>
    <w:rsid w:val="005506BA"/>
    <w:rsid w:val="005511AB"/>
    <w:rsid w:val="005519D2"/>
    <w:rsid w:val="00553705"/>
    <w:rsid w:val="00562E88"/>
    <w:rsid w:val="0057002E"/>
    <w:rsid w:val="005729F9"/>
    <w:rsid w:val="005745A7"/>
    <w:rsid w:val="0058588E"/>
    <w:rsid w:val="005970EA"/>
    <w:rsid w:val="005A6C78"/>
    <w:rsid w:val="005A6E71"/>
    <w:rsid w:val="005C1C74"/>
    <w:rsid w:val="005C2CA7"/>
    <w:rsid w:val="005C37F0"/>
    <w:rsid w:val="005C5D3E"/>
    <w:rsid w:val="005E45E3"/>
    <w:rsid w:val="005E5CA9"/>
    <w:rsid w:val="005E5FE0"/>
    <w:rsid w:val="005F6955"/>
    <w:rsid w:val="00606937"/>
    <w:rsid w:val="00615870"/>
    <w:rsid w:val="00615A7A"/>
    <w:rsid w:val="00620B81"/>
    <w:rsid w:val="00621BDF"/>
    <w:rsid w:val="00623BA1"/>
    <w:rsid w:val="00624D41"/>
    <w:rsid w:val="00630255"/>
    <w:rsid w:val="006346BC"/>
    <w:rsid w:val="006410AC"/>
    <w:rsid w:val="00641965"/>
    <w:rsid w:val="00642BC5"/>
    <w:rsid w:val="00645314"/>
    <w:rsid w:val="00645C95"/>
    <w:rsid w:val="00645E15"/>
    <w:rsid w:val="00650114"/>
    <w:rsid w:val="00651B81"/>
    <w:rsid w:val="00655923"/>
    <w:rsid w:val="0066652A"/>
    <w:rsid w:val="00666ED1"/>
    <w:rsid w:val="0067348E"/>
    <w:rsid w:val="0068028B"/>
    <w:rsid w:val="00682167"/>
    <w:rsid w:val="00682F01"/>
    <w:rsid w:val="00683661"/>
    <w:rsid w:val="00683B1D"/>
    <w:rsid w:val="006A1D54"/>
    <w:rsid w:val="006A61E5"/>
    <w:rsid w:val="006B1DB8"/>
    <w:rsid w:val="006B3B19"/>
    <w:rsid w:val="006C418A"/>
    <w:rsid w:val="006C42AF"/>
    <w:rsid w:val="006C4DD1"/>
    <w:rsid w:val="006D3EB3"/>
    <w:rsid w:val="006D44E7"/>
    <w:rsid w:val="006D4A3B"/>
    <w:rsid w:val="006D4FCF"/>
    <w:rsid w:val="006D5BF8"/>
    <w:rsid w:val="006E022C"/>
    <w:rsid w:val="006E2E9B"/>
    <w:rsid w:val="006F3319"/>
    <w:rsid w:val="006F6EA3"/>
    <w:rsid w:val="00700173"/>
    <w:rsid w:val="00701B49"/>
    <w:rsid w:val="00706079"/>
    <w:rsid w:val="0071012D"/>
    <w:rsid w:val="00711375"/>
    <w:rsid w:val="00711D8E"/>
    <w:rsid w:val="0071251D"/>
    <w:rsid w:val="00712672"/>
    <w:rsid w:val="00713166"/>
    <w:rsid w:val="00721E98"/>
    <w:rsid w:val="00722A50"/>
    <w:rsid w:val="0072756C"/>
    <w:rsid w:val="00734E3F"/>
    <w:rsid w:val="00736985"/>
    <w:rsid w:val="00746C09"/>
    <w:rsid w:val="00750EB1"/>
    <w:rsid w:val="00752ED8"/>
    <w:rsid w:val="007550DB"/>
    <w:rsid w:val="00755762"/>
    <w:rsid w:val="007558FE"/>
    <w:rsid w:val="00756AAF"/>
    <w:rsid w:val="00760CD6"/>
    <w:rsid w:val="0076276A"/>
    <w:rsid w:val="00771A63"/>
    <w:rsid w:val="00772C3E"/>
    <w:rsid w:val="007756E6"/>
    <w:rsid w:val="00787A4B"/>
    <w:rsid w:val="00792CCD"/>
    <w:rsid w:val="00795403"/>
    <w:rsid w:val="007B3247"/>
    <w:rsid w:val="007B324C"/>
    <w:rsid w:val="007B6200"/>
    <w:rsid w:val="007B62A9"/>
    <w:rsid w:val="007B7607"/>
    <w:rsid w:val="007C2F45"/>
    <w:rsid w:val="007C7F6F"/>
    <w:rsid w:val="007D134E"/>
    <w:rsid w:val="007D4AF6"/>
    <w:rsid w:val="007D57E1"/>
    <w:rsid w:val="007E2F94"/>
    <w:rsid w:val="007E4957"/>
    <w:rsid w:val="007F3D84"/>
    <w:rsid w:val="007F6098"/>
    <w:rsid w:val="00801B9F"/>
    <w:rsid w:val="00801EA6"/>
    <w:rsid w:val="00802117"/>
    <w:rsid w:val="00802913"/>
    <w:rsid w:val="00802DB0"/>
    <w:rsid w:val="0080347F"/>
    <w:rsid w:val="008036F8"/>
    <w:rsid w:val="008130A5"/>
    <w:rsid w:val="00813A4E"/>
    <w:rsid w:val="0081532C"/>
    <w:rsid w:val="00816F61"/>
    <w:rsid w:val="008179C6"/>
    <w:rsid w:val="00821C41"/>
    <w:rsid w:val="00823D64"/>
    <w:rsid w:val="008261F5"/>
    <w:rsid w:val="00826EE7"/>
    <w:rsid w:val="0083669C"/>
    <w:rsid w:val="00836C41"/>
    <w:rsid w:val="00840E60"/>
    <w:rsid w:val="008602CB"/>
    <w:rsid w:val="008646BC"/>
    <w:rsid w:val="00866B54"/>
    <w:rsid w:val="008715CE"/>
    <w:rsid w:val="0088020B"/>
    <w:rsid w:val="00880B3F"/>
    <w:rsid w:val="00882524"/>
    <w:rsid w:val="00883E36"/>
    <w:rsid w:val="0088435F"/>
    <w:rsid w:val="008910AB"/>
    <w:rsid w:val="008944A6"/>
    <w:rsid w:val="00896281"/>
    <w:rsid w:val="008A4F78"/>
    <w:rsid w:val="008B09DC"/>
    <w:rsid w:val="008B10C9"/>
    <w:rsid w:val="008B5647"/>
    <w:rsid w:val="008C0110"/>
    <w:rsid w:val="008C739B"/>
    <w:rsid w:val="008D303A"/>
    <w:rsid w:val="008D66E1"/>
    <w:rsid w:val="008E375E"/>
    <w:rsid w:val="008F3A22"/>
    <w:rsid w:val="008F621A"/>
    <w:rsid w:val="008F74A9"/>
    <w:rsid w:val="0090384A"/>
    <w:rsid w:val="00903968"/>
    <w:rsid w:val="0090439A"/>
    <w:rsid w:val="0091499D"/>
    <w:rsid w:val="009165E9"/>
    <w:rsid w:val="009223BF"/>
    <w:rsid w:val="00925F48"/>
    <w:rsid w:val="00931029"/>
    <w:rsid w:val="0093513F"/>
    <w:rsid w:val="00947C49"/>
    <w:rsid w:val="00956294"/>
    <w:rsid w:val="009568B8"/>
    <w:rsid w:val="0095758E"/>
    <w:rsid w:val="00960420"/>
    <w:rsid w:val="009620D1"/>
    <w:rsid w:val="00963201"/>
    <w:rsid w:val="009655E1"/>
    <w:rsid w:val="00972A2F"/>
    <w:rsid w:val="009802BF"/>
    <w:rsid w:val="009812CB"/>
    <w:rsid w:val="00981D03"/>
    <w:rsid w:val="00983530"/>
    <w:rsid w:val="00983819"/>
    <w:rsid w:val="00984D43"/>
    <w:rsid w:val="009933C1"/>
    <w:rsid w:val="00995170"/>
    <w:rsid w:val="009A36BF"/>
    <w:rsid w:val="009A5E7C"/>
    <w:rsid w:val="009B4D3B"/>
    <w:rsid w:val="009B53C8"/>
    <w:rsid w:val="009B79E1"/>
    <w:rsid w:val="009B7AAC"/>
    <w:rsid w:val="009C1757"/>
    <w:rsid w:val="009C529F"/>
    <w:rsid w:val="009D4455"/>
    <w:rsid w:val="009D62B2"/>
    <w:rsid w:val="009D7407"/>
    <w:rsid w:val="009E0866"/>
    <w:rsid w:val="009F04B0"/>
    <w:rsid w:val="009F3355"/>
    <w:rsid w:val="00A042B2"/>
    <w:rsid w:val="00A16034"/>
    <w:rsid w:val="00A21994"/>
    <w:rsid w:val="00A2202B"/>
    <w:rsid w:val="00A23CC8"/>
    <w:rsid w:val="00A24A62"/>
    <w:rsid w:val="00A27C59"/>
    <w:rsid w:val="00A27CCE"/>
    <w:rsid w:val="00A31C9F"/>
    <w:rsid w:val="00A355F3"/>
    <w:rsid w:val="00A40B51"/>
    <w:rsid w:val="00A5006D"/>
    <w:rsid w:val="00A53369"/>
    <w:rsid w:val="00A54937"/>
    <w:rsid w:val="00A61642"/>
    <w:rsid w:val="00A62398"/>
    <w:rsid w:val="00A647F8"/>
    <w:rsid w:val="00A66F02"/>
    <w:rsid w:val="00A707F2"/>
    <w:rsid w:val="00A760EC"/>
    <w:rsid w:val="00A76378"/>
    <w:rsid w:val="00A76998"/>
    <w:rsid w:val="00A80D4B"/>
    <w:rsid w:val="00A8162C"/>
    <w:rsid w:val="00A95797"/>
    <w:rsid w:val="00AA0744"/>
    <w:rsid w:val="00AA4C81"/>
    <w:rsid w:val="00AB0536"/>
    <w:rsid w:val="00AB16C3"/>
    <w:rsid w:val="00AB5510"/>
    <w:rsid w:val="00AB6C14"/>
    <w:rsid w:val="00AC0273"/>
    <w:rsid w:val="00AC164A"/>
    <w:rsid w:val="00AC215A"/>
    <w:rsid w:val="00AC2874"/>
    <w:rsid w:val="00AD3D62"/>
    <w:rsid w:val="00AD56C1"/>
    <w:rsid w:val="00AD6985"/>
    <w:rsid w:val="00AD69CC"/>
    <w:rsid w:val="00AE2245"/>
    <w:rsid w:val="00AE4D4D"/>
    <w:rsid w:val="00AF16FA"/>
    <w:rsid w:val="00AF2050"/>
    <w:rsid w:val="00AF2CE3"/>
    <w:rsid w:val="00B04271"/>
    <w:rsid w:val="00B05CE5"/>
    <w:rsid w:val="00B07619"/>
    <w:rsid w:val="00B13B56"/>
    <w:rsid w:val="00B14954"/>
    <w:rsid w:val="00B20718"/>
    <w:rsid w:val="00B210B3"/>
    <w:rsid w:val="00B37FA2"/>
    <w:rsid w:val="00B45E7E"/>
    <w:rsid w:val="00B476D1"/>
    <w:rsid w:val="00B50CE9"/>
    <w:rsid w:val="00B51973"/>
    <w:rsid w:val="00B52851"/>
    <w:rsid w:val="00B61D7F"/>
    <w:rsid w:val="00B677FC"/>
    <w:rsid w:val="00B67B81"/>
    <w:rsid w:val="00B702BB"/>
    <w:rsid w:val="00B71D04"/>
    <w:rsid w:val="00B8229D"/>
    <w:rsid w:val="00B876DA"/>
    <w:rsid w:val="00B92150"/>
    <w:rsid w:val="00BB08E7"/>
    <w:rsid w:val="00BB26C5"/>
    <w:rsid w:val="00BB7B06"/>
    <w:rsid w:val="00BC2FD9"/>
    <w:rsid w:val="00BC5DCE"/>
    <w:rsid w:val="00BC6AB5"/>
    <w:rsid w:val="00BD44D8"/>
    <w:rsid w:val="00BD66A0"/>
    <w:rsid w:val="00BE01F8"/>
    <w:rsid w:val="00BE0297"/>
    <w:rsid w:val="00BE6B22"/>
    <w:rsid w:val="00BF4DE6"/>
    <w:rsid w:val="00BF4EF9"/>
    <w:rsid w:val="00BF5611"/>
    <w:rsid w:val="00C102A1"/>
    <w:rsid w:val="00C1488B"/>
    <w:rsid w:val="00C244F7"/>
    <w:rsid w:val="00C315CC"/>
    <w:rsid w:val="00C34CEB"/>
    <w:rsid w:val="00C42CDE"/>
    <w:rsid w:val="00C52670"/>
    <w:rsid w:val="00C706D7"/>
    <w:rsid w:val="00C72987"/>
    <w:rsid w:val="00C73309"/>
    <w:rsid w:val="00C87EE9"/>
    <w:rsid w:val="00C93C16"/>
    <w:rsid w:val="00C95F32"/>
    <w:rsid w:val="00C966A9"/>
    <w:rsid w:val="00CA2E61"/>
    <w:rsid w:val="00CA37B1"/>
    <w:rsid w:val="00CA4C3C"/>
    <w:rsid w:val="00CB160D"/>
    <w:rsid w:val="00CB1959"/>
    <w:rsid w:val="00CE29FD"/>
    <w:rsid w:val="00D01E63"/>
    <w:rsid w:val="00D0296C"/>
    <w:rsid w:val="00D075EF"/>
    <w:rsid w:val="00D1201B"/>
    <w:rsid w:val="00D26313"/>
    <w:rsid w:val="00D26D11"/>
    <w:rsid w:val="00D406A2"/>
    <w:rsid w:val="00D410B8"/>
    <w:rsid w:val="00D50F38"/>
    <w:rsid w:val="00D517B9"/>
    <w:rsid w:val="00D539CE"/>
    <w:rsid w:val="00D6519D"/>
    <w:rsid w:val="00D65D05"/>
    <w:rsid w:val="00D71FF0"/>
    <w:rsid w:val="00D76E1A"/>
    <w:rsid w:val="00D77416"/>
    <w:rsid w:val="00D942FB"/>
    <w:rsid w:val="00D97D7D"/>
    <w:rsid w:val="00DA6ED9"/>
    <w:rsid w:val="00DA7D72"/>
    <w:rsid w:val="00DB35A3"/>
    <w:rsid w:val="00DB6D69"/>
    <w:rsid w:val="00DC430B"/>
    <w:rsid w:val="00DC4477"/>
    <w:rsid w:val="00DD0A14"/>
    <w:rsid w:val="00DD220E"/>
    <w:rsid w:val="00DE4A75"/>
    <w:rsid w:val="00E00A70"/>
    <w:rsid w:val="00E01ED0"/>
    <w:rsid w:val="00E049AD"/>
    <w:rsid w:val="00E15A73"/>
    <w:rsid w:val="00E16030"/>
    <w:rsid w:val="00E24DAC"/>
    <w:rsid w:val="00E310B3"/>
    <w:rsid w:val="00E33E4D"/>
    <w:rsid w:val="00E35455"/>
    <w:rsid w:val="00E357B7"/>
    <w:rsid w:val="00E40A2E"/>
    <w:rsid w:val="00E50CF5"/>
    <w:rsid w:val="00E53800"/>
    <w:rsid w:val="00E57119"/>
    <w:rsid w:val="00E6081F"/>
    <w:rsid w:val="00E647B3"/>
    <w:rsid w:val="00E671F2"/>
    <w:rsid w:val="00E6766D"/>
    <w:rsid w:val="00E76401"/>
    <w:rsid w:val="00E76A6C"/>
    <w:rsid w:val="00E81500"/>
    <w:rsid w:val="00E87940"/>
    <w:rsid w:val="00E90534"/>
    <w:rsid w:val="00E92680"/>
    <w:rsid w:val="00EA04B2"/>
    <w:rsid w:val="00EA20F3"/>
    <w:rsid w:val="00EA613A"/>
    <w:rsid w:val="00EB1D29"/>
    <w:rsid w:val="00EB2178"/>
    <w:rsid w:val="00EB2793"/>
    <w:rsid w:val="00EB536A"/>
    <w:rsid w:val="00EC421E"/>
    <w:rsid w:val="00EC4D5C"/>
    <w:rsid w:val="00EC4D70"/>
    <w:rsid w:val="00ED43D1"/>
    <w:rsid w:val="00EE0609"/>
    <w:rsid w:val="00EE36D3"/>
    <w:rsid w:val="00EE4EE1"/>
    <w:rsid w:val="00EF18FC"/>
    <w:rsid w:val="00EF1AAA"/>
    <w:rsid w:val="00EF264F"/>
    <w:rsid w:val="00EF298A"/>
    <w:rsid w:val="00EF4574"/>
    <w:rsid w:val="00EF523E"/>
    <w:rsid w:val="00F017F4"/>
    <w:rsid w:val="00F02065"/>
    <w:rsid w:val="00F0219E"/>
    <w:rsid w:val="00F02496"/>
    <w:rsid w:val="00F0738B"/>
    <w:rsid w:val="00F12B54"/>
    <w:rsid w:val="00F24196"/>
    <w:rsid w:val="00F2684E"/>
    <w:rsid w:val="00F276A4"/>
    <w:rsid w:val="00F318CE"/>
    <w:rsid w:val="00F33736"/>
    <w:rsid w:val="00F33B1D"/>
    <w:rsid w:val="00F3597A"/>
    <w:rsid w:val="00F36ABE"/>
    <w:rsid w:val="00F4562B"/>
    <w:rsid w:val="00F64D6C"/>
    <w:rsid w:val="00F723BB"/>
    <w:rsid w:val="00F729EF"/>
    <w:rsid w:val="00F74C96"/>
    <w:rsid w:val="00F763D8"/>
    <w:rsid w:val="00F77CAE"/>
    <w:rsid w:val="00F8171D"/>
    <w:rsid w:val="00F81E2D"/>
    <w:rsid w:val="00F9169C"/>
    <w:rsid w:val="00F96BB9"/>
    <w:rsid w:val="00F976F5"/>
    <w:rsid w:val="00FA2569"/>
    <w:rsid w:val="00FA4C1A"/>
    <w:rsid w:val="00FB01E8"/>
    <w:rsid w:val="00FB0D68"/>
    <w:rsid w:val="00FB568E"/>
    <w:rsid w:val="00FD462E"/>
    <w:rsid w:val="00FD532D"/>
    <w:rsid w:val="00FD5A74"/>
    <w:rsid w:val="00FE26D7"/>
    <w:rsid w:val="00FE6AE0"/>
    <w:rsid w:val="00FE6D51"/>
    <w:rsid w:val="00FF24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CD200DA"/>
  <w15:docId w15:val="{4D2AA5F2-340A-408F-A3CA-FE4FB319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B85"/>
    <w:pPr>
      <w:suppressAutoHyphens/>
      <w:spacing w:before="180" w:after="60" w:line="280" w:lineRule="atLeast"/>
    </w:pPr>
  </w:style>
  <w:style w:type="paragraph" w:styleId="Heading1">
    <w:name w:val="heading 1"/>
    <w:basedOn w:val="Normal"/>
    <w:next w:val="Normal"/>
    <w:link w:val="Heading1Char"/>
    <w:uiPriority w:val="9"/>
    <w:qFormat/>
    <w:rsid w:val="00021B85"/>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021B85"/>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021B85"/>
    <w:pPr>
      <w:spacing w:line="340" w:lineRule="atLeast"/>
      <w:outlineLvl w:val="2"/>
    </w:pPr>
    <w:rPr>
      <w:bCs/>
      <w:sz w:val="30"/>
    </w:rPr>
  </w:style>
  <w:style w:type="paragraph" w:styleId="Heading4">
    <w:name w:val="heading 4"/>
    <w:basedOn w:val="Heading3"/>
    <w:next w:val="Normal"/>
    <w:link w:val="Heading4Char"/>
    <w:uiPriority w:val="9"/>
    <w:unhideWhenUsed/>
    <w:qFormat/>
    <w:rsid w:val="00021B85"/>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021B85"/>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021B85"/>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021B85"/>
    <w:pPr>
      <w:outlineLvl w:val="6"/>
    </w:pPr>
    <w:rPr>
      <w:i w:val="0"/>
      <w:iCs w:val="0"/>
    </w:rPr>
  </w:style>
  <w:style w:type="paragraph" w:styleId="Heading8">
    <w:name w:val="heading 8"/>
    <w:basedOn w:val="Heading7"/>
    <w:next w:val="Normal"/>
    <w:link w:val="Heading8Char"/>
    <w:uiPriority w:val="9"/>
    <w:semiHidden/>
    <w:unhideWhenUsed/>
    <w:qFormat/>
    <w:rsid w:val="00021B85"/>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021B85"/>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5"/>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021B85"/>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021B85"/>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021B85"/>
    <w:pPr>
      <w:ind w:left="284"/>
    </w:pPr>
  </w:style>
  <w:style w:type="paragraph" w:styleId="Title">
    <w:name w:val="Title"/>
    <w:basedOn w:val="Heading1"/>
    <w:next w:val="Normal"/>
    <w:link w:val="TitleChar"/>
    <w:uiPriority w:val="10"/>
    <w:qFormat/>
    <w:rsid w:val="005A6C78"/>
    <w:pPr>
      <w:keepNext w:val="0"/>
      <w:spacing w:line="480" w:lineRule="atLeast"/>
    </w:pPr>
    <w:rPr>
      <w:kern w:val="28"/>
      <w:szCs w:val="52"/>
    </w:rPr>
  </w:style>
  <w:style w:type="character" w:customStyle="1" w:styleId="TitleChar">
    <w:name w:val="Title Char"/>
    <w:basedOn w:val="DefaultParagraphFont"/>
    <w:link w:val="Title"/>
    <w:uiPriority w:val="10"/>
    <w:rsid w:val="005A6C78"/>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021B85"/>
    <w:pPr>
      <w:numPr>
        <w:ilvl w:val="1"/>
      </w:numPr>
      <w:spacing w:line="260" w:lineRule="atLeast"/>
      <w:jc w:val="right"/>
    </w:pPr>
    <w:rPr>
      <w:b/>
      <w:iCs/>
      <w:sz w:val="20"/>
      <w:szCs w:val="24"/>
    </w:rPr>
  </w:style>
  <w:style w:type="character" w:customStyle="1" w:styleId="SubtitleChar">
    <w:name w:val="Subtitle Char"/>
    <w:basedOn w:val="DefaultParagraphFont"/>
    <w:link w:val="Subtitle"/>
    <w:uiPriority w:val="11"/>
    <w:rsid w:val="00021B85"/>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021B85"/>
    <w:pPr>
      <w:numPr>
        <w:numId w:val="24"/>
      </w:numPr>
      <w:spacing w:before="120"/>
    </w:pPr>
  </w:style>
  <w:style w:type="paragraph" w:customStyle="1" w:styleId="Bullet2">
    <w:name w:val="Bullet 2"/>
    <w:basedOn w:val="Bullet1"/>
    <w:qFormat/>
    <w:rsid w:val="00021B85"/>
    <w:pPr>
      <w:numPr>
        <w:ilvl w:val="1"/>
      </w:numPr>
    </w:pPr>
  </w:style>
  <w:style w:type="paragraph" w:customStyle="1" w:styleId="Bullet3">
    <w:name w:val="Bullet 3"/>
    <w:basedOn w:val="Bullet2"/>
    <w:qFormat/>
    <w:rsid w:val="00021B85"/>
    <w:pPr>
      <w:numPr>
        <w:ilvl w:val="2"/>
      </w:numPr>
    </w:pPr>
  </w:style>
  <w:style w:type="paragraph" w:customStyle="1" w:styleId="NumberedList1">
    <w:name w:val="Numbered List 1"/>
    <w:basedOn w:val="Normal"/>
    <w:qFormat/>
    <w:rsid w:val="0039715A"/>
    <w:pPr>
      <w:numPr>
        <w:numId w:val="33"/>
      </w:numPr>
      <w:ind w:left="397" w:hanging="397"/>
    </w:pPr>
  </w:style>
  <w:style w:type="paragraph" w:customStyle="1" w:styleId="NumberedList2">
    <w:name w:val="Numbered List 2"/>
    <w:basedOn w:val="NumberedList1"/>
    <w:qFormat/>
    <w:rsid w:val="0039715A"/>
    <w:pPr>
      <w:numPr>
        <w:ilvl w:val="1"/>
      </w:numPr>
      <w:spacing w:before="120"/>
      <w:ind w:left="681" w:hanging="397"/>
    </w:pPr>
  </w:style>
  <w:style w:type="paragraph" w:customStyle="1" w:styleId="NumberedList3">
    <w:name w:val="Numbered List 3"/>
    <w:basedOn w:val="NumberedList2"/>
    <w:qFormat/>
    <w:rsid w:val="0039715A"/>
    <w:pPr>
      <w:numPr>
        <w:ilvl w:val="2"/>
      </w:numPr>
      <w:ind w:left="964" w:hanging="397"/>
    </w:pPr>
  </w:style>
  <w:style w:type="paragraph" w:customStyle="1" w:styleId="Heading1Numbered">
    <w:name w:val="Heading 1 Numbered"/>
    <w:basedOn w:val="Heading1"/>
    <w:next w:val="Normal"/>
    <w:qFormat/>
    <w:rsid w:val="00021B85"/>
    <w:pPr>
      <w:numPr>
        <w:numId w:val="29"/>
      </w:numPr>
    </w:pPr>
  </w:style>
  <w:style w:type="paragraph" w:customStyle="1" w:styleId="Heading2Numbered">
    <w:name w:val="Heading 2 Numbered"/>
    <w:basedOn w:val="Heading2"/>
    <w:next w:val="Normal"/>
    <w:qFormat/>
    <w:rsid w:val="00021B85"/>
    <w:pPr>
      <w:numPr>
        <w:ilvl w:val="1"/>
        <w:numId w:val="29"/>
      </w:numPr>
    </w:pPr>
    <w:rPr>
      <w:bCs/>
    </w:rPr>
  </w:style>
  <w:style w:type="paragraph" w:customStyle="1" w:styleId="Heading3Numbered">
    <w:name w:val="Heading 3 Numbered"/>
    <w:basedOn w:val="Heading3"/>
    <w:next w:val="Normal"/>
    <w:qFormat/>
    <w:rsid w:val="00021B85"/>
    <w:pPr>
      <w:numPr>
        <w:ilvl w:val="2"/>
        <w:numId w:val="29"/>
      </w:numPr>
    </w:pPr>
    <w:rPr>
      <w:szCs w:val="22"/>
    </w:rPr>
  </w:style>
  <w:style w:type="numbering" w:customStyle="1" w:styleId="BulletsList">
    <w:name w:val="Bullets List"/>
    <w:uiPriority w:val="99"/>
    <w:rsid w:val="00021B85"/>
    <w:pPr>
      <w:numPr>
        <w:numId w:val="1"/>
      </w:numPr>
    </w:pPr>
  </w:style>
  <w:style w:type="numbering" w:customStyle="1" w:styleId="Numberedlist">
    <w:name w:val="Numbered list"/>
    <w:uiPriority w:val="99"/>
    <w:rsid w:val="00021B85"/>
    <w:pPr>
      <w:numPr>
        <w:numId w:val="3"/>
      </w:numPr>
    </w:pPr>
  </w:style>
  <w:style w:type="numbering" w:customStyle="1" w:styleId="HeadingsList">
    <w:name w:val="Headings List"/>
    <w:uiPriority w:val="99"/>
    <w:rsid w:val="00021B85"/>
    <w:pPr>
      <w:numPr>
        <w:numId w:val="5"/>
      </w:numPr>
    </w:pPr>
  </w:style>
  <w:style w:type="table" w:styleId="PlainTable2">
    <w:name w:val="Plain Table 2"/>
    <w:basedOn w:val="TableNormal"/>
    <w:uiPriority w:val="42"/>
    <w:rsid w:val="00021B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21B85"/>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021B85"/>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021B8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021B85"/>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021B85"/>
    <w:pPr>
      <w:tabs>
        <w:tab w:val="left" w:pos="1134"/>
        <w:tab w:val="right" w:pos="9072"/>
      </w:tabs>
      <w:spacing w:before="60"/>
      <w:ind w:left="1134" w:hanging="680"/>
    </w:pPr>
  </w:style>
  <w:style w:type="paragraph" w:styleId="Header">
    <w:name w:val="header"/>
    <w:basedOn w:val="Normal"/>
    <w:link w:val="HeaderChar"/>
    <w:uiPriority w:val="99"/>
    <w:unhideWhenUsed/>
    <w:rsid w:val="00021B85"/>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021B85"/>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021B85"/>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021B85"/>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021B85"/>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021B85"/>
    <w:pPr>
      <w:numPr>
        <w:numId w:val="9"/>
      </w:numPr>
    </w:pPr>
  </w:style>
  <w:style w:type="paragraph" w:styleId="TOC8">
    <w:name w:val="toc 8"/>
    <w:basedOn w:val="Normal"/>
    <w:next w:val="Normal"/>
    <w:autoRedefine/>
    <w:uiPriority w:val="39"/>
    <w:unhideWhenUsed/>
    <w:rsid w:val="00021B85"/>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021B85"/>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021B85"/>
    <w:pPr>
      <w:spacing w:after="0"/>
      <w:ind w:left="907" w:hanging="907"/>
    </w:pPr>
  </w:style>
  <w:style w:type="paragraph" w:customStyle="1" w:styleId="IntroPara">
    <w:name w:val="Intro Para"/>
    <w:basedOn w:val="Normal"/>
    <w:qFormat/>
    <w:rsid w:val="00021B85"/>
    <w:pPr>
      <w:pBdr>
        <w:bottom w:val="single" w:sz="4" w:space="6" w:color="BDDCDF" w:themeColor="accent1"/>
      </w:pBdr>
    </w:pPr>
    <w:rPr>
      <w:sz w:val="24"/>
    </w:rPr>
  </w:style>
  <w:style w:type="table" w:styleId="TableGrid">
    <w:name w:val="Table Grid"/>
    <w:basedOn w:val="TableNormal"/>
    <w:uiPriority w:val="59"/>
    <w:rsid w:val="0002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21B85"/>
    <w:rPr>
      <w:sz w:val="14"/>
    </w:rPr>
  </w:style>
  <w:style w:type="numbering" w:customStyle="1" w:styleId="FigureTitles">
    <w:name w:val="Figure Titles"/>
    <w:uiPriority w:val="99"/>
    <w:rsid w:val="00021B85"/>
    <w:pPr>
      <w:numPr>
        <w:numId w:val="10"/>
      </w:numPr>
    </w:pPr>
  </w:style>
  <w:style w:type="character" w:styleId="Hyperlink">
    <w:name w:val="Hyperlink"/>
    <w:basedOn w:val="DefaultParagraphFont"/>
    <w:uiPriority w:val="99"/>
    <w:rsid w:val="00021B85"/>
    <w:rPr>
      <w:rFonts w:asciiTheme="minorHAnsi" w:hAnsiTheme="minorHAnsi" w:cs="MuseoSans-500"/>
      <w:color w:val="auto"/>
      <w:u w:val="single" w:color="0070C0"/>
    </w:rPr>
  </w:style>
  <w:style w:type="character" w:styleId="IntenseEmphasis">
    <w:name w:val="Intense Emphasis"/>
    <w:basedOn w:val="DefaultParagraphFont"/>
    <w:uiPriority w:val="21"/>
    <w:qFormat/>
    <w:rsid w:val="00021B85"/>
    <w:rPr>
      <w:b/>
      <w:i/>
      <w:iCs/>
      <w:color w:val="auto"/>
    </w:rPr>
  </w:style>
  <w:style w:type="character" w:styleId="Strong">
    <w:name w:val="Strong"/>
    <w:basedOn w:val="DefaultParagraphFont"/>
    <w:uiPriority w:val="22"/>
    <w:qFormat/>
    <w:rsid w:val="00021B85"/>
    <w:rPr>
      <w:b/>
      <w:bCs/>
    </w:rPr>
  </w:style>
  <w:style w:type="character" w:styleId="Emphasis">
    <w:name w:val="Emphasis"/>
    <w:basedOn w:val="DefaultParagraphFont"/>
    <w:uiPriority w:val="20"/>
    <w:qFormat/>
    <w:rsid w:val="00021B85"/>
    <w:rPr>
      <w:i/>
      <w:iCs/>
    </w:rPr>
  </w:style>
  <w:style w:type="character" w:customStyle="1" w:styleId="Heading5Char">
    <w:name w:val="Heading 5 Char"/>
    <w:basedOn w:val="DefaultParagraphFont"/>
    <w:link w:val="Heading5"/>
    <w:uiPriority w:val="9"/>
    <w:semiHidden/>
    <w:rsid w:val="00021B85"/>
    <w:rPr>
      <w:rFonts w:asciiTheme="majorHAnsi" w:eastAsiaTheme="majorEastAsia" w:hAnsiTheme="majorHAnsi" w:cstheme="majorBidi"/>
      <w:bCs/>
      <w:i/>
      <w:iCs/>
      <w:color w:val="77B6BD" w:themeColor="accent1" w:themeShade="BF"/>
      <w:szCs w:val="26"/>
    </w:rPr>
  </w:style>
  <w:style w:type="paragraph" w:styleId="Caption">
    <w:name w:val="caption"/>
    <w:basedOn w:val="Normal"/>
    <w:next w:val="Normal"/>
    <w:uiPriority w:val="35"/>
    <w:unhideWhenUsed/>
    <w:qFormat/>
    <w:rsid w:val="00021B85"/>
    <w:pPr>
      <w:spacing w:before="200" w:after="120"/>
    </w:pPr>
    <w:rPr>
      <w:b/>
      <w:iCs/>
      <w:color w:val="000000" w:themeColor="text1"/>
      <w:szCs w:val="18"/>
    </w:rPr>
  </w:style>
  <w:style w:type="paragraph" w:styleId="Footer">
    <w:name w:val="footer"/>
    <w:basedOn w:val="Normal"/>
    <w:link w:val="FooterChar"/>
    <w:uiPriority w:val="99"/>
    <w:unhideWhenUsed/>
    <w:rsid w:val="00021B85"/>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021B85"/>
    <w:rPr>
      <w:sz w:val="14"/>
    </w:rPr>
  </w:style>
  <w:style w:type="character" w:customStyle="1" w:styleId="Heading6Char">
    <w:name w:val="Heading 6 Char"/>
    <w:basedOn w:val="DefaultParagraphFont"/>
    <w:link w:val="Heading6"/>
    <w:uiPriority w:val="9"/>
    <w:semiHidden/>
    <w:rsid w:val="00021B85"/>
    <w:rPr>
      <w:rFonts w:asciiTheme="majorHAnsi" w:eastAsiaTheme="majorEastAsia" w:hAnsiTheme="majorHAnsi" w:cstheme="majorBidi"/>
      <w:bCs/>
      <w:i/>
      <w:iCs/>
      <w:color w:val="43838A" w:themeColor="accent1" w:themeShade="7F"/>
      <w:szCs w:val="26"/>
    </w:rPr>
  </w:style>
  <w:style w:type="character" w:customStyle="1" w:styleId="Heading7Char">
    <w:name w:val="Heading 7 Char"/>
    <w:basedOn w:val="DefaultParagraphFont"/>
    <w:link w:val="Heading7"/>
    <w:uiPriority w:val="9"/>
    <w:semiHidden/>
    <w:rsid w:val="00021B85"/>
    <w:rPr>
      <w:rFonts w:asciiTheme="majorHAnsi" w:eastAsiaTheme="majorEastAsia" w:hAnsiTheme="majorHAnsi" w:cstheme="majorBidi"/>
      <w:bCs/>
      <w:color w:val="43838A" w:themeColor="accent1" w:themeShade="7F"/>
      <w:szCs w:val="26"/>
    </w:rPr>
  </w:style>
  <w:style w:type="character" w:customStyle="1" w:styleId="Heading8Char">
    <w:name w:val="Heading 8 Char"/>
    <w:basedOn w:val="DefaultParagraphFont"/>
    <w:link w:val="Heading8"/>
    <w:uiPriority w:val="9"/>
    <w:semiHidden/>
    <w:rsid w:val="00021B85"/>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021B85"/>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1B85"/>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021B85"/>
    <w:rPr>
      <w:b/>
      <w:sz w:val="24"/>
    </w:rPr>
  </w:style>
  <w:style w:type="paragraph" w:customStyle="1" w:styleId="Boxed2Text">
    <w:name w:val="Boxed 2 Text"/>
    <w:basedOn w:val="Boxed1Text"/>
    <w:qFormat/>
    <w:rsid w:val="00021B85"/>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21B85"/>
    <w:rPr>
      <w:b/>
      <w:sz w:val="24"/>
    </w:rPr>
  </w:style>
  <w:style w:type="character" w:styleId="PageNumber">
    <w:name w:val="page number"/>
    <w:basedOn w:val="DefaultParagraphFont"/>
    <w:uiPriority w:val="99"/>
    <w:unhideWhenUsed/>
    <w:rsid w:val="00021B85"/>
  </w:style>
  <w:style w:type="table" w:styleId="TableGridLight">
    <w:name w:val="Grid Table Light"/>
    <w:basedOn w:val="TableNormal"/>
    <w:uiPriority w:val="40"/>
    <w:rsid w:val="00021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021B85"/>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021B85"/>
    <w:pPr>
      <w:spacing w:before="60"/>
    </w:pPr>
    <w:rPr>
      <w:sz w:val="18"/>
    </w:rPr>
  </w:style>
  <w:style w:type="paragraph" w:customStyle="1" w:styleId="TableSourceNotes">
    <w:name w:val="Table Source Notes"/>
    <w:basedOn w:val="TableText"/>
    <w:qFormat/>
    <w:rsid w:val="00021B85"/>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021B85"/>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021B85"/>
    <w:rPr>
      <w:sz w:val="16"/>
      <w:szCs w:val="20"/>
    </w:rPr>
  </w:style>
  <w:style w:type="character" w:styleId="FootnoteReference">
    <w:name w:val="footnote reference"/>
    <w:basedOn w:val="DefaultParagraphFont"/>
    <w:uiPriority w:val="99"/>
    <w:semiHidden/>
    <w:unhideWhenUsed/>
    <w:rsid w:val="00021B85"/>
    <w:rPr>
      <w:vertAlign w:val="superscript"/>
    </w:rPr>
  </w:style>
  <w:style w:type="paragraph" w:customStyle="1" w:styleId="FootnoteSeparator">
    <w:name w:val="Footnote Separator"/>
    <w:basedOn w:val="Normal"/>
    <w:qFormat/>
    <w:rsid w:val="00021B85"/>
    <w:pPr>
      <w:pBdr>
        <w:top w:val="single" w:sz="2" w:space="1" w:color="auto"/>
      </w:pBdr>
      <w:spacing w:before="0" w:after="0" w:line="240" w:lineRule="auto"/>
    </w:pPr>
  </w:style>
  <w:style w:type="character" w:styleId="PlaceholderText">
    <w:name w:val="Placeholder Text"/>
    <w:basedOn w:val="DefaultParagraphFont"/>
    <w:uiPriority w:val="99"/>
    <w:semiHidden/>
    <w:rsid w:val="00021B85"/>
    <w:rPr>
      <w:color w:val="808080"/>
    </w:rPr>
  </w:style>
  <w:style w:type="character" w:customStyle="1" w:styleId="Classification">
    <w:name w:val="Classification"/>
    <w:basedOn w:val="DefaultParagraphFont"/>
    <w:uiPriority w:val="1"/>
    <w:qFormat/>
    <w:rsid w:val="00021B85"/>
    <w:rPr>
      <w:b/>
      <w:caps/>
      <w:smallCaps w:val="0"/>
      <w:sz w:val="24"/>
    </w:rPr>
  </w:style>
  <w:style w:type="paragraph" w:customStyle="1" w:styleId="Firstpagespace">
    <w:name w:val="First page space"/>
    <w:basedOn w:val="Normal"/>
    <w:qFormat/>
    <w:rsid w:val="005A6C78"/>
    <w:pPr>
      <w:spacing w:after="1200"/>
    </w:pPr>
  </w:style>
  <w:style w:type="paragraph" w:styleId="BodyText">
    <w:name w:val="Body Text"/>
    <w:basedOn w:val="Normal"/>
    <w:link w:val="BodyTextChar"/>
    <w:uiPriority w:val="1"/>
    <w:qFormat/>
    <w:rsid w:val="00BC6AB5"/>
    <w:pPr>
      <w:widowControl w:val="0"/>
      <w:suppressAutoHyphens w:val="0"/>
      <w:spacing w:before="0" w:after="0" w:line="240" w:lineRule="auto"/>
      <w:ind w:left="1293" w:hanging="425"/>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BC6AB5"/>
    <w:rPr>
      <w:rFonts w:ascii="Calibri" w:eastAsia="Calibri" w:hAnsi="Calibri"/>
      <w:sz w:val="24"/>
      <w:szCs w:val="24"/>
      <w:lang w:val="en-US"/>
    </w:rPr>
  </w:style>
  <w:style w:type="character" w:styleId="CommentReference">
    <w:name w:val="annotation reference"/>
    <w:basedOn w:val="DefaultParagraphFont"/>
    <w:semiHidden/>
    <w:unhideWhenUsed/>
    <w:rsid w:val="00BC6AB5"/>
    <w:rPr>
      <w:sz w:val="16"/>
      <w:szCs w:val="16"/>
    </w:rPr>
  </w:style>
  <w:style w:type="paragraph" w:styleId="CommentText">
    <w:name w:val="annotation text"/>
    <w:basedOn w:val="Normal"/>
    <w:link w:val="CommentTextChar"/>
    <w:unhideWhenUsed/>
    <w:rsid w:val="00BC6AB5"/>
    <w:pPr>
      <w:widowControl w:val="0"/>
      <w:suppressAutoHyphens w:val="0"/>
      <w:spacing w:before="0" w:after="0" w:line="240" w:lineRule="auto"/>
    </w:pPr>
    <w:rPr>
      <w:sz w:val="20"/>
      <w:szCs w:val="20"/>
      <w:lang w:val="en-US"/>
    </w:rPr>
  </w:style>
  <w:style w:type="character" w:customStyle="1" w:styleId="CommentTextChar">
    <w:name w:val="Comment Text Char"/>
    <w:basedOn w:val="DefaultParagraphFont"/>
    <w:link w:val="CommentText"/>
    <w:rsid w:val="00BC6AB5"/>
    <w:rPr>
      <w:sz w:val="20"/>
      <w:szCs w:val="20"/>
      <w:lang w:val="en-US"/>
    </w:rPr>
  </w:style>
  <w:style w:type="paragraph" w:customStyle="1" w:styleId="Default">
    <w:name w:val="Default"/>
    <w:rsid w:val="00BC6AB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C6AB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AB5"/>
    <w:rPr>
      <w:rFonts w:ascii="Segoe UI" w:hAnsi="Segoe UI" w:cs="Segoe UI"/>
      <w:sz w:val="18"/>
      <w:szCs w:val="18"/>
    </w:rPr>
  </w:style>
  <w:style w:type="paragraph" w:styleId="NoSpacing">
    <w:name w:val="No Spacing"/>
    <w:uiPriority w:val="1"/>
    <w:qFormat/>
    <w:rsid w:val="00931029"/>
    <w:pPr>
      <w:spacing w:after="0" w:line="240" w:lineRule="auto"/>
      <w:ind w:left="567"/>
    </w:pPr>
  </w:style>
  <w:style w:type="paragraph" w:customStyle="1" w:styleId="BodyText1">
    <w:name w:val="Body Text1"/>
    <w:basedOn w:val="Normal"/>
    <w:qFormat/>
    <w:rsid w:val="00931029"/>
    <w:pPr>
      <w:suppressAutoHyphens w:val="0"/>
      <w:spacing w:before="0" w:after="200" w:line="260" w:lineRule="exact"/>
    </w:pPr>
    <w:rPr>
      <w:rFonts w:ascii="Cambria" w:eastAsia="Times New Roman" w:hAnsi="Cambria" w:cs="Times New Roman"/>
      <w:szCs w:val="24"/>
    </w:rPr>
  </w:style>
  <w:style w:type="paragraph" w:styleId="CommentSubject">
    <w:name w:val="annotation subject"/>
    <w:basedOn w:val="CommentText"/>
    <w:next w:val="CommentText"/>
    <w:link w:val="CommentSubjectChar"/>
    <w:uiPriority w:val="99"/>
    <w:semiHidden/>
    <w:unhideWhenUsed/>
    <w:rsid w:val="00274658"/>
    <w:pPr>
      <w:widowControl/>
      <w:suppressAutoHyphens/>
      <w:spacing w:before="180" w:after="60"/>
    </w:pPr>
    <w:rPr>
      <w:b/>
      <w:bCs/>
      <w:lang w:val="en-AU"/>
    </w:rPr>
  </w:style>
  <w:style w:type="character" w:customStyle="1" w:styleId="CommentSubjectChar">
    <w:name w:val="Comment Subject Char"/>
    <w:basedOn w:val="CommentTextChar"/>
    <w:link w:val="CommentSubject"/>
    <w:uiPriority w:val="99"/>
    <w:semiHidden/>
    <w:rsid w:val="00274658"/>
    <w:rPr>
      <w:b/>
      <w:bCs/>
      <w:sz w:val="20"/>
      <w:szCs w:val="20"/>
      <w:lang w:val="en-US"/>
    </w:rPr>
  </w:style>
  <w:style w:type="paragraph" w:styleId="Revision">
    <w:name w:val="Revision"/>
    <w:hidden/>
    <w:uiPriority w:val="99"/>
    <w:semiHidden/>
    <w:rsid w:val="002746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808996CD2146019246D2031F05F10B"/>
        <w:category>
          <w:name w:val="General"/>
          <w:gallery w:val="placeholder"/>
        </w:category>
        <w:types>
          <w:type w:val="bbPlcHdr"/>
        </w:types>
        <w:behaviors>
          <w:behavior w:val="content"/>
        </w:behaviors>
        <w:guid w:val="{91BC08E9-82F0-4806-B66A-59428F7C0270}"/>
      </w:docPartPr>
      <w:docPartBody>
        <w:p w:rsidR="00A60ABE" w:rsidRDefault="00751FB6" w:rsidP="00751FB6">
          <w:pPr>
            <w:pStyle w:val="9D808996CD2146019246D2031F05F10B"/>
          </w:pPr>
          <w:r w:rsidRPr="006009C9">
            <w:rPr>
              <w:rStyle w:val="PlaceholderText"/>
            </w:rPr>
            <w:t>[Status]</w:t>
          </w:r>
        </w:p>
      </w:docPartBody>
    </w:docPart>
    <w:docPart>
      <w:docPartPr>
        <w:name w:val="85FCF50EFA584C32A9291D76744CD17A"/>
        <w:category>
          <w:name w:val="General"/>
          <w:gallery w:val="placeholder"/>
        </w:category>
        <w:types>
          <w:type w:val="bbPlcHdr"/>
        </w:types>
        <w:behaviors>
          <w:behavior w:val="content"/>
        </w:behaviors>
        <w:guid w:val="{F0F7575D-38F6-42DA-B1C8-F6AC6B3FB305}"/>
      </w:docPartPr>
      <w:docPartBody>
        <w:p w:rsidR="00A60ABE" w:rsidRDefault="00751FB6" w:rsidP="00751FB6">
          <w:pPr>
            <w:pStyle w:val="85FCF50EFA584C32A9291D76744CD17A"/>
          </w:pPr>
          <w:r w:rsidRPr="006009C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B6"/>
    <w:rsid w:val="000A2739"/>
    <w:rsid w:val="000C2957"/>
    <w:rsid w:val="00171D14"/>
    <w:rsid w:val="002258F9"/>
    <w:rsid w:val="002C7FCE"/>
    <w:rsid w:val="003F5996"/>
    <w:rsid w:val="00432A6B"/>
    <w:rsid w:val="004E06AE"/>
    <w:rsid w:val="00601E1F"/>
    <w:rsid w:val="00651B81"/>
    <w:rsid w:val="00713166"/>
    <w:rsid w:val="00751FB6"/>
    <w:rsid w:val="00760CD6"/>
    <w:rsid w:val="0078658A"/>
    <w:rsid w:val="007E4957"/>
    <w:rsid w:val="007F3D84"/>
    <w:rsid w:val="0088435F"/>
    <w:rsid w:val="0096476C"/>
    <w:rsid w:val="00A23CC8"/>
    <w:rsid w:val="00A60ABE"/>
    <w:rsid w:val="00AA4C81"/>
    <w:rsid w:val="00AB5510"/>
    <w:rsid w:val="00CA2E61"/>
    <w:rsid w:val="00D1201B"/>
    <w:rsid w:val="00D60D6E"/>
    <w:rsid w:val="00DC12C8"/>
    <w:rsid w:val="00EF298A"/>
    <w:rsid w:val="00F3597A"/>
    <w:rsid w:val="00F723BB"/>
    <w:rsid w:val="00F76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FB6"/>
    <w:rPr>
      <w:color w:val="808080"/>
    </w:rPr>
  </w:style>
  <w:style w:type="paragraph" w:customStyle="1" w:styleId="9D808996CD2146019246D2031F05F10B">
    <w:name w:val="9D808996CD2146019246D2031F05F10B"/>
    <w:rsid w:val="00751FB6"/>
  </w:style>
  <w:style w:type="paragraph" w:customStyle="1" w:styleId="85FCF50EFA584C32A9291D76744CD17A">
    <w:name w:val="85FCF50EFA584C32A9291D76744CD17A"/>
    <w:rsid w:val="00751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BBBADB"/>
      </a:accent2>
      <a:accent3>
        <a:srgbClr val="E6E4BA"/>
      </a:accent3>
      <a:accent4>
        <a:srgbClr val="D78B83"/>
      </a:accent4>
      <a:accent5>
        <a:srgbClr val="BEBFC0"/>
      </a:accent5>
      <a:accent6>
        <a:srgbClr val="ED7D31"/>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75879E95-76ED-4952-8793-7BDF17E91F97}" vid="{CD9CE17E-63B8-45F8-B600-89410B4EF6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E0702FC-68E9-49A2-BD59-3E264B79BD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1268CF4DAF12542968963EF48107222" ma:contentTypeVersion="" ma:contentTypeDescription="PDMS Document Site Content Type" ma:contentTypeScope="" ma:versionID="4a1db88feee0a2c54b250c5e28bae6fa">
  <xsd:schema xmlns:xsd="http://www.w3.org/2001/XMLSchema" xmlns:xs="http://www.w3.org/2001/XMLSchema" xmlns:p="http://schemas.microsoft.com/office/2006/metadata/properties" xmlns:ns2="FE0702FC-68E9-49A2-BD59-3E264B79BDFE" targetNamespace="http://schemas.microsoft.com/office/2006/metadata/properties" ma:root="true" ma:fieldsID="5a13483efc765fdf8fa9a0f073729e4f" ns2:_="">
    <xsd:import namespace="FE0702FC-68E9-49A2-BD59-3E264B79BDF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702FC-68E9-49A2-BD59-3E264B79BDF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8F064-5FE1-4DE2-9E56-4060CA2F0FE5}">
  <ds:schemaRefs>
    <ds:schemaRef ds:uri="http://schemas.microsoft.com/office/2006/metadata/properties"/>
    <ds:schemaRef ds:uri="http://schemas.microsoft.com/office/infopath/2007/PartnerControls"/>
    <ds:schemaRef ds:uri="FE0702FC-68E9-49A2-BD59-3E264B79BDFE"/>
  </ds:schemaRefs>
</ds:datastoreItem>
</file>

<file path=customXml/itemProps2.xml><?xml version="1.0" encoding="utf-8"?>
<ds:datastoreItem xmlns:ds="http://schemas.openxmlformats.org/officeDocument/2006/customXml" ds:itemID="{DFA66C54-D501-4BC3-93E0-966BF1C67A04}">
  <ds:schemaRefs>
    <ds:schemaRef ds:uri="http://schemas.microsoft.com/sharepoint/v3/contenttype/forms"/>
  </ds:schemaRefs>
</ds:datastoreItem>
</file>

<file path=customXml/itemProps3.xml><?xml version="1.0" encoding="utf-8"?>
<ds:datastoreItem xmlns:ds="http://schemas.openxmlformats.org/officeDocument/2006/customXml" ds:itemID="{0127D94E-F4B1-407E-A25C-85CFA406A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702FC-68E9-49A2-BD59-3E264B79B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0C0137-7906-4052-A41C-AC8601A23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963</Words>
  <Characters>5450</Characters>
  <Application>Microsoft Office Word</Application>
  <DocSecurity>0</DocSecurity>
  <Lines>150</Lines>
  <Paragraphs>61</Paragraphs>
  <ScaleCrop>false</ScaleCrop>
  <HeadingPairs>
    <vt:vector size="2" baseType="variant">
      <vt:variant>
        <vt:lpstr>Title</vt:lpstr>
      </vt:variant>
      <vt:variant>
        <vt:i4>1</vt:i4>
      </vt:variant>
    </vt:vector>
  </HeadingPairs>
  <TitlesOfParts>
    <vt:vector size="1" baseType="lpstr">
      <vt:lpstr>Attachment B - Comcover Information Bulletin</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Bulletin – Comcover Statement of Cover 2025-26</dc:title>
  <dc:subject/>
  <dc:creator>Department of Finance</dc:creator>
  <cp:keywords>[SEC=OFFICIAL]</cp:keywords>
  <dc:description/>
  <cp:lastModifiedBy>Truong, Minh</cp:lastModifiedBy>
  <cp:revision>5</cp:revision>
  <cp:lastPrinted>2025-06-20T21:36:00Z</cp:lastPrinted>
  <dcterms:created xsi:type="dcterms:W3CDTF">2025-06-26T08:57:00Z</dcterms:created>
  <dcterms:modified xsi:type="dcterms:W3CDTF">2025-06-27T06:06:00Z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0x010100266966F133664895A6EE3632470D45F500E1268CF4DAF12542968963EF48107222</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1;#Policy and Engagement|6bb0b416-2c81-4351-8c8a-d9c2336f148f</vt:lpwstr>
  </property>
  <property fmtid="{D5CDD505-2E9C-101B-9397-08002B2CF9AE}" pid="8" name="_dlc_DocIdItemGuid">
    <vt:lpwstr>e13b69dd-7b18-4b7b-9719-4e04a8380434</vt:lpwstr>
  </property>
  <property fmtid="{D5CDD505-2E9C-101B-9397-08002B2CF9AE}" pid="9" name="PM_Namespace">
    <vt:lpwstr>gov.au</vt:lpwstr>
  </property>
  <property fmtid="{D5CDD505-2E9C-101B-9397-08002B2CF9AE}" pid="10" name="PM_Caveats_Count">
    <vt:lpwstr>0</vt:lpwstr>
  </property>
  <property fmtid="{D5CDD505-2E9C-101B-9397-08002B2CF9AE}" pid="11" name="PM_Version">
    <vt:lpwstr>2018.4</vt:lpwstr>
  </property>
  <property fmtid="{D5CDD505-2E9C-101B-9397-08002B2CF9AE}" pid="12" name="PM_Note">
    <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ProtectiveMarkingValue_Header">
    <vt:lpwstr>OFFICIAL</vt:lpwstr>
  </property>
  <property fmtid="{D5CDD505-2E9C-101B-9397-08002B2CF9AE}" pid="16" name="PM_OriginationTimeStamp">
    <vt:lpwstr>2023-06-23T02:16:49Z</vt:lpwstr>
  </property>
  <property fmtid="{D5CDD505-2E9C-101B-9397-08002B2CF9AE}" pid="17" name="PM_Markers">
    <vt:lpwstr/>
  </property>
  <property fmtid="{D5CDD505-2E9C-101B-9397-08002B2CF9AE}" pid="18" name="MSIP_Label_87d6481e-ccdd-4ab6-8b26-05a0df5699e7_Name">
    <vt:lpwstr>OFFICIAL</vt:lpwstr>
  </property>
  <property fmtid="{D5CDD505-2E9C-101B-9397-08002B2CF9AE}" pid="19" name="MSIP_Label_87d6481e-ccdd-4ab6-8b26-05a0df5699e7_SiteId">
    <vt:lpwstr>08954cee-4782-4ff6-9ad5-1997dccef4b0</vt:lpwstr>
  </property>
  <property fmtid="{D5CDD505-2E9C-101B-9397-08002B2CF9AE}" pid="20" name="MSIP_Label_87d6481e-ccdd-4ab6-8b26-05a0df5699e7_Enabled">
    <vt:lpwstr>true</vt:lpwstr>
  </property>
  <property fmtid="{D5CDD505-2E9C-101B-9397-08002B2CF9AE}" pid="21" name="MSIP_Label_87d6481e-ccdd-4ab6-8b26-05a0df5699e7_SetDate">
    <vt:lpwstr>2023-06-23T02:16:49Z</vt:lpwstr>
  </property>
  <property fmtid="{D5CDD505-2E9C-101B-9397-08002B2CF9AE}" pid="22" name="MSIP_Label_87d6481e-ccdd-4ab6-8b26-05a0df5699e7_Method">
    <vt:lpwstr>Privileged</vt:lpwstr>
  </property>
  <property fmtid="{D5CDD505-2E9C-101B-9397-08002B2CF9AE}" pid="23" name="MSIP_Label_87d6481e-ccdd-4ab6-8b26-05a0df5699e7_ContentBits">
    <vt:lpwstr>0</vt:lpwstr>
  </property>
  <property fmtid="{D5CDD505-2E9C-101B-9397-08002B2CF9AE}" pid="24" name="PM_InsertionValue">
    <vt:lpwstr>OFFICIAL</vt:lpwstr>
  </property>
  <property fmtid="{D5CDD505-2E9C-101B-9397-08002B2CF9AE}" pid="25" name="PM_DisplayValueSecClassificationWithQualifier">
    <vt:lpwstr>OFFICIAL</vt:lpwstr>
  </property>
  <property fmtid="{D5CDD505-2E9C-101B-9397-08002B2CF9AE}" pid="26" name="PM_Originating_FileId">
    <vt:lpwstr>E322339221034E07A60B1E10A32606D7</vt:lpwstr>
  </property>
  <property fmtid="{D5CDD505-2E9C-101B-9397-08002B2CF9AE}" pid="27" name="PM_ProtectiveMarkingValue_Footer">
    <vt:lpwstr>OFFICIAL</vt:lpwstr>
  </property>
  <property fmtid="{D5CDD505-2E9C-101B-9397-08002B2CF9AE}" pid="28" name="PM_ProtectiveMarkingImage_Header">
    <vt:lpwstr>C:\Program Files\Common Files\janusNET Shared\janusSEAL\Images\DocumentSlashBlue.png</vt:lpwstr>
  </property>
  <property fmtid="{D5CDD505-2E9C-101B-9397-08002B2CF9AE}" pid="29" name="PM_ProtectiveMarkingImage_Footer">
    <vt:lpwstr>C:\Program Files\Common Files\janusNET Shared\janusSEAL\Images\DocumentSlashBlue.png</vt:lpwstr>
  </property>
  <property fmtid="{D5CDD505-2E9C-101B-9397-08002B2CF9AE}" pid="30" name="PM_Display">
    <vt:lpwstr>OFFICIAL</vt:lpwstr>
  </property>
  <property fmtid="{D5CDD505-2E9C-101B-9397-08002B2CF9AE}" pid="31" name="PM_OriginatorDomainName_SHA256">
    <vt:lpwstr>325440F6CA31C4C3BCE4433552DC42928CAAD3E2731ABE35FDE729ECEB763AF0</vt:lpwstr>
  </property>
  <property fmtid="{D5CDD505-2E9C-101B-9397-08002B2CF9AE}" pid="32" name="PMUuid">
    <vt:lpwstr>v=2022.2;d=gov.au;g=46DD6D7C-8107-577B-BC6E-F348953B2E44</vt:lpwstr>
  </property>
  <property fmtid="{D5CDD505-2E9C-101B-9397-08002B2CF9AE}" pid="33" name="PM_Hash_Version">
    <vt:lpwstr>2022.1</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PMHMAC">
    <vt:lpwstr>v=2022.1;a=SHA256;h=C6DEC24D537C0E2178A15281E2F1CE308BAE65F7081EC9FAFCD9F8111305C41E</vt:lpwstr>
  </property>
  <property fmtid="{D5CDD505-2E9C-101B-9397-08002B2CF9AE}" pid="37" name="PM_OriginatorUserAccountName_SHA256">
    <vt:lpwstr>3F9C3930C95A80FE14E5E569A96906FECB80D374DD6F0E6814A1821B290CD60B</vt:lpwstr>
  </property>
  <property fmtid="{D5CDD505-2E9C-101B-9397-08002B2CF9AE}" pid="38" name="MSIP_Label_87d6481e-ccdd-4ab6-8b26-05a0df5699e7_ActionId">
    <vt:lpwstr>866c1d79173e47078fa3627e7df7f85d</vt:lpwstr>
  </property>
  <property fmtid="{D5CDD505-2E9C-101B-9397-08002B2CF9AE}" pid="39" name="PM_Originator_Hash_SHA1">
    <vt:lpwstr>C4E8576B6510B1FB5DEF9BBC04AB3A64E004CBD8</vt:lpwstr>
  </property>
  <property fmtid="{D5CDD505-2E9C-101B-9397-08002B2CF9AE}" pid="40" name="PM_Hash_Salt_Prev">
    <vt:lpwstr>BEE54D13DF5EF152101B58AF3A2AB2C6</vt:lpwstr>
  </property>
  <property fmtid="{D5CDD505-2E9C-101B-9397-08002B2CF9AE}" pid="41" name="PM_Hash_Salt">
    <vt:lpwstr>CB6BA4E18B96F966C8FAD3D028F5C55D</vt:lpwstr>
  </property>
  <property fmtid="{D5CDD505-2E9C-101B-9397-08002B2CF9AE}" pid="42" name="PM_Hash_SHA1">
    <vt:lpwstr>4745CD7D948BE9CD70F91010BACBC9F5C321C57E</vt:lpwstr>
  </property>
</Properties>
</file>